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193675</wp:posOffset>
            </wp:positionH>
            <wp:positionV relativeFrom="page">
              <wp:posOffset>910590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883920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23"/>
          <w:szCs w:val="23"/>
          <w:b w:val="1"/>
          <w:bCs w:val="1"/>
          <w:color w:val="auto"/>
        </w:rPr>
        <w:t>UNITED STATES</w:t>
      </w:r>
    </w:p>
    <w:p>
      <w:pPr>
        <w:spacing w:after="0" w:line="29"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SECURITIES AND EXCHANGE COMMISSION</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Washington, D.C. 20549</w:t>
      </w:r>
    </w:p>
    <w:p>
      <w:pPr>
        <w:spacing w:after="0" w:line="14" w:lineRule="exact"/>
        <w:rPr>
          <w:sz w:val="24"/>
          <w:szCs w:val="24"/>
          <w:color w:val="auto"/>
        </w:rPr>
      </w:pPr>
    </w:p>
    <w:p>
      <w:pPr>
        <w:ind w:left="4460"/>
        <w:spacing w:after="0"/>
        <w:rPr>
          <w:sz w:val="20"/>
          <w:szCs w:val="20"/>
          <w:color w:val="auto"/>
        </w:rPr>
      </w:pPr>
      <w:r>
        <w:rPr>
          <w:rFonts w:ascii="Arial" w:cs="Arial" w:eastAsia="Arial" w:hAnsi="Arial"/>
          <w:sz w:val="14"/>
          <w:szCs w:val="14"/>
          <w:b w:val="1"/>
          <w:bCs w:val="1"/>
          <w:color w:val="auto"/>
        </w:rPr>
        <w:t>______________________________</w:t>
      </w:r>
    </w:p>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FORM 10-K</w:t>
      </w:r>
    </w:p>
    <w:p>
      <w:pPr>
        <w:spacing w:after="0" w:line="31" w:lineRule="exact"/>
        <w:rPr>
          <w:sz w:val="24"/>
          <w:szCs w:val="24"/>
          <w:color w:val="auto"/>
        </w:rPr>
      </w:pPr>
    </w:p>
    <w:p>
      <w:pPr>
        <w:ind w:left="4460"/>
        <w:spacing w:after="0"/>
        <w:rPr>
          <w:sz w:val="20"/>
          <w:szCs w:val="20"/>
          <w:color w:val="auto"/>
        </w:rPr>
      </w:pPr>
      <w:r>
        <w:rPr>
          <w:rFonts w:ascii="Arial" w:cs="Arial" w:eastAsia="Arial" w:hAnsi="Arial"/>
          <w:sz w:val="14"/>
          <w:szCs w:val="14"/>
          <w:b w:val="1"/>
          <w:bCs w:val="1"/>
          <w:color w:val="auto"/>
        </w:rPr>
        <w:t>______________________________</w:t>
      </w:r>
    </w:p>
    <w:p>
      <w:pPr>
        <w:spacing w:after="0" w:line="9" w:lineRule="exact"/>
        <w:rPr>
          <w:sz w:val="24"/>
          <w:szCs w:val="24"/>
          <w:color w:val="auto"/>
        </w:rPr>
      </w:pPr>
    </w:p>
    <w:p>
      <w:pPr>
        <w:spacing w:after="0"/>
        <w:rPr>
          <w:sz w:val="20"/>
          <w:szCs w:val="20"/>
          <w:color w:val="auto"/>
        </w:rPr>
      </w:pPr>
      <w:r>
        <w:rPr>
          <w:rFonts w:ascii="Arial" w:cs="Arial" w:eastAsia="Arial" w:hAnsi="Arial"/>
          <w:sz w:val="14"/>
          <w:szCs w:val="14"/>
          <w:b w:val="1"/>
          <w:bCs w:val="1"/>
          <w:color w:val="131E29"/>
        </w:rPr>
        <w:t>(Mark One)</w:t>
      </w:r>
    </w:p>
    <w:p>
      <w:pPr>
        <w:spacing w:after="0" w:line="33" w:lineRule="exact"/>
        <w:rPr>
          <w:sz w:val="24"/>
          <w:szCs w:val="24"/>
          <w:color w:val="auto"/>
        </w:rPr>
      </w:pPr>
    </w:p>
    <w:p>
      <w:pPr>
        <w:ind w:left="640" w:hanging="621"/>
        <w:spacing w:after="0"/>
        <w:tabs>
          <w:tab w:leader="none" w:pos="640" w:val="left"/>
        </w:tabs>
        <w:numPr>
          <w:ilvl w:val="0"/>
          <w:numId w:val="1"/>
        </w:numPr>
        <w:rPr>
          <w:rFonts w:ascii="MS PGothic" w:cs="MS PGothic" w:eastAsia="MS PGothic" w:hAnsi="MS PGothic"/>
          <w:sz w:val="14"/>
          <w:szCs w:val="14"/>
          <w:color w:val="131E29"/>
        </w:rPr>
      </w:pPr>
      <w:r>
        <w:rPr>
          <w:rFonts w:ascii="Arial" w:cs="Arial" w:eastAsia="Arial" w:hAnsi="Arial"/>
          <w:sz w:val="14"/>
          <w:szCs w:val="14"/>
          <w:b w:val="1"/>
          <w:bCs w:val="1"/>
          <w:color w:val="131E29"/>
        </w:rPr>
        <w:t>ANNUAL REPORT PURSUANT TO SECTION 13 OR 15(d) OF THE SECURITIES EXCHANGE ACT OF 1934</w:t>
      </w:r>
    </w:p>
    <w:p>
      <w:pPr>
        <w:spacing w:after="0" w:line="359"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131E29"/>
        </w:rPr>
        <w:t>For the fiscal year ended December 31, 2022</w:t>
      </w:r>
    </w:p>
    <w:p>
      <w:pPr>
        <w:spacing w:after="0" w:line="136"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131E29"/>
        </w:rPr>
        <w:t>OR</w:t>
      </w:r>
    </w:p>
    <w:p>
      <w:pPr>
        <w:spacing w:after="0" w:line="136" w:lineRule="exact"/>
        <w:rPr>
          <w:sz w:val="24"/>
          <w:szCs w:val="24"/>
          <w:color w:val="auto"/>
        </w:rPr>
      </w:pPr>
    </w:p>
    <w:p>
      <w:pPr>
        <w:ind w:left="640" w:hanging="621"/>
        <w:spacing w:after="0"/>
        <w:tabs>
          <w:tab w:leader="none" w:pos="640" w:val="left"/>
        </w:tabs>
        <w:numPr>
          <w:ilvl w:val="0"/>
          <w:numId w:val="2"/>
        </w:numPr>
        <w:rPr>
          <w:rFonts w:ascii="MS PGothic" w:cs="MS PGothic" w:eastAsia="MS PGothic" w:hAnsi="MS PGothic"/>
          <w:sz w:val="14"/>
          <w:szCs w:val="14"/>
          <w:color w:val="131E29"/>
        </w:rPr>
      </w:pPr>
      <w:r>
        <w:rPr>
          <w:rFonts w:ascii="Arial" w:cs="Arial" w:eastAsia="Arial" w:hAnsi="Arial"/>
          <w:sz w:val="14"/>
          <w:szCs w:val="14"/>
          <w:b w:val="1"/>
          <w:bCs w:val="1"/>
          <w:color w:val="131E29"/>
        </w:rPr>
        <w:t>TRANSITION REPORT PURSUANT TO SECTION 13 OR 15(d) OF THE SECURITIES EXCHANGE ACT OF 1934</w:t>
      </w:r>
    </w:p>
    <w:p>
      <w:pPr>
        <w:spacing w:after="0" w:line="316" w:lineRule="exact"/>
        <w:rPr>
          <w:sz w:val="24"/>
          <w:szCs w:val="24"/>
          <w:color w:val="auto"/>
        </w:rPr>
      </w:pPr>
    </w:p>
    <w:p>
      <w:pPr>
        <w:ind w:left="3900"/>
        <w:spacing w:after="0"/>
        <w:rPr>
          <w:sz w:val="20"/>
          <w:szCs w:val="20"/>
          <w:color w:val="auto"/>
        </w:rPr>
      </w:pPr>
      <w:r>
        <w:rPr>
          <w:rFonts w:ascii="Arial" w:cs="Arial" w:eastAsia="Arial" w:hAnsi="Arial"/>
          <w:sz w:val="14"/>
          <w:szCs w:val="14"/>
          <w:b w:val="1"/>
          <w:bCs w:val="1"/>
          <w:color w:val="131E29"/>
        </w:rPr>
        <w:t>For the transition period from ________ to ________</w:t>
      </w:r>
    </w:p>
    <w:p>
      <w:pPr>
        <w:spacing w:after="0" w:line="136"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131E29"/>
        </w:rPr>
        <w:t>Commission file number 001-40798</w:t>
      </w:r>
    </w:p>
    <w:p>
      <w:pPr>
        <w:spacing w:after="0" w:line="27" w:lineRule="exact"/>
        <w:rPr>
          <w:sz w:val="24"/>
          <w:szCs w:val="24"/>
          <w:color w:val="auto"/>
        </w:rPr>
      </w:pPr>
    </w:p>
    <w:p>
      <w:pPr>
        <w:ind w:left="4460"/>
        <w:spacing w:after="0"/>
        <w:rPr>
          <w:sz w:val="20"/>
          <w:szCs w:val="20"/>
          <w:color w:val="auto"/>
        </w:rPr>
      </w:pPr>
      <w:r>
        <w:rPr>
          <w:rFonts w:ascii="Arial" w:cs="Arial" w:eastAsia="Arial" w:hAnsi="Arial"/>
          <w:sz w:val="14"/>
          <w:szCs w:val="14"/>
          <w:b w:val="1"/>
          <w:bCs w:val="1"/>
          <w:color w:val="auto"/>
        </w:rPr>
        <w:t>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3048635</wp:posOffset>
            </wp:positionH>
            <wp:positionV relativeFrom="paragraph">
              <wp:posOffset>5715</wp:posOffset>
            </wp:positionV>
            <wp:extent cx="1071245" cy="5391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71245" cy="5391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131E29"/>
        </w:rPr>
        <w:t>DUTCH BROS INC.</w:t>
      </w:r>
    </w:p>
    <w:p>
      <w:pPr>
        <w:spacing w:after="0" w:line="49"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131E29"/>
        </w:rPr>
        <w:t>(Exact name of registrant as specified in its charter)</w:t>
      </w:r>
    </w:p>
    <w:p>
      <w:pPr>
        <w:spacing w:after="0" w:line="9" w:lineRule="exact"/>
        <w:rPr>
          <w:sz w:val="24"/>
          <w:szCs w:val="24"/>
          <w:color w:val="auto"/>
        </w:rPr>
      </w:pPr>
    </w:p>
    <w:p>
      <w:pPr>
        <w:ind w:left="4460"/>
        <w:spacing w:after="0"/>
        <w:rPr>
          <w:sz w:val="20"/>
          <w:szCs w:val="20"/>
          <w:color w:val="auto"/>
        </w:rPr>
      </w:pPr>
      <w:r>
        <w:rPr>
          <w:rFonts w:ascii="Arial" w:cs="Arial" w:eastAsia="Arial" w:hAnsi="Arial"/>
          <w:sz w:val="14"/>
          <w:szCs w:val="14"/>
          <w:b w:val="1"/>
          <w:bCs w:val="1"/>
          <w:color w:val="auto"/>
        </w:rPr>
        <w:t>______________________________</w:t>
      </w:r>
    </w:p>
    <w:p>
      <w:pPr>
        <w:spacing w:after="0" w:line="161" w:lineRule="exact"/>
        <w:rPr>
          <w:sz w:val="24"/>
          <w:szCs w:val="24"/>
          <w:color w:val="auto"/>
        </w:rPr>
      </w:pPr>
    </w:p>
    <w:tbl>
      <w:tblPr>
        <w:tblLayout w:type="fixed"/>
        <w:tblInd w:w="10" w:type="dxa"/>
        <w:tblCellMar>
          <w:top w:w="0" w:type="dxa"/>
          <w:left w:w="0" w:type="dxa"/>
          <w:bottom w:w="0" w:type="dxa"/>
          <w:right w:w="0" w:type="dxa"/>
        </w:tblCellMar>
      </w:tblPr>
      <w:tr>
        <w:trPr>
          <w:trHeight w:val="188"/>
        </w:trPr>
        <w:tc>
          <w:tcPr>
            <w:tcW w:w="2880" w:type="dxa"/>
            <w:vAlign w:val="bottom"/>
          </w:tcPr>
          <w:p>
            <w:pPr>
              <w:spacing w:after="0"/>
              <w:rPr>
                <w:sz w:val="16"/>
                <w:szCs w:val="16"/>
                <w:color w:val="auto"/>
              </w:rPr>
            </w:pPr>
          </w:p>
        </w:tc>
        <w:tc>
          <w:tcPr>
            <w:tcW w:w="4240" w:type="dxa"/>
            <w:vAlign w:val="bottom"/>
            <w:gridSpan w:val="2"/>
          </w:tcPr>
          <w:p>
            <w:pPr>
              <w:jc w:val="center"/>
              <w:ind w:right="2474"/>
              <w:spacing w:after="0"/>
              <w:rPr>
                <w:sz w:val="20"/>
                <w:szCs w:val="20"/>
                <w:color w:val="auto"/>
              </w:rPr>
            </w:pPr>
            <w:r>
              <w:rPr>
                <w:rFonts w:ascii="Arial" w:cs="Arial" w:eastAsia="Arial" w:hAnsi="Arial"/>
                <w:sz w:val="14"/>
                <w:szCs w:val="14"/>
                <w:b w:val="1"/>
                <w:bCs w:val="1"/>
                <w:color w:val="131E29"/>
              </w:rPr>
              <w:t>Delaware</w:t>
            </w:r>
          </w:p>
        </w:tc>
        <w:tc>
          <w:tcPr>
            <w:tcW w:w="4180" w:type="dxa"/>
            <w:vAlign w:val="bottom"/>
            <w:gridSpan w:val="2"/>
            <w:vMerge w:val="restart"/>
          </w:tcPr>
          <w:p>
            <w:pPr>
              <w:jc w:val="right"/>
              <w:ind w:right="2734"/>
              <w:spacing w:after="0"/>
              <w:rPr>
                <w:sz w:val="20"/>
                <w:szCs w:val="20"/>
                <w:color w:val="auto"/>
              </w:rPr>
            </w:pPr>
            <w:r>
              <w:rPr>
                <w:rFonts w:ascii="Arial" w:cs="Arial" w:eastAsia="Arial" w:hAnsi="Arial"/>
                <w:sz w:val="14"/>
                <w:szCs w:val="14"/>
                <w:b w:val="1"/>
                <w:bCs w:val="1"/>
                <w:color w:val="131E29"/>
              </w:rPr>
              <w:t>87-1041305</w:t>
            </w:r>
          </w:p>
        </w:tc>
        <w:tc>
          <w:tcPr>
            <w:tcW w:w="0" w:type="dxa"/>
            <w:vAlign w:val="bottom"/>
          </w:tcPr>
          <w:p>
            <w:pPr>
              <w:spacing w:after="0"/>
              <w:rPr>
                <w:sz w:val="1"/>
                <w:szCs w:val="1"/>
                <w:color w:val="auto"/>
              </w:rPr>
            </w:pPr>
          </w:p>
        </w:tc>
      </w:tr>
      <w:tr>
        <w:trPr>
          <w:trHeight w:val="127"/>
        </w:trPr>
        <w:tc>
          <w:tcPr>
            <w:tcW w:w="2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41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880" w:type="dxa"/>
            <w:vAlign w:val="bottom"/>
          </w:tcPr>
          <w:p>
            <w:pPr>
              <w:spacing w:after="0"/>
              <w:rPr>
                <w:sz w:val="15"/>
                <w:szCs w:val="15"/>
                <w:color w:val="auto"/>
              </w:rPr>
            </w:pPr>
          </w:p>
        </w:tc>
        <w:tc>
          <w:tcPr>
            <w:tcW w:w="4240" w:type="dxa"/>
            <w:vAlign w:val="bottom"/>
            <w:gridSpan w:val="2"/>
          </w:tcPr>
          <w:p>
            <w:pPr>
              <w:jc w:val="center"/>
              <w:ind w:right="2474"/>
              <w:spacing w:after="0"/>
              <w:rPr>
                <w:sz w:val="20"/>
                <w:szCs w:val="20"/>
                <w:color w:val="auto"/>
              </w:rPr>
            </w:pPr>
            <w:r>
              <w:rPr>
                <w:rFonts w:ascii="Arial" w:cs="Arial" w:eastAsia="Arial" w:hAnsi="Arial"/>
                <w:sz w:val="11"/>
                <w:szCs w:val="11"/>
                <w:color w:val="131E29"/>
              </w:rPr>
              <w:t>(State or other jurisdiction of</w:t>
            </w:r>
          </w:p>
        </w:tc>
        <w:tc>
          <w:tcPr>
            <w:tcW w:w="4180" w:type="dxa"/>
            <w:vAlign w:val="bottom"/>
            <w:gridSpan w:val="2"/>
          </w:tcPr>
          <w:p>
            <w:pPr>
              <w:jc w:val="center"/>
              <w:ind w:right="2094"/>
              <w:spacing w:after="0"/>
              <w:rPr>
                <w:sz w:val="20"/>
                <w:szCs w:val="20"/>
                <w:color w:val="auto"/>
              </w:rPr>
            </w:pPr>
            <w:r>
              <w:rPr>
                <w:rFonts w:ascii="Arial" w:cs="Arial" w:eastAsia="Arial" w:hAnsi="Arial"/>
                <w:sz w:val="11"/>
                <w:szCs w:val="11"/>
                <w:color w:val="131E29"/>
              </w:rPr>
              <w:t>(I.R.S. Employer Identification No.)</w:t>
            </w:r>
          </w:p>
        </w:tc>
        <w:tc>
          <w:tcPr>
            <w:tcW w:w="0" w:type="dxa"/>
            <w:vAlign w:val="bottom"/>
          </w:tcPr>
          <w:p>
            <w:pPr>
              <w:spacing w:after="0"/>
              <w:rPr>
                <w:sz w:val="1"/>
                <w:szCs w:val="1"/>
                <w:color w:val="auto"/>
              </w:rPr>
            </w:pPr>
          </w:p>
        </w:tc>
      </w:tr>
      <w:tr>
        <w:trPr>
          <w:trHeight w:val="138"/>
        </w:trPr>
        <w:tc>
          <w:tcPr>
            <w:tcW w:w="2880" w:type="dxa"/>
            <w:vAlign w:val="bottom"/>
          </w:tcPr>
          <w:p>
            <w:pPr>
              <w:spacing w:after="0"/>
              <w:rPr>
                <w:sz w:val="11"/>
                <w:szCs w:val="11"/>
                <w:color w:val="auto"/>
              </w:rPr>
            </w:pPr>
          </w:p>
        </w:tc>
        <w:tc>
          <w:tcPr>
            <w:tcW w:w="4240" w:type="dxa"/>
            <w:vAlign w:val="bottom"/>
            <w:gridSpan w:val="2"/>
          </w:tcPr>
          <w:p>
            <w:pPr>
              <w:jc w:val="center"/>
              <w:ind w:right="2474"/>
              <w:spacing w:after="0"/>
              <w:rPr>
                <w:sz w:val="20"/>
                <w:szCs w:val="20"/>
                <w:color w:val="auto"/>
              </w:rPr>
            </w:pPr>
            <w:r>
              <w:rPr>
                <w:rFonts w:ascii="Arial" w:cs="Arial" w:eastAsia="Arial" w:hAnsi="Arial"/>
                <w:sz w:val="11"/>
                <w:szCs w:val="11"/>
                <w:color w:val="131E29"/>
              </w:rPr>
              <w:t>incorporation or organization)</w:t>
            </w:r>
          </w:p>
        </w:tc>
        <w:tc>
          <w:tcPr>
            <w:tcW w:w="4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880" w:type="dxa"/>
            <w:vAlign w:val="bottom"/>
          </w:tcPr>
          <w:p>
            <w:pPr>
              <w:spacing w:after="0"/>
              <w:rPr>
                <w:sz w:val="21"/>
                <w:szCs w:val="21"/>
                <w:color w:val="auto"/>
              </w:rPr>
            </w:pPr>
          </w:p>
        </w:tc>
        <w:tc>
          <w:tcPr>
            <w:tcW w:w="4240" w:type="dxa"/>
            <w:vAlign w:val="bottom"/>
            <w:gridSpan w:val="2"/>
          </w:tcPr>
          <w:p>
            <w:pPr>
              <w:jc w:val="center"/>
              <w:ind w:right="2474"/>
              <w:spacing w:after="0"/>
              <w:rPr>
                <w:sz w:val="20"/>
                <w:szCs w:val="20"/>
                <w:color w:val="auto"/>
              </w:rPr>
            </w:pPr>
            <w:r>
              <w:rPr>
                <w:rFonts w:ascii="Arial" w:cs="Arial" w:eastAsia="Arial" w:hAnsi="Arial"/>
                <w:sz w:val="14"/>
                <w:szCs w:val="14"/>
                <w:b w:val="1"/>
                <w:bCs w:val="1"/>
                <w:color w:val="131E29"/>
                <w:w w:val="99"/>
              </w:rPr>
              <w:t>110 SW 4th Street</w:t>
            </w:r>
          </w:p>
        </w:tc>
        <w:tc>
          <w:tcPr>
            <w:tcW w:w="4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8"/>
        </w:trPr>
        <w:tc>
          <w:tcPr>
            <w:tcW w:w="2880" w:type="dxa"/>
            <w:vAlign w:val="bottom"/>
          </w:tcPr>
          <w:p>
            <w:pPr>
              <w:spacing w:after="0"/>
              <w:rPr>
                <w:sz w:val="24"/>
                <w:szCs w:val="24"/>
                <w:color w:val="auto"/>
              </w:rPr>
            </w:pPr>
          </w:p>
        </w:tc>
        <w:tc>
          <w:tcPr>
            <w:tcW w:w="4240" w:type="dxa"/>
            <w:vAlign w:val="bottom"/>
            <w:gridSpan w:val="2"/>
          </w:tcPr>
          <w:p>
            <w:pPr>
              <w:ind w:left="80"/>
              <w:spacing w:after="0"/>
              <w:rPr>
                <w:sz w:val="20"/>
                <w:szCs w:val="20"/>
                <w:color w:val="auto"/>
              </w:rPr>
            </w:pPr>
            <w:r>
              <w:rPr>
                <w:rFonts w:ascii="Arial" w:cs="Arial" w:eastAsia="Arial" w:hAnsi="Arial"/>
                <w:sz w:val="14"/>
                <w:szCs w:val="14"/>
                <w:b w:val="1"/>
                <w:bCs w:val="1"/>
                <w:color w:val="131E29"/>
              </w:rPr>
              <w:t>Grants Pass, Oregon</w:t>
            </w:r>
          </w:p>
        </w:tc>
        <w:tc>
          <w:tcPr>
            <w:tcW w:w="4180" w:type="dxa"/>
            <w:vAlign w:val="bottom"/>
            <w:gridSpan w:val="2"/>
          </w:tcPr>
          <w:p>
            <w:pPr>
              <w:jc w:val="right"/>
              <w:ind w:right="2914"/>
              <w:spacing w:after="0"/>
              <w:rPr>
                <w:sz w:val="20"/>
                <w:szCs w:val="20"/>
                <w:color w:val="auto"/>
              </w:rPr>
            </w:pPr>
            <w:r>
              <w:rPr>
                <w:rFonts w:ascii="Arial" w:cs="Arial" w:eastAsia="Arial" w:hAnsi="Arial"/>
                <w:sz w:val="14"/>
                <w:szCs w:val="14"/>
                <w:b w:val="1"/>
                <w:bCs w:val="1"/>
                <w:color w:val="131E29"/>
              </w:rPr>
              <w:t>97526</w:t>
            </w:r>
          </w:p>
        </w:tc>
        <w:tc>
          <w:tcPr>
            <w:tcW w:w="0" w:type="dxa"/>
            <w:vAlign w:val="bottom"/>
          </w:tcPr>
          <w:p>
            <w:pPr>
              <w:spacing w:after="0"/>
              <w:rPr>
                <w:sz w:val="1"/>
                <w:szCs w:val="1"/>
                <w:color w:val="auto"/>
              </w:rPr>
            </w:pPr>
          </w:p>
        </w:tc>
      </w:tr>
      <w:tr>
        <w:trPr>
          <w:trHeight w:val="183"/>
        </w:trPr>
        <w:tc>
          <w:tcPr>
            <w:tcW w:w="7120" w:type="dxa"/>
            <w:vAlign w:val="bottom"/>
            <w:gridSpan w:val="3"/>
          </w:tcPr>
          <w:p>
            <w:pPr>
              <w:jc w:val="center"/>
              <w:ind w:left="272"/>
              <w:spacing w:after="0"/>
              <w:rPr>
                <w:sz w:val="20"/>
                <w:szCs w:val="20"/>
                <w:color w:val="auto"/>
              </w:rPr>
            </w:pPr>
            <w:r>
              <w:rPr>
                <w:rFonts w:ascii="Arial" w:cs="Arial" w:eastAsia="Arial" w:hAnsi="Arial"/>
                <w:sz w:val="11"/>
                <w:szCs w:val="11"/>
                <w:color w:val="131E29"/>
              </w:rPr>
              <w:t>(Address of principal executive offices)</w:t>
            </w:r>
          </w:p>
        </w:tc>
        <w:tc>
          <w:tcPr>
            <w:tcW w:w="420" w:type="dxa"/>
            <w:vAlign w:val="bottom"/>
          </w:tcPr>
          <w:p>
            <w:pPr>
              <w:spacing w:after="0"/>
              <w:rPr>
                <w:sz w:val="15"/>
                <w:szCs w:val="15"/>
                <w:color w:val="auto"/>
              </w:rPr>
            </w:pPr>
          </w:p>
        </w:tc>
        <w:tc>
          <w:tcPr>
            <w:tcW w:w="3760" w:type="dxa"/>
            <w:vAlign w:val="bottom"/>
          </w:tcPr>
          <w:p>
            <w:pPr>
              <w:jc w:val="center"/>
              <w:ind w:right="2514"/>
              <w:spacing w:after="0"/>
              <w:rPr>
                <w:sz w:val="20"/>
                <w:szCs w:val="20"/>
                <w:color w:val="auto"/>
              </w:rPr>
            </w:pPr>
            <w:r>
              <w:rPr>
                <w:rFonts w:ascii="Arial" w:cs="Arial" w:eastAsia="Arial" w:hAnsi="Arial"/>
                <w:sz w:val="11"/>
                <w:szCs w:val="11"/>
                <w:color w:val="131E29"/>
              </w:rPr>
              <w:t>(Zip Code)</w:t>
            </w:r>
          </w:p>
        </w:tc>
        <w:tc>
          <w:tcPr>
            <w:tcW w:w="0" w:type="dxa"/>
            <w:vAlign w:val="bottom"/>
          </w:tcPr>
          <w:p>
            <w:pPr>
              <w:spacing w:after="0"/>
              <w:rPr>
                <w:sz w:val="1"/>
                <w:szCs w:val="1"/>
                <w:color w:val="auto"/>
              </w:rPr>
            </w:pPr>
          </w:p>
        </w:tc>
      </w:tr>
      <w:tr>
        <w:trPr>
          <w:trHeight w:val="390"/>
        </w:trPr>
        <w:tc>
          <w:tcPr>
            <w:tcW w:w="2880" w:type="dxa"/>
            <w:vAlign w:val="bottom"/>
          </w:tcPr>
          <w:p>
            <w:pPr>
              <w:spacing w:after="0"/>
              <w:rPr>
                <w:sz w:val="24"/>
                <w:szCs w:val="24"/>
                <w:color w:val="auto"/>
              </w:rPr>
            </w:pPr>
          </w:p>
        </w:tc>
        <w:tc>
          <w:tcPr>
            <w:tcW w:w="4240" w:type="dxa"/>
            <w:vAlign w:val="bottom"/>
            <w:gridSpan w:val="2"/>
          </w:tcPr>
          <w:p>
            <w:pPr>
              <w:jc w:val="center"/>
              <w:ind w:right="914"/>
              <w:spacing w:after="0"/>
              <w:rPr>
                <w:sz w:val="20"/>
                <w:szCs w:val="20"/>
                <w:color w:val="auto"/>
              </w:rPr>
            </w:pPr>
            <w:r>
              <w:rPr>
                <w:rFonts w:ascii="Arial" w:cs="Arial" w:eastAsia="Arial" w:hAnsi="Arial"/>
                <w:sz w:val="14"/>
                <w:szCs w:val="14"/>
                <w:color w:val="131E29"/>
              </w:rPr>
              <w:t>(</w:t>
            </w:r>
            <w:r>
              <w:rPr>
                <w:rFonts w:ascii="Arial" w:cs="Arial" w:eastAsia="Arial" w:hAnsi="Arial"/>
                <w:sz w:val="14"/>
                <w:szCs w:val="14"/>
                <w:b w:val="1"/>
                <w:bCs w:val="1"/>
                <w:color w:val="131E29"/>
              </w:rPr>
              <w:t>541</w:t>
            </w:r>
            <w:r>
              <w:rPr>
                <w:rFonts w:ascii="Arial" w:cs="Arial" w:eastAsia="Arial" w:hAnsi="Arial"/>
                <w:sz w:val="14"/>
                <w:szCs w:val="14"/>
                <w:color w:val="131E29"/>
              </w:rPr>
              <w:t xml:space="preserve">) </w:t>
            </w:r>
            <w:r>
              <w:rPr>
                <w:rFonts w:ascii="Arial" w:cs="Arial" w:eastAsia="Arial" w:hAnsi="Arial"/>
                <w:sz w:val="14"/>
                <w:szCs w:val="14"/>
                <w:b w:val="1"/>
                <w:bCs w:val="1"/>
                <w:color w:val="131E29"/>
              </w:rPr>
              <w:t>955-4700</w:t>
            </w:r>
          </w:p>
        </w:tc>
        <w:tc>
          <w:tcPr>
            <w:tcW w:w="4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320" w:type="dxa"/>
            <w:vAlign w:val="bottom"/>
          </w:tcPr>
          <w:p>
            <w:pPr>
              <w:jc w:val="center"/>
              <w:ind w:left="294"/>
              <w:spacing w:after="0"/>
              <w:rPr>
                <w:sz w:val="20"/>
                <w:szCs w:val="20"/>
                <w:color w:val="auto"/>
              </w:rPr>
            </w:pPr>
            <w:r>
              <w:rPr>
                <w:rFonts w:ascii="Arial" w:cs="Arial" w:eastAsia="Arial" w:hAnsi="Arial"/>
                <w:sz w:val="11"/>
                <w:szCs w:val="11"/>
                <w:color w:val="131E29"/>
              </w:rPr>
              <w:t>(Registrant's telephone number, including area code)</w:t>
            </w:r>
          </w:p>
        </w:tc>
        <w:tc>
          <w:tcPr>
            <w:tcW w:w="4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80" w:type="dxa"/>
            <w:vAlign w:val="bottom"/>
          </w:tcPr>
          <w:p>
            <w:pPr>
              <w:spacing w:after="0"/>
              <w:rPr>
                <w:sz w:val="14"/>
                <w:szCs w:val="14"/>
                <w:color w:val="auto"/>
              </w:rPr>
            </w:pPr>
          </w:p>
        </w:tc>
        <w:tc>
          <w:tcPr>
            <w:tcW w:w="4240" w:type="dxa"/>
            <w:vAlign w:val="bottom"/>
            <w:gridSpan w:val="2"/>
          </w:tcPr>
          <w:p>
            <w:pPr>
              <w:jc w:val="right"/>
              <w:ind w:right="234"/>
              <w:spacing w:after="0"/>
              <w:rPr>
                <w:sz w:val="20"/>
                <w:szCs w:val="20"/>
                <w:color w:val="auto"/>
              </w:rPr>
            </w:pPr>
            <w:r>
              <w:rPr>
                <w:rFonts w:ascii="Arial" w:cs="Arial" w:eastAsia="Arial" w:hAnsi="Arial"/>
                <w:sz w:val="14"/>
                <w:szCs w:val="14"/>
                <w:b w:val="1"/>
                <w:bCs w:val="1"/>
                <w:color w:val="auto"/>
              </w:rPr>
              <w:t>______________________________</w:t>
            </w:r>
          </w:p>
        </w:tc>
        <w:tc>
          <w:tcPr>
            <w:tcW w:w="4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120" w:type="dxa"/>
            <w:vAlign w:val="bottom"/>
            <w:gridSpan w:val="3"/>
          </w:tcPr>
          <w:p>
            <w:pPr>
              <w:spacing w:after="0"/>
              <w:rPr>
                <w:sz w:val="20"/>
                <w:szCs w:val="20"/>
                <w:color w:val="auto"/>
              </w:rPr>
            </w:pPr>
            <w:r>
              <w:rPr>
                <w:rFonts w:ascii="Arial" w:cs="Arial" w:eastAsia="Arial" w:hAnsi="Arial"/>
                <w:sz w:val="14"/>
                <w:szCs w:val="14"/>
                <w:b w:val="1"/>
                <w:bCs w:val="1"/>
                <w:color w:val="131E29"/>
              </w:rPr>
              <w:t>Securities registered pursuant to Section 12(b) of the Act:</w:t>
            </w:r>
          </w:p>
        </w:tc>
        <w:tc>
          <w:tcPr>
            <w:tcW w:w="4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8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3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880" w:type="dxa"/>
            <w:vAlign w:val="bottom"/>
            <w:tcBorders>
              <w:left w:val="single" w:sz="8" w:color="auto"/>
            </w:tcBorders>
          </w:tcPr>
          <w:p>
            <w:pPr>
              <w:jc w:val="center"/>
              <w:ind w:left="832"/>
              <w:spacing w:after="0"/>
              <w:rPr>
                <w:sz w:val="20"/>
                <w:szCs w:val="20"/>
                <w:color w:val="auto"/>
              </w:rPr>
            </w:pPr>
            <w:r>
              <w:rPr>
                <w:rFonts w:ascii="Arial" w:cs="Arial" w:eastAsia="Arial" w:hAnsi="Arial"/>
                <w:sz w:val="14"/>
                <w:szCs w:val="14"/>
                <w:b w:val="1"/>
                <w:bCs w:val="1"/>
                <w:color w:val="131E29"/>
              </w:rPr>
              <w:t>Title of Each Class</w:t>
            </w:r>
          </w:p>
        </w:tc>
        <w:tc>
          <w:tcPr>
            <w:tcW w:w="920" w:type="dxa"/>
            <w:vAlign w:val="bottom"/>
            <w:tcBorders>
              <w:right w:val="single" w:sz="8" w:color="auto"/>
            </w:tcBorders>
          </w:tcPr>
          <w:p>
            <w:pPr>
              <w:spacing w:after="0"/>
              <w:rPr>
                <w:sz w:val="15"/>
                <w:szCs w:val="15"/>
                <w:color w:val="auto"/>
              </w:rPr>
            </w:pPr>
          </w:p>
        </w:tc>
        <w:tc>
          <w:tcPr>
            <w:tcW w:w="3320" w:type="dxa"/>
            <w:vAlign w:val="bottom"/>
          </w:tcPr>
          <w:p>
            <w:pPr>
              <w:jc w:val="center"/>
              <w:ind w:left="314"/>
              <w:spacing w:after="0"/>
              <w:rPr>
                <w:sz w:val="20"/>
                <w:szCs w:val="20"/>
                <w:color w:val="auto"/>
              </w:rPr>
            </w:pPr>
            <w:r>
              <w:rPr>
                <w:rFonts w:ascii="Arial" w:cs="Arial" w:eastAsia="Arial" w:hAnsi="Arial"/>
                <w:sz w:val="14"/>
                <w:szCs w:val="14"/>
                <w:b w:val="1"/>
                <w:bCs w:val="1"/>
                <w:color w:val="131E29"/>
              </w:rPr>
              <w:t>Trading Symbol</w:t>
            </w:r>
          </w:p>
        </w:tc>
        <w:tc>
          <w:tcPr>
            <w:tcW w:w="42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131E29"/>
              </w:rPr>
              <w:t>Name of Exchange on which Registered</w:t>
            </w:r>
          </w:p>
        </w:tc>
        <w:tc>
          <w:tcPr>
            <w:tcW w:w="0" w:type="dxa"/>
            <w:vAlign w:val="bottom"/>
          </w:tcPr>
          <w:p>
            <w:pPr>
              <w:spacing w:after="0"/>
              <w:rPr>
                <w:sz w:val="1"/>
                <w:szCs w:val="1"/>
                <w:color w:val="auto"/>
              </w:rPr>
            </w:pPr>
          </w:p>
        </w:tc>
      </w:tr>
      <w:tr>
        <w:trPr>
          <w:trHeight w:val="22"/>
        </w:trPr>
        <w:tc>
          <w:tcPr>
            <w:tcW w:w="2880" w:type="dxa"/>
            <w:vAlign w:val="bottom"/>
            <w:tcBorders>
              <w:left w:val="single" w:sz="8" w:color="auto"/>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880" w:type="dxa"/>
            <w:vAlign w:val="bottom"/>
            <w:tcBorders>
              <w:left w:val="single" w:sz="8" w:color="auto"/>
            </w:tcBorders>
          </w:tcPr>
          <w:p>
            <w:pPr>
              <w:jc w:val="center"/>
              <w:ind w:left="792"/>
              <w:spacing w:after="0"/>
              <w:rPr>
                <w:sz w:val="20"/>
                <w:szCs w:val="20"/>
                <w:color w:val="auto"/>
              </w:rPr>
            </w:pPr>
            <w:r>
              <w:rPr>
                <w:rFonts w:ascii="Arial" w:cs="Arial" w:eastAsia="Arial" w:hAnsi="Arial"/>
                <w:sz w:val="14"/>
                <w:szCs w:val="14"/>
                <w:color w:val="auto"/>
              </w:rPr>
              <w:t>Class A Common Stock,</w:t>
            </w:r>
          </w:p>
        </w:tc>
        <w:tc>
          <w:tcPr>
            <w:tcW w:w="920" w:type="dxa"/>
            <w:vAlign w:val="bottom"/>
            <w:tcBorders>
              <w:right w:val="single" w:sz="8" w:color="auto"/>
            </w:tcBorders>
          </w:tcPr>
          <w:p>
            <w:pPr>
              <w:spacing w:after="0"/>
              <w:rPr>
                <w:sz w:val="15"/>
                <w:szCs w:val="15"/>
                <w:color w:val="auto"/>
              </w:rPr>
            </w:pPr>
          </w:p>
        </w:tc>
        <w:tc>
          <w:tcPr>
            <w:tcW w:w="332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880" w:type="dxa"/>
            <w:vAlign w:val="bottom"/>
            <w:tcBorders>
              <w:left w:val="single" w:sz="8" w:color="auto"/>
            </w:tcBorders>
          </w:tcPr>
          <w:p>
            <w:pPr>
              <w:jc w:val="center"/>
              <w:ind w:left="832"/>
              <w:spacing w:after="0"/>
              <w:rPr>
                <w:sz w:val="20"/>
                <w:szCs w:val="20"/>
                <w:color w:val="auto"/>
              </w:rPr>
            </w:pPr>
            <w:r>
              <w:rPr>
                <w:rFonts w:ascii="Arial" w:cs="Arial" w:eastAsia="Arial" w:hAnsi="Arial"/>
                <w:sz w:val="14"/>
                <w:szCs w:val="14"/>
                <w:color w:val="auto"/>
              </w:rPr>
              <w:t>par value $0.00001 per share</w:t>
            </w:r>
          </w:p>
        </w:tc>
        <w:tc>
          <w:tcPr>
            <w:tcW w:w="920" w:type="dxa"/>
            <w:vAlign w:val="bottom"/>
            <w:tcBorders>
              <w:right w:val="single" w:sz="8" w:color="auto"/>
            </w:tcBorders>
          </w:tcPr>
          <w:p>
            <w:pPr>
              <w:spacing w:after="0"/>
              <w:rPr>
                <w:sz w:val="14"/>
                <w:szCs w:val="14"/>
                <w:color w:val="auto"/>
              </w:rPr>
            </w:pPr>
          </w:p>
        </w:tc>
        <w:tc>
          <w:tcPr>
            <w:tcW w:w="3320" w:type="dxa"/>
            <w:vAlign w:val="bottom"/>
          </w:tcPr>
          <w:p>
            <w:pPr>
              <w:jc w:val="center"/>
              <w:ind w:left="334"/>
              <w:spacing w:after="0"/>
              <w:rPr>
                <w:sz w:val="20"/>
                <w:szCs w:val="20"/>
                <w:color w:val="auto"/>
              </w:rPr>
            </w:pPr>
            <w:r>
              <w:rPr>
                <w:rFonts w:ascii="Arial" w:cs="Arial" w:eastAsia="Arial" w:hAnsi="Arial"/>
                <w:sz w:val="14"/>
                <w:szCs w:val="14"/>
                <w:color w:val="auto"/>
              </w:rPr>
              <w:t>BROS</w:t>
            </w:r>
          </w:p>
        </w:tc>
        <w:tc>
          <w:tcPr>
            <w:tcW w:w="420" w:type="dxa"/>
            <w:vAlign w:val="bottom"/>
            <w:tcBorders>
              <w:right w:val="single" w:sz="8" w:color="auto"/>
            </w:tcBorders>
          </w:tcPr>
          <w:p>
            <w:pPr>
              <w:spacing w:after="0"/>
              <w:rPr>
                <w:sz w:val="14"/>
                <w:szCs w:val="14"/>
                <w:color w:val="auto"/>
              </w:rPr>
            </w:pP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131E29"/>
              </w:rPr>
              <w:t>The New York Stock Exchange</w:t>
            </w:r>
          </w:p>
        </w:tc>
        <w:tc>
          <w:tcPr>
            <w:tcW w:w="0" w:type="dxa"/>
            <w:vAlign w:val="bottom"/>
          </w:tcPr>
          <w:p>
            <w:pPr>
              <w:spacing w:after="0"/>
              <w:rPr>
                <w:sz w:val="1"/>
                <w:szCs w:val="1"/>
                <w:color w:val="auto"/>
              </w:rPr>
            </w:pPr>
          </w:p>
        </w:tc>
      </w:tr>
      <w:tr>
        <w:trPr>
          <w:trHeight w:val="22"/>
        </w:trPr>
        <w:tc>
          <w:tcPr>
            <w:tcW w:w="2880" w:type="dxa"/>
            <w:vAlign w:val="bottom"/>
            <w:tcBorders>
              <w:left w:val="single" w:sz="8" w:color="auto"/>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9"/>
        </w:trPr>
        <w:tc>
          <w:tcPr>
            <w:tcW w:w="28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1" w:name="page2"/>
    <w:bookmarkEnd w:id="1"/>
    <w:p>
      <w:pPr>
        <w:spacing w:after="0"/>
        <w:rPr>
          <w:sz w:val="20"/>
          <w:szCs w:val="20"/>
          <w:color w:val="auto"/>
        </w:rPr>
      </w:pPr>
      <w:r>
        <w:rPr>
          <w:rFonts w:ascii="Arial" w:cs="Arial" w:eastAsia="Arial" w:hAnsi="Arial"/>
          <w:sz w:val="14"/>
          <w:szCs w:val="14"/>
          <w:color w:val="131E29"/>
        </w:rPr>
        <w:t xml:space="preserve">Securities registered pursuant to section 12(g) of the Act: </w:t>
      </w:r>
      <w:r>
        <w:rPr>
          <w:rFonts w:ascii="Arial" w:cs="Arial" w:eastAsia="Arial" w:hAnsi="Arial"/>
          <w:sz w:val="14"/>
          <w:szCs w:val="14"/>
          <w:b w:val="1"/>
          <w:bCs w:val="1"/>
          <w:color w:val="131E29"/>
        </w:rPr>
        <w:t>None</w:t>
      </w:r>
    </w:p>
    <w:p>
      <w:pPr>
        <w:spacing w:after="0" w:line="119" w:lineRule="exact"/>
        <w:rPr>
          <w:sz w:val="20"/>
          <w:szCs w:val="20"/>
          <w:color w:val="auto"/>
        </w:rPr>
      </w:pPr>
    </w:p>
    <w:p>
      <w:pPr>
        <w:spacing w:after="0" w:line="161" w:lineRule="exact"/>
        <w:rPr>
          <w:sz w:val="20"/>
          <w:szCs w:val="20"/>
          <w:color w:val="auto"/>
        </w:rPr>
      </w:pPr>
      <w:r>
        <w:rPr>
          <w:rFonts w:ascii="Arial" w:cs="Arial" w:eastAsia="Arial" w:hAnsi="Arial"/>
          <w:sz w:val="14"/>
          <w:szCs w:val="14"/>
          <w:color w:val="131E29"/>
        </w:rPr>
        <w:t xml:space="preserve">Indicate by check mark if the registrant is a well-known seasoned issuer, as defined in Rule 405 of the Securities Act. Yes </w:t>
      </w:r>
      <w:r>
        <w:rPr>
          <w:rFonts w:ascii="MS PGothic" w:cs="MS PGothic" w:eastAsia="MS PGothic" w:hAnsi="MS PGothic"/>
          <w:sz w:val="14"/>
          <w:szCs w:val="14"/>
          <w:color w:val="131E29"/>
        </w:rPr>
        <w:t>☒</w:t>
      </w:r>
      <w:r>
        <w:rPr>
          <w:rFonts w:ascii="Arial" w:cs="Arial" w:eastAsia="Arial" w:hAnsi="Arial"/>
          <w:sz w:val="14"/>
          <w:szCs w:val="14"/>
          <w:color w:val="131E29"/>
        </w:rPr>
        <w:t xml:space="preserve"> No </w:t>
      </w:r>
      <w:r>
        <w:rPr>
          <w:rFonts w:ascii="MS PGothic" w:cs="MS PGothic" w:eastAsia="MS PGothic" w:hAnsi="MS PGothic"/>
          <w:sz w:val="14"/>
          <w:szCs w:val="14"/>
          <w:color w:val="131E29"/>
        </w:rPr>
        <w:t>☐</w:t>
      </w:r>
    </w:p>
    <w:p>
      <w:pPr>
        <w:spacing w:after="0" w:line="136" w:lineRule="exact"/>
        <w:rPr>
          <w:sz w:val="20"/>
          <w:szCs w:val="20"/>
          <w:color w:val="auto"/>
        </w:rPr>
      </w:pPr>
    </w:p>
    <w:p>
      <w:pPr>
        <w:spacing w:after="0" w:line="161" w:lineRule="exact"/>
        <w:rPr>
          <w:sz w:val="20"/>
          <w:szCs w:val="20"/>
          <w:color w:val="auto"/>
        </w:rPr>
      </w:pPr>
      <w:r>
        <w:rPr>
          <w:rFonts w:ascii="Arial" w:cs="Arial" w:eastAsia="Arial" w:hAnsi="Arial"/>
          <w:sz w:val="14"/>
          <w:szCs w:val="14"/>
          <w:color w:val="131E29"/>
        </w:rPr>
        <w:t xml:space="preserve">Indicate by check mark if the registrant is not required to file reports pursuant to Section 13 or Section 15(d) of the Act. Yes </w:t>
      </w:r>
      <w:r>
        <w:rPr>
          <w:rFonts w:ascii="MS PGothic" w:cs="MS PGothic" w:eastAsia="MS PGothic" w:hAnsi="MS PGothic"/>
          <w:sz w:val="14"/>
          <w:szCs w:val="14"/>
          <w:color w:val="131E29"/>
        </w:rPr>
        <w:t>☐</w:t>
      </w:r>
      <w:r>
        <w:rPr>
          <w:rFonts w:ascii="Arial" w:cs="Arial" w:eastAsia="Arial" w:hAnsi="Arial"/>
          <w:sz w:val="14"/>
          <w:szCs w:val="14"/>
          <w:color w:val="131E29"/>
        </w:rPr>
        <w:t xml:space="preserve"> No </w:t>
      </w:r>
      <w:r>
        <w:rPr>
          <w:rFonts w:ascii="MS PGothic" w:cs="MS PGothic" w:eastAsia="MS PGothic" w:hAnsi="MS PGothic"/>
          <w:sz w:val="14"/>
          <w:szCs w:val="14"/>
          <w:color w:val="131E29"/>
        </w:rPr>
        <w:t>☒</w:t>
      </w:r>
    </w:p>
    <w:p>
      <w:pPr>
        <w:spacing w:after="0" w:line="171" w:lineRule="exact"/>
        <w:rPr>
          <w:sz w:val="20"/>
          <w:szCs w:val="20"/>
          <w:color w:val="auto"/>
        </w:rPr>
      </w:pPr>
    </w:p>
    <w:p>
      <w:pPr>
        <w:spacing w:after="0" w:line="178" w:lineRule="exact"/>
        <w:rPr>
          <w:sz w:val="20"/>
          <w:szCs w:val="20"/>
          <w:color w:val="auto"/>
        </w:rPr>
      </w:pPr>
      <w:r>
        <w:rPr>
          <w:rFonts w:ascii="Arial" w:cs="Arial" w:eastAsia="Arial" w:hAnsi="Arial"/>
          <w:sz w:val="14"/>
          <w:szCs w:val="14"/>
          <w:color w:val="131E29"/>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131E29"/>
        </w:rPr>
        <w:t>☒</w:t>
      </w:r>
      <w:r>
        <w:rPr>
          <w:rFonts w:ascii="Arial" w:cs="Arial" w:eastAsia="Arial" w:hAnsi="Arial"/>
          <w:sz w:val="14"/>
          <w:szCs w:val="14"/>
          <w:color w:val="131E29"/>
        </w:rPr>
        <w:t xml:space="preserve"> No </w:t>
      </w:r>
      <w:r>
        <w:rPr>
          <w:rFonts w:ascii="MS PGothic" w:cs="MS PGothic" w:eastAsia="MS PGothic" w:hAnsi="MS PGothic"/>
          <w:sz w:val="14"/>
          <w:szCs w:val="14"/>
          <w:color w:val="131E29"/>
        </w:rPr>
        <w:t>☐</w:t>
      </w:r>
    </w:p>
    <w:p>
      <w:pPr>
        <w:spacing w:after="0" w:line="111" w:lineRule="exact"/>
        <w:rPr>
          <w:sz w:val="20"/>
          <w:szCs w:val="20"/>
          <w:color w:val="auto"/>
        </w:rPr>
      </w:pPr>
    </w:p>
    <w:p>
      <w:pPr>
        <w:spacing w:after="0" w:line="178" w:lineRule="exact"/>
        <w:rPr>
          <w:sz w:val="20"/>
          <w:szCs w:val="20"/>
          <w:color w:val="auto"/>
        </w:rPr>
      </w:pPr>
      <w:r>
        <w:rPr>
          <w:rFonts w:ascii="Arial" w:cs="Arial" w:eastAsia="Arial" w:hAnsi="Arial"/>
          <w:sz w:val="14"/>
          <w:szCs w:val="14"/>
          <w:color w:val="131E29"/>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131E29"/>
        </w:rPr>
        <w:t>☒</w:t>
      </w:r>
      <w:r>
        <w:rPr>
          <w:rFonts w:ascii="Arial" w:cs="Arial" w:eastAsia="Arial" w:hAnsi="Arial"/>
          <w:sz w:val="14"/>
          <w:szCs w:val="14"/>
          <w:color w:val="131E29"/>
        </w:rPr>
        <w:t xml:space="preserve"> No </w:t>
      </w:r>
      <w:r>
        <w:rPr>
          <w:rFonts w:ascii="MS PGothic" w:cs="MS PGothic" w:eastAsia="MS PGothic" w:hAnsi="MS PGothic"/>
          <w:sz w:val="14"/>
          <w:szCs w:val="14"/>
          <w:color w:val="131E29"/>
        </w:rPr>
        <w:t>☐</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131E29"/>
        </w:rPr>
        <w:t>Indicate by check mark whether the registrant is a large accelerated filer, an accelerated filer, a non-accelerated filer, a smaller reporting company, or an emerging growth company.</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131E29"/>
        </w:rPr>
        <w:t>See the definitions of “large accelerated filer,” “accelerated filer,” “smaller reporting company,” and “emerging growth company” in Rule 12b-2 of the Exchange Act.</w:t>
      </w:r>
    </w:p>
    <w:p>
      <w:pPr>
        <w:spacing w:after="0" w:line="16"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2800" w:type="dxa"/>
            <w:vAlign w:val="bottom"/>
          </w:tcPr>
          <w:p>
            <w:pPr>
              <w:spacing w:after="0"/>
              <w:rPr>
                <w:sz w:val="20"/>
                <w:szCs w:val="20"/>
                <w:color w:val="auto"/>
              </w:rPr>
            </w:pPr>
            <w:r>
              <w:rPr>
                <w:rFonts w:ascii="Arial" w:cs="Arial" w:eastAsia="Arial" w:hAnsi="Arial"/>
                <w:sz w:val="14"/>
                <w:szCs w:val="14"/>
                <w:color w:val="131E29"/>
              </w:rPr>
              <w:t>Large accelerated filer</w:t>
            </w:r>
          </w:p>
        </w:tc>
        <w:tc>
          <w:tcPr>
            <w:tcW w:w="2640" w:type="dxa"/>
            <w:vAlign w:val="bottom"/>
          </w:tcPr>
          <w:p>
            <w:pPr>
              <w:ind w:left="1400"/>
              <w:spacing w:after="0" w:line="141" w:lineRule="exact"/>
              <w:rPr>
                <w:sz w:val="20"/>
                <w:szCs w:val="20"/>
                <w:color w:val="auto"/>
              </w:rPr>
            </w:pPr>
            <w:r>
              <w:rPr>
                <w:rFonts w:ascii="MS PGothic" w:cs="MS PGothic" w:eastAsia="MS PGothic" w:hAnsi="MS PGothic"/>
                <w:sz w:val="14"/>
                <w:szCs w:val="14"/>
                <w:color w:val="131E29"/>
              </w:rPr>
              <w:t>☒</w:t>
            </w:r>
          </w:p>
        </w:tc>
        <w:tc>
          <w:tcPr>
            <w:tcW w:w="4060" w:type="dxa"/>
            <w:vAlign w:val="bottom"/>
          </w:tcPr>
          <w:p>
            <w:pPr>
              <w:ind w:left="1120"/>
              <w:spacing w:after="0"/>
              <w:rPr>
                <w:sz w:val="20"/>
                <w:szCs w:val="20"/>
                <w:color w:val="auto"/>
              </w:rPr>
            </w:pPr>
            <w:r>
              <w:rPr>
                <w:rFonts w:ascii="Arial" w:cs="Arial" w:eastAsia="Arial" w:hAnsi="Arial"/>
                <w:sz w:val="14"/>
                <w:szCs w:val="14"/>
                <w:color w:val="131E29"/>
              </w:rPr>
              <w:t>Accelerated filer</w:t>
            </w:r>
          </w:p>
        </w:tc>
        <w:tc>
          <w:tcPr>
            <w:tcW w:w="1400" w:type="dxa"/>
            <w:vAlign w:val="bottom"/>
          </w:tcPr>
          <w:p>
            <w:pPr>
              <w:ind w:left="1260"/>
              <w:spacing w:after="0" w:line="141" w:lineRule="exact"/>
              <w:rPr>
                <w:sz w:val="20"/>
                <w:szCs w:val="20"/>
                <w:color w:val="auto"/>
              </w:rPr>
            </w:pPr>
            <w:r>
              <w:rPr>
                <w:rFonts w:ascii="MS PGothic" w:cs="MS PGothic" w:eastAsia="MS PGothic" w:hAnsi="MS PGothic"/>
                <w:sz w:val="14"/>
                <w:szCs w:val="14"/>
                <w:color w:val="131E29"/>
                <w:w w:val="85"/>
              </w:rPr>
              <w:t>☐</w:t>
            </w:r>
          </w:p>
        </w:tc>
      </w:tr>
      <w:tr>
        <w:trPr>
          <w:trHeight w:val="212"/>
        </w:trPr>
        <w:tc>
          <w:tcPr>
            <w:tcW w:w="2800" w:type="dxa"/>
            <w:vAlign w:val="bottom"/>
          </w:tcPr>
          <w:p>
            <w:pPr>
              <w:spacing w:after="0"/>
              <w:rPr>
                <w:sz w:val="20"/>
                <w:szCs w:val="20"/>
                <w:color w:val="auto"/>
              </w:rPr>
            </w:pPr>
            <w:r>
              <w:rPr>
                <w:rFonts w:ascii="Arial" w:cs="Arial" w:eastAsia="Arial" w:hAnsi="Arial"/>
                <w:sz w:val="14"/>
                <w:szCs w:val="14"/>
                <w:color w:val="131E29"/>
              </w:rPr>
              <w:t>Non-accelerated filer</w:t>
            </w:r>
          </w:p>
        </w:tc>
        <w:tc>
          <w:tcPr>
            <w:tcW w:w="2640" w:type="dxa"/>
            <w:vAlign w:val="bottom"/>
          </w:tcPr>
          <w:p>
            <w:pPr>
              <w:ind w:left="1400"/>
              <w:spacing w:after="0" w:line="141" w:lineRule="exact"/>
              <w:rPr>
                <w:sz w:val="20"/>
                <w:szCs w:val="20"/>
                <w:color w:val="auto"/>
              </w:rPr>
            </w:pPr>
            <w:r>
              <w:rPr>
                <w:rFonts w:ascii="MS PGothic" w:cs="MS PGothic" w:eastAsia="MS PGothic" w:hAnsi="MS PGothic"/>
                <w:sz w:val="14"/>
                <w:szCs w:val="14"/>
                <w:color w:val="131E29"/>
              </w:rPr>
              <w:t>☐</w:t>
            </w:r>
          </w:p>
        </w:tc>
        <w:tc>
          <w:tcPr>
            <w:tcW w:w="4060" w:type="dxa"/>
            <w:vAlign w:val="bottom"/>
          </w:tcPr>
          <w:p>
            <w:pPr>
              <w:ind w:left="1120"/>
              <w:spacing w:after="0"/>
              <w:rPr>
                <w:sz w:val="20"/>
                <w:szCs w:val="20"/>
                <w:color w:val="auto"/>
              </w:rPr>
            </w:pPr>
            <w:r>
              <w:rPr>
                <w:rFonts w:ascii="Arial" w:cs="Arial" w:eastAsia="Arial" w:hAnsi="Arial"/>
                <w:sz w:val="14"/>
                <w:szCs w:val="14"/>
                <w:color w:val="131E29"/>
              </w:rPr>
              <w:t>Smaller reporting company</w:t>
            </w:r>
          </w:p>
        </w:tc>
        <w:tc>
          <w:tcPr>
            <w:tcW w:w="1400" w:type="dxa"/>
            <w:vAlign w:val="bottom"/>
          </w:tcPr>
          <w:p>
            <w:pPr>
              <w:ind w:left="1260"/>
              <w:spacing w:after="0" w:line="141" w:lineRule="exact"/>
              <w:rPr>
                <w:sz w:val="20"/>
                <w:szCs w:val="20"/>
                <w:color w:val="auto"/>
              </w:rPr>
            </w:pPr>
            <w:r>
              <w:rPr>
                <w:rFonts w:ascii="MS PGothic" w:cs="MS PGothic" w:eastAsia="MS PGothic" w:hAnsi="MS PGothic"/>
                <w:sz w:val="14"/>
                <w:szCs w:val="14"/>
                <w:color w:val="131E29"/>
                <w:w w:val="85"/>
              </w:rPr>
              <w:t>☐</w:t>
            </w:r>
          </w:p>
        </w:tc>
      </w:tr>
      <w:tr>
        <w:trPr>
          <w:trHeight w:val="221"/>
        </w:trPr>
        <w:tc>
          <w:tcPr>
            <w:tcW w:w="28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4060" w:type="dxa"/>
            <w:vAlign w:val="bottom"/>
          </w:tcPr>
          <w:p>
            <w:pPr>
              <w:ind w:left="1120"/>
              <w:spacing w:after="0"/>
              <w:rPr>
                <w:sz w:val="20"/>
                <w:szCs w:val="20"/>
                <w:color w:val="auto"/>
              </w:rPr>
            </w:pPr>
            <w:r>
              <w:rPr>
                <w:rFonts w:ascii="Arial" w:cs="Arial" w:eastAsia="Arial" w:hAnsi="Arial"/>
                <w:sz w:val="14"/>
                <w:szCs w:val="14"/>
                <w:color w:val="131E29"/>
              </w:rPr>
              <w:t>Emerging growth company</w:t>
            </w:r>
          </w:p>
        </w:tc>
        <w:tc>
          <w:tcPr>
            <w:tcW w:w="1400" w:type="dxa"/>
            <w:vAlign w:val="bottom"/>
          </w:tcPr>
          <w:p>
            <w:pPr>
              <w:ind w:left="1260"/>
              <w:spacing w:after="0" w:line="141" w:lineRule="exact"/>
              <w:rPr>
                <w:sz w:val="20"/>
                <w:szCs w:val="20"/>
                <w:color w:val="auto"/>
              </w:rPr>
            </w:pPr>
            <w:r>
              <w:rPr>
                <w:rFonts w:ascii="MS PGothic" w:cs="MS PGothic" w:eastAsia="MS PGothic" w:hAnsi="MS PGothic"/>
                <w:sz w:val="14"/>
                <w:szCs w:val="14"/>
                <w:color w:val="131E29"/>
                <w:w w:val="85"/>
              </w:rPr>
              <w:t>☐</w:t>
            </w:r>
          </w:p>
        </w:tc>
      </w:tr>
    </w:tbl>
    <w:p>
      <w:pPr>
        <w:spacing w:after="0" w:line="207" w:lineRule="exact"/>
        <w:rPr>
          <w:sz w:val="20"/>
          <w:szCs w:val="20"/>
          <w:color w:val="auto"/>
        </w:rPr>
      </w:pPr>
    </w:p>
    <w:p>
      <w:pPr>
        <w:spacing w:after="0" w:line="178" w:lineRule="exact"/>
        <w:rPr>
          <w:sz w:val="20"/>
          <w:szCs w:val="20"/>
          <w:color w:val="auto"/>
        </w:rPr>
      </w:pPr>
      <w:r>
        <w:rPr>
          <w:rFonts w:ascii="Arial" w:cs="Arial" w:eastAsia="Arial" w:hAnsi="Arial"/>
          <w:sz w:val="14"/>
          <w:szCs w:val="14"/>
          <w:color w:val="131E2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131E29"/>
        </w:rPr>
        <w:t>☐</w:t>
      </w:r>
    </w:p>
    <w:p>
      <w:pPr>
        <w:spacing w:after="0" w:line="111" w:lineRule="exact"/>
        <w:rPr>
          <w:sz w:val="20"/>
          <w:szCs w:val="20"/>
          <w:color w:val="auto"/>
        </w:rPr>
      </w:pPr>
    </w:p>
    <w:p>
      <w:pPr>
        <w:spacing w:after="0" w:line="178" w:lineRule="exact"/>
        <w:rPr>
          <w:sz w:val="20"/>
          <w:szCs w:val="20"/>
          <w:color w:val="auto"/>
        </w:rPr>
      </w:pPr>
      <w:r>
        <w:rPr>
          <w:rFonts w:ascii="Arial" w:cs="Arial" w:eastAsia="Arial" w:hAnsi="Arial"/>
          <w:sz w:val="14"/>
          <w:szCs w:val="14"/>
          <w:color w:val="131E29"/>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131E29"/>
        </w:rPr>
        <w:t>☒</w:t>
      </w:r>
    </w:p>
    <w:p>
      <w:pPr>
        <w:spacing w:after="0" w:line="111" w:lineRule="exact"/>
        <w:rPr>
          <w:sz w:val="20"/>
          <w:szCs w:val="20"/>
          <w:color w:val="auto"/>
        </w:rPr>
      </w:pPr>
    </w:p>
    <w:p>
      <w:pPr>
        <w:spacing w:after="0" w:line="178" w:lineRule="exact"/>
        <w:rPr>
          <w:sz w:val="20"/>
          <w:szCs w:val="20"/>
          <w:color w:val="auto"/>
        </w:rPr>
      </w:pPr>
      <w:r>
        <w:rPr>
          <w:rFonts w:ascii="Arial" w:cs="Arial" w:eastAsia="Arial" w:hAnsi="Arial"/>
          <w:sz w:val="14"/>
          <w:szCs w:val="14"/>
          <w:color w:val="131E29"/>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131E29"/>
        </w:rPr>
        <w:t>☐</w:t>
      </w:r>
    </w:p>
    <w:p>
      <w:pPr>
        <w:spacing w:after="0" w:line="111" w:lineRule="exact"/>
        <w:rPr>
          <w:sz w:val="20"/>
          <w:szCs w:val="20"/>
          <w:color w:val="auto"/>
        </w:rPr>
      </w:pPr>
    </w:p>
    <w:p>
      <w:pPr>
        <w:spacing w:after="0" w:line="178" w:lineRule="exact"/>
        <w:rPr>
          <w:sz w:val="20"/>
          <w:szCs w:val="20"/>
          <w:color w:val="auto"/>
        </w:rPr>
      </w:pPr>
      <w:r>
        <w:rPr>
          <w:rFonts w:ascii="Arial" w:cs="Arial" w:eastAsia="Arial" w:hAnsi="Arial"/>
          <w:sz w:val="14"/>
          <w:szCs w:val="14"/>
          <w:color w:val="131E29"/>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131E29"/>
        </w:rPr>
        <w:t>☐</w:t>
      </w:r>
    </w:p>
    <w:p>
      <w:pPr>
        <w:spacing w:after="0" w:line="76" w:lineRule="exact"/>
        <w:rPr>
          <w:sz w:val="20"/>
          <w:szCs w:val="20"/>
          <w:color w:val="auto"/>
        </w:rPr>
      </w:pPr>
    </w:p>
    <w:p>
      <w:pPr>
        <w:spacing w:after="0" w:line="161" w:lineRule="exact"/>
        <w:rPr>
          <w:sz w:val="20"/>
          <w:szCs w:val="20"/>
          <w:color w:val="auto"/>
        </w:rPr>
      </w:pPr>
      <w:r>
        <w:rPr>
          <w:rFonts w:ascii="Arial" w:cs="Arial" w:eastAsia="Arial" w:hAnsi="Arial"/>
          <w:sz w:val="14"/>
          <w:szCs w:val="14"/>
          <w:color w:val="131E29"/>
        </w:rPr>
        <w:t xml:space="preserve">Indicate by check mark whether the registrant is a shell company (as defined in Rule 12b-2 of the Act). Yes </w:t>
      </w:r>
      <w:r>
        <w:rPr>
          <w:rFonts w:ascii="MS PGothic" w:cs="MS PGothic" w:eastAsia="MS PGothic" w:hAnsi="MS PGothic"/>
          <w:sz w:val="14"/>
          <w:szCs w:val="14"/>
          <w:color w:val="131E29"/>
        </w:rPr>
        <w:t>☐</w:t>
      </w:r>
      <w:r>
        <w:rPr>
          <w:rFonts w:ascii="Arial" w:cs="Arial" w:eastAsia="Arial" w:hAnsi="Arial"/>
          <w:sz w:val="14"/>
          <w:szCs w:val="14"/>
          <w:color w:val="131E29"/>
        </w:rPr>
        <w:t xml:space="preserve"> No </w:t>
      </w:r>
      <w:r>
        <w:rPr>
          <w:rFonts w:ascii="MS PGothic" w:cs="MS PGothic" w:eastAsia="MS PGothic" w:hAnsi="MS PGothic"/>
          <w:sz w:val="14"/>
          <w:szCs w:val="14"/>
          <w:color w:val="131E29"/>
        </w:rPr>
        <w:t>☒</w:t>
      </w:r>
    </w:p>
    <w:p>
      <w:pPr>
        <w:spacing w:after="0" w:line="171" w:lineRule="exact"/>
        <w:rPr>
          <w:sz w:val="20"/>
          <w:szCs w:val="20"/>
          <w:color w:val="auto"/>
        </w:rPr>
      </w:pPr>
    </w:p>
    <w:p>
      <w:pPr>
        <w:spacing w:after="0" w:line="266" w:lineRule="auto"/>
        <w:rPr>
          <w:sz w:val="20"/>
          <w:szCs w:val="20"/>
          <w:color w:val="auto"/>
        </w:rPr>
      </w:pPr>
      <w:r>
        <w:rPr>
          <w:rFonts w:ascii="Arial" w:cs="Arial" w:eastAsia="Arial" w:hAnsi="Arial"/>
          <w:sz w:val="14"/>
          <w:szCs w:val="14"/>
          <w:color w:val="131E29"/>
        </w:rPr>
        <w:t>The aggregate market value of the voting and non-voting stock held by non-affiliates of the Registrant, as of June 30, 2022, the last business day of the registrant's most recently completed second fiscal quarter, was approximately $1.1 billion, computed using the closing price on that day of $31.65.</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7"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0"/>
        </w:trPr>
        <w:tc>
          <w:tcPr>
            <w:tcW w:w="6360" w:type="dxa"/>
            <w:vAlign w:val="bottom"/>
          </w:tcPr>
          <w:p>
            <w:pPr>
              <w:spacing w:after="0"/>
              <w:rPr>
                <w:sz w:val="20"/>
                <w:szCs w:val="20"/>
                <w:color w:val="auto"/>
              </w:rPr>
            </w:pPr>
            <w:r>
              <w:rPr>
                <w:rFonts w:ascii="Arial" w:cs="Arial" w:eastAsia="Arial" w:hAnsi="Arial"/>
                <w:sz w:val="14"/>
                <w:szCs w:val="14"/>
                <w:color w:val="131E29"/>
              </w:rPr>
              <w:t>As of February 21, 2023, the registrant’s outstanding shares of common stock were as follows:</w:t>
            </w:r>
          </w:p>
        </w:tc>
        <w:tc>
          <w:tcPr>
            <w:tcW w:w="1140" w:type="dxa"/>
            <w:vAlign w:val="bottom"/>
          </w:tcPr>
          <w:p>
            <w:pPr>
              <w:spacing w:after="0"/>
              <w:rPr>
                <w:sz w:val="14"/>
                <w:szCs w:val="14"/>
                <w:color w:val="auto"/>
              </w:rPr>
            </w:pPr>
          </w:p>
        </w:tc>
      </w:tr>
      <w:tr>
        <w:trPr>
          <w:trHeight w:val="403"/>
        </w:trPr>
        <w:tc>
          <w:tcPr>
            <w:tcW w:w="6360" w:type="dxa"/>
            <w:vAlign w:val="bottom"/>
          </w:tcPr>
          <w:p>
            <w:pPr>
              <w:ind w:left="3420"/>
              <w:spacing w:after="0"/>
              <w:rPr>
                <w:sz w:val="20"/>
                <w:szCs w:val="20"/>
                <w:color w:val="auto"/>
              </w:rPr>
            </w:pPr>
            <w:r>
              <w:rPr>
                <w:rFonts w:ascii="Arial" w:cs="Arial" w:eastAsia="Arial" w:hAnsi="Arial"/>
                <w:sz w:val="14"/>
                <w:szCs w:val="14"/>
                <w:color w:val="auto"/>
              </w:rPr>
              <w:t>Class A common stock</w:t>
            </w:r>
          </w:p>
        </w:tc>
        <w:tc>
          <w:tcPr>
            <w:tcW w:w="1140" w:type="dxa"/>
            <w:vAlign w:val="bottom"/>
          </w:tcPr>
          <w:p>
            <w:pPr>
              <w:jc w:val="right"/>
              <w:spacing w:after="0"/>
              <w:rPr>
                <w:sz w:val="20"/>
                <w:szCs w:val="20"/>
                <w:color w:val="auto"/>
              </w:rPr>
            </w:pPr>
            <w:r>
              <w:rPr>
                <w:rFonts w:ascii="Arial" w:cs="Arial" w:eastAsia="Arial" w:hAnsi="Arial"/>
                <w:sz w:val="14"/>
                <w:szCs w:val="14"/>
                <w:color w:val="auto"/>
              </w:rPr>
              <w:t>45,663,528</w:t>
            </w:r>
          </w:p>
        </w:tc>
      </w:tr>
      <w:tr>
        <w:trPr>
          <w:trHeight w:val="212"/>
        </w:trPr>
        <w:tc>
          <w:tcPr>
            <w:tcW w:w="6360" w:type="dxa"/>
            <w:vAlign w:val="bottom"/>
          </w:tcPr>
          <w:p>
            <w:pPr>
              <w:ind w:left="3420"/>
              <w:spacing w:after="0"/>
              <w:rPr>
                <w:sz w:val="20"/>
                <w:szCs w:val="20"/>
                <w:color w:val="auto"/>
              </w:rPr>
            </w:pPr>
            <w:r>
              <w:rPr>
                <w:rFonts w:ascii="Arial" w:cs="Arial" w:eastAsia="Arial" w:hAnsi="Arial"/>
                <w:sz w:val="14"/>
                <w:szCs w:val="14"/>
                <w:color w:val="auto"/>
              </w:rPr>
              <w:t>Class B common stock</w:t>
            </w:r>
          </w:p>
        </w:tc>
        <w:tc>
          <w:tcPr>
            <w:tcW w:w="1140" w:type="dxa"/>
            <w:vAlign w:val="bottom"/>
          </w:tcPr>
          <w:p>
            <w:pPr>
              <w:jc w:val="right"/>
              <w:spacing w:after="0"/>
              <w:rPr>
                <w:sz w:val="20"/>
                <w:szCs w:val="20"/>
                <w:color w:val="auto"/>
              </w:rPr>
            </w:pPr>
            <w:r>
              <w:rPr>
                <w:rFonts w:ascii="Arial" w:cs="Arial" w:eastAsia="Arial" w:hAnsi="Arial"/>
                <w:sz w:val="14"/>
                <w:szCs w:val="14"/>
                <w:color w:val="auto"/>
              </w:rPr>
              <w:t>64,699,136</w:t>
            </w:r>
          </w:p>
        </w:tc>
      </w:tr>
      <w:tr>
        <w:trPr>
          <w:trHeight w:val="212"/>
        </w:trPr>
        <w:tc>
          <w:tcPr>
            <w:tcW w:w="6360" w:type="dxa"/>
            <w:vAlign w:val="bottom"/>
          </w:tcPr>
          <w:p>
            <w:pPr>
              <w:ind w:left="3420"/>
              <w:spacing w:after="0"/>
              <w:rPr>
                <w:sz w:val="20"/>
                <w:szCs w:val="20"/>
                <w:color w:val="auto"/>
              </w:rPr>
            </w:pPr>
            <w:r>
              <w:rPr>
                <w:rFonts w:ascii="Arial" w:cs="Arial" w:eastAsia="Arial" w:hAnsi="Arial"/>
                <w:sz w:val="14"/>
                <w:szCs w:val="14"/>
                <w:color w:val="auto"/>
              </w:rPr>
              <w:t>Class C common stock</w:t>
            </w:r>
          </w:p>
        </w:tc>
        <w:tc>
          <w:tcPr>
            <w:tcW w:w="1140" w:type="dxa"/>
            <w:vAlign w:val="bottom"/>
          </w:tcPr>
          <w:p>
            <w:pPr>
              <w:jc w:val="right"/>
              <w:spacing w:after="0"/>
              <w:rPr>
                <w:sz w:val="20"/>
                <w:szCs w:val="20"/>
                <w:color w:val="auto"/>
              </w:rPr>
            </w:pPr>
            <w:r>
              <w:rPr>
                <w:rFonts w:ascii="Arial" w:cs="Arial" w:eastAsia="Arial" w:hAnsi="Arial"/>
                <w:sz w:val="14"/>
                <w:szCs w:val="14"/>
                <w:color w:val="auto"/>
              </w:rPr>
              <w:t>41,056,429</w:t>
            </w:r>
          </w:p>
        </w:tc>
      </w:tr>
      <w:tr>
        <w:trPr>
          <w:trHeight w:val="212"/>
        </w:trPr>
        <w:tc>
          <w:tcPr>
            <w:tcW w:w="6360" w:type="dxa"/>
            <w:vAlign w:val="bottom"/>
          </w:tcPr>
          <w:p>
            <w:pPr>
              <w:ind w:left="3420"/>
              <w:spacing w:after="0"/>
              <w:rPr>
                <w:sz w:val="20"/>
                <w:szCs w:val="20"/>
                <w:color w:val="auto"/>
              </w:rPr>
            </w:pPr>
            <w:r>
              <w:rPr>
                <w:rFonts w:ascii="Arial" w:cs="Arial" w:eastAsia="Arial" w:hAnsi="Arial"/>
                <w:sz w:val="14"/>
                <w:szCs w:val="14"/>
                <w:color w:val="auto"/>
              </w:rPr>
              <w:t>Class D common stock</w:t>
            </w:r>
          </w:p>
        </w:tc>
        <w:tc>
          <w:tcPr>
            <w:tcW w:w="1140" w:type="dxa"/>
            <w:vAlign w:val="bottom"/>
          </w:tcPr>
          <w:p>
            <w:pPr>
              <w:jc w:val="right"/>
              <w:spacing w:after="0"/>
              <w:rPr>
                <w:sz w:val="20"/>
                <w:szCs w:val="20"/>
                <w:color w:val="auto"/>
              </w:rPr>
            </w:pPr>
            <w:r>
              <w:rPr>
                <w:rFonts w:ascii="Arial" w:cs="Arial" w:eastAsia="Arial" w:hAnsi="Arial"/>
                <w:sz w:val="14"/>
                <w:szCs w:val="14"/>
                <w:color w:val="auto"/>
              </w:rPr>
              <w:t>12,411,419</w:t>
            </w:r>
          </w:p>
        </w:tc>
      </w:tr>
    </w:tbl>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131E29"/>
        </w:rPr>
        <w:t>Documents Incorporated by Reference</w:t>
      </w:r>
    </w:p>
    <w:p>
      <w:pPr>
        <w:spacing w:after="0" w:line="154" w:lineRule="exact"/>
        <w:rPr>
          <w:sz w:val="20"/>
          <w:szCs w:val="20"/>
          <w:color w:val="auto"/>
        </w:rPr>
      </w:pPr>
    </w:p>
    <w:p>
      <w:pPr>
        <w:spacing w:after="0" w:line="266" w:lineRule="auto"/>
        <w:rPr>
          <w:sz w:val="20"/>
          <w:szCs w:val="20"/>
          <w:color w:val="auto"/>
        </w:rPr>
      </w:pPr>
      <w:r>
        <w:rPr>
          <w:rFonts w:ascii="Arial" w:cs="Arial" w:eastAsia="Arial" w:hAnsi="Arial"/>
          <w:sz w:val="14"/>
          <w:szCs w:val="14"/>
          <w:color w:val="131E29"/>
        </w:rPr>
        <w:t>Portions of the registrant’s definitive proxy statement relating to the 2023 Annual Meeting of Stockholders of Dutch Bros Inc., which will be filed with the Securities and Exchange Commission within 120 days of December 31, 2022, are incorporated by reference in Items 10, 11, 12, 13, and 14 of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845820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29845</wp:posOffset>
            </wp:positionV>
            <wp:extent cx="716153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3175</wp:posOffset>
            </wp:positionV>
            <wp:extent cx="716153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1285"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61"/>
        </w:trPr>
        <w:tc>
          <w:tcPr>
            <w:tcW w:w="1900" w:type="dxa"/>
            <w:vAlign w:val="bottom"/>
          </w:tcPr>
          <w:p>
            <w:pPr>
              <w:spacing w:after="0"/>
              <w:rPr>
                <w:sz w:val="22"/>
                <w:szCs w:val="22"/>
                <w:color w:val="auto"/>
              </w:rPr>
            </w:pPr>
          </w:p>
        </w:tc>
        <w:tc>
          <w:tcPr>
            <w:tcW w:w="7740" w:type="dxa"/>
            <w:vAlign w:val="bottom"/>
          </w:tcPr>
          <w:p>
            <w:pPr>
              <w:jc w:val="center"/>
              <w:ind w:right="188"/>
              <w:spacing w:after="0"/>
              <w:rPr>
                <w:sz w:val="20"/>
                <w:szCs w:val="20"/>
                <w:color w:val="auto"/>
              </w:rPr>
            </w:pPr>
            <w:r>
              <w:rPr>
                <w:rFonts w:ascii="Arial" w:cs="Arial" w:eastAsia="Arial" w:hAnsi="Arial"/>
                <w:sz w:val="20"/>
                <w:szCs w:val="20"/>
                <w:b w:val="1"/>
                <w:bCs w:val="1"/>
                <w:color w:val="00416B"/>
                <w:w w:val="98"/>
              </w:rPr>
              <w:t>DUTCH BROS INC.</w:t>
            </w:r>
          </w:p>
        </w:tc>
        <w:tc>
          <w:tcPr>
            <w:tcW w:w="1640" w:type="dxa"/>
            <w:vAlign w:val="bottom"/>
          </w:tcPr>
          <w:p>
            <w:pPr>
              <w:spacing w:after="0"/>
              <w:rPr>
                <w:sz w:val="22"/>
                <w:szCs w:val="22"/>
                <w:color w:val="auto"/>
              </w:rPr>
            </w:pPr>
          </w:p>
        </w:tc>
      </w:tr>
      <w:tr>
        <w:trPr>
          <w:trHeight w:val="207"/>
        </w:trPr>
        <w:tc>
          <w:tcPr>
            <w:tcW w:w="1900" w:type="dxa"/>
            <w:vAlign w:val="bottom"/>
          </w:tcPr>
          <w:p>
            <w:pPr>
              <w:spacing w:after="0"/>
              <w:rPr>
                <w:sz w:val="17"/>
                <w:szCs w:val="17"/>
                <w:color w:val="auto"/>
              </w:rPr>
            </w:pPr>
          </w:p>
        </w:tc>
        <w:tc>
          <w:tcPr>
            <w:tcW w:w="7740" w:type="dxa"/>
            <w:vAlign w:val="bottom"/>
          </w:tcPr>
          <w:p>
            <w:pPr>
              <w:jc w:val="center"/>
              <w:ind w:right="188"/>
              <w:spacing w:after="0"/>
              <w:rPr>
                <w:sz w:val="20"/>
                <w:szCs w:val="20"/>
                <w:color w:val="auto"/>
              </w:rPr>
            </w:pPr>
            <w:r>
              <w:rPr>
                <w:rFonts w:ascii="Arial" w:cs="Arial" w:eastAsia="Arial" w:hAnsi="Arial"/>
                <w:sz w:val="14"/>
                <w:szCs w:val="14"/>
                <w:color w:val="131E29"/>
              </w:rPr>
              <w:t>ANNUAL REPORT ON FORM 10-K</w:t>
            </w:r>
          </w:p>
        </w:tc>
        <w:tc>
          <w:tcPr>
            <w:tcW w:w="1640" w:type="dxa"/>
            <w:vAlign w:val="bottom"/>
          </w:tcPr>
          <w:p>
            <w:pPr>
              <w:spacing w:after="0"/>
              <w:rPr>
                <w:sz w:val="17"/>
                <w:szCs w:val="17"/>
                <w:color w:val="auto"/>
              </w:rPr>
            </w:pPr>
          </w:p>
        </w:tc>
      </w:tr>
      <w:tr>
        <w:trPr>
          <w:trHeight w:val="255"/>
        </w:trPr>
        <w:tc>
          <w:tcPr>
            <w:tcW w:w="1900" w:type="dxa"/>
            <w:vAlign w:val="bottom"/>
          </w:tcPr>
          <w:p>
            <w:pPr>
              <w:spacing w:after="0"/>
              <w:rPr>
                <w:sz w:val="22"/>
                <w:szCs w:val="22"/>
                <w:color w:val="auto"/>
              </w:rPr>
            </w:pPr>
          </w:p>
        </w:tc>
        <w:tc>
          <w:tcPr>
            <w:tcW w:w="7740" w:type="dxa"/>
            <w:vAlign w:val="bottom"/>
          </w:tcPr>
          <w:p>
            <w:pPr>
              <w:jc w:val="center"/>
              <w:ind w:right="188"/>
              <w:spacing w:after="0"/>
              <w:rPr>
                <w:sz w:val="20"/>
                <w:szCs w:val="20"/>
                <w:color w:val="auto"/>
              </w:rPr>
            </w:pPr>
            <w:r>
              <w:rPr>
                <w:rFonts w:ascii="Arial" w:cs="Arial" w:eastAsia="Arial" w:hAnsi="Arial"/>
                <w:sz w:val="14"/>
                <w:szCs w:val="14"/>
                <w:color w:val="131E29"/>
                <w:w w:val="99"/>
              </w:rPr>
              <w:t>TABLE OF CONTENTS</w:t>
            </w:r>
          </w:p>
        </w:tc>
        <w:tc>
          <w:tcPr>
            <w:tcW w:w="1640" w:type="dxa"/>
            <w:vAlign w:val="bottom"/>
          </w:tcPr>
          <w:p>
            <w:pPr>
              <w:spacing w:after="0"/>
              <w:rPr>
                <w:sz w:val="22"/>
                <w:szCs w:val="22"/>
                <w:color w:val="auto"/>
              </w:rPr>
            </w:pPr>
          </w:p>
        </w:tc>
      </w:tr>
      <w:tr>
        <w:trPr>
          <w:trHeight w:val="297"/>
        </w:trPr>
        <w:tc>
          <w:tcPr>
            <w:tcW w:w="190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1640" w:type="dxa"/>
            <w:vAlign w:val="bottom"/>
          </w:tcPr>
          <w:p>
            <w:pPr>
              <w:ind w:left="680"/>
              <w:spacing w:after="0"/>
              <w:rPr>
                <w:sz w:val="20"/>
                <w:szCs w:val="20"/>
                <w:color w:val="auto"/>
              </w:rPr>
            </w:pPr>
            <w:r>
              <w:rPr>
                <w:rFonts w:ascii="Arial" w:cs="Arial" w:eastAsia="Arial" w:hAnsi="Arial"/>
                <w:sz w:val="14"/>
                <w:szCs w:val="14"/>
                <w:b w:val="1"/>
                <w:bCs w:val="1"/>
                <w:color w:val="131E29"/>
              </w:rPr>
              <w:t>Page</w:t>
            </w:r>
          </w:p>
        </w:tc>
      </w:tr>
      <w:tr>
        <w:trPr>
          <w:trHeight w:val="255"/>
        </w:trPr>
        <w:tc>
          <w:tcPr>
            <w:tcW w:w="1900" w:type="dxa"/>
            <w:vAlign w:val="bottom"/>
          </w:tcPr>
          <w:p>
            <w:pPr>
              <w:ind w:left="20"/>
              <w:spacing w:after="0"/>
              <w:rPr>
                <w:sz w:val="20"/>
                <w:szCs w:val="20"/>
                <w:color w:val="auto"/>
              </w:rPr>
            </w:pPr>
            <w:r>
              <w:rPr>
                <w:rFonts w:ascii="Arial" w:cs="Arial" w:eastAsia="Arial" w:hAnsi="Arial"/>
                <w:sz w:val="14"/>
                <w:szCs w:val="14"/>
                <w:color w:val="131E29"/>
              </w:rPr>
              <w:t>Glossary</w:t>
            </w:r>
          </w:p>
        </w:tc>
        <w:tc>
          <w:tcPr>
            <w:tcW w:w="7740" w:type="dxa"/>
            <w:vAlign w:val="bottom"/>
          </w:tcPr>
          <w:p>
            <w:pPr>
              <w:spacing w:after="0"/>
              <w:rPr>
                <w:sz w:val="22"/>
                <w:szCs w:val="22"/>
                <w:color w:val="auto"/>
              </w:rPr>
            </w:pPr>
          </w:p>
        </w:tc>
        <w:tc>
          <w:tcPr>
            <w:tcW w:w="1640" w:type="dxa"/>
            <w:vAlign w:val="bottom"/>
          </w:tcPr>
          <w:p>
            <w:pPr>
              <w:jc w:val="center"/>
              <w:ind w:left="9"/>
              <w:spacing w:after="0"/>
              <w:rPr>
                <w:sz w:val="20"/>
                <w:szCs w:val="20"/>
                <w:color w:val="auto"/>
              </w:rPr>
            </w:pPr>
            <w:r>
              <w:rPr>
                <w:rFonts w:ascii="Arial" w:cs="Arial" w:eastAsia="Arial" w:hAnsi="Arial"/>
                <w:sz w:val="14"/>
                <w:szCs w:val="14"/>
                <w:color w:val="131E29"/>
              </w:rPr>
              <w:t>1</w:t>
            </w:r>
          </w:p>
        </w:tc>
      </w:tr>
      <w:tr>
        <w:trPr>
          <w:trHeight w:val="22"/>
        </w:trPr>
        <w:tc>
          <w:tcPr>
            <w:tcW w:w="1900" w:type="dxa"/>
            <w:vAlign w:val="bottom"/>
            <w:tcBorders>
              <w:bottom w:val="single" w:sz="8" w:color="DBDBDB"/>
            </w:tcBorders>
          </w:tcPr>
          <w:p>
            <w:pPr>
              <w:spacing w:after="0" w:line="20" w:lineRule="exact"/>
              <w:rPr>
                <w:sz w:val="1"/>
                <w:szCs w:val="1"/>
                <w:color w:val="auto"/>
              </w:rPr>
            </w:pPr>
          </w:p>
        </w:tc>
        <w:tc>
          <w:tcPr>
            <w:tcW w:w="7740" w:type="dxa"/>
            <w:vAlign w:val="bottom"/>
            <w:tcBorders>
              <w:bottom w:val="single" w:sz="8" w:color="DBDBDB"/>
            </w:tcBorders>
          </w:tcPr>
          <w:p>
            <w:pPr>
              <w:spacing w:after="0" w:line="20" w:lineRule="exact"/>
              <w:rPr>
                <w:sz w:val="1"/>
                <w:szCs w:val="1"/>
                <w:color w:val="auto"/>
              </w:rPr>
            </w:pPr>
          </w:p>
        </w:tc>
        <w:tc>
          <w:tcPr>
            <w:tcW w:w="1640" w:type="dxa"/>
            <w:vAlign w:val="bottom"/>
            <w:tcBorders>
              <w:bottom w:val="single" w:sz="8" w:color="DBDBDB"/>
            </w:tcBorders>
          </w:tcPr>
          <w:p>
            <w:pPr>
              <w:spacing w:after="0" w:line="20" w:lineRule="exact"/>
              <w:rPr>
                <w:sz w:val="1"/>
                <w:szCs w:val="1"/>
                <w:color w:val="auto"/>
              </w:rPr>
            </w:pPr>
          </w:p>
        </w:tc>
      </w:tr>
      <w:tr>
        <w:trPr>
          <w:trHeight w:val="181"/>
        </w:trPr>
        <w:tc>
          <w:tcPr>
            <w:tcW w:w="1900" w:type="dxa"/>
            <w:vAlign w:val="bottom"/>
          </w:tcPr>
          <w:p>
            <w:pPr>
              <w:ind w:left="20"/>
              <w:spacing w:after="0"/>
              <w:rPr>
                <w:sz w:val="20"/>
                <w:szCs w:val="20"/>
                <w:color w:val="auto"/>
              </w:rPr>
            </w:pPr>
            <w:r>
              <w:rPr>
                <w:rFonts w:ascii="Arial" w:cs="Arial" w:eastAsia="Arial" w:hAnsi="Arial"/>
                <w:sz w:val="14"/>
                <w:szCs w:val="14"/>
                <w:color w:val="131E29"/>
              </w:rPr>
              <w:t>Forward-Looking Statements</w:t>
            </w:r>
          </w:p>
        </w:tc>
        <w:tc>
          <w:tcPr>
            <w:tcW w:w="7740" w:type="dxa"/>
            <w:vAlign w:val="bottom"/>
          </w:tcPr>
          <w:p>
            <w:pPr>
              <w:spacing w:after="0"/>
              <w:rPr>
                <w:sz w:val="15"/>
                <w:szCs w:val="15"/>
                <w:color w:val="auto"/>
              </w:rPr>
            </w:pPr>
          </w:p>
        </w:tc>
        <w:tc>
          <w:tcPr>
            <w:tcW w:w="1640" w:type="dxa"/>
            <w:vAlign w:val="bottom"/>
          </w:tcPr>
          <w:p>
            <w:pPr>
              <w:jc w:val="center"/>
              <w:ind w:left="9"/>
              <w:spacing w:after="0"/>
              <w:rPr>
                <w:sz w:val="20"/>
                <w:szCs w:val="20"/>
                <w:color w:val="auto"/>
              </w:rPr>
            </w:pPr>
            <w:r>
              <w:rPr>
                <w:rFonts w:ascii="Arial" w:cs="Arial" w:eastAsia="Arial" w:hAnsi="Arial"/>
                <w:sz w:val="14"/>
                <w:szCs w:val="14"/>
                <w:color w:val="131E29"/>
              </w:rPr>
              <w:t>2</w:t>
            </w:r>
          </w:p>
        </w:tc>
      </w:tr>
      <w:tr>
        <w:trPr>
          <w:trHeight w:val="22"/>
        </w:trPr>
        <w:tc>
          <w:tcPr>
            <w:tcW w:w="1900" w:type="dxa"/>
            <w:vAlign w:val="bottom"/>
            <w:tcBorders>
              <w:bottom w:val="single" w:sz="8" w:color="DBDBDB"/>
            </w:tcBorders>
          </w:tcPr>
          <w:p>
            <w:pPr>
              <w:spacing w:after="0" w:line="20" w:lineRule="exact"/>
              <w:rPr>
                <w:sz w:val="1"/>
                <w:szCs w:val="1"/>
                <w:color w:val="auto"/>
              </w:rPr>
            </w:pPr>
          </w:p>
        </w:tc>
        <w:tc>
          <w:tcPr>
            <w:tcW w:w="7740" w:type="dxa"/>
            <w:vAlign w:val="bottom"/>
            <w:tcBorders>
              <w:bottom w:val="single" w:sz="8" w:color="DBDBDB"/>
            </w:tcBorders>
          </w:tcPr>
          <w:p>
            <w:pPr>
              <w:spacing w:after="0" w:line="20" w:lineRule="exact"/>
              <w:rPr>
                <w:sz w:val="1"/>
                <w:szCs w:val="1"/>
                <w:color w:val="auto"/>
              </w:rPr>
            </w:pPr>
          </w:p>
        </w:tc>
        <w:tc>
          <w:tcPr>
            <w:tcW w:w="1640" w:type="dxa"/>
            <w:vAlign w:val="bottom"/>
            <w:tcBorders>
              <w:bottom w:val="single" w:sz="8" w:color="DBDBDB"/>
            </w:tcBorders>
          </w:tcPr>
          <w:p>
            <w:pPr>
              <w:spacing w:after="0" w:line="20" w:lineRule="exact"/>
              <w:rPr>
                <w:sz w:val="1"/>
                <w:szCs w:val="1"/>
                <w:color w:val="auto"/>
              </w:rPr>
            </w:pPr>
          </w:p>
        </w:tc>
      </w:tr>
      <w:tr>
        <w:trPr>
          <w:trHeight w:val="213"/>
        </w:trPr>
        <w:tc>
          <w:tcPr>
            <w:tcW w:w="1900" w:type="dxa"/>
            <w:vAlign w:val="bottom"/>
          </w:tcPr>
          <w:p>
            <w:pPr>
              <w:ind w:left="20"/>
              <w:spacing w:after="0"/>
              <w:rPr>
                <w:sz w:val="20"/>
                <w:szCs w:val="20"/>
                <w:color w:val="auto"/>
              </w:rPr>
            </w:pPr>
            <w:r>
              <w:rPr>
                <w:rFonts w:ascii="Arial" w:cs="Arial" w:eastAsia="Arial" w:hAnsi="Arial"/>
                <w:sz w:val="14"/>
                <w:szCs w:val="14"/>
                <w:b w:val="1"/>
                <w:bCs w:val="1"/>
                <w:color w:val="006098"/>
              </w:rPr>
              <w:t>PART I</w:t>
            </w:r>
          </w:p>
        </w:tc>
        <w:tc>
          <w:tcPr>
            <w:tcW w:w="774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34"/>
        </w:trPr>
        <w:tc>
          <w:tcPr>
            <w:tcW w:w="1900" w:type="dxa"/>
            <w:vAlign w:val="bottom"/>
            <w:tcBorders>
              <w:bottom w:val="single" w:sz="8" w:color="FDE021"/>
            </w:tcBorders>
          </w:tcPr>
          <w:p>
            <w:pPr>
              <w:spacing w:after="0"/>
              <w:rPr>
                <w:sz w:val="11"/>
                <w:szCs w:val="11"/>
                <w:color w:val="auto"/>
              </w:rPr>
            </w:pPr>
          </w:p>
        </w:tc>
        <w:tc>
          <w:tcPr>
            <w:tcW w:w="7740" w:type="dxa"/>
            <w:vAlign w:val="bottom"/>
            <w:tcBorders>
              <w:bottom w:val="single" w:sz="8" w:color="FDE021"/>
            </w:tcBorders>
          </w:tcPr>
          <w:p>
            <w:pPr>
              <w:spacing w:after="0"/>
              <w:rPr>
                <w:sz w:val="11"/>
                <w:szCs w:val="11"/>
                <w:color w:val="auto"/>
              </w:rPr>
            </w:pPr>
          </w:p>
        </w:tc>
        <w:tc>
          <w:tcPr>
            <w:tcW w:w="1640" w:type="dxa"/>
            <w:vAlign w:val="bottom"/>
            <w:tcBorders>
              <w:bottom w:val="single" w:sz="8" w:color="FDE021"/>
            </w:tcBorders>
          </w:tcPr>
          <w:p>
            <w:pPr>
              <w:spacing w:after="0"/>
              <w:rPr>
                <w:sz w:val="11"/>
                <w:szCs w:val="11"/>
                <w:color w:val="auto"/>
              </w:rPr>
            </w:pPr>
          </w:p>
        </w:tc>
      </w:tr>
      <w:tr>
        <w:trPr>
          <w:trHeight w:val="191"/>
        </w:trPr>
        <w:tc>
          <w:tcPr>
            <w:tcW w:w="1900" w:type="dxa"/>
            <w:vAlign w:val="bottom"/>
            <w:tcBorders>
              <w:top w:val="single" w:sz="8" w:color="00416B"/>
            </w:tcBorders>
          </w:tcPr>
          <w:p>
            <w:pPr>
              <w:ind w:left="100"/>
              <w:spacing w:after="0"/>
              <w:rPr>
                <w:sz w:val="20"/>
                <w:szCs w:val="20"/>
                <w:color w:val="auto"/>
              </w:rPr>
            </w:pPr>
            <w:r>
              <w:rPr>
                <w:rFonts w:ascii="Arial" w:cs="Arial" w:eastAsia="Arial" w:hAnsi="Arial"/>
                <w:sz w:val="14"/>
                <w:szCs w:val="14"/>
                <w:color w:val="131E29"/>
              </w:rPr>
              <w:t>ITEM 1.</w:t>
            </w:r>
          </w:p>
        </w:tc>
        <w:tc>
          <w:tcPr>
            <w:tcW w:w="7740" w:type="dxa"/>
            <w:vAlign w:val="bottom"/>
            <w:tcBorders>
              <w:top w:val="single" w:sz="8" w:color="00416B"/>
            </w:tcBorders>
          </w:tcPr>
          <w:p>
            <w:pPr>
              <w:ind w:left="60"/>
              <w:spacing w:after="0"/>
              <w:rPr>
                <w:sz w:val="20"/>
                <w:szCs w:val="20"/>
                <w:color w:val="auto"/>
              </w:rPr>
            </w:pPr>
            <w:r>
              <w:rPr>
                <w:rFonts w:ascii="Arial" w:cs="Arial" w:eastAsia="Arial" w:hAnsi="Arial"/>
                <w:sz w:val="14"/>
                <w:szCs w:val="14"/>
                <w:color w:val="131E29"/>
              </w:rPr>
              <w:t>Business</w:t>
            </w:r>
          </w:p>
        </w:tc>
        <w:tc>
          <w:tcPr>
            <w:tcW w:w="1640" w:type="dxa"/>
            <w:vAlign w:val="bottom"/>
            <w:tcBorders>
              <w:top w:val="single" w:sz="8" w:color="00416B"/>
            </w:tcBorders>
          </w:tcPr>
          <w:p>
            <w:pPr>
              <w:jc w:val="center"/>
              <w:ind w:left="9"/>
              <w:spacing w:after="0"/>
              <w:rPr>
                <w:sz w:val="20"/>
                <w:szCs w:val="20"/>
                <w:color w:val="auto"/>
              </w:rPr>
            </w:pPr>
            <w:r>
              <w:rPr>
                <w:rFonts w:ascii="Arial" w:cs="Arial" w:eastAsia="Arial" w:hAnsi="Arial"/>
                <w:sz w:val="14"/>
                <w:szCs w:val="14"/>
                <w:color w:val="131E29"/>
              </w:rPr>
              <w:t>3</w:t>
            </w:r>
          </w:p>
        </w:tc>
      </w:tr>
      <w:tr>
        <w:trPr>
          <w:trHeight w:val="22"/>
        </w:trPr>
        <w:tc>
          <w:tcPr>
            <w:tcW w:w="1900" w:type="dxa"/>
            <w:vAlign w:val="bottom"/>
            <w:tcBorders>
              <w:bottom w:val="single" w:sz="8" w:color="D2DCE5"/>
            </w:tcBorders>
          </w:tcPr>
          <w:p>
            <w:pPr>
              <w:spacing w:after="0" w:line="20" w:lineRule="exact"/>
              <w:rPr>
                <w:sz w:val="1"/>
                <w:szCs w:val="1"/>
                <w:color w:val="auto"/>
              </w:rPr>
            </w:pPr>
          </w:p>
        </w:tc>
        <w:tc>
          <w:tcPr>
            <w:tcW w:w="7740" w:type="dxa"/>
            <w:vAlign w:val="bottom"/>
            <w:tcBorders>
              <w:bottom w:val="single" w:sz="8" w:color="D2DCE5"/>
            </w:tcBorders>
          </w:tcPr>
          <w:p>
            <w:pPr>
              <w:spacing w:after="0" w:line="20" w:lineRule="exact"/>
              <w:rPr>
                <w:sz w:val="1"/>
                <w:szCs w:val="1"/>
                <w:color w:val="auto"/>
              </w:rPr>
            </w:pPr>
          </w:p>
        </w:tc>
        <w:tc>
          <w:tcPr>
            <w:tcW w:w="1640" w:type="dxa"/>
            <w:vAlign w:val="bottom"/>
            <w:tcBorders>
              <w:bottom w:val="single" w:sz="8" w:color="D2DCE5"/>
            </w:tcBorders>
          </w:tcPr>
          <w:p>
            <w:pPr>
              <w:spacing w:after="0" w:line="20" w:lineRule="exact"/>
              <w:rPr>
                <w:sz w:val="1"/>
                <w:szCs w:val="1"/>
                <w:color w:val="auto"/>
              </w:rPr>
            </w:pPr>
          </w:p>
        </w:tc>
      </w:tr>
      <w:tr>
        <w:trPr>
          <w:trHeight w:val="181"/>
        </w:trPr>
        <w:tc>
          <w:tcPr>
            <w:tcW w:w="1900" w:type="dxa"/>
            <w:vAlign w:val="bottom"/>
          </w:tcPr>
          <w:p>
            <w:pPr>
              <w:ind w:left="100"/>
              <w:spacing w:after="0"/>
              <w:rPr>
                <w:sz w:val="20"/>
                <w:szCs w:val="20"/>
                <w:color w:val="auto"/>
              </w:rPr>
            </w:pPr>
            <w:r>
              <w:rPr>
                <w:rFonts w:ascii="Arial" w:cs="Arial" w:eastAsia="Arial" w:hAnsi="Arial"/>
                <w:sz w:val="14"/>
                <w:szCs w:val="14"/>
                <w:color w:val="131E29"/>
              </w:rPr>
              <w:t>ITEM 1A.</w:t>
            </w:r>
          </w:p>
        </w:tc>
        <w:tc>
          <w:tcPr>
            <w:tcW w:w="7740" w:type="dxa"/>
            <w:vAlign w:val="bottom"/>
          </w:tcPr>
          <w:p>
            <w:pPr>
              <w:ind w:left="60"/>
              <w:spacing w:after="0"/>
              <w:rPr>
                <w:sz w:val="20"/>
                <w:szCs w:val="20"/>
                <w:color w:val="auto"/>
              </w:rPr>
            </w:pPr>
            <w:r>
              <w:rPr>
                <w:rFonts w:ascii="Arial" w:cs="Arial" w:eastAsia="Arial" w:hAnsi="Arial"/>
                <w:sz w:val="14"/>
                <w:szCs w:val="14"/>
                <w:color w:val="131E29"/>
              </w:rPr>
              <w:t>Risk Factors</w:t>
            </w:r>
          </w:p>
        </w:tc>
        <w:tc>
          <w:tcPr>
            <w:tcW w:w="1640" w:type="dxa"/>
            <w:vAlign w:val="bottom"/>
          </w:tcPr>
          <w:p>
            <w:pPr>
              <w:jc w:val="center"/>
              <w:ind w:left="9"/>
              <w:spacing w:after="0"/>
              <w:rPr>
                <w:sz w:val="20"/>
                <w:szCs w:val="20"/>
                <w:color w:val="auto"/>
              </w:rPr>
            </w:pPr>
            <w:r>
              <w:rPr>
                <w:rFonts w:ascii="Arial" w:cs="Arial" w:eastAsia="Arial" w:hAnsi="Arial"/>
                <w:sz w:val="14"/>
                <w:szCs w:val="14"/>
                <w:color w:val="131E29"/>
              </w:rPr>
              <w:t>15</w:t>
            </w:r>
          </w:p>
        </w:tc>
      </w:tr>
      <w:tr>
        <w:trPr>
          <w:trHeight w:val="22"/>
        </w:trPr>
        <w:tc>
          <w:tcPr>
            <w:tcW w:w="1900" w:type="dxa"/>
            <w:vAlign w:val="bottom"/>
            <w:tcBorders>
              <w:bottom w:val="single" w:sz="8" w:color="D2DCE5"/>
            </w:tcBorders>
          </w:tcPr>
          <w:p>
            <w:pPr>
              <w:spacing w:after="0" w:line="20" w:lineRule="exact"/>
              <w:rPr>
                <w:sz w:val="1"/>
                <w:szCs w:val="1"/>
                <w:color w:val="auto"/>
              </w:rPr>
            </w:pPr>
          </w:p>
        </w:tc>
        <w:tc>
          <w:tcPr>
            <w:tcW w:w="7740" w:type="dxa"/>
            <w:vAlign w:val="bottom"/>
            <w:tcBorders>
              <w:bottom w:val="single" w:sz="8" w:color="D2DCE5"/>
            </w:tcBorders>
          </w:tcPr>
          <w:p>
            <w:pPr>
              <w:spacing w:after="0" w:line="20" w:lineRule="exact"/>
              <w:rPr>
                <w:sz w:val="1"/>
                <w:szCs w:val="1"/>
                <w:color w:val="auto"/>
              </w:rPr>
            </w:pPr>
          </w:p>
        </w:tc>
        <w:tc>
          <w:tcPr>
            <w:tcW w:w="1640" w:type="dxa"/>
            <w:vAlign w:val="bottom"/>
            <w:tcBorders>
              <w:bottom w:val="single" w:sz="8" w:color="D2DCE5"/>
            </w:tcBorders>
          </w:tcPr>
          <w:p>
            <w:pPr>
              <w:spacing w:after="0" w:line="20" w:lineRule="exact"/>
              <w:rPr>
                <w:sz w:val="1"/>
                <w:szCs w:val="1"/>
                <w:color w:val="auto"/>
              </w:rPr>
            </w:pPr>
          </w:p>
        </w:tc>
      </w:tr>
      <w:tr>
        <w:trPr>
          <w:trHeight w:val="181"/>
        </w:trPr>
        <w:tc>
          <w:tcPr>
            <w:tcW w:w="1900" w:type="dxa"/>
            <w:vAlign w:val="bottom"/>
          </w:tcPr>
          <w:p>
            <w:pPr>
              <w:ind w:left="100"/>
              <w:spacing w:after="0"/>
              <w:rPr>
                <w:sz w:val="20"/>
                <w:szCs w:val="20"/>
                <w:color w:val="auto"/>
              </w:rPr>
            </w:pPr>
            <w:r>
              <w:rPr>
                <w:rFonts w:ascii="Arial" w:cs="Arial" w:eastAsia="Arial" w:hAnsi="Arial"/>
                <w:sz w:val="14"/>
                <w:szCs w:val="14"/>
                <w:color w:val="131E29"/>
              </w:rPr>
              <w:t>ITEM 1B.</w:t>
            </w:r>
          </w:p>
        </w:tc>
        <w:tc>
          <w:tcPr>
            <w:tcW w:w="7740" w:type="dxa"/>
            <w:vAlign w:val="bottom"/>
          </w:tcPr>
          <w:p>
            <w:pPr>
              <w:ind w:left="60"/>
              <w:spacing w:after="0"/>
              <w:rPr>
                <w:sz w:val="20"/>
                <w:szCs w:val="20"/>
                <w:color w:val="auto"/>
              </w:rPr>
            </w:pPr>
            <w:r>
              <w:rPr>
                <w:rFonts w:ascii="Arial" w:cs="Arial" w:eastAsia="Arial" w:hAnsi="Arial"/>
                <w:sz w:val="14"/>
                <w:szCs w:val="14"/>
                <w:color w:val="131E29"/>
              </w:rPr>
              <w:t>Unresolved Staff Comments</w:t>
            </w:r>
          </w:p>
        </w:tc>
        <w:tc>
          <w:tcPr>
            <w:tcW w:w="1640" w:type="dxa"/>
            <w:vAlign w:val="bottom"/>
          </w:tcPr>
          <w:p>
            <w:pPr>
              <w:jc w:val="center"/>
              <w:ind w:left="9"/>
              <w:spacing w:after="0"/>
              <w:rPr>
                <w:sz w:val="20"/>
                <w:szCs w:val="20"/>
                <w:color w:val="auto"/>
              </w:rPr>
            </w:pPr>
            <w:r>
              <w:rPr>
                <w:rFonts w:ascii="Arial" w:cs="Arial" w:eastAsia="Arial" w:hAnsi="Arial"/>
                <w:sz w:val="14"/>
                <w:szCs w:val="14"/>
                <w:color w:val="131E29"/>
              </w:rPr>
              <w:t>58</w:t>
            </w:r>
          </w:p>
        </w:tc>
      </w:tr>
      <w:tr>
        <w:trPr>
          <w:trHeight w:val="22"/>
        </w:trPr>
        <w:tc>
          <w:tcPr>
            <w:tcW w:w="1900" w:type="dxa"/>
            <w:vAlign w:val="bottom"/>
            <w:tcBorders>
              <w:bottom w:val="single" w:sz="8" w:color="D2DCE5"/>
            </w:tcBorders>
          </w:tcPr>
          <w:p>
            <w:pPr>
              <w:spacing w:after="0" w:line="20" w:lineRule="exact"/>
              <w:rPr>
                <w:sz w:val="1"/>
                <w:szCs w:val="1"/>
                <w:color w:val="auto"/>
              </w:rPr>
            </w:pPr>
          </w:p>
        </w:tc>
        <w:tc>
          <w:tcPr>
            <w:tcW w:w="7740" w:type="dxa"/>
            <w:vAlign w:val="bottom"/>
            <w:tcBorders>
              <w:bottom w:val="single" w:sz="8" w:color="D2DCE5"/>
            </w:tcBorders>
          </w:tcPr>
          <w:p>
            <w:pPr>
              <w:spacing w:after="0" w:line="20" w:lineRule="exact"/>
              <w:rPr>
                <w:sz w:val="1"/>
                <w:szCs w:val="1"/>
                <w:color w:val="auto"/>
              </w:rPr>
            </w:pPr>
          </w:p>
        </w:tc>
        <w:tc>
          <w:tcPr>
            <w:tcW w:w="1640" w:type="dxa"/>
            <w:vAlign w:val="bottom"/>
            <w:tcBorders>
              <w:bottom w:val="single" w:sz="8" w:color="D2DCE5"/>
            </w:tcBorders>
          </w:tcPr>
          <w:p>
            <w:pPr>
              <w:spacing w:after="0" w:line="20" w:lineRule="exact"/>
              <w:rPr>
                <w:sz w:val="1"/>
                <w:szCs w:val="1"/>
                <w:color w:val="auto"/>
              </w:rPr>
            </w:pPr>
          </w:p>
        </w:tc>
      </w:tr>
      <w:tr>
        <w:trPr>
          <w:trHeight w:val="181"/>
        </w:trPr>
        <w:tc>
          <w:tcPr>
            <w:tcW w:w="1900" w:type="dxa"/>
            <w:vAlign w:val="bottom"/>
          </w:tcPr>
          <w:p>
            <w:pPr>
              <w:ind w:left="100"/>
              <w:spacing w:after="0"/>
              <w:rPr>
                <w:sz w:val="20"/>
                <w:szCs w:val="20"/>
                <w:color w:val="auto"/>
              </w:rPr>
            </w:pPr>
            <w:r>
              <w:rPr>
                <w:rFonts w:ascii="Arial" w:cs="Arial" w:eastAsia="Arial" w:hAnsi="Arial"/>
                <w:sz w:val="14"/>
                <w:szCs w:val="14"/>
                <w:color w:val="131E29"/>
              </w:rPr>
              <w:t>ITEM 2.</w:t>
            </w:r>
          </w:p>
        </w:tc>
        <w:tc>
          <w:tcPr>
            <w:tcW w:w="7740" w:type="dxa"/>
            <w:vAlign w:val="bottom"/>
          </w:tcPr>
          <w:p>
            <w:pPr>
              <w:ind w:left="60"/>
              <w:spacing w:after="0"/>
              <w:rPr>
                <w:sz w:val="20"/>
                <w:szCs w:val="20"/>
                <w:color w:val="auto"/>
              </w:rPr>
            </w:pPr>
            <w:r>
              <w:rPr>
                <w:rFonts w:ascii="Arial" w:cs="Arial" w:eastAsia="Arial" w:hAnsi="Arial"/>
                <w:sz w:val="14"/>
                <w:szCs w:val="14"/>
                <w:color w:val="131E29"/>
              </w:rPr>
              <w:t>Properties</w:t>
            </w:r>
          </w:p>
        </w:tc>
        <w:tc>
          <w:tcPr>
            <w:tcW w:w="1640" w:type="dxa"/>
            <w:vAlign w:val="bottom"/>
          </w:tcPr>
          <w:p>
            <w:pPr>
              <w:jc w:val="center"/>
              <w:ind w:left="9"/>
              <w:spacing w:after="0"/>
              <w:rPr>
                <w:sz w:val="20"/>
                <w:szCs w:val="20"/>
                <w:color w:val="auto"/>
              </w:rPr>
            </w:pPr>
            <w:r>
              <w:rPr>
                <w:rFonts w:ascii="Arial" w:cs="Arial" w:eastAsia="Arial" w:hAnsi="Arial"/>
                <w:sz w:val="14"/>
                <w:szCs w:val="14"/>
                <w:color w:val="131E29"/>
              </w:rPr>
              <w:t>59</w:t>
            </w:r>
          </w:p>
        </w:tc>
      </w:tr>
      <w:tr>
        <w:trPr>
          <w:trHeight w:val="22"/>
        </w:trPr>
        <w:tc>
          <w:tcPr>
            <w:tcW w:w="1900" w:type="dxa"/>
            <w:vAlign w:val="bottom"/>
            <w:tcBorders>
              <w:bottom w:val="single" w:sz="8" w:color="D2DCE5"/>
            </w:tcBorders>
          </w:tcPr>
          <w:p>
            <w:pPr>
              <w:spacing w:after="0" w:line="20" w:lineRule="exact"/>
              <w:rPr>
                <w:sz w:val="1"/>
                <w:szCs w:val="1"/>
                <w:color w:val="auto"/>
              </w:rPr>
            </w:pPr>
          </w:p>
        </w:tc>
        <w:tc>
          <w:tcPr>
            <w:tcW w:w="7740" w:type="dxa"/>
            <w:vAlign w:val="bottom"/>
            <w:tcBorders>
              <w:bottom w:val="single" w:sz="8" w:color="D2DCE5"/>
            </w:tcBorders>
          </w:tcPr>
          <w:p>
            <w:pPr>
              <w:spacing w:after="0" w:line="20" w:lineRule="exact"/>
              <w:rPr>
                <w:sz w:val="1"/>
                <w:szCs w:val="1"/>
                <w:color w:val="auto"/>
              </w:rPr>
            </w:pPr>
          </w:p>
        </w:tc>
        <w:tc>
          <w:tcPr>
            <w:tcW w:w="1640" w:type="dxa"/>
            <w:vAlign w:val="bottom"/>
            <w:tcBorders>
              <w:bottom w:val="single" w:sz="8" w:color="D2DCE5"/>
            </w:tcBorders>
          </w:tcPr>
          <w:p>
            <w:pPr>
              <w:spacing w:after="0" w:line="20" w:lineRule="exact"/>
              <w:rPr>
                <w:sz w:val="1"/>
                <w:szCs w:val="1"/>
                <w:color w:val="auto"/>
              </w:rPr>
            </w:pPr>
          </w:p>
        </w:tc>
      </w:tr>
      <w:tr>
        <w:trPr>
          <w:trHeight w:val="181"/>
        </w:trPr>
        <w:tc>
          <w:tcPr>
            <w:tcW w:w="1900" w:type="dxa"/>
            <w:vAlign w:val="bottom"/>
          </w:tcPr>
          <w:p>
            <w:pPr>
              <w:ind w:left="100"/>
              <w:spacing w:after="0"/>
              <w:rPr>
                <w:sz w:val="20"/>
                <w:szCs w:val="20"/>
                <w:color w:val="auto"/>
              </w:rPr>
            </w:pPr>
            <w:r>
              <w:rPr>
                <w:rFonts w:ascii="Arial" w:cs="Arial" w:eastAsia="Arial" w:hAnsi="Arial"/>
                <w:sz w:val="14"/>
                <w:szCs w:val="14"/>
                <w:color w:val="131E29"/>
              </w:rPr>
              <w:t>ITEM 3.</w:t>
            </w:r>
          </w:p>
        </w:tc>
        <w:tc>
          <w:tcPr>
            <w:tcW w:w="7740" w:type="dxa"/>
            <w:vAlign w:val="bottom"/>
          </w:tcPr>
          <w:p>
            <w:pPr>
              <w:ind w:left="60"/>
              <w:spacing w:after="0"/>
              <w:rPr>
                <w:sz w:val="20"/>
                <w:szCs w:val="20"/>
                <w:color w:val="auto"/>
              </w:rPr>
            </w:pPr>
            <w:r>
              <w:rPr>
                <w:rFonts w:ascii="Arial" w:cs="Arial" w:eastAsia="Arial" w:hAnsi="Arial"/>
                <w:sz w:val="14"/>
                <w:szCs w:val="14"/>
                <w:color w:val="131E29"/>
              </w:rPr>
              <w:t>Legal Proceedings</w:t>
            </w:r>
          </w:p>
        </w:tc>
        <w:tc>
          <w:tcPr>
            <w:tcW w:w="1640" w:type="dxa"/>
            <w:vAlign w:val="bottom"/>
          </w:tcPr>
          <w:p>
            <w:pPr>
              <w:jc w:val="center"/>
              <w:ind w:left="9"/>
              <w:spacing w:after="0"/>
              <w:rPr>
                <w:sz w:val="20"/>
                <w:szCs w:val="20"/>
                <w:color w:val="auto"/>
              </w:rPr>
            </w:pPr>
            <w:r>
              <w:rPr>
                <w:rFonts w:ascii="Arial" w:cs="Arial" w:eastAsia="Arial" w:hAnsi="Arial"/>
                <w:sz w:val="14"/>
                <w:szCs w:val="14"/>
                <w:color w:val="131E29"/>
              </w:rPr>
              <w:t>60</w:t>
            </w:r>
          </w:p>
        </w:tc>
      </w:tr>
      <w:tr>
        <w:trPr>
          <w:trHeight w:val="22"/>
        </w:trPr>
        <w:tc>
          <w:tcPr>
            <w:tcW w:w="1900" w:type="dxa"/>
            <w:vAlign w:val="bottom"/>
            <w:tcBorders>
              <w:bottom w:val="single" w:sz="8" w:color="D2DCE5"/>
            </w:tcBorders>
          </w:tcPr>
          <w:p>
            <w:pPr>
              <w:spacing w:after="0" w:line="20" w:lineRule="exact"/>
              <w:rPr>
                <w:sz w:val="1"/>
                <w:szCs w:val="1"/>
                <w:color w:val="auto"/>
              </w:rPr>
            </w:pPr>
          </w:p>
        </w:tc>
        <w:tc>
          <w:tcPr>
            <w:tcW w:w="7740" w:type="dxa"/>
            <w:vAlign w:val="bottom"/>
            <w:tcBorders>
              <w:bottom w:val="single" w:sz="8" w:color="D2DCE5"/>
            </w:tcBorders>
          </w:tcPr>
          <w:p>
            <w:pPr>
              <w:spacing w:after="0" w:line="20" w:lineRule="exact"/>
              <w:rPr>
                <w:sz w:val="1"/>
                <w:szCs w:val="1"/>
                <w:color w:val="auto"/>
              </w:rPr>
            </w:pPr>
          </w:p>
        </w:tc>
        <w:tc>
          <w:tcPr>
            <w:tcW w:w="1640" w:type="dxa"/>
            <w:vAlign w:val="bottom"/>
            <w:tcBorders>
              <w:bottom w:val="single" w:sz="8" w:color="D2DCE5"/>
            </w:tcBorders>
          </w:tcPr>
          <w:p>
            <w:pPr>
              <w:spacing w:after="0" w:line="20" w:lineRule="exact"/>
              <w:rPr>
                <w:sz w:val="1"/>
                <w:szCs w:val="1"/>
                <w:color w:val="auto"/>
              </w:rPr>
            </w:pPr>
          </w:p>
        </w:tc>
      </w:tr>
      <w:tr>
        <w:trPr>
          <w:trHeight w:val="181"/>
        </w:trPr>
        <w:tc>
          <w:tcPr>
            <w:tcW w:w="1900" w:type="dxa"/>
            <w:vAlign w:val="bottom"/>
          </w:tcPr>
          <w:p>
            <w:pPr>
              <w:ind w:left="100"/>
              <w:spacing w:after="0"/>
              <w:rPr>
                <w:sz w:val="20"/>
                <w:szCs w:val="20"/>
                <w:color w:val="auto"/>
              </w:rPr>
            </w:pPr>
            <w:r>
              <w:rPr>
                <w:rFonts w:ascii="Arial" w:cs="Arial" w:eastAsia="Arial" w:hAnsi="Arial"/>
                <w:sz w:val="14"/>
                <w:szCs w:val="14"/>
                <w:color w:val="131E29"/>
              </w:rPr>
              <w:t>ITEM 4.</w:t>
            </w:r>
          </w:p>
        </w:tc>
        <w:tc>
          <w:tcPr>
            <w:tcW w:w="7740" w:type="dxa"/>
            <w:vAlign w:val="bottom"/>
          </w:tcPr>
          <w:p>
            <w:pPr>
              <w:ind w:left="60"/>
              <w:spacing w:after="0"/>
              <w:rPr>
                <w:sz w:val="20"/>
                <w:szCs w:val="20"/>
                <w:color w:val="auto"/>
              </w:rPr>
            </w:pPr>
            <w:r>
              <w:rPr>
                <w:rFonts w:ascii="Arial" w:cs="Arial" w:eastAsia="Arial" w:hAnsi="Arial"/>
                <w:sz w:val="14"/>
                <w:szCs w:val="14"/>
                <w:color w:val="131E29"/>
              </w:rPr>
              <w:t>Mine Safety Disclosures</w:t>
            </w:r>
          </w:p>
        </w:tc>
        <w:tc>
          <w:tcPr>
            <w:tcW w:w="1640" w:type="dxa"/>
            <w:vAlign w:val="bottom"/>
          </w:tcPr>
          <w:p>
            <w:pPr>
              <w:jc w:val="center"/>
              <w:ind w:left="9"/>
              <w:spacing w:after="0"/>
              <w:rPr>
                <w:sz w:val="20"/>
                <w:szCs w:val="20"/>
                <w:color w:val="auto"/>
              </w:rPr>
            </w:pPr>
            <w:r>
              <w:rPr>
                <w:rFonts w:ascii="Arial" w:cs="Arial" w:eastAsia="Arial" w:hAnsi="Arial"/>
                <w:sz w:val="14"/>
                <w:szCs w:val="14"/>
                <w:color w:val="131E29"/>
              </w:rPr>
              <w:t>60</w:t>
            </w:r>
          </w:p>
        </w:tc>
      </w:tr>
      <w:tr>
        <w:trPr>
          <w:trHeight w:val="22"/>
        </w:trPr>
        <w:tc>
          <w:tcPr>
            <w:tcW w:w="1900" w:type="dxa"/>
            <w:vAlign w:val="bottom"/>
            <w:tcBorders>
              <w:bottom w:val="single" w:sz="8" w:color="D2DCE5"/>
            </w:tcBorders>
          </w:tcPr>
          <w:p>
            <w:pPr>
              <w:spacing w:after="0" w:line="20" w:lineRule="exact"/>
              <w:rPr>
                <w:sz w:val="1"/>
                <w:szCs w:val="1"/>
                <w:color w:val="auto"/>
              </w:rPr>
            </w:pPr>
          </w:p>
        </w:tc>
        <w:tc>
          <w:tcPr>
            <w:tcW w:w="7740" w:type="dxa"/>
            <w:vAlign w:val="bottom"/>
            <w:tcBorders>
              <w:bottom w:val="single" w:sz="8" w:color="D2DCE5"/>
            </w:tcBorders>
          </w:tcPr>
          <w:p>
            <w:pPr>
              <w:spacing w:after="0" w:line="20" w:lineRule="exact"/>
              <w:rPr>
                <w:sz w:val="1"/>
                <w:szCs w:val="1"/>
                <w:color w:val="auto"/>
              </w:rPr>
            </w:pPr>
          </w:p>
        </w:tc>
        <w:tc>
          <w:tcPr>
            <w:tcW w:w="1640" w:type="dxa"/>
            <w:vAlign w:val="bottom"/>
            <w:tcBorders>
              <w:bottom w:val="single" w:sz="8" w:color="D2DCE5"/>
            </w:tcBorders>
          </w:tcPr>
          <w:p>
            <w:pPr>
              <w:spacing w:after="0" w:line="20" w:lineRule="exact"/>
              <w:rPr>
                <w:sz w:val="1"/>
                <w:szCs w:val="1"/>
                <w:color w:val="auto"/>
              </w:rPr>
            </w:pPr>
          </w:p>
        </w:tc>
      </w:tr>
      <w:tr>
        <w:trPr>
          <w:trHeight w:val="298"/>
        </w:trPr>
        <w:tc>
          <w:tcPr>
            <w:tcW w:w="1900" w:type="dxa"/>
            <w:vAlign w:val="bottom"/>
          </w:tcPr>
          <w:p>
            <w:pPr>
              <w:ind w:left="20"/>
              <w:spacing w:after="0"/>
              <w:rPr>
                <w:sz w:val="20"/>
                <w:szCs w:val="20"/>
                <w:color w:val="auto"/>
              </w:rPr>
            </w:pPr>
            <w:r>
              <w:rPr>
                <w:rFonts w:ascii="Arial" w:cs="Arial" w:eastAsia="Arial" w:hAnsi="Arial"/>
                <w:sz w:val="14"/>
                <w:szCs w:val="14"/>
                <w:b w:val="1"/>
                <w:bCs w:val="1"/>
                <w:color w:val="006098"/>
              </w:rPr>
              <w:t>PART II</w:t>
            </w:r>
          </w:p>
        </w:tc>
        <w:tc>
          <w:tcPr>
            <w:tcW w:w="77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34"/>
        </w:trPr>
        <w:tc>
          <w:tcPr>
            <w:tcW w:w="1900" w:type="dxa"/>
            <w:vAlign w:val="bottom"/>
            <w:tcBorders>
              <w:bottom w:val="single" w:sz="8" w:color="FDE021"/>
            </w:tcBorders>
          </w:tcPr>
          <w:p>
            <w:pPr>
              <w:spacing w:after="0"/>
              <w:rPr>
                <w:sz w:val="11"/>
                <w:szCs w:val="11"/>
                <w:color w:val="auto"/>
              </w:rPr>
            </w:pPr>
          </w:p>
        </w:tc>
        <w:tc>
          <w:tcPr>
            <w:tcW w:w="7740" w:type="dxa"/>
            <w:vAlign w:val="bottom"/>
            <w:tcBorders>
              <w:bottom w:val="single" w:sz="8" w:color="FDE021"/>
            </w:tcBorders>
          </w:tcPr>
          <w:p>
            <w:pPr>
              <w:spacing w:after="0"/>
              <w:rPr>
                <w:sz w:val="11"/>
                <w:szCs w:val="11"/>
                <w:color w:val="auto"/>
              </w:rPr>
            </w:pPr>
          </w:p>
        </w:tc>
        <w:tc>
          <w:tcPr>
            <w:tcW w:w="1640" w:type="dxa"/>
            <w:vAlign w:val="bottom"/>
            <w:tcBorders>
              <w:bottom w:val="single" w:sz="8" w:color="FDE021"/>
            </w:tcBorders>
          </w:tcPr>
          <w:p>
            <w:pPr>
              <w:spacing w:after="0"/>
              <w:rPr>
                <w:sz w:val="11"/>
                <w:szCs w:val="11"/>
                <w:color w:val="auto"/>
              </w:rPr>
            </w:pPr>
          </w:p>
        </w:tc>
      </w:tr>
      <w:tr>
        <w:trPr>
          <w:trHeight w:val="191"/>
        </w:trPr>
        <w:tc>
          <w:tcPr>
            <w:tcW w:w="1900" w:type="dxa"/>
            <w:vAlign w:val="bottom"/>
            <w:tcBorders>
              <w:top w:val="single" w:sz="8" w:color="00416B"/>
            </w:tcBorders>
          </w:tcPr>
          <w:p>
            <w:pPr>
              <w:ind w:left="100"/>
              <w:spacing w:after="0"/>
              <w:rPr>
                <w:sz w:val="20"/>
                <w:szCs w:val="20"/>
                <w:color w:val="auto"/>
              </w:rPr>
            </w:pPr>
            <w:r>
              <w:rPr>
                <w:rFonts w:ascii="Arial" w:cs="Arial" w:eastAsia="Arial" w:hAnsi="Arial"/>
                <w:sz w:val="14"/>
                <w:szCs w:val="14"/>
                <w:color w:val="131E29"/>
              </w:rPr>
              <w:t>ITEM 5.</w:t>
            </w:r>
          </w:p>
        </w:tc>
        <w:tc>
          <w:tcPr>
            <w:tcW w:w="7740" w:type="dxa"/>
            <w:vAlign w:val="bottom"/>
            <w:tcBorders>
              <w:top w:val="single" w:sz="8" w:color="00416B"/>
            </w:tcBorders>
          </w:tcPr>
          <w:p>
            <w:pPr>
              <w:ind w:left="60"/>
              <w:spacing w:after="0"/>
              <w:rPr>
                <w:sz w:val="20"/>
                <w:szCs w:val="20"/>
                <w:color w:val="auto"/>
              </w:rPr>
            </w:pPr>
            <w:r>
              <w:rPr>
                <w:rFonts w:ascii="Arial" w:cs="Arial" w:eastAsia="Arial" w:hAnsi="Arial"/>
                <w:sz w:val="14"/>
                <w:szCs w:val="14"/>
                <w:color w:val="131E29"/>
              </w:rPr>
              <w:t>Market for Registrant’s Common Equity, Related Stockholder Matters and Issuer Purchases of Equity Securities</w:t>
            </w:r>
          </w:p>
        </w:tc>
        <w:tc>
          <w:tcPr>
            <w:tcW w:w="1640" w:type="dxa"/>
            <w:vAlign w:val="bottom"/>
            <w:tcBorders>
              <w:top w:val="single" w:sz="8" w:color="00416B"/>
            </w:tcBorders>
          </w:tcPr>
          <w:p>
            <w:pPr>
              <w:jc w:val="center"/>
              <w:ind w:left="9"/>
              <w:spacing w:after="0"/>
              <w:rPr>
                <w:sz w:val="20"/>
                <w:szCs w:val="20"/>
                <w:color w:val="auto"/>
              </w:rPr>
            </w:pPr>
            <w:r>
              <w:rPr>
                <w:rFonts w:ascii="Arial" w:cs="Arial" w:eastAsia="Arial" w:hAnsi="Arial"/>
                <w:sz w:val="14"/>
                <w:szCs w:val="14"/>
                <w:color w:val="131E29"/>
              </w:rPr>
              <w:t>61</w:t>
            </w:r>
          </w:p>
        </w:tc>
      </w:tr>
      <w:tr>
        <w:trPr>
          <w:trHeight w:val="22"/>
        </w:trPr>
        <w:tc>
          <w:tcPr>
            <w:tcW w:w="1900" w:type="dxa"/>
            <w:vAlign w:val="bottom"/>
            <w:tcBorders>
              <w:bottom w:val="single" w:sz="8" w:color="D2DCE5"/>
            </w:tcBorders>
          </w:tcPr>
          <w:p>
            <w:pPr>
              <w:spacing w:after="0" w:line="20" w:lineRule="exact"/>
              <w:rPr>
                <w:sz w:val="1"/>
                <w:szCs w:val="1"/>
                <w:color w:val="auto"/>
              </w:rPr>
            </w:pPr>
          </w:p>
        </w:tc>
        <w:tc>
          <w:tcPr>
            <w:tcW w:w="7740" w:type="dxa"/>
            <w:vAlign w:val="bottom"/>
            <w:tcBorders>
              <w:bottom w:val="single" w:sz="8" w:color="D2DCE5"/>
            </w:tcBorders>
          </w:tcPr>
          <w:p>
            <w:pPr>
              <w:spacing w:after="0" w:line="20" w:lineRule="exact"/>
              <w:rPr>
                <w:sz w:val="1"/>
                <w:szCs w:val="1"/>
                <w:color w:val="auto"/>
              </w:rPr>
            </w:pPr>
          </w:p>
        </w:tc>
        <w:tc>
          <w:tcPr>
            <w:tcW w:w="1640" w:type="dxa"/>
            <w:vAlign w:val="bottom"/>
            <w:tcBorders>
              <w:bottom w:val="single" w:sz="8" w:color="D2DCE5"/>
            </w:tcBorders>
          </w:tcPr>
          <w:p>
            <w:pPr>
              <w:spacing w:after="0" w:line="20" w:lineRule="exact"/>
              <w:rPr>
                <w:sz w:val="1"/>
                <w:szCs w:val="1"/>
                <w:color w:val="auto"/>
              </w:rPr>
            </w:pPr>
          </w:p>
        </w:tc>
      </w:tr>
      <w:tr>
        <w:trPr>
          <w:trHeight w:val="181"/>
        </w:trPr>
        <w:tc>
          <w:tcPr>
            <w:tcW w:w="1900" w:type="dxa"/>
            <w:vAlign w:val="bottom"/>
          </w:tcPr>
          <w:p>
            <w:pPr>
              <w:ind w:left="100"/>
              <w:spacing w:after="0"/>
              <w:rPr>
                <w:sz w:val="20"/>
                <w:szCs w:val="20"/>
                <w:color w:val="auto"/>
              </w:rPr>
            </w:pPr>
            <w:r>
              <w:rPr>
                <w:rFonts w:ascii="Arial" w:cs="Arial" w:eastAsia="Arial" w:hAnsi="Arial"/>
                <w:sz w:val="14"/>
                <w:szCs w:val="14"/>
                <w:color w:val="131E29"/>
              </w:rPr>
              <w:t>ITEM 6.</w:t>
            </w:r>
          </w:p>
        </w:tc>
        <w:tc>
          <w:tcPr>
            <w:tcW w:w="7740" w:type="dxa"/>
            <w:vAlign w:val="bottom"/>
          </w:tcPr>
          <w:p>
            <w:pPr>
              <w:ind w:left="60"/>
              <w:spacing w:after="0"/>
              <w:rPr>
                <w:sz w:val="20"/>
                <w:szCs w:val="20"/>
                <w:color w:val="auto"/>
              </w:rPr>
            </w:pPr>
            <w:r>
              <w:rPr>
                <w:rFonts w:ascii="Arial" w:cs="Arial" w:eastAsia="Arial" w:hAnsi="Arial"/>
                <w:sz w:val="14"/>
                <w:szCs w:val="14"/>
                <w:color w:val="131E29"/>
              </w:rPr>
              <w:t>[Reserved]</w:t>
            </w:r>
          </w:p>
        </w:tc>
        <w:tc>
          <w:tcPr>
            <w:tcW w:w="1640" w:type="dxa"/>
            <w:vAlign w:val="bottom"/>
          </w:tcPr>
          <w:p>
            <w:pPr>
              <w:jc w:val="center"/>
              <w:ind w:left="9"/>
              <w:spacing w:after="0"/>
              <w:rPr>
                <w:sz w:val="20"/>
                <w:szCs w:val="20"/>
                <w:color w:val="auto"/>
              </w:rPr>
            </w:pPr>
            <w:r>
              <w:rPr>
                <w:rFonts w:ascii="Arial" w:cs="Arial" w:eastAsia="Arial" w:hAnsi="Arial"/>
                <w:sz w:val="14"/>
                <w:szCs w:val="14"/>
                <w:color w:val="131E29"/>
              </w:rPr>
              <w:t>62</w:t>
            </w:r>
          </w:p>
        </w:tc>
      </w:tr>
      <w:tr>
        <w:trPr>
          <w:trHeight w:val="22"/>
        </w:trPr>
        <w:tc>
          <w:tcPr>
            <w:tcW w:w="1900" w:type="dxa"/>
            <w:vAlign w:val="bottom"/>
            <w:tcBorders>
              <w:bottom w:val="single" w:sz="8" w:color="D2DCE5"/>
            </w:tcBorders>
          </w:tcPr>
          <w:p>
            <w:pPr>
              <w:spacing w:after="0" w:line="20" w:lineRule="exact"/>
              <w:rPr>
                <w:sz w:val="1"/>
                <w:szCs w:val="1"/>
                <w:color w:val="auto"/>
              </w:rPr>
            </w:pPr>
          </w:p>
        </w:tc>
        <w:tc>
          <w:tcPr>
            <w:tcW w:w="7740" w:type="dxa"/>
            <w:vAlign w:val="bottom"/>
            <w:tcBorders>
              <w:bottom w:val="single" w:sz="8" w:color="D2DCE5"/>
            </w:tcBorders>
          </w:tcPr>
          <w:p>
            <w:pPr>
              <w:spacing w:after="0" w:line="20" w:lineRule="exact"/>
              <w:rPr>
                <w:sz w:val="1"/>
                <w:szCs w:val="1"/>
                <w:color w:val="auto"/>
              </w:rPr>
            </w:pPr>
          </w:p>
        </w:tc>
        <w:tc>
          <w:tcPr>
            <w:tcW w:w="1640" w:type="dxa"/>
            <w:vAlign w:val="bottom"/>
            <w:tcBorders>
              <w:bottom w:val="single" w:sz="8" w:color="D2DCE5"/>
            </w:tcBorders>
          </w:tcPr>
          <w:p>
            <w:pPr>
              <w:spacing w:after="0" w:line="20" w:lineRule="exact"/>
              <w:rPr>
                <w:sz w:val="1"/>
                <w:szCs w:val="1"/>
                <w:color w:val="auto"/>
              </w:rPr>
            </w:pPr>
          </w:p>
        </w:tc>
      </w:tr>
      <w:tr>
        <w:trPr>
          <w:trHeight w:val="181"/>
        </w:trPr>
        <w:tc>
          <w:tcPr>
            <w:tcW w:w="1900" w:type="dxa"/>
            <w:vAlign w:val="bottom"/>
          </w:tcPr>
          <w:p>
            <w:pPr>
              <w:ind w:left="100"/>
              <w:spacing w:after="0"/>
              <w:rPr>
                <w:sz w:val="20"/>
                <w:szCs w:val="20"/>
                <w:color w:val="auto"/>
              </w:rPr>
            </w:pPr>
            <w:r>
              <w:rPr>
                <w:rFonts w:ascii="Arial" w:cs="Arial" w:eastAsia="Arial" w:hAnsi="Arial"/>
                <w:sz w:val="14"/>
                <w:szCs w:val="14"/>
                <w:color w:val="131E29"/>
              </w:rPr>
              <w:t>ITEM 7.</w:t>
            </w:r>
          </w:p>
        </w:tc>
        <w:tc>
          <w:tcPr>
            <w:tcW w:w="7740" w:type="dxa"/>
            <w:vAlign w:val="bottom"/>
          </w:tcPr>
          <w:p>
            <w:pPr>
              <w:ind w:left="60"/>
              <w:spacing w:after="0"/>
              <w:rPr>
                <w:sz w:val="20"/>
                <w:szCs w:val="20"/>
                <w:color w:val="auto"/>
              </w:rPr>
            </w:pPr>
            <w:r>
              <w:rPr>
                <w:rFonts w:ascii="Arial" w:cs="Arial" w:eastAsia="Arial" w:hAnsi="Arial"/>
                <w:sz w:val="14"/>
                <w:szCs w:val="14"/>
                <w:color w:val="131E29"/>
              </w:rPr>
              <w:t>Management’s Discussion and Analysis of Financial Condition and Results of Operations</w:t>
            </w:r>
          </w:p>
        </w:tc>
        <w:tc>
          <w:tcPr>
            <w:tcW w:w="1640" w:type="dxa"/>
            <w:vAlign w:val="bottom"/>
          </w:tcPr>
          <w:p>
            <w:pPr>
              <w:jc w:val="center"/>
              <w:ind w:left="9"/>
              <w:spacing w:after="0"/>
              <w:rPr>
                <w:sz w:val="20"/>
                <w:szCs w:val="20"/>
                <w:color w:val="auto"/>
              </w:rPr>
            </w:pPr>
            <w:r>
              <w:rPr>
                <w:rFonts w:ascii="Arial" w:cs="Arial" w:eastAsia="Arial" w:hAnsi="Arial"/>
                <w:sz w:val="14"/>
                <w:szCs w:val="14"/>
                <w:color w:val="131E29"/>
              </w:rPr>
              <w:t>62</w:t>
            </w:r>
          </w:p>
        </w:tc>
      </w:tr>
      <w:tr>
        <w:trPr>
          <w:trHeight w:val="22"/>
        </w:trPr>
        <w:tc>
          <w:tcPr>
            <w:tcW w:w="1900" w:type="dxa"/>
            <w:vAlign w:val="bottom"/>
            <w:tcBorders>
              <w:bottom w:val="single" w:sz="8" w:color="D2DCE5"/>
            </w:tcBorders>
          </w:tcPr>
          <w:p>
            <w:pPr>
              <w:spacing w:after="0" w:line="20" w:lineRule="exact"/>
              <w:rPr>
                <w:sz w:val="1"/>
                <w:szCs w:val="1"/>
                <w:color w:val="auto"/>
              </w:rPr>
            </w:pPr>
          </w:p>
        </w:tc>
        <w:tc>
          <w:tcPr>
            <w:tcW w:w="7740" w:type="dxa"/>
            <w:vAlign w:val="bottom"/>
            <w:tcBorders>
              <w:bottom w:val="single" w:sz="8" w:color="D2DCE5"/>
            </w:tcBorders>
          </w:tcPr>
          <w:p>
            <w:pPr>
              <w:spacing w:after="0" w:line="20" w:lineRule="exact"/>
              <w:rPr>
                <w:sz w:val="1"/>
                <w:szCs w:val="1"/>
                <w:color w:val="auto"/>
              </w:rPr>
            </w:pPr>
          </w:p>
        </w:tc>
        <w:tc>
          <w:tcPr>
            <w:tcW w:w="1640" w:type="dxa"/>
            <w:vAlign w:val="bottom"/>
            <w:tcBorders>
              <w:bottom w:val="single" w:sz="8" w:color="D2DCE5"/>
            </w:tcBorders>
          </w:tcPr>
          <w:p>
            <w:pPr>
              <w:spacing w:after="0" w:line="20" w:lineRule="exact"/>
              <w:rPr>
                <w:sz w:val="1"/>
                <w:szCs w:val="1"/>
                <w:color w:val="auto"/>
              </w:rPr>
            </w:pPr>
          </w:p>
        </w:tc>
      </w:tr>
      <w:tr>
        <w:trPr>
          <w:trHeight w:val="181"/>
        </w:trPr>
        <w:tc>
          <w:tcPr>
            <w:tcW w:w="1900" w:type="dxa"/>
            <w:vAlign w:val="bottom"/>
          </w:tcPr>
          <w:p>
            <w:pPr>
              <w:ind w:left="100"/>
              <w:spacing w:after="0"/>
              <w:rPr>
                <w:sz w:val="20"/>
                <w:szCs w:val="20"/>
                <w:color w:val="auto"/>
              </w:rPr>
            </w:pPr>
            <w:r>
              <w:rPr>
                <w:rFonts w:ascii="Arial" w:cs="Arial" w:eastAsia="Arial" w:hAnsi="Arial"/>
                <w:sz w:val="14"/>
                <w:szCs w:val="14"/>
                <w:color w:val="131E29"/>
              </w:rPr>
              <w:t>ITEM 7A.</w:t>
            </w:r>
          </w:p>
        </w:tc>
        <w:tc>
          <w:tcPr>
            <w:tcW w:w="7740" w:type="dxa"/>
            <w:vAlign w:val="bottom"/>
          </w:tcPr>
          <w:p>
            <w:pPr>
              <w:ind w:left="60"/>
              <w:spacing w:after="0"/>
              <w:rPr>
                <w:sz w:val="20"/>
                <w:szCs w:val="20"/>
                <w:color w:val="auto"/>
              </w:rPr>
            </w:pPr>
            <w:r>
              <w:rPr>
                <w:rFonts w:ascii="Arial" w:cs="Arial" w:eastAsia="Arial" w:hAnsi="Arial"/>
                <w:sz w:val="14"/>
                <w:szCs w:val="14"/>
                <w:color w:val="131E29"/>
              </w:rPr>
              <w:t>Quantitative and Qualitative Disclosures About Market Risk</w:t>
            </w:r>
          </w:p>
        </w:tc>
        <w:tc>
          <w:tcPr>
            <w:tcW w:w="1640" w:type="dxa"/>
            <w:vAlign w:val="bottom"/>
          </w:tcPr>
          <w:p>
            <w:pPr>
              <w:jc w:val="center"/>
              <w:ind w:left="9"/>
              <w:spacing w:after="0"/>
              <w:rPr>
                <w:sz w:val="20"/>
                <w:szCs w:val="20"/>
                <w:color w:val="auto"/>
              </w:rPr>
            </w:pPr>
            <w:r>
              <w:rPr>
                <w:rFonts w:ascii="Arial" w:cs="Arial" w:eastAsia="Arial" w:hAnsi="Arial"/>
                <w:sz w:val="14"/>
                <w:szCs w:val="14"/>
                <w:color w:val="131E29"/>
              </w:rPr>
              <w:t>83</w:t>
            </w:r>
          </w:p>
        </w:tc>
      </w:tr>
      <w:tr>
        <w:trPr>
          <w:trHeight w:val="22"/>
        </w:trPr>
        <w:tc>
          <w:tcPr>
            <w:tcW w:w="1900" w:type="dxa"/>
            <w:vAlign w:val="bottom"/>
            <w:tcBorders>
              <w:bottom w:val="single" w:sz="8" w:color="D2DCE5"/>
            </w:tcBorders>
          </w:tcPr>
          <w:p>
            <w:pPr>
              <w:spacing w:after="0" w:line="20" w:lineRule="exact"/>
              <w:rPr>
                <w:sz w:val="1"/>
                <w:szCs w:val="1"/>
                <w:color w:val="auto"/>
              </w:rPr>
            </w:pPr>
          </w:p>
        </w:tc>
        <w:tc>
          <w:tcPr>
            <w:tcW w:w="7740" w:type="dxa"/>
            <w:vAlign w:val="bottom"/>
            <w:tcBorders>
              <w:bottom w:val="single" w:sz="8" w:color="D2DCE5"/>
            </w:tcBorders>
          </w:tcPr>
          <w:p>
            <w:pPr>
              <w:spacing w:after="0" w:line="20" w:lineRule="exact"/>
              <w:rPr>
                <w:sz w:val="1"/>
                <w:szCs w:val="1"/>
                <w:color w:val="auto"/>
              </w:rPr>
            </w:pPr>
          </w:p>
        </w:tc>
        <w:tc>
          <w:tcPr>
            <w:tcW w:w="1640" w:type="dxa"/>
            <w:vAlign w:val="bottom"/>
            <w:tcBorders>
              <w:bottom w:val="single" w:sz="8" w:color="D2DCE5"/>
            </w:tcBorders>
          </w:tcPr>
          <w:p>
            <w:pPr>
              <w:spacing w:after="0" w:line="20" w:lineRule="exact"/>
              <w:rPr>
                <w:sz w:val="1"/>
                <w:szCs w:val="1"/>
                <w:color w:val="auto"/>
              </w:rPr>
            </w:pPr>
          </w:p>
        </w:tc>
      </w:tr>
      <w:tr>
        <w:trPr>
          <w:trHeight w:val="181"/>
        </w:trPr>
        <w:tc>
          <w:tcPr>
            <w:tcW w:w="1900" w:type="dxa"/>
            <w:vAlign w:val="bottom"/>
          </w:tcPr>
          <w:p>
            <w:pPr>
              <w:ind w:left="100"/>
              <w:spacing w:after="0"/>
              <w:rPr>
                <w:sz w:val="20"/>
                <w:szCs w:val="20"/>
                <w:color w:val="auto"/>
              </w:rPr>
            </w:pPr>
            <w:r>
              <w:rPr>
                <w:rFonts w:ascii="Arial" w:cs="Arial" w:eastAsia="Arial" w:hAnsi="Arial"/>
                <w:sz w:val="14"/>
                <w:szCs w:val="14"/>
                <w:color w:val="131E29"/>
              </w:rPr>
              <w:t>ITEM 8.</w:t>
            </w:r>
          </w:p>
        </w:tc>
        <w:tc>
          <w:tcPr>
            <w:tcW w:w="7740" w:type="dxa"/>
            <w:vAlign w:val="bottom"/>
          </w:tcPr>
          <w:p>
            <w:pPr>
              <w:ind w:left="60"/>
              <w:spacing w:after="0"/>
              <w:rPr>
                <w:sz w:val="20"/>
                <w:szCs w:val="20"/>
                <w:color w:val="auto"/>
              </w:rPr>
            </w:pPr>
            <w:r>
              <w:rPr>
                <w:rFonts w:ascii="Arial" w:cs="Arial" w:eastAsia="Arial" w:hAnsi="Arial"/>
                <w:sz w:val="14"/>
                <w:szCs w:val="14"/>
                <w:color w:val="131E29"/>
              </w:rPr>
              <w:t>Financial Statements and Supplementary Data</w:t>
            </w:r>
          </w:p>
        </w:tc>
        <w:tc>
          <w:tcPr>
            <w:tcW w:w="1640" w:type="dxa"/>
            <w:vAlign w:val="bottom"/>
          </w:tcPr>
          <w:p>
            <w:pPr>
              <w:jc w:val="center"/>
              <w:ind w:left="9"/>
              <w:spacing w:after="0"/>
              <w:rPr>
                <w:sz w:val="20"/>
                <w:szCs w:val="20"/>
                <w:color w:val="auto"/>
              </w:rPr>
            </w:pPr>
            <w:r>
              <w:rPr>
                <w:rFonts w:ascii="Arial" w:cs="Arial" w:eastAsia="Arial" w:hAnsi="Arial"/>
                <w:sz w:val="14"/>
                <w:szCs w:val="14"/>
                <w:color w:val="131E29"/>
              </w:rPr>
              <w:t>85</w:t>
            </w:r>
          </w:p>
        </w:tc>
      </w:tr>
      <w:tr>
        <w:trPr>
          <w:trHeight w:val="22"/>
        </w:trPr>
        <w:tc>
          <w:tcPr>
            <w:tcW w:w="1900" w:type="dxa"/>
            <w:vAlign w:val="bottom"/>
            <w:tcBorders>
              <w:bottom w:val="single" w:sz="8" w:color="D2DCE5"/>
            </w:tcBorders>
          </w:tcPr>
          <w:p>
            <w:pPr>
              <w:spacing w:after="0" w:line="20" w:lineRule="exact"/>
              <w:rPr>
                <w:sz w:val="1"/>
                <w:szCs w:val="1"/>
                <w:color w:val="auto"/>
              </w:rPr>
            </w:pPr>
          </w:p>
        </w:tc>
        <w:tc>
          <w:tcPr>
            <w:tcW w:w="7740" w:type="dxa"/>
            <w:vAlign w:val="bottom"/>
            <w:tcBorders>
              <w:bottom w:val="single" w:sz="8" w:color="D2DCE5"/>
            </w:tcBorders>
          </w:tcPr>
          <w:p>
            <w:pPr>
              <w:spacing w:after="0" w:line="20" w:lineRule="exact"/>
              <w:rPr>
                <w:sz w:val="1"/>
                <w:szCs w:val="1"/>
                <w:color w:val="auto"/>
              </w:rPr>
            </w:pPr>
          </w:p>
        </w:tc>
        <w:tc>
          <w:tcPr>
            <w:tcW w:w="1640" w:type="dxa"/>
            <w:vAlign w:val="bottom"/>
            <w:tcBorders>
              <w:bottom w:val="single" w:sz="8" w:color="D2DCE5"/>
            </w:tcBorders>
          </w:tcPr>
          <w:p>
            <w:pPr>
              <w:spacing w:after="0" w:line="20" w:lineRule="exact"/>
              <w:rPr>
                <w:sz w:val="1"/>
                <w:szCs w:val="1"/>
                <w:color w:val="auto"/>
              </w:rPr>
            </w:pPr>
          </w:p>
        </w:tc>
      </w:tr>
      <w:tr>
        <w:trPr>
          <w:trHeight w:val="181"/>
        </w:trPr>
        <w:tc>
          <w:tcPr>
            <w:tcW w:w="1900" w:type="dxa"/>
            <w:vAlign w:val="bottom"/>
          </w:tcPr>
          <w:p>
            <w:pPr>
              <w:ind w:left="100"/>
              <w:spacing w:after="0"/>
              <w:rPr>
                <w:sz w:val="20"/>
                <w:szCs w:val="20"/>
                <w:color w:val="auto"/>
              </w:rPr>
            </w:pPr>
            <w:r>
              <w:rPr>
                <w:rFonts w:ascii="Arial" w:cs="Arial" w:eastAsia="Arial" w:hAnsi="Arial"/>
                <w:sz w:val="14"/>
                <w:szCs w:val="14"/>
                <w:color w:val="131E29"/>
              </w:rPr>
              <w:t>ITEM 9.</w:t>
            </w:r>
          </w:p>
        </w:tc>
        <w:tc>
          <w:tcPr>
            <w:tcW w:w="7740" w:type="dxa"/>
            <w:vAlign w:val="bottom"/>
          </w:tcPr>
          <w:p>
            <w:pPr>
              <w:ind w:left="60"/>
              <w:spacing w:after="0"/>
              <w:rPr>
                <w:sz w:val="20"/>
                <w:szCs w:val="20"/>
                <w:color w:val="auto"/>
              </w:rPr>
            </w:pPr>
            <w:r>
              <w:rPr>
                <w:rFonts w:ascii="Arial" w:cs="Arial" w:eastAsia="Arial" w:hAnsi="Arial"/>
                <w:sz w:val="14"/>
                <w:szCs w:val="14"/>
                <w:color w:val="131E29"/>
              </w:rPr>
              <w:t>Changes in and Disagreements with Accountants on Accounting and Financial Disclosure</w:t>
            </w:r>
          </w:p>
        </w:tc>
        <w:tc>
          <w:tcPr>
            <w:tcW w:w="1640" w:type="dxa"/>
            <w:vAlign w:val="bottom"/>
          </w:tcPr>
          <w:p>
            <w:pPr>
              <w:jc w:val="center"/>
              <w:ind w:left="9"/>
              <w:spacing w:after="0"/>
              <w:rPr>
                <w:sz w:val="20"/>
                <w:szCs w:val="20"/>
                <w:color w:val="auto"/>
              </w:rPr>
            </w:pPr>
            <w:r>
              <w:rPr>
                <w:rFonts w:ascii="Arial" w:cs="Arial" w:eastAsia="Arial" w:hAnsi="Arial"/>
                <w:sz w:val="14"/>
                <w:szCs w:val="14"/>
                <w:color w:val="131E29"/>
              </w:rPr>
              <w:t>133</w:t>
            </w:r>
          </w:p>
        </w:tc>
      </w:tr>
      <w:tr>
        <w:trPr>
          <w:trHeight w:val="22"/>
        </w:trPr>
        <w:tc>
          <w:tcPr>
            <w:tcW w:w="1900" w:type="dxa"/>
            <w:vAlign w:val="bottom"/>
            <w:tcBorders>
              <w:bottom w:val="single" w:sz="8" w:color="D2DCE5"/>
            </w:tcBorders>
          </w:tcPr>
          <w:p>
            <w:pPr>
              <w:spacing w:after="0" w:line="20" w:lineRule="exact"/>
              <w:rPr>
                <w:sz w:val="1"/>
                <w:szCs w:val="1"/>
                <w:color w:val="auto"/>
              </w:rPr>
            </w:pPr>
          </w:p>
        </w:tc>
        <w:tc>
          <w:tcPr>
            <w:tcW w:w="7740" w:type="dxa"/>
            <w:vAlign w:val="bottom"/>
            <w:tcBorders>
              <w:bottom w:val="single" w:sz="8" w:color="D2DCE5"/>
            </w:tcBorders>
          </w:tcPr>
          <w:p>
            <w:pPr>
              <w:spacing w:after="0" w:line="20" w:lineRule="exact"/>
              <w:rPr>
                <w:sz w:val="1"/>
                <w:szCs w:val="1"/>
                <w:color w:val="auto"/>
              </w:rPr>
            </w:pPr>
          </w:p>
        </w:tc>
        <w:tc>
          <w:tcPr>
            <w:tcW w:w="1640" w:type="dxa"/>
            <w:vAlign w:val="bottom"/>
            <w:tcBorders>
              <w:bottom w:val="single" w:sz="8" w:color="D2DCE5"/>
            </w:tcBorders>
          </w:tcPr>
          <w:p>
            <w:pPr>
              <w:spacing w:after="0" w:line="20" w:lineRule="exact"/>
              <w:rPr>
                <w:sz w:val="1"/>
                <w:szCs w:val="1"/>
                <w:color w:val="auto"/>
              </w:rPr>
            </w:pPr>
          </w:p>
        </w:tc>
      </w:tr>
      <w:tr>
        <w:trPr>
          <w:trHeight w:val="181"/>
        </w:trPr>
        <w:tc>
          <w:tcPr>
            <w:tcW w:w="1900" w:type="dxa"/>
            <w:vAlign w:val="bottom"/>
          </w:tcPr>
          <w:p>
            <w:pPr>
              <w:ind w:left="100"/>
              <w:spacing w:after="0"/>
              <w:rPr>
                <w:sz w:val="20"/>
                <w:szCs w:val="20"/>
                <w:color w:val="auto"/>
              </w:rPr>
            </w:pPr>
            <w:r>
              <w:rPr>
                <w:rFonts w:ascii="Arial" w:cs="Arial" w:eastAsia="Arial" w:hAnsi="Arial"/>
                <w:sz w:val="14"/>
                <w:szCs w:val="14"/>
                <w:color w:val="131E29"/>
              </w:rPr>
              <w:t>ITEM 9A.</w:t>
            </w:r>
          </w:p>
        </w:tc>
        <w:tc>
          <w:tcPr>
            <w:tcW w:w="7740" w:type="dxa"/>
            <w:vAlign w:val="bottom"/>
          </w:tcPr>
          <w:p>
            <w:pPr>
              <w:ind w:left="60"/>
              <w:spacing w:after="0"/>
              <w:rPr>
                <w:sz w:val="20"/>
                <w:szCs w:val="20"/>
                <w:color w:val="auto"/>
              </w:rPr>
            </w:pPr>
            <w:r>
              <w:rPr>
                <w:rFonts w:ascii="Arial" w:cs="Arial" w:eastAsia="Arial" w:hAnsi="Arial"/>
                <w:sz w:val="14"/>
                <w:szCs w:val="14"/>
                <w:color w:val="131E29"/>
              </w:rPr>
              <w:t>Controls and Procedures</w:t>
            </w:r>
          </w:p>
        </w:tc>
        <w:tc>
          <w:tcPr>
            <w:tcW w:w="1640" w:type="dxa"/>
            <w:vAlign w:val="bottom"/>
          </w:tcPr>
          <w:p>
            <w:pPr>
              <w:jc w:val="center"/>
              <w:ind w:left="9"/>
              <w:spacing w:after="0"/>
              <w:rPr>
                <w:sz w:val="20"/>
                <w:szCs w:val="20"/>
                <w:color w:val="auto"/>
              </w:rPr>
            </w:pPr>
            <w:r>
              <w:rPr>
                <w:rFonts w:ascii="Arial" w:cs="Arial" w:eastAsia="Arial" w:hAnsi="Arial"/>
                <w:sz w:val="14"/>
                <w:szCs w:val="14"/>
                <w:color w:val="131E29"/>
              </w:rPr>
              <w:t>134</w:t>
            </w:r>
          </w:p>
        </w:tc>
      </w:tr>
      <w:tr>
        <w:trPr>
          <w:trHeight w:val="22"/>
        </w:trPr>
        <w:tc>
          <w:tcPr>
            <w:tcW w:w="1900" w:type="dxa"/>
            <w:vAlign w:val="bottom"/>
            <w:tcBorders>
              <w:bottom w:val="single" w:sz="8" w:color="D2DCE5"/>
            </w:tcBorders>
          </w:tcPr>
          <w:p>
            <w:pPr>
              <w:spacing w:after="0" w:line="20" w:lineRule="exact"/>
              <w:rPr>
                <w:sz w:val="1"/>
                <w:szCs w:val="1"/>
                <w:color w:val="auto"/>
              </w:rPr>
            </w:pPr>
          </w:p>
        </w:tc>
        <w:tc>
          <w:tcPr>
            <w:tcW w:w="7740" w:type="dxa"/>
            <w:vAlign w:val="bottom"/>
            <w:tcBorders>
              <w:bottom w:val="single" w:sz="8" w:color="D2DCE5"/>
            </w:tcBorders>
          </w:tcPr>
          <w:p>
            <w:pPr>
              <w:spacing w:after="0" w:line="20" w:lineRule="exact"/>
              <w:rPr>
                <w:sz w:val="1"/>
                <w:szCs w:val="1"/>
                <w:color w:val="auto"/>
              </w:rPr>
            </w:pPr>
          </w:p>
        </w:tc>
        <w:tc>
          <w:tcPr>
            <w:tcW w:w="1640" w:type="dxa"/>
            <w:vAlign w:val="bottom"/>
            <w:tcBorders>
              <w:bottom w:val="single" w:sz="8" w:color="D2DCE5"/>
            </w:tcBorders>
          </w:tcPr>
          <w:p>
            <w:pPr>
              <w:spacing w:after="0" w:line="20" w:lineRule="exact"/>
              <w:rPr>
                <w:sz w:val="1"/>
                <w:szCs w:val="1"/>
                <w:color w:val="auto"/>
              </w:rPr>
            </w:pPr>
          </w:p>
        </w:tc>
      </w:tr>
      <w:tr>
        <w:trPr>
          <w:trHeight w:val="181"/>
        </w:trPr>
        <w:tc>
          <w:tcPr>
            <w:tcW w:w="1900" w:type="dxa"/>
            <w:vAlign w:val="bottom"/>
          </w:tcPr>
          <w:p>
            <w:pPr>
              <w:ind w:left="100"/>
              <w:spacing w:after="0"/>
              <w:rPr>
                <w:sz w:val="20"/>
                <w:szCs w:val="20"/>
                <w:color w:val="auto"/>
              </w:rPr>
            </w:pPr>
            <w:r>
              <w:rPr>
                <w:rFonts w:ascii="Arial" w:cs="Arial" w:eastAsia="Arial" w:hAnsi="Arial"/>
                <w:sz w:val="14"/>
                <w:szCs w:val="14"/>
                <w:color w:val="131E29"/>
              </w:rPr>
              <w:t>ITEM 9B.</w:t>
            </w:r>
          </w:p>
        </w:tc>
        <w:tc>
          <w:tcPr>
            <w:tcW w:w="7740" w:type="dxa"/>
            <w:vAlign w:val="bottom"/>
          </w:tcPr>
          <w:p>
            <w:pPr>
              <w:ind w:left="60"/>
              <w:spacing w:after="0"/>
              <w:rPr>
                <w:sz w:val="20"/>
                <w:szCs w:val="20"/>
                <w:color w:val="auto"/>
              </w:rPr>
            </w:pPr>
            <w:r>
              <w:rPr>
                <w:rFonts w:ascii="Arial" w:cs="Arial" w:eastAsia="Arial" w:hAnsi="Arial"/>
                <w:sz w:val="14"/>
                <w:szCs w:val="14"/>
                <w:color w:val="131E29"/>
              </w:rPr>
              <w:t>Other Information</w:t>
            </w:r>
          </w:p>
        </w:tc>
        <w:tc>
          <w:tcPr>
            <w:tcW w:w="1640" w:type="dxa"/>
            <w:vAlign w:val="bottom"/>
          </w:tcPr>
          <w:p>
            <w:pPr>
              <w:jc w:val="center"/>
              <w:ind w:left="9"/>
              <w:spacing w:after="0"/>
              <w:rPr>
                <w:sz w:val="20"/>
                <w:szCs w:val="20"/>
                <w:color w:val="auto"/>
              </w:rPr>
            </w:pPr>
            <w:r>
              <w:rPr>
                <w:rFonts w:ascii="Arial" w:cs="Arial" w:eastAsia="Arial" w:hAnsi="Arial"/>
                <w:sz w:val="14"/>
                <w:szCs w:val="14"/>
                <w:color w:val="131E29"/>
              </w:rPr>
              <w:t>138</w:t>
            </w:r>
          </w:p>
        </w:tc>
      </w:tr>
      <w:tr>
        <w:trPr>
          <w:trHeight w:val="22"/>
        </w:trPr>
        <w:tc>
          <w:tcPr>
            <w:tcW w:w="1900" w:type="dxa"/>
            <w:vAlign w:val="bottom"/>
            <w:tcBorders>
              <w:bottom w:val="single" w:sz="8" w:color="D2DCE5"/>
            </w:tcBorders>
          </w:tcPr>
          <w:p>
            <w:pPr>
              <w:spacing w:after="0" w:line="20" w:lineRule="exact"/>
              <w:rPr>
                <w:sz w:val="1"/>
                <w:szCs w:val="1"/>
                <w:color w:val="auto"/>
              </w:rPr>
            </w:pPr>
          </w:p>
        </w:tc>
        <w:tc>
          <w:tcPr>
            <w:tcW w:w="7740" w:type="dxa"/>
            <w:vAlign w:val="bottom"/>
            <w:tcBorders>
              <w:bottom w:val="single" w:sz="8" w:color="D2DCE5"/>
            </w:tcBorders>
          </w:tcPr>
          <w:p>
            <w:pPr>
              <w:spacing w:after="0" w:line="20" w:lineRule="exact"/>
              <w:rPr>
                <w:sz w:val="1"/>
                <w:szCs w:val="1"/>
                <w:color w:val="auto"/>
              </w:rPr>
            </w:pPr>
          </w:p>
        </w:tc>
        <w:tc>
          <w:tcPr>
            <w:tcW w:w="1640" w:type="dxa"/>
            <w:vAlign w:val="bottom"/>
            <w:tcBorders>
              <w:bottom w:val="single" w:sz="8" w:color="D2DCE5"/>
            </w:tcBorders>
          </w:tcPr>
          <w:p>
            <w:pPr>
              <w:spacing w:after="0" w:line="20" w:lineRule="exact"/>
              <w:rPr>
                <w:sz w:val="1"/>
                <w:szCs w:val="1"/>
                <w:color w:val="auto"/>
              </w:rPr>
            </w:pPr>
          </w:p>
        </w:tc>
      </w:tr>
      <w:tr>
        <w:trPr>
          <w:trHeight w:val="181"/>
        </w:trPr>
        <w:tc>
          <w:tcPr>
            <w:tcW w:w="1900" w:type="dxa"/>
            <w:vAlign w:val="bottom"/>
          </w:tcPr>
          <w:p>
            <w:pPr>
              <w:ind w:left="100"/>
              <w:spacing w:after="0"/>
              <w:rPr>
                <w:sz w:val="20"/>
                <w:szCs w:val="20"/>
                <w:color w:val="auto"/>
              </w:rPr>
            </w:pPr>
            <w:r>
              <w:rPr>
                <w:rFonts w:ascii="Arial" w:cs="Arial" w:eastAsia="Arial" w:hAnsi="Arial"/>
                <w:sz w:val="14"/>
                <w:szCs w:val="14"/>
                <w:color w:val="131E29"/>
              </w:rPr>
              <w:t>ITEM 9C.</w:t>
            </w:r>
          </w:p>
        </w:tc>
        <w:tc>
          <w:tcPr>
            <w:tcW w:w="7740" w:type="dxa"/>
            <w:vAlign w:val="bottom"/>
          </w:tcPr>
          <w:p>
            <w:pPr>
              <w:ind w:left="60"/>
              <w:spacing w:after="0"/>
              <w:rPr>
                <w:sz w:val="20"/>
                <w:szCs w:val="20"/>
                <w:color w:val="auto"/>
              </w:rPr>
            </w:pPr>
            <w:r>
              <w:rPr>
                <w:rFonts w:ascii="Arial" w:cs="Arial" w:eastAsia="Arial" w:hAnsi="Arial"/>
                <w:sz w:val="14"/>
                <w:szCs w:val="14"/>
                <w:color w:val="131E29"/>
              </w:rPr>
              <w:t>Disclosure Regarding Foreign Jurisdictions that Prevent Inspections</w:t>
            </w:r>
          </w:p>
        </w:tc>
        <w:tc>
          <w:tcPr>
            <w:tcW w:w="1640" w:type="dxa"/>
            <w:vAlign w:val="bottom"/>
          </w:tcPr>
          <w:p>
            <w:pPr>
              <w:jc w:val="center"/>
              <w:ind w:left="9"/>
              <w:spacing w:after="0"/>
              <w:rPr>
                <w:sz w:val="20"/>
                <w:szCs w:val="20"/>
                <w:color w:val="auto"/>
              </w:rPr>
            </w:pPr>
            <w:r>
              <w:rPr>
                <w:rFonts w:ascii="Arial" w:cs="Arial" w:eastAsia="Arial" w:hAnsi="Arial"/>
                <w:sz w:val="14"/>
                <w:szCs w:val="14"/>
                <w:color w:val="131E29"/>
              </w:rPr>
              <w:t>138</w:t>
            </w:r>
          </w:p>
        </w:tc>
      </w:tr>
      <w:tr>
        <w:trPr>
          <w:trHeight w:val="22"/>
        </w:trPr>
        <w:tc>
          <w:tcPr>
            <w:tcW w:w="1900" w:type="dxa"/>
            <w:vAlign w:val="bottom"/>
            <w:tcBorders>
              <w:bottom w:val="single" w:sz="8" w:color="D2DCE5"/>
            </w:tcBorders>
          </w:tcPr>
          <w:p>
            <w:pPr>
              <w:spacing w:after="0" w:line="20" w:lineRule="exact"/>
              <w:rPr>
                <w:sz w:val="1"/>
                <w:szCs w:val="1"/>
                <w:color w:val="auto"/>
              </w:rPr>
            </w:pPr>
          </w:p>
        </w:tc>
        <w:tc>
          <w:tcPr>
            <w:tcW w:w="7740" w:type="dxa"/>
            <w:vAlign w:val="bottom"/>
            <w:tcBorders>
              <w:bottom w:val="single" w:sz="8" w:color="D2DCE5"/>
            </w:tcBorders>
          </w:tcPr>
          <w:p>
            <w:pPr>
              <w:spacing w:after="0" w:line="20" w:lineRule="exact"/>
              <w:rPr>
                <w:sz w:val="1"/>
                <w:szCs w:val="1"/>
                <w:color w:val="auto"/>
              </w:rPr>
            </w:pPr>
          </w:p>
        </w:tc>
        <w:tc>
          <w:tcPr>
            <w:tcW w:w="1640" w:type="dxa"/>
            <w:vAlign w:val="bottom"/>
            <w:tcBorders>
              <w:bottom w:val="single" w:sz="8" w:color="D2DCE5"/>
            </w:tcBorders>
          </w:tcPr>
          <w:p>
            <w:pPr>
              <w:spacing w:after="0" w:line="20" w:lineRule="exact"/>
              <w:rPr>
                <w:sz w:val="1"/>
                <w:szCs w:val="1"/>
                <w:color w:val="auto"/>
              </w:rPr>
            </w:pPr>
          </w:p>
        </w:tc>
      </w:tr>
      <w:tr>
        <w:trPr>
          <w:trHeight w:val="298"/>
        </w:trPr>
        <w:tc>
          <w:tcPr>
            <w:tcW w:w="1900" w:type="dxa"/>
            <w:vAlign w:val="bottom"/>
          </w:tcPr>
          <w:p>
            <w:pPr>
              <w:ind w:left="20"/>
              <w:spacing w:after="0"/>
              <w:rPr>
                <w:sz w:val="20"/>
                <w:szCs w:val="20"/>
                <w:color w:val="auto"/>
              </w:rPr>
            </w:pPr>
            <w:r>
              <w:rPr>
                <w:rFonts w:ascii="Arial" w:cs="Arial" w:eastAsia="Arial" w:hAnsi="Arial"/>
                <w:sz w:val="14"/>
                <w:szCs w:val="14"/>
                <w:b w:val="1"/>
                <w:bCs w:val="1"/>
                <w:color w:val="006098"/>
              </w:rPr>
              <w:t>PART III</w:t>
            </w:r>
          </w:p>
        </w:tc>
        <w:tc>
          <w:tcPr>
            <w:tcW w:w="77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34"/>
        </w:trPr>
        <w:tc>
          <w:tcPr>
            <w:tcW w:w="1900" w:type="dxa"/>
            <w:vAlign w:val="bottom"/>
            <w:tcBorders>
              <w:bottom w:val="single" w:sz="8" w:color="FDE021"/>
            </w:tcBorders>
          </w:tcPr>
          <w:p>
            <w:pPr>
              <w:spacing w:after="0"/>
              <w:rPr>
                <w:sz w:val="11"/>
                <w:szCs w:val="11"/>
                <w:color w:val="auto"/>
              </w:rPr>
            </w:pPr>
          </w:p>
        </w:tc>
        <w:tc>
          <w:tcPr>
            <w:tcW w:w="7740" w:type="dxa"/>
            <w:vAlign w:val="bottom"/>
            <w:tcBorders>
              <w:bottom w:val="single" w:sz="8" w:color="FDE021"/>
            </w:tcBorders>
          </w:tcPr>
          <w:p>
            <w:pPr>
              <w:spacing w:after="0"/>
              <w:rPr>
                <w:sz w:val="11"/>
                <w:szCs w:val="11"/>
                <w:color w:val="auto"/>
              </w:rPr>
            </w:pPr>
          </w:p>
        </w:tc>
        <w:tc>
          <w:tcPr>
            <w:tcW w:w="1640" w:type="dxa"/>
            <w:vAlign w:val="bottom"/>
            <w:tcBorders>
              <w:bottom w:val="single" w:sz="8" w:color="FDE021"/>
            </w:tcBorders>
          </w:tcPr>
          <w:p>
            <w:pPr>
              <w:spacing w:after="0"/>
              <w:rPr>
                <w:sz w:val="11"/>
                <w:szCs w:val="11"/>
                <w:color w:val="auto"/>
              </w:rPr>
            </w:pPr>
          </w:p>
        </w:tc>
      </w:tr>
      <w:tr>
        <w:trPr>
          <w:trHeight w:val="191"/>
        </w:trPr>
        <w:tc>
          <w:tcPr>
            <w:tcW w:w="1900" w:type="dxa"/>
            <w:vAlign w:val="bottom"/>
            <w:tcBorders>
              <w:top w:val="single" w:sz="8" w:color="00416B"/>
            </w:tcBorders>
          </w:tcPr>
          <w:p>
            <w:pPr>
              <w:ind w:left="100"/>
              <w:spacing w:after="0"/>
              <w:rPr>
                <w:sz w:val="20"/>
                <w:szCs w:val="20"/>
                <w:color w:val="auto"/>
              </w:rPr>
            </w:pPr>
            <w:r>
              <w:rPr>
                <w:rFonts w:ascii="Arial" w:cs="Arial" w:eastAsia="Arial" w:hAnsi="Arial"/>
                <w:sz w:val="14"/>
                <w:szCs w:val="14"/>
                <w:color w:val="131E29"/>
              </w:rPr>
              <w:t>ITEM 10.</w:t>
            </w:r>
          </w:p>
        </w:tc>
        <w:tc>
          <w:tcPr>
            <w:tcW w:w="7740" w:type="dxa"/>
            <w:vAlign w:val="bottom"/>
            <w:tcBorders>
              <w:top w:val="single" w:sz="8" w:color="00416B"/>
            </w:tcBorders>
          </w:tcPr>
          <w:p>
            <w:pPr>
              <w:ind w:left="60"/>
              <w:spacing w:after="0"/>
              <w:rPr>
                <w:sz w:val="20"/>
                <w:szCs w:val="20"/>
                <w:color w:val="auto"/>
              </w:rPr>
            </w:pPr>
            <w:r>
              <w:rPr>
                <w:rFonts w:ascii="Arial" w:cs="Arial" w:eastAsia="Arial" w:hAnsi="Arial"/>
                <w:sz w:val="14"/>
                <w:szCs w:val="14"/>
                <w:color w:val="131E29"/>
              </w:rPr>
              <w:t>Directors, Executive Officers and Corporate Governance</w:t>
            </w:r>
          </w:p>
        </w:tc>
        <w:tc>
          <w:tcPr>
            <w:tcW w:w="1640" w:type="dxa"/>
            <w:vAlign w:val="bottom"/>
            <w:tcBorders>
              <w:top w:val="single" w:sz="8" w:color="00416B"/>
            </w:tcBorders>
          </w:tcPr>
          <w:p>
            <w:pPr>
              <w:jc w:val="center"/>
              <w:ind w:left="9"/>
              <w:spacing w:after="0"/>
              <w:rPr>
                <w:sz w:val="20"/>
                <w:szCs w:val="20"/>
                <w:color w:val="auto"/>
              </w:rPr>
            </w:pPr>
            <w:r>
              <w:rPr>
                <w:rFonts w:ascii="Arial" w:cs="Arial" w:eastAsia="Arial" w:hAnsi="Arial"/>
                <w:sz w:val="14"/>
                <w:szCs w:val="14"/>
                <w:color w:val="131E29"/>
              </w:rPr>
              <w:t>139</w:t>
            </w:r>
          </w:p>
        </w:tc>
      </w:tr>
      <w:tr>
        <w:trPr>
          <w:trHeight w:val="22"/>
        </w:trPr>
        <w:tc>
          <w:tcPr>
            <w:tcW w:w="1900" w:type="dxa"/>
            <w:vAlign w:val="bottom"/>
            <w:tcBorders>
              <w:bottom w:val="single" w:sz="8" w:color="D2DCE5"/>
            </w:tcBorders>
          </w:tcPr>
          <w:p>
            <w:pPr>
              <w:spacing w:after="0" w:line="20" w:lineRule="exact"/>
              <w:rPr>
                <w:sz w:val="1"/>
                <w:szCs w:val="1"/>
                <w:color w:val="auto"/>
              </w:rPr>
            </w:pPr>
          </w:p>
        </w:tc>
        <w:tc>
          <w:tcPr>
            <w:tcW w:w="7740" w:type="dxa"/>
            <w:vAlign w:val="bottom"/>
            <w:tcBorders>
              <w:bottom w:val="single" w:sz="8" w:color="D2DCE5"/>
            </w:tcBorders>
          </w:tcPr>
          <w:p>
            <w:pPr>
              <w:spacing w:after="0" w:line="20" w:lineRule="exact"/>
              <w:rPr>
                <w:sz w:val="1"/>
                <w:szCs w:val="1"/>
                <w:color w:val="auto"/>
              </w:rPr>
            </w:pPr>
          </w:p>
        </w:tc>
        <w:tc>
          <w:tcPr>
            <w:tcW w:w="1640" w:type="dxa"/>
            <w:vAlign w:val="bottom"/>
            <w:tcBorders>
              <w:bottom w:val="single" w:sz="8" w:color="D2DCE5"/>
            </w:tcBorders>
          </w:tcPr>
          <w:p>
            <w:pPr>
              <w:spacing w:after="0" w:line="20" w:lineRule="exact"/>
              <w:rPr>
                <w:sz w:val="1"/>
                <w:szCs w:val="1"/>
                <w:color w:val="auto"/>
              </w:rPr>
            </w:pPr>
          </w:p>
        </w:tc>
      </w:tr>
      <w:tr>
        <w:trPr>
          <w:trHeight w:val="181"/>
        </w:trPr>
        <w:tc>
          <w:tcPr>
            <w:tcW w:w="1900" w:type="dxa"/>
            <w:vAlign w:val="bottom"/>
          </w:tcPr>
          <w:p>
            <w:pPr>
              <w:ind w:left="100"/>
              <w:spacing w:after="0"/>
              <w:rPr>
                <w:sz w:val="20"/>
                <w:szCs w:val="20"/>
                <w:color w:val="auto"/>
              </w:rPr>
            </w:pPr>
            <w:r>
              <w:rPr>
                <w:rFonts w:ascii="Arial" w:cs="Arial" w:eastAsia="Arial" w:hAnsi="Arial"/>
                <w:sz w:val="14"/>
                <w:szCs w:val="14"/>
                <w:color w:val="131E29"/>
              </w:rPr>
              <w:t>ITEM 11.</w:t>
            </w:r>
          </w:p>
        </w:tc>
        <w:tc>
          <w:tcPr>
            <w:tcW w:w="7740" w:type="dxa"/>
            <w:vAlign w:val="bottom"/>
          </w:tcPr>
          <w:p>
            <w:pPr>
              <w:ind w:left="60"/>
              <w:spacing w:after="0"/>
              <w:rPr>
                <w:sz w:val="20"/>
                <w:szCs w:val="20"/>
                <w:color w:val="auto"/>
              </w:rPr>
            </w:pPr>
            <w:r>
              <w:rPr>
                <w:rFonts w:ascii="Arial" w:cs="Arial" w:eastAsia="Arial" w:hAnsi="Arial"/>
                <w:sz w:val="14"/>
                <w:szCs w:val="14"/>
                <w:color w:val="131E29"/>
              </w:rPr>
              <w:t>Executive Compensation</w:t>
            </w:r>
          </w:p>
        </w:tc>
        <w:tc>
          <w:tcPr>
            <w:tcW w:w="1640" w:type="dxa"/>
            <w:vAlign w:val="bottom"/>
          </w:tcPr>
          <w:p>
            <w:pPr>
              <w:jc w:val="center"/>
              <w:ind w:left="9"/>
              <w:spacing w:after="0"/>
              <w:rPr>
                <w:sz w:val="20"/>
                <w:szCs w:val="20"/>
                <w:color w:val="auto"/>
              </w:rPr>
            </w:pPr>
            <w:r>
              <w:rPr>
                <w:rFonts w:ascii="Arial" w:cs="Arial" w:eastAsia="Arial" w:hAnsi="Arial"/>
                <w:sz w:val="14"/>
                <w:szCs w:val="14"/>
                <w:color w:val="131E29"/>
              </w:rPr>
              <w:t>139</w:t>
            </w:r>
          </w:p>
        </w:tc>
      </w:tr>
      <w:tr>
        <w:trPr>
          <w:trHeight w:val="22"/>
        </w:trPr>
        <w:tc>
          <w:tcPr>
            <w:tcW w:w="1900" w:type="dxa"/>
            <w:vAlign w:val="bottom"/>
            <w:tcBorders>
              <w:bottom w:val="single" w:sz="8" w:color="D2DCE5"/>
            </w:tcBorders>
          </w:tcPr>
          <w:p>
            <w:pPr>
              <w:spacing w:after="0" w:line="20" w:lineRule="exact"/>
              <w:rPr>
                <w:sz w:val="1"/>
                <w:szCs w:val="1"/>
                <w:color w:val="auto"/>
              </w:rPr>
            </w:pPr>
          </w:p>
        </w:tc>
        <w:tc>
          <w:tcPr>
            <w:tcW w:w="7740" w:type="dxa"/>
            <w:vAlign w:val="bottom"/>
            <w:tcBorders>
              <w:bottom w:val="single" w:sz="8" w:color="D2DCE5"/>
            </w:tcBorders>
          </w:tcPr>
          <w:p>
            <w:pPr>
              <w:spacing w:after="0" w:line="20" w:lineRule="exact"/>
              <w:rPr>
                <w:sz w:val="1"/>
                <w:szCs w:val="1"/>
                <w:color w:val="auto"/>
              </w:rPr>
            </w:pPr>
          </w:p>
        </w:tc>
        <w:tc>
          <w:tcPr>
            <w:tcW w:w="1640" w:type="dxa"/>
            <w:vAlign w:val="bottom"/>
            <w:tcBorders>
              <w:bottom w:val="single" w:sz="8" w:color="D2DCE5"/>
            </w:tcBorders>
          </w:tcPr>
          <w:p>
            <w:pPr>
              <w:spacing w:after="0" w:line="20" w:lineRule="exact"/>
              <w:rPr>
                <w:sz w:val="1"/>
                <w:szCs w:val="1"/>
                <w:color w:val="auto"/>
              </w:rPr>
            </w:pPr>
          </w:p>
        </w:tc>
      </w:tr>
      <w:tr>
        <w:trPr>
          <w:trHeight w:val="181"/>
        </w:trPr>
        <w:tc>
          <w:tcPr>
            <w:tcW w:w="1900" w:type="dxa"/>
            <w:vAlign w:val="bottom"/>
          </w:tcPr>
          <w:p>
            <w:pPr>
              <w:ind w:left="100"/>
              <w:spacing w:after="0"/>
              <w:rPr>
                <w:sz w:val="20"/>
                <w:szCs w:val="20"/>
                <w:color w:val="auto"/>
              </w:rPr>
            </w:pPr>
            <w:r>
              <w:rPr>
                <w:rFonts w:ascii="Arial" w:cs="Arial" w:eastAsia="Arial" w:hAnsi="Arial"/>
                <w:sz w:val="14"/>
                <w:szCs w:val="14"/>
                <w:color w:val="131E29"/>
              </w:rPr>
              <w:t>ITEM 12.</w:t>
            </w:r>
          </w:p>
        </w:tc>
        <w:tc>
          <w:tcPr>
            <w:tcW w:w="7740" w:type="dxa"/>
            <w:vAlign w:val="bottom"/>
          </w:tcPr>
          <w:p>
            <w:pPr>
              <w:ind w:left="60"/>
              <w:spacing w:after="0"/>
              <w:rPr>
                <w:sz w:val="20"/>
                <w:szCs w:val="20"/>
                <w:color w:val="auto"/>
              </w:rPr>
            </w:pPr>
            <w:r>
              <w:rPr>
                <w:rFonts w:ascii="Arial" w:cs="Arial" w:eastAsia="Arial" w:hAnsi="Arial"/>
                <w:sz w:val="14"/>
                <w:szCs w:val="14"/>
                <w:color w:val="131E29"/>
              </w:rPr>
              <w:t>Security Ownership of Certain Beneficial Owners and Management and Related Stockholder Matters</w:t>
            </w:r>
          </w:p>
        </w:tc>
        <w:tc>
          <w:tcPr>
            <w:tcW w:w="1640" w:type="dxa"/>
            <w:vAlign w:val="bottom"/>
          </w:tcPr>
          <w:p>
            <w:pPr>
              <w:jc w:val="center"/>
              <w:ind w:left="9"/>
              <w:spacing w:after="0"/>
              <w:rPr>
                <w:sz w:val="20"/>
                <w:szCs w:val="20"/>
                <w:color w:val="auto"/>
              </w:rPr>
            </w:pPr>
            <w:r>
              <w:rPr>
                <w:rFonts w:ascii="Arial" w:cs="Arial" w:eastAsia="Arial" w:hAnsi="Arial"/>
                <w:sz w:val="14"/>
                <w:szCs w:val="14"/>
                <w:color w:val="131E29"/>
              </w:rPr>
              <w:t>139</w:t>
            </w:r>
          </w:p>
        </w:tc>
      </w:tr>
      <w:tr>
        <w:trPr>
          <w:trHeight w:val="22"/>
        </w:trPr>
        <w:tc>
          <w:tcPr>
            <w:tcW w:w="1900" w:type="dxa"/>
            <w:vAlign w:val="bottom"/>
            <w:tcBorders>
              <w:bottom w:val="single" w:sz="8" w:color="D2DCE5"/>
            </w:tcBorders>
          </w:tcPr>
          <w:p>
            <w:pPr>
              <w:spacing w:after="0" w:line="20" w:lineRule="exact"/>
              <w:rPr>
                <w:sz w:val="1"/>
                <w:szCs w:val="1"/>
                <w:color w:val="auto"/>
              </w:rPr>
            </w:pPr>
          </w:p>
        </w:tc>
        <w:tc>
          <w:tcPr>
            <w:tcW w:w="7740" w:type="dxa"/>
            <w:vAlign w:val="bottom"/>
            <w:tcBorders>
              <w:bottom w:val="single" w:sz="8" w:color="D2DCE5"/>
            </w:tcBorders>
          </w:tcPr>
          <w:p>
            <w:pPr>
              <w:spacing w:after="0" w:line="20" w:lineRule="exact"/>
              <w:rPr>
                <w:sz w:val="1"/>
                <w:szCs w:val="1"/>
                <w:color w:val="auto"/>
              </w:rPr>
            </w:pPr>
          </w:p>
        </w:tc>
        <w:tc>
          <w:tcPr>
            <w:tcW w:w="1640" w:type="dxa"/>
            <w:vAlign w:val="bottom"/>
            <w:tcBorders>
              <w:bottom w:val="single" w:sz="8" w:color="D2DCE5"/>
            </w:tcBorders>
          </w:tcPr>
          <w:p>
            <w:pPr>
              <w:spacing w:after="0" w:line="20" w:lineRule="exact"/>
              <w:rPr>
                <w:sz w:val="1"/>
                <w:szCs w:val="1"/>
                <w:color w:val="auto"/>
              </w:rPr>
            </w:pPr>
          </w:p>
        </w:tc>
      </w:tr>
      <w:tr>
        <w:trPr>
          <w:trHeight w:val="181"/>
        </w:trPr>
        <w:tc>
          <w:tcPr>
            <w:tcW w:w="1900" w:type="dxa"/>
            <w:vAlign w:val="bottom"/>
          </w:tcPr>
          <w:p>
            <w:pPr>
              <w:ind w:left="100"/>
              <w:spacing w:after="0"/>
              <w:rPr>
                <w:sz w:val="20"/>
                <w:szCs w:val="20"/>
                <w:color w:val="auto"/>
              </w:rPr>
            </w:pPr>
            <w:r>
              <w:rPr>
                <w:rFonts w:ascii="Arial" w:cs="Arial" w:eastAsia="Arial" w:hAnsi="Arial"/>
                <w:sz w:val="14"/>
                <w:szCs w:val="14"/>
                <w:color w:val="131E29"/>
              </w:rPr>
              <w:t>ITEM 13.</w:t>
            </w:r>
          </w:p>
        </w:tc>
        <w:tc>
          <w:tcPr>
            <w:tcW w:w="7740" w:type="dxa"/>
            <w:vAlign w:val="bottom"/>
          </w:tcPr>
          <w:p>
            <w:pPr>
              <w:ind w:left="60"/>
              <w:spacing w:after="0"/>
              <w:rPr>
                <w:sz w:val="20"/>
                <w:szCs w:val="20"/>
                <w:color w:val="auto"/>
              </w:rPr>
            </w:pPr>
            <w:r>
              <w:rPr>
                <w:rFonts w:ascii="Arial" w:cs="Arial" w:eastAsia="Arial" w:hAnsi="Arial"/>
                <w:sz w:val="14"/>
                <w:szCs w:val="14"/>
                <w:color w:val="131E29"/>
              </w:rPr>
              <w:t>Certain Relationships and Related Transactions, and Director Independence</w:t>
            </w:r>
          </w:p>
        </w:tc>
        <w:tc>
          <w:tcPr>
            <w:tcW w:w="1640" w:type="dxa"/>
            <w:vAlign w:val="bottom"/>
          </w:tcPr>
          <w:p>
            <w:pPr>
              <w:jc w:val="center"/>
              <w:ind w:left="9"/>
              <w:spacing w:after="0"/>
              <w:rPr>
                <w:sz w:val="20"/>
                <w:szCs w:val="20"/>
                <w:color w:val="auto"/>
              </w:rPr>
            </w:pPr>
            <w:r>
              <w:rPr>
                <w:rFonts w:ascii="Arial" w:cs="Arial" w:eastAsia="Arial" w:hAnsi="Arial"/>
                <w:sz w:val="14"/>
                <w:szCs w:val="14"/>
                <w:color w:val="131E29"/>
              </w:rPr>
              <w:t>139</w:t>
            </w:r>
          </w:p>
        </w:tc>
      </w:tr>
      <w:tr>
        <w:trPr>
          <w:trHeight w:val="22"/>
        </w:trPr>
        <w:tc>
          <w:tcPr>
            <w:tcW w:w="1900" w:type="dxa"/>
            <w:vAlign w:val="bottom"/>
            <w:tcBorders>
              <w:bottom w:val="single" w:sz="8" w:color="D2DCE5"/>
            </w:tcBorders>
          </w:tcPr>
          <w:p>
            <w:pPr>
              <w:spacing w:after="0" w:line="20" w:lineRule="exact"/>
              <w:rPr>
                <w:sz w:val="1"/>
                <w:szCs w:val="1"/>
                <w:color w:val="auto"/>
              </w:rPr>
            </w:pPr>
          </w:p>
        </w:tc>
        <w:tc>
          <w:tcPr>
            <w:tcW w:w="7740" w:type="dxa"/>
            <w:vAlign w:val="bottom"/>
            <w:tcBorders>
              <w:bottom w:val="single" w:sz="8" w:color="D2DCE5"/>
            </w:tcBorders>
          </w:tcPr>
          <w:p>
            <w:pPr>
              <w:spacing w:after="0" w:line="20" w:lineRule="exact"/>
              <w:rPr>
                <w:sz w:val="1"/>
                <w:szCs w:val="1"/>
                <w:color w:val="auto"/>
              </w:rPr>
            </w:pPr>
          </w:p>
        </w:tc>
        <w:tc>
          <w:tcPr>
            <w:tcW w:w="1640" w:type="dxa"/>
            <w:vAlign w:val="bottom"/>
            <w:tcBorders>
              <w:bottom w:val="single" w:sz="8" w:color="D2DCE5"/>
            </w:tcBorders>
          </w:tcPr>
          <w:p>
            <w:pPr>
              <w:spacing w:after="0" w:line="20" w:lineRule="exact"/>
              <w:rPr>
                <w:sz w:val="1"/>
                <w:szCs w:val="1"/>
                <w:color w:val="auto"/>
              </w:rPr>
            </w:pPr>
          </w:p>
        </w:tc>
      </w:tr>
      <w:tr>
        <w:trPr>
          <w:trHeight w:val="181"/>
        </w:trPr>
        <w:tc>
          <w:tcPr>
            <w:tcW w:w="1900" w:type="dxa"/>
            <w:vAlign w:val="bottom"/>
          </w:tcPr>
          <w:p>
            <w:pPr>
              <w:ind w:left="100"/>
              <w:spacing w:after="0"/>
              <w:rPr>
                <w:sz w:val="20"/>
                <w:szCs w:val="20"/>
                <w:color w:val="auto"/>
              </w:rPr>
            </w:pPr>
            <w:r>
              <w:rPr>
                <w:rFonts w:ascii="Arial" w:cs="Arial" w:eastAsia="Arial" w:hAnsi="Arial"/>
                <w:sz w:val="14"/>
                <w:szCs w:val="14"/>
                <w:color w:val="131E29"/>
              </w:rPr>
              <w:t>ITEM 14.</w:t>
            </w:r>
          </w:p>
        </w:tc>
        <w:tc>
          <w:tcPr>
            <w:tcW w:w="7740" w:type="dxa"/>
            <w:vAlign w:val="bottom"/>
          </w:tcPr>
          <w:p>
            <w:pPr>
              <w:ind w:left="60"/>
              <w:spacing w:after="0"/>
              <w:rPr>
                <w:sz w:val="20"/>
                <w:szCs w:val="20"/>
                <w:color w:val="auto"/>
              </w:rPr>
            </w:pPr>
            <w:r>
              <w:rPr>
                <w:rFonts w:ascii="Arial" w:cs="Arial" w:eastAsia="Arial" w:hAnsi="Arial"/>
                <w:sz w:val="14"/>
                <w:szCs w:val="14"/>
                <w:color w:val="131E29"/>
              </w:rPr>
              <w:t>Principal Accountant Fees and Services</w:t>
            </w:r>
          </w:p>
        </w:tc>
        <w:tc>
          <w:tcPr>
            <w:tcW w:w="1640" w:type="dxa"/>
            <w:vAlign w:val="bottom"/>
          </w:tcPr>
          <w:p>
            <w:pPr>
              <w:jc w:val="center"/>
              <w:ind w:left="9"/>
              <w:spacing w:after="0"/>
              <w:rPr>
                <w:sz w:val="20"/>
                <w:szCs w:val="20"/>
                <w:color w:val="auto"/>
              </w:rPr>
            </w:pPr>
            <w:r>
              <w:rPr>
                <w:rFonts w:ascii="Arial" w:cs="Arial" w:eastAsia="Arial" w:hAnsi="Arial"/>
                <w:sz w:val="14"/>
                <w:szCs w:val="14"/>
                <w:color w:val="131E29"/>
              </w:rPr>
              <w:t>139</w:t>
            </w:r>
          </w:p>
        </w:tc>
      </w:tr>
      <w:tr>
        <w:trPr>
          <w:trHeight w:val="22"/>
        </w:trPr>
        <w:tc>
          <w:tcPr>
            <w:tcW w:w="1900" w:type="dxa"/>
            <w:vAlign w:val="bottom"/>
            <w:tcBorders>
              <w:bottom w:val="single" w:sz="8" w:color="D2DCE5"/>
            </w:tcBorders>
          </w:tcPr>
          <w:p>
            <w:pPr>
              <w:spacing w:after="0" w:line="20" w:lineRule="exact"/>
              <w:rPr>
                <w:sz w:val="1"/>
                <w:szCs w:val="1"/>
                <w:color w:val="auto"/>
              </w:rPr>
            </w:pPr>
          </w:p>
        </w:tc>
        <w:tc>
          <w:tcPr>
            <w:tcW w:w="7740" w:type="dxa"/>
            <w:vAlign w:val="bottom"/>
            <w:tcBorders>
              <w:bottom w:val="single" w:sz="8" w:color="D2DCE5"/>
            </w:tcBorders>
          </w:tcPr>
          <w:p>
            <w:pPr>
              <w:spacing w:after="0" w:line="20" w:lineRule="exact"/>
              <w:rPr>
                <w:sz w:val="1"/>
                <w:szCs w:val="1"/>
                <w:color w:val="auto"/>
              </w:rPr>
            </w:pPr>
          </w:p>
        </w:tc>
        <w:tc>
          <w:tcPr>
            <w:tcW w:w="1640" w:type="dxa"/>
            <w:vAlign w:val="bottom"/>
            <w:tcBorders>
              <w:bottom w:val="single" w:sz="8" w:color="D2DCE5"/>
            </w:tcBorders>
          </w:tcPr>
          <w:p>
            <w:pPr>
              <w:spacing w:after="0" w:line="20" w:lineRule="exact"/>
              <w:rPr>
                <w:sz w:val="1"/>
                <w:szCs w:val="1"/>
                <w:color w:val="auto"/>
              </w:rPr>
            </w:pPr>
          </w:p>
        </w:tc>
      </w:tr>
      <w:tr>
        <w:trPr>
          <w:trHeight w:val="298"/>
        </w:trPr>
        <w:tc>
          <w:tcPr>
            <w:tcW w:w="1900" w:type="dxa"/>
            <w:vAlign w:val="bottom"/>
          </w:tcPr>
          <w:p>
            <w:pPr>
              <w:ind w:left="20"/>
              <w:spacing w:after="0"/>
              <w:rPr>
                <w:sz w:val="20"/>
                <w:szCs w:val="20"/>
                <w:color w:val="auto"/>
              </w:rPr>
            </w:pPr>
            <w:r>
              <w:rPr>
                <w:rFonts w:ascii="Arial" w:cs="Arial" w:eastAsia="Arial" w:hAnsi="Arial"/>
                <w:sz w:val="14"/>
                <w:szCs w:val="14"/>
                <w:b w:val="1"/>
                <w:bCs w:val="1"/>
                <w:color w:val="006098"/>
              </w:rPr>
              <w:t>PART IV</w:t>
            </w:r>
          </w:p>
        </w:tc>
        <w:tc>
          <w:tcPr>
            <w:tcW w:w="77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34"/>
        </w:trPr>
        <w:tc>
          <w:tcPr>
            <w:tcW w:w="1900" w:type="dxa"/>
            <w:vAlign w:val="bottom"/>
            <w:tcBorders>
              <w:bottom w:val="single" w:sz="8" w:color="FDE021"/>
            </w:tcBorders>
          </w:tcPr>
          <w:p>
            <w:pPr>
              <w:spacing w:after="0"/>
              <w:rPr>
                <w:sz w:val="11"/>
                <w:szCs w:val="11"/>
                <w:color w:val="auto"/>
              </w:rPr>
            </w:pPr>
          </w:p>
        </w:tc>
        <w:tc>
          <w:tcPr>
            <w:tcW w:w="7740" w:type="dxa"/>
            <w:vAlign w:val="bottom"/>
            <w:tcBorders>
              <w:bottom w:val="single" w:sz="8" w:color="FDE021"/>
            </w:tcBorders>
          </w:tcPr>
          <w:p>
            <w:pPr>
              <w:spacing w:after="0"/>
              <w:rPr>
                <w:sz w:val="11"/>
                <w:szCs w:val="11"/>
                <w:color w:val="auto"/>
              </w:rPr>
            </w:pPr>
          </w:p>
        </w:tc>
        <w:tc>
          <w:tcPr>
            <w:tcW w:w="1640" w:type="dxa"/>
            <w:vAlign w:val="bottom"/>
            <w:tcBorders>
              <w:bottom w:val="single" w:sz="8" w:color="FDE021"/>
            </w:tcBorders>
          </w:tcPr>
          <w:p>
            <w:pPr>
              <w:spacing w:after="0"/>
              <w:rPr>
                <w:sz w:val="11"/>
                <w:szCs w:val="11"/>
                <w:color w:val="auto"/>
              </w:rPr>
            </w:pPr>
          </w:p>
        </w:tc>
      </w:tr>
      <w:tr>
        <w:trPr>
          <w:trHeight w:val="191"/>
        </w:trPr>
        <w:tc>
          <w:tcPr>
            <w:tcW w:w="1900" w:type="dxa"/>
            <w:vAlign w:val="bottom"/>
            <w:tcBorders>
              <w:top w:val="single" w:sz="8" w:color="00416B"/>
            </w:tcBorders>
          </w:tcPr>
          <w:p>
            <w:pPr>
              <w:ind w:left="100"/>
              <w:spacing w:after="0"/>
              <w:rPr>
                <w:sz w:val="20"/>
                <w:szCs w:val="20"/>
                <w:color w:val="auto"/>
              </w:rPr>
            </w:pPr>
            <w:r>
              <w:rPr>
                <w:rFonts w:ascii="Arial" w:cs="Arial" w:eastAsia="Arial" w:hAnsi="Arial"/>
                <w:sz w:val="14"/>
                <w:szCs w:val="14"/>
                <w:color w:val="131E29"/>
              </w:rPr>
              <w:t>ITEM 15.</w:t>
            </w:r>
          </w:p>
        </w:tc>
        <w:tc>
          <w:tcPr>
            <w:tcW w:w="7740" w:type="dxa"/>
            <w:vAlign w:val="bottom"/>
            <w:tcBorders>
              <w:top w:val="single" w:sz="8" w:color="00416B"/>
            </w:tcBorders>
          </w:tcPr>
          <w:p>
            <w:pPr>
              <w:ind w:left="60"/>
              <w:spacing w:after="0"/>
              <w:rPr>
                <w:sz w:val="20"/>
                <w:szCs w:val="20"/>
                <w:color w:val="auto"/>
              </w:rPr>
            </w:pPr>
            <w:r>
              <w:rPr>
                <w:rFonts w:ascii="Arial" w:cs="Arial" w:eastAsia="Arial" w:hAnsi="Arial"/>
                <w:sz w:val="14"/>
                <w:szCs w:val="14"/>
                <w:color w:val="131E29"/>
              </w:rPr>
              <w:t>Exhibits and Financial Statement Schedules</w:t>
            </w:r>
          </w:p>
        </w:tc>
        <w:tc>
          <w:tcPr>
            <w:tcW w:w="1640" w:type="dxa"/>
            <w:vAlign w:val="bottom"/>
            <w:tcBorders>
              <w:top w:val="single" w:sz="8" w:color="00416B"/>
            </w:tcBorders>
          </w:tcPr>
          <w:p>
            <w:pPr>
              <w:jc w:val="center"/>
              <w:ind w:left="9"/>
              <w:spacing w:after="0"/>
              <w:rPr>
                <w:sz w:val="20"/>
                <w:szCs w:val="20"/>
                <w:color w:val="auto"/>
              </w:rPr>
            </w:pPr>
            <w:r>
              <w:rPr>
                <w:rFonts w:ascii="Arial" w:cs="Arial" w:eastAsia="Arial" w:hAnsi="Arial"/>
                <w:sz w:val="14"/>
                <w:szCs w:val="14"/>
                <w:color w:val="131E29"/>
              </w:rPr>
              <w:t>140</w:t>
            </w:r>
          </w:p>
        </w:tc>
      </w:tr>
      <w:tr>
        <w:trPr>
          <w:trHeight w:val="22"/>
        </w:trPr>
        <w:tc>
          <w:tcPr>
            <w:tcW w:w="1900" w:type="dxa"/>
            <w:vAlign w:val="bottom"/>
            <w:tcBorders>
              <w:bottom w:val="single" w:sz="8" w:color="D2DCE5"/>
            </w:tcBorders>
          </w:tcPr>
          <w:p>
            <w:pPr>
              <w:spacing w:after="0" w:line="20" w:lineRule="exact"/>
              <w:rPr>
                <w:sz w:val="1"/>
                <w:szCs w:val="1"/>
                <w:color w:val="auto"/>
              </w:rPr>
            </w:pPr>
          </w:p>
        </w:tc>
        <w:tc>
          <w:tcPr>
            <w:tcW w:w="7740" w:type="dxa"/>
            <w:vAlign w:val="bottom"/>
            <w:tcBorders>
              <w:bottom w:val="single" w:sz="8" w:color="D2DCE5"/>
            </w:tcBorders>
          </w:tcPr>
          <w:p>
            <w:pPr>
              <w:spacing w:after="0" w:line="20" w:lineRule="exact"/>
              <w:rPr>
                <w:sz w:val="1"/>
                <w:szCs w:val="1"/>
                <w:color w:val="auto"/>
              </w:rPr>
            </w:pPr>
          </w:p>
        </w:tc>
        <w:tc>
          <w:tcPr>
            <w:tcW w:w="1640" w:type="dxa"/>
            <w:vAlign w:val="bottom"/>
            <w:tcBorders>
              <w:bottom w:val="single" w:sz="8" w:color="D2DCE5"/>
            </w:tcBorders>
          </w:tcPr>
          <w:p>
            <w:pPr>
              <w:spacing w:after="0" w:line="20" w:lineRule="exact"/>
              <w:rPr>
                <w:sz w:val="1"/>
                <w:szCs w:val="1"/>
                <w:color w:val="auto"/>
              </w:rPr>
            </w:pPr>
          </w:p>
        </w:tc>
      </w:tr>
      <w:tr>
        <w:trPr>
          <w:trHeight w:val="181"/>
        </w:trPr>
        <w:tc>
          <w:tcPr>
            <w:tcW w:w="1900" w:type="dxa"/>
            <w:vAlign w:val="bottom"/>
          </w:tcPr>
          <w:p>
            <w:pPr>
              <w:ind w:left="100"/>
              <w:spacing w:after="0"/>
              <w:rPr>
                <w:sz w:val="20"/>
                <w:szCs w:val="20"/>
                <w:color w:val="auto"/>
              </w:rPr>
            </w:pPr>
            <w:r>
              <w:rPr>
                <w:rFonts w:ascii="Arial" w:cs="Arial" w:eastAsia="Arial" w:hAnsi="Arial"/>
                <w:sz w:val="14"/>
                <w:szCs w:val="14"/>
                <w:color w:val="131E29"/>
              </w:rPr>
              <w:t>ITEM 16.</w:t>
            </w:r>
          </w:p>
        </w:tc>
        <w:tc>
          <w:tcPr>
            <w:tcW w:w="7740" w:type="dxa"/>
            <w:vAlign w:val="bottom"/>
          </w:tcPr>
          <w:p>
            <w:pPr>
              <w:ind w:left="60"/>
              <w:spacing w:after="0"/>
              <w:rPr>
                <w:sz w:val="20"/>
                <w:szCs w:val="20"/>
                <w:color w:val="auto"/>
              </w:rPr>
            </w:pPr>
            <w:r>
              <w:rPr>
                <w:rFonts w:ascii="Arial" w:cs="Arial" w:eastAsia="Arial" w:hAnsi="Arial"/>
                <w:sz w:val="14"/>
                <w:szCs w:val="14"/>
                <w:color w:val="131E29"/>
              </w:rPr>
              <w:t>Form 10-K Summary</w:t>
            </w:r>
          </w:p>
        </w:tc>
        <w:tc>
          <w:tcPr>
            <w:tcW w:w="1640" w:type="dxa"/>
            <w:vAlign w:val="bottom"/>
          </w:tcPr>
          <w:p>
            <w:pPr>
              <w:jc w:val="center"/>
              <w:ind w:left="9"/>
              <w:spacing w:after="0"/>
              <w:rPr>
                <w:sz w:val="20"/>
                <w:szCs w:val="20"/>
                <w:color w:val="auto"/>
              </w:rPr>
            </w:pPr>
            <w:r>
              <w:rPr>
                <w:rFonts w:ascii="Arial" w:cs="Arial" w:eastAsia="Arial" w:hAnsi="Arial"/>
                <w:sz w:val="14"/>
                <w:szCs w:val="14"/>
                <w:color w:val="131E29"/>
              </w:rPr>
              <w:t>142</w:t>
            </w:r>
          </w:p>
        </w:tc>
      </w:tr>
      <w:tr>
        <w:trPr>
          <w:trHeight w:val="22"/>
        </w:trPr>
        <w:tc>
          <w:tcPr>
            <w:tcW w:w="1900" w:type="dxa"/>
            <w:vAlign w:val="bottom"/>
            <w:tcBorders>
              <w:bottom w:val="single" w:sz="8" w:color="D2DCE5"/>
            </w:tcBorders>
          </w:tcPr>
          <w:p>
            <w:pPr>
              <w:spacing w:after="0" w:line="20" w:lineRule="exact"/>
              <w:rPr>
                <w:sz w:val="1"/>
                <w:szCs w:val="1"/>
                <w:color w:val="auto"/>
              </w:rPr>
            </w:pPr>
          </w:p>
        </w:tc>
        <w:tc>
          <w:tcPr>
            <w:tcW w:w="7740" w:type="dxa"/>
            <w:vAlign w:val="bottom"/>
            <w:tcBorders>
              <w:bottom w:val="single" w:sz="8" w:color="D2DCE5"/>
            </w:tcBorders>
          </w:tcPr>
          <w:p>
            <w:pPr>
              <w:spacing w:after="0" w:line="20" w:lineRule="exact"/>
              <w:rPr>
                <w:sz w:val="1"/>
                <w:szCs w:val="1"/>
                <w:color w:val="auto"/>
              </w:rPr>
            </w:pPr>
          </w:p>
        </w:tc>
        <w:tc>
          <w:tcPr>
            <w:tcW w:w="1640" w:type="dxa"/>
            <w:vAlign w:val="bottom"/>
            <w:tcBorders>
              <w:bottom w:val="single" w:sz="8" w:color="D2DCE5"/>
            </w:tcBorders>
          </w:tcPr>
          <w:p>
            <w:pPr>
              <w:spacing w:after="0" w:line="20" w:lineRule="exact"/>
              <w:rPr>
                <w:sz w:val="1"/>
                <w:szCs w:val="1"/>
                <w:color w:val="auto"/>
              </w:rPr>
            </w:pPr>
          </w:p>
        </w:tc>
      </w:tr>
      <w:tr>
        <w:trPr>
          <w:trHeight w:val="203"/>
        </w:trPr>
        <w:tc>
          <w:tcPr>
            <w:tcW w:w="1900" w:type="dxa"/>
            <w:vAlign w:val="bottom"/>
            <w:tcBorders>
              <w:bottom w:val="single" w:sz="8" w:color="D2DCE5"/>
            </w:tcBorders>
          </w:tcPr>
          <w:p>
            <w:pPr>
              <w:spacing w:after="0"/>
              <w:rPr>
                <w:sz w:val="17"/>
                <w:szCs w:val="17"/>
                <w:color w:val="auto"/>
              </w:rPr>
            </w:pPr>
          </w:p>
        </w:tc>
        <w:tc>
          <w:tcPr>
            <w:tcW w:w="7740" w:type="dxa"/>
            <w:vAlign w:val="bottom"/>
            <w:tcBorders>
              <w:bottom w:val="single" w:sz="8" w:color="D2DCE5"/>
            </w:tcBorders>
          </w:tcPr>
          <w:p>
            <w:pPr>
              <w:spacing w:after="0"/>
              <w:rPr>
                <w:sz w:val="17"/>
                <w:szCs w:val="17"/>
                <w:color w:val="auto"/>
              </w:rPr>
            </w:pPr>
          </w:p>
        </w:tc>
        <w:tc>
          <w:tcPr>
            <w:tcW w:w="1640" w:type="dxa"/>
            <w:vAlign w:val="bottom"/>
            <w:tcBorders>
              <w:bottom w:val="single" w:sz="8" w:color="D2DCE5"/>
            </w:tcBorders>
          </w:tcPr>
          <w:p>
            <w:pPr>
              <w:spacing w:after="0"/>
              <w:rPr>
                <w:sz w:val="17"/>
                <w:szCs w:val="17"/>
                <w:color w:val="auto"/>
              </w:rPr>
            </w:pPr>
          </w:p>
        </w:tc>
      </w:tr>
      <w:tr>
        <w:trPr>
          <w:trHeight w:val="181"/>
        </w:trPr>
        <w:tc>
          <w:tcPr>
            <w:tcW w:w="1900" w:type="dxa"/>
            <w:vAlign w:val="bottom"/>
          </w:tcPr>
          <w:p>
            <w:pPr>
              <w:ind w:left="20"/>
              <w:spacing w:after="0"/>
              <w:rPr>
                <w:sz w:val="20"/>
                <w:szCs w:val="20"/>
                <w:color w:val="auto"/>
              </w:rPr>
            </w:pPr>
            <w:r>
              <w:rPr>
                <w:rFonts w:ascii="Arial" w:cs="Arial" w:eastAsia="Arial" w:hAnsi="Arial"/>
                <w:sz w:val="14"/>
                <w:szCs w:val="14"/>
                <w:b w:val="1"/>
                <w:bCs w:val="1"/>
                <w:color w:val="006098"/>
              </w:rPr>
              <w:t>SIGNATURES</w:t>
            </w:r>
          </w:p>
        </w:tc>
        <w:tc>
          <w:tcPr>
            <w:tcW w:w="7740" w:type="dxa"/>
            <w:vAlign w:val="bottom"/>
          </w:tcPr>
          <w:p>
            <w:pPr>
              <w:spacing w:after="0"/>
              <w:rPr>
                <w:sz w:val="15"/>
                <w:szCs w:val="15"/>
                <w:color w:val="auto"/>
              </w:rPr>
            </w:pPr>
          </w:p>
        </w:tc>
        <w:tc>
          <w:tcPr>
            <w:tcW w:w="1640" w:type="dxa"/>
            <w:vAlign w:val="bottom"/>
          </w:tcPr>
          <w:p>
            <w:pPr>
              <w:jc w:val="center"/>
              <w:ind w:left="9"/>
              <w:spacing w:after="0"/>
              <w:rPr>
                <w:sz w:val="20"/>
                <w:szCs w:val="20"/>
                <w:color w:val="auto"/>
              </w:rPr>
            </w:pPr>
            <w:r>
              <w:rPr>
                <w:rFonts w:ascii="Arial" w:cs="Arial" w:eastAsia="Arial" w:hAnsi="Arial"/>
                <w:sz w:val="14"/>
                <w:szCs w:val="14"/>
                <w:color w:val="131E29"/>
              </w:rPr>
              <w:t>143</w:t>
            </w:r>
          </w:p>
        </w:tc>
      </w:tr>
      <w:tr>
        <w:trPr>
          <w:trHeight w:val="134"/>
        </w:trPr>
        <w:tc>
          <w:tcPr>
            <w:tcW w:w="1900" w:type="dxa"/>
            <w:vAlign w:val="bottom"/>
            <w:tcBorders>
              <w:bottom w:val="single" w:sz="8" w:color="FDE021"/>
            </w:tcBorders>
          </w:tcPr>
          <w:p>
            <w:pPr>
              <w:spacing w:after="0"/>
              <w:rPr>
                <w:sz w:val="11"/>
                <w:szCs w:val="11"/>
                <w:color w:val="auto"/>
              </w:rPr>
            </w:pPr>
          </w:p>
        </w:tc>
        <w:tc>
          <w:tcPr>
            <w:tcW w:w="7740" w:type="dxa"/>
            <w:vAlign w:val="bottom"/>
            <w:tcBorders>
              <w:bottom w:val="single" w:sz="8" w:color="FDE021"/>
            </w:tcBorders>
          </w:tcPr>
          <w:p>
            <w:pPr>
              <w:spacing w:after="0"/>
              <w:rPr>
                <w:sz w:val="11"/>
                <w:szCs w:val="11"/>
                <w:color w:val="auto"/>
              </w:rPr>
            </w:pPr>
          </w:p>
        </w:tc>
        <w:tc>
          <w:tcPr>
            <w:tcW w:w="1640" w:type="dxa"/>
            <w:vAlign w:val="bottom"/>
            <w:tcBorders>
              <w:bottom w:val="single" w:sz="8" w:color="FDE021"/>
            </w:tcBorders>
          </w:tcPr>
          <w:p>
            <w:pPr>
              <w:spacing w:after="0"/>
              <w:rPr>
                <w:sz w:val="11"/>
                <w:szCs w:val="11"/>
                <w:color w:val="auto"/>
              </w:rPr>
            </w:pPr>
          </w:p>
        </w:tc>
      </w:tr>
      <w:tr>
        <w:trPr>
          <w:trHeight w:val="1306"/>
        </w:trPr>
        <w:tc>
          <w:tcPr>
            <w:tcW w:w="1900" w:type="dxa"/>
            <w:vAlign w:val="bottom"/>
            <w:tcBorders>
              <w:top w:val="single" w:sz="8" w:color="00416B"/>
              <w:bottom w:val="single" w:sz="8" w:color="9A9A9A"/>
            </w:tcBorders>
          </w:tcPr>
          <w:p>
            <w:pPr>
              <w:spacing w:after="0"/>
              <w:rPr>
                <w:sz w:val="24"/>
                <w:szCs w:val="24"/>
                <w:color w:val="auto"/>
              </w:rPr>
            </w:pPr>
          </w:p>
        </w:tc>
        <w:tc>
          <w:tcPr>
            <w:tcW w:w="7740" w:type="dxa"/>
            <w:vAlign w:val="bottom"/>
            <w:tcBorders>
              <w:top w:val="single" w:sz="8" w:color="00416B"/>
              <w:bottom w:val="single" w:sz="8" w:color="9A9A9A"/>
            </w:tcBorders>
          </w:tcPr>
          <w:p>
            <w:pPr>
              <w:spacing w:after="0"/>
              <w:rPr>
                <w:sz w:val="24"/>
                <w:szCs w:val="24"/>
                <w:color w:val="auto"/>
              </w:rPr>
            </w:pPr>
          </w:p>
        </w:tc>
        <w:tc>
          <w:tcPr>
            <w:tcW w:w="1640" w:type="dxa"/>
            <w:vAlign w:val="bottom"/>
            <w:tcBorders>
              <w:top w:val="single" w:sz="8" w:color="00416B"/>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63" w:right="319" w:bottom="1440" w:gutter="0" w:footer="0" w:header="0"/>
        </w:sectPr>
      </w:pPr>
    </w:p>
    <w:bookmarkStart w:id="4" w:name="page5"/>
    <w:bookmarkEnd w:id="4"/>
    <w:p>
      <w:pPr>
        <w:spacing w:after="0"/>
        <w:rPr>
          <w:sz w:val="20"/>
          <w:szCs w:val="20"/>
          <w:color w:val="auto"/>
        </w:rPr>
      </w:pPr>
      <w:r>
        <w:rPr>
          <w:rFonts w:ascii="Arial" w:cs="Arial" w:eastAsia="Arial" w:hAnsi="Arial"/>
          <w:sz w:val="11"/>
          <w:szCs w:val="11"/>
          <w:u w:val="single" w:color="auto"/>
          <w:color w:val="006098"/>
        </w:rPr>
        <w:t>Table of Contents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GLOSSARY</w:t>
      </w:r>
    </w:p>
    <w:p>
      <w:pPr>
        <w:spacing w:after="0" w:line="33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As used in this Annual Report on Form 10-K (this Form 10-K), the terms identified below have the meanings specified below unless otherwise noted or the context requires otherwise. References in this Form 10-K to “Dutch Bros,” the “Company,” “we,” “us” and “our” refer to Dutch Bros Inc. and its consolidated subsidiaries unless the context indicates otherwise.</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20" w:type="dxa"/>
            <w:vAlign w:val="bottom"/>
            <w:gridSpan w:val="2"/>
          </w:tcPr>
          <w:p>
            <w:pPr>
              <w:ind w:left="1120"/>
              <w:spacing w:after="0"/>
              <w:rPr>
                <w:sz w:val="20"/>
                <w:szCs w:val="20"/>
                <w:color w:val="auto"/>
              </w:rPr>
            </w:pPr>
            <w:r>
              <w:rPr>
                <w:rFonts w:ascii="Arial" w:cs="Arial" w:eastAsia="Arial" w:hAnsi="Arial"/>
                <w:sz w:val="14"/>
                <w:szCs w:val="14"/>
                <w:b w:val="1"/>
                <w:bCs w:val="1"/>
                <w:color w:val="006098"/>
              </w:rPr>
              <w:t>TERM</w:t>
            </w:r>
          </w:p>
        </w:tc>
        <w:tc>
          <w:tcPr>
            <w:tcW w:w="8300" w:type="dxa"/>
            <w:vAlign w:val="bottom"/>
          </w:tcPr>
          <w:p>
            <w:pPr>
              <w:ind w:left="3740"/>
              <w:spacing w:after="0"/>
              <w:rPr>
                <w:sz w:val="20"/>
                <w:szCs w:val="20"/>
                <w:color w:val="auto"/>
              </w:rPr>
            </w:pPr>
            <w:r>
              <w:rPr>
                <w:rFonts w:ascii="Arial" w:cs="Arial" w:eastAsia="Arial" w:hAnsi="Arial"/>
                <w:sz w:val="14"/>
                <w:szCs w:val="14"/>
                <w:b w:val="1"/>
                <w:bCs w:val="1"/>
                <w:color w:val="006098"/>
              </w:rPr>
              <w:t>DEFINITION</w:t>
            </w:r>
          </w:p>
        </w:tc>
        <w:tc>
          <w:tcPr>
            <w:tcW w:w="0" w:type="dxa"/>
            <w:vAlign w:val="bottom"/>
          </w:tcPr>
          <w:p>
            <w:pPr>
              <w:spacing w:after="0"/>
              <w:rPr>
                <w:sz w:val="1"/>
                <w:szCs w:val="1"/>
                <w:color w:val="auto"/>
              </w:rPr>
            </w:pPr>
          </w:p>
        </w:tc>
      </w:tr>
      <w:tr>
        <w:trPr>
          <w:trHeight w:val="22"/>
        </w:trPr>
        <w:tc>
          <w:tcPr>
            <w:tcW w:w="2620" w:type="dxa"/>
            <w:vAlign w:val="bottom"/>
            <w:tcBorders>
              <w:bottom w:val="single" w:sz="8" w:color="D7282F"/>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8300" w:type="dxa"/>
            <w:vAlign w:val="bottom"/>
            <w:tcBorders>
              <w:bottom w:val="single" w:sz="8" w:color="D7282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7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AUV</w:t>
            </w:r>
          </w:p>
        </w:tc>
        <w:tc>
          <w:tcPr>
            <w:tcW w:w="8300" w:type="dxa"/>
            <w:vAlign w:val="bottom"/>
            <w:tcBorders>
              <w:bottom w:val="single" w:sz="8" w:color="D2DCE5"/>
            </w:tcBorders>
            <w:shd w:val="clear" w:color="auto" w:fill="D2DCE5"/>
          </w:tcPr>
          <w:p>
            <w:pPr>
              <w:spacing w:after="0"/>
              <w:rPr>
                <w:sz w:val="20"/>
                <w:szCs w:val="20"/>
                <w:color w:val="auto"/>
              </w:rPr>
            </w:pPr>
            <w:r>
              <w:rPr>
                <w:rFonts w:ascii="Arial" w:cs="Arial" w:eastAsia="Arial" w:hAnsi="Arial"/>
                <w:sz w:val="14"/>
                <w:szCs w:val="14"/>
                <w:color w:val="131E29"/>
              </w:rPr>
              <w:t>Average Unit Volume</w:t>
            </w:r>
          </w:p>
        </w:tc>
        <w:tc>
          <w:tcPr>
            <w:tcW w:w="0" w:type="dxa"/>
            <w:vAlign w:val="bottom"/>
          </w:tcPr>
          <w:p>
            <w:pPr>
              <w:spacing w:after="0"/>
              <w:rPr>
                <w:sz w:val="1"/>
                <w:szCs w:val="1"/>
                <w:color w:val="auto"/>
              </w:rPr>
            </w:pPr>
          </w:p>
        </w:tc>
      </w:tr>
      <w:tr>
        <w:trPr>
          <w:trHeight w:val="191"/>
        </w:trPr>
        <w:tc>
          <w:tcPr>
            <w:tcW w:w="2720" w:type="dxa"/>
            <w:vAlign w:val="bottom"/>
            <w:gridSpan w:val="2"/>
          </w:tcPr>
          <w:p>
            <w:pPr>
              <w:ind w:left="20"/>
              <w:spacing w:after="0"/>
              <w:rPr>
                <w:sz w:val="20"/>
                <w:szCs w:val="20"/>
                <w:color w:val="auto"/>
              </w:rPr>
            </w:pPr>
            <w:r>
              <w:rPr>
                <w:rFonts w:ascii="Arial" w:cs="Arial" w:eastAsia="Arial" w:hAnsi="Arial"/>
                <w:sz w:val="14"/>
                <w:szCs w:val="14"/>
                <w:b w:val="1"/>
                <w:bCs w:val="1"/>
                <w:color w:val="131E29"/>
              </w:rPr>
              <w:t>Blocker Companies</w:t>
            </w:r>
          </w:p>
        </w:tc>
        <w:tc>
          <w:tcPr>
            <w:tcW w:w="8300" w:type="dxa"/>
            <w:vAlign w:val="bottom"/>
          </w:tcPr>
          <w:p>
            <w:pPr>
              <w:spacing w:after="0"/>
              <w:rPr>
                <w:sz w:val="20"/>
                <w:szCs w:val="20"/>
                <w:color w:val="auto"/>
              </w:rPr>
            </w:pPr>
            <w:r>
              <w:rPr>
                <w:rFonts w:ascii="Arial" w:cs="Arial" w:eastAsia="Arial" w:hAnsi="Arial"/>
                <w:sz w:val="14"/>
                <w:szCs w:val="14"/>
                <w:color w:val="131E29"/>
              </w:rPr>
              <w:t>TSG7 A AIV VI Holdings, LLC and DG Coinvestor Blocker, LLC</w:t>
            </w:r>
          </w:p>
        </w:tc>
        <w:tc>
          <w:tcPr>
            <w:tcW w:w="0" w:type="dxa"/>
            <w:vAlign w:val="bottom"/>
          </w:tcPr>
          <w:p>
            <w:pPr>
              <w:spacing w:after="0"/>
              <w:rPr>
                <w:sz w:val="1"/>
                <w:szCs w:val="1"/>
                <w:color w:val="auto"/>
              </w:rPr>
            </w:pPr>
          </w:p>
        </w:tc>
      </w:tr>
      <w:tr>
        <w:trPr>
          <w:trHeight w:val="22"/>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7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BPS or bps</w:t>
            </w:r>
          </w:p>
        </w:tc>
        <w:tc>
          <w:tcPr>
            <w:tcW w:w="8300" w:type="dxa"/>
            <w:vAlign w:val="bottom"/>
            <w:tcBorders>
              <w:bottom w:val="single" w:sz="8" w:color="D2DCE5"/>
            </w:tcBorders>
            <w:shd w:val="clear" w:color="auto" w:fill="D2DCE5"/>
          </w:tcPr>
          <w:p>
            <w:pPr>
              <w:spacing w:after="0"/>
              <w:rPr>
                <w:sz w:val="20"/>
                <w:szCs w:val="20"/>
                <w:color w:val="auto"/>
              </w:rPr>
            </w:pPr>
            <w:r>
              <w:rPr>
                <w:rFonts w:ascii="Arial" w:cs="Arial" w:eastAsia="Arial" w:hAnsi="Arial"/>
                <w:sz w:val="14"/>
                <w:szCs w:val="14"/>
                <w:color w:val="131E29"/>
              </w:rPr>
              <w:t>Basis points which is used to express differences in rates. One basis point is the equivalent of 1/100 of one percent.</w:t>
            </w:r>
          </w:p>
        </w:tc>
        <w:tc>
          <w:tcPr>
            <w:tcW w:w="0" w:type="dxa"/>
            <w:vAlign w:val="bottom"/>
          </w:tcPr>
          <w:p>
            <w:pPr>
              <w:spacing w:after="0"/>
              <w:rPr>
                <w:sz w:val="1"/>
                <w:szCs w:val="1"/>
                <w:color w:val="auto"/>
              </w:rPr>
            </w:pPr>
          </w:p>
        </w:tc>
      </w:tr>
      <w:tr>
        <w:trPr>
          <w:trHeight w:val="191"/>
        </w:trPr>
        <w:tc>
          <w:tcPr>
            <w:tcW w:w="2720" w:type="dxa"/>
            <w:vAlign w:val="bottom"/>
            <w:gridSpan w:val="2"/>
          </w:tcPr>
          <w:p>
            <w:pPr>
              <w:ind w:left="20"/>
              <w:spacing w:after="0"/>
              <w:rPr>
                <w:sz w:val="20"/>
                <w:szCs w:val="20"/>
                <w:color w:val="auto"/>
              </w:rPr>
            </w:pPr>
            <w:r>
              <w:rPr>
                <w:rFonts w:ascii="Arial" w:cs="Arial" w:eastAsia="Arial" w:hAnsi="Arial"/>
                <w:sz w:val="14"/>
                <w:szCs w:val="14"/>
                <w:b w:val="1"/>
                <w:bCs w:val="1"/>
                <w:color w:val="131E29"/>
              </w:rPr>
              <w:t>Co-Founder</w:t>
            </w:r>
          </w:p>
        </w:tc>
        <w:tc>
          <w:tcPr>
            <w:tcW w:w="8300" w:type="dxa"/>
            <w:vAlign w:val="bottom"/>
          </w:tcPr>
          <w:p>
            <w:pPr>
              <w:spacing w:after="0"/>
              <w:rPr>
                <w:sz w:val="20"/>
                <w:szCs w:val="20"/>
                <w:color w:val="auto"/>
              </w:rPr>
            </w:pPr>
            <w:r>
              <w:rPr>
                <w:rFonts w:ascii="Arial" w:cs="Arial" w:eastAsia="Arial" w:hAnsi="Arial"/>
                <w:sz w:val="14"/>
                <w:szCs w:val="14"/>
                <w:color w:val="131E29"/>
              </w:rPr>
              <w:t>Travis Boersma and affiliated entities over which he maintains voting control.</w:t>
            </w:r>
          </w:p>
        </w:tc>
        <w:tc>
          <w:tcPr>
            <w:tcW w:w="0" w:type="dxa"/>
            <w:vAlign w:val="bottom"/>
          </w:tcPr>
          <w:p>
            <w:pPr>
              <w:spacing w:after="0"/>
              <w:rPr>
                <w:sz w:val="1"/>
                <w:szCs w:val="1"/>
                <w:color w:val="auto"/>
              </w:rPr>
            </w:pPr>
          </w:p>
        </w:tc>
      </w:tr>
      <w:tr>
        <w:trPr>
          <w:trHeight w:val="22"/>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20" w:type="dxa"/>
            <w:vAlign w:val="bottom"/>
            <w:gridSpan w:val="2"/>
            <w:vMerge w:val="restart"/>
            <w:shd w:val="clear" w:color="auto" w:fill="D2DCE5"/>
          </w:tcPr>
          <w:p>
            <w:pPr>
              <w:ind w:left="20"/>
              <w:spacing w:after="0"/>
              <w:rPr>
                <w:sz w:val="20"/>
                <w:szCs w:val="20"/>
                <w:color w:val="auto"/>
              </w:rPr>
            </w:pPr>
            <w:r>
              <w:rPr>
                <w:rFonts w:ascii="Arial" w:cs="Arial" w:eastAsia="Arial" w:hAnsi="Arial"/>
                <w:sz w:val="14"/>
                <w:szCs w:val="14"/>
                <w:b w:val="1"/>
                <w:bCs w:val="1"/>
                <w:color w:val="131E29"/>
              </w:rPr>
              <w:t>Common Units</w:t>
            </w:r>
          </w:p>
        </w:tc>
        <w:tc>
          <w:tcPr>
            <w:tcW w:w="8300" w:type="dxa"/>
            <w:vAlign w:val="bottom"/>
            <w:shd w:val="clear" w:color="auto" w:fill="D2DCE5"/>
          </w:tcPr>
          <w:p>
            <w:pPr>
              <w:spacing w:after="0"/>
              <w:rPr>
                <w:sz w:val="20"/>
                <w:szCs w:val="20"/>
                <w:color w:val="auto"/>
              </w:rPr>
            </w:pPr>
            <w:r>
              <w:rPr>
                <w:rFonts w:ascii="Arial" w:cs="Arial" w:eastAsia="Arial" w:hAnsi="Arial"/>
                <w:sz w:val="14"/>
                <w:szCs w:val="14"/>
                <w:color w:val="131E29"/>
              </w:rPr>
              <w:t>The Common Units of Dutch Bros OpCo, as defined in the Second LLC Agreement, issued and outstanding immediately prior to</w:t>
            </w:r>
          </w:p>
        </w:tc>
        <w:tc>
          <w:tcPr>
            <w:tcW w:w="0" w:type="dxa"/>
            <w:vAlign w:val="bottom"/>
          </w:tcPr>
          <w:p>
            <w:pPr>
              <w:spacing w:after="0"/>
              <w:rPr>
                <w:sz w:val="1"/>
                <w:szCs w:val="1"/>
                <w:color w:val="auto"/>
              </w:rPr>
            </w:pPr>
          </w:p>
        </w:tc>
      </w:tr>
      <w:tr>
        <w:trPr>
          <w:trHeight w:val="172"/>
        </w:trPr>
        <w:tc>
          <w:tcPr>
            <w:tcW w:w="2720" w:type="dxa"/>
            <w:vAlign w:val="bottom"/>
            <w:tcBorders>
              <w:bottom w:val="single" w:sz="8" w:color="D2DCE5"/>
            </w:tcBorders>
            <w:gridSpan w:val="2"/>
            <w:vMerge w:val="continue"/>
            <w:shd w:val="clear" w:color="auto" w:fill="D2DCE5"/>
          </w:tcPr>
          <w:p>
            <w:pPr>
              <w:spacing w:after="0"/>
              <w:rPr>
                <w:sz w:val="14"/>
                <w:szCs w:val="14"/>
                <w:color w:val="auto"/>
              </w:rPr>
            </w:pPr>
          </w:p>
        </w:tc>
        <w:tc>
          <w:tcPr>
            <w:tcW w:w="8300" w:type="dxa"/>
            <w:vAlign w:val="bottom"/>
            <w:tcBorders>
              <w:bottom w:val="single" w:sz="8" w:color="D2DCE5"/>
            </w:tcBorders>
            <w:shd w:val="clear" w:color="auto" w:fill="D2DCE5"/>
          </w:tcPr>
          <w:p>
            <w:pPr>
              <w:spacing w:after="0"/>
              <w:rPr>
                <w:sz w:val="20"/>
                <w:szCs w:val="20"/>
                <w:color w:val="auto"/>
              </w:rPr>
            </w:pPr>
            <w:r>
              <w:rPr>
                <w:rFonts w:ascii="Arial" w:cs="Arial" w:eastAsia="Arial" w:hAnsi="Arial"/>
                <w:sz w:val="14"/>
                <w:szCs w:val="14"/>
                <w:color w:val="131E29"/>
              </w:rPr>
              <w:t>recapitalization, as set forth in NOTE 1 — Organization and Background, included elsewhere in this Form 10-K.</w:t>
            </w:r>
          </w:p>
        </w:tc>
        <w:tc>
          <w:tcPr>
            <w:tcW w:w="0" w:type="dxa"/>
            <w:vAlign w:val="bottom"/>
          </w:tcPr>
          <w:p>
            <w:pPr>
              <w:spacing w:after="0"/>
              <w:rPr>
                <w:sz w:val="1"/>
                <w:szCs w:val="1"/>
                <w:color w:val="auto"/>
              </w:rPr>
            </w:pPr>
          </w:p>
        </w:tc>
      </w:tr>
      <w:tr>
        <w:trPr>
          <w:trHeight w:val="191"/>
        </w:trPr>
        <w:tc>
          <w:tcPr>
            <w:tcW w:w="2720" w:type="dxa"/>
            <w:vAlign w:val="bottom"/>
            <w:gridSpan w:val="2"/>
          </w:tcPr>
          <w:p>
            <w:pPr>
              <w:ind w:left="20"/>
              <w:spacing w:after="0"/>
              <w:rPr>
                <w:sz w:val="20"/>
                <w:szCs w:val="20"/>
                <w:color w:val="auto"/>
              </w:rPr>
            </w:pPr>
            <w:r>
              <w:rPr>
                <w:rFonts w:ascii="Arial" w:cs="Arial" w:eastAsia="Arial" w:hAnsi="Arial"/>
                <w:sz w:val="14"/>
                <w:szCs w:val="14"/>
                <w:b w:val="1"/>
                <w:bCs w:val="1"/>
                <w:color w:val="131E29"/>
              </w:rPr>
              <w:t>Continuing Members</w:t>
            </w:r>
          </w:p>
        </w:tc>
        <w:tc>
          <w:tcPr>
            <w:tcW w:w="8300" w:type="dxa"/>
            <w:vAlign w:val="bottom"/>
          </w:tcPr>
          <w:p>
            <w:pPr>
              <w:spacing w:after="0"/>
              <w:rPr>
                <w:sz w:val="20"/>
                <w:szCs w:val="20"/>
                <w:color w:val="auto"/>
              </w:rPr>
            </w:pPr>
            <w:r>
              <w:rPr>
                <w:rFonts w:ascii="Arial" w:cs="Arial" w:eastAsia="Arial" w:hAnsi="Arial"/>
                <w:sz w:val="14"/>
                <w:szCs w:val="14"/>
                <w:color w:val="131E29"/>
              </w:rPr>
              <w:t>The Co-Founder and the Sponsor</w:t>
            </w:r>
          </w:p>
        </w:tc>
        <w:tc>
          <w:tcPr>
            <w:tcW w:w="0" w:type="dxa"/>
            <w:vAlign w:val="bottom"/>
          </w:tcPr>
          <w:p>
            <w:pPr>
              <w:spacing w:after="0"/>
              <w:rPr>
                <w:sz w:val="1"/>
                <w:szCs w:val="1"/>
                <w:color w:val="auto"/>
              </w:rPr>
            </w:pPr>
          </w:p>
        </w:tc>
      </w:tr>
      <w:tr>
        <w:trPr>
          <w:trHeight w:val="22"/>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7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Dutch Bros OpCo</w:t>
            </w:r>
          </w:p>
        </w:tc>
        <w:tc>
          <w:tcPr>
            <w:tcW w:w="8300" w:type="dxa"/>
            <w:vAlign w:val="bottom"/>
            <w:tcBorders>
              <w:bottom w:val="single" w:sz="8" w:color="D2DCE5"/>
            </w:tcBorders>
            <w:shd w:val="clear" w:color="auto" w:fill="D2DCE5"/>
          </w:tcPr>
          <w:p>
            <w:pPr>
              <w:spacing w:after="0"/>
              <w:rPr>
                <w:sz w:val="20"/>
                <w:szCs w:val="20"/>
                <w:color w:val="auto"/>
              </w:rPr>
            </w:pPr>
            <w:r>
              <w:rPr>
                <w:rFonts w:ascii="Arial" w:cs="Arial" w:eastAsia="Arial" w:hAnsi="Arial"/>
                <w:sz w:val="14"/>
                <w:szCs w:val="14"/>
                <w:color w:val="131E29"/>
              </w:rPr>
              <w:t>Dutch Mafia, LLC, a Delaware limited liability company and direct subsidiary of Dutch Bros Inc.</w:t>
            </w:r>
          </w:p>
        </w:tc>
        <w:tc>
          <w:tcPr>
            <w:tcW w:w="0" w:type="dxa"/>
            <w:vAlign w:val="bottom"/>
          </w:tcPr>
          <w:p>
            <w:pPr>
              <w:spacing w:after="0"/>
              <w:rPr>
                <w:sz w:val="1"/>
                <w:szCs w:val="1"/>
                <w:color w:val="auto"/>
              </w:rPr>
            </w:pPr>
          </w:p>
        </w:tc>
      </w:tr>
      <w:tr>
        <w:trPr>
          <w:trHeight w:val="190"/>
        </w:trPr>
        <w:tc>
          <w:tcPr>
            <w:tcW w:w="2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131E29"/>
              </w:rPr>
              <w:t>Dutch Bros PubCo</w:t>
            </w:r>
          </w:p>
        </w:tc>
        <w:tc>
          <w:tcPr>
            <w:tcW w:w="8300" w:type="dxa"/>
            <w:vAlign w:val="bottom"/>
          </w:tcPr>
          <w:p>
            <w:pPr>
              <w:spacing w:after="0"/>
              <w:rPr>
                <w:sz w:val="20"/>
                <w:szCs w:val="20"/>
                <w:color w:val="auto"/>
              </w:rPr>
            </w:pPr>
            <w:r>
              <w:rPr>
                <w:rFonts w:ascii="Arial" w:cs="Arial" w:eastAsia="Arial" w:hAnsi="Arial"/>
                <w:sz w:val="14"/>
                <w:szCs w:val="14"/>
                <w:color w:val="131E29"/>
              </w:rPr>
              <w:t>Dutch Bros Inc., a Delaware corporation, the Class A common stock of which is publicly traded on the New York Stock Exchange</w:t>
            </w:r>
          </w:p>
        </w:tc>
        <w:tc>
          <w:tcPr>
            <w:tcW w:w="0" w:type="dxa"/>
            <w:vAlign w:val="bottom"/>
          </w:tcPr>
          <w:p>
            <w:pPr>
              <w:spacing w:after="0"/>
              <w:rPr>
                <w:sz w:val="1"/>
                <w:szCs w:val="1"/>
                <w:color w:val="auto"/>
              </w:rPr>
            </w:pPr>
          </w:p>
        </w:tc>
      </w:tr>
      <w:tr>
        <w:trPr>
          <w:trHeight w:val="170"/>
        </w:trPr>
        <w:tc>
          <w:tcPr>
            <w:tcW w:w="2720" w:type="dxa"/>
            <w:vAlign w:val="bottom"/>
            <w:gridSpan w:val="2"/>
            <w:vMerge w:val="continue"/>
          </w:tcPr>
          <w:p>
            <w:pPr>
              <w:spacing w:after="0"/>
              <w:rPr>
                <w:sz w:val="14"/>
                <w:szCs w:val="14"/>
                <w:color w:val="auto"/>
              </w:rPr>
            </w:pPr>
          </w:p>
        </w:tc>
        <w:tc>
          <w:tcPr>
            <w:tcW w:w="8300" w:type="dxa"/>
            <w:vAlign w:val="bottom"/>
          </w:tcPr>
          <w:p>
            <w:pPr>
              <w:spacing w:after="0"/>
              <w:rPr>
                <w:sz w:val="20"/>
                <w:szCs w:val="20"/>
                <w:color w:val="auto"/>
              </w:rPr>
            </w:pPr>
            <w:r>
              <w:rPr>
                <w:rFonts w:ascii="Arial" w:cs="Arial" w:eastAsia="Arial" w:hAnsi="Arial"/>
                <w:sz w:val="14"/>
                <w:szCs w:val="14"/>
                <w:color w:val="131E29"/>
              </w:rPr>
              <w:t>under the symbol “BROS”.</w:t>
            </w:r>
          </w:p>
        </w:tc>
        <w:tc>
          <w:tcPr>
            <w:tcW w:w="0" w:type="dxa"/>
            <w:vAlign w:val="bottom"/>
          </w:tcPr>
          <w:p>
            <w:pPr>
              <w:spacing w:after="0"/>
              <w:rPr>
                <w:sz w:val="1"/>
                <w:szCs w:val="1"/>
                <w:color w:val="auto"/>
              </w:rPr>
            </w:pPr>
          </w:p>
        </w:tc>
      </w:tr>
      <w:tr>
        <w:trPr>
          <w:trHeight w:val="22"/>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20" w:type="dxa"/>
            <w:vAlign w:val="bottom"/>
            <w:gridSpan w:val="2"/>
            <w:vMerge w:val="restart"/>
            <w:shd w:val="clear" w:color="auto" w:fill="D2DCE5"/>
          </w:tcPr>
          <w:p>
            <w:pPr>
              <w:ind w:left="20"/>
              <w:spacing w:after="0"/>
              <w:rPr>
                <w:sz w:val="20"/>
                <w:szCs w:val="20"/>
                <w:color w:val="auto"/>
              </w:rPr>
            </w:pPr>
            <w:r>
              <w:rPr>
                <w:rFonts w:ascii="Arial" w:cs="Arial" w:eastAsia="Arial" w:hAnsi="Arial"/>
                <w:sz w:val="14"/>
                <w:szCs w:val="14"/>
                <w:b w:val="1"/>
                <w:bCs w:val="1"/>
                <w:color w:val="131E29"/>
              </w:rPr>
              <w:t>Dutch Bros Tax Group</w:t>
            </w:r>
          </w:p>
        </w:tc>
        <w:tc>
          <w:tcPr>
            <w:tcW w:w="8300" w:type="dxa"/>
            <w:vAlign w:val="bottom"/>
            <w:shd w:val="clear" w:color="auto" w:fill="D2DCE5"/>
          </w:tcPr>
          <w:p>
            <w:pPr>
              <w:spacing w:after="0"/>
              <w:rPr>
                <w:sz w:val="20"/>
                <w:szCs w:val="20"/>
                <w:color w:val="auto"/>
              </w:rPr>
            </w:pPr>
            <w:r>
              <w:rPr>
                <w:rFonts w:ascii="Arial" w:cs="Arial" w:eastAsia="Arial" w:hAnsi="Arial"/>
                <w:sz w:val="14"/>
                <w:szCs w:val="14"/>
                <w:color w:val="131E29"/>
              </w:rPr>
              <w:t>The meaning set forth in NOTE 12 — Tax Receivable Agreements to the consolidated financial statements, included elsewhere in</w:t>
            </w:r>
          </w:p>
        </w:tc>
        <w:tc>
          <w:tcPr>
            <w:tcW w:w="0" w:type="dxa"/>
            <w:vAlign w:val="bottom"/>
          </w:tcPr>
          <w:p>
            <w:pPr>
              <w:spacing w:after="0"/>
              <w:rPr>
                <w:sz w:val="1"/>
                <w:szCs w:val="1"/>
                <w:color w:val="auto"/>
              </w:rPr>
            </w:pPr>
          </w:p>
        </w:tc>
      </w:tr>
      <w:tr>
        <w:trPr>
          <w:trHeight w:val="172"/>
        </w:trPr>
        <w:tc>
          <w:tcPr>
            <w:tcW w:w="2720" w:type="dxa"/>
            <w:vAlign w:val="bottom"/>
            <w:tcBorders>
              <w:bottom w:val="single" w:sz="8" w:color="D2DCE5"/>
            </w:tcBorders>
            <w:gridSpan w:val="2"/>
            <w:vMerge w:val="continue"/>
            <w:shd w:val="clear" w:color="auto" w:fill="D2DCE5"/>
          </w:tcPr>
          <w:p>
            <w:pPr>
              <w:spacing w:after="0"/>
              <w:rPr>
                <w:sz w:val="14"/>
                <w:szCs w:val="14"/>
                <w:color w:val="auto"/>
              </w:rPr>
            </w:pPr>
          </w:p>
        </w:tc>
        <w:tc>
          <w:tcPr>
            <w:tcW w:w="8300" w:type="dxa"/>
            <w:vAlign w:val="bottom"/>
            <w:tcBorders>
              <w:bottom w:val="single" w:sz="8" w:color="D2DCE5"/>
            </w:tcBorders>
            <w:shd w:val="clear" w:color="auto" w:fill="D2DCE5"/>
          </w:tcPr>
          <w:p>
            <w:pPr>
              <w:spacing w:after="0"/>
              <w:rPr>
                <w:sz w:val="20"/>
                <w:szCs w:val="20"/>
                <w:color w:val="auto"/>
              </w:rPr>
            </w:pPr>
            <w:r>
              <w:rPr>
                <w:rFonts w:ascii="Arial" w:cs="Arial" w:eastAsia="Arial" w:hAnsi="Arial"/>
                <w:sz w:val="14"/>
                <w:szCs w:val="14"/>
                <w:color w:val="131E29"/>
              </w:rPr>
              <w:t>this Form 10-K.</w:t>
            </w:r>
          </w:p>
        </w:tc>
        <w:tc>
          <w:tcPr>
            <w:tcW w:w="0" w:type="dxa"/>
            <w:vAlign w:val="bottom"/>
          </w:tcPr>
          <w:p>
            <w:pPr>
              <w:spacing w:after="0"/>
              <w:rPr>
                <w:sz w:val="1"/>
                <w:szCs w:val="1"/>
                <w:color w:val="auto"/>
              </w:rPr>
            </w:pPr>
          </w:p>
        </w:tc>
      </w:tr>
      <w:tr>
        <w:trPr>
          <w:trHeight w:val="191"/>
        </w:trPr>
        <w:tc>
          <w:tcPr>
            <w:tcW w:w="2720" w:type="dxa"/>
            <w:vAlign w:val="bottom"/>
            <w:gridSpan w:val="2"/>
          </w:tcPr>
          <w:p>
            <w:pPr>
              <w:ind w:left="20"/>
              <w:spacing w:after="0"/>
              <w:rPr>
                <w:sz w:val="20"/>
                <w:szCs w:val="20"/>
                <w:color w:val="auto"/>
              </w:rPr>
            </w:pPr>
            <w:r>
              <w:rPr>
                <w:rFonts w:ascii="Arial" w:cs="Arial" w:eastAsia="Arial" w:hAnsi="Arial"/>
                <w:sz w:val="14"/>
                <w:szCs w:val="14"/>
                <w:b w:val="1"/>
                <w:bCs w:val="1"/>
                <w:color w:val="131E29"/>
              </w:rPr>
              <w:t>GAAP</w:t>
            </w:r>
          </w:p>
        </w:tc>
        <w:tc>
          <w:tcPr>
            <w:tcW w:w="8300" w:type="dxa"/>
            <w:vAlign w:val="bottom"/>
          </w:tcPr>
          <w:p>
            <w:pPr>
              <w:spacing w:after="0"/>
              <w:rPr>
                <w:sz w:val="20"/>
                <w:szCs w:val="20"/>
                <w:color w:val="auto"/>
              </w:rPr>
            </w:pPr>
            <w:r>
              <w:rPr>
                <w:rFonts w:ascii="Arial" w:cs="Arial" w:eastAsia="Arial" w:hAnsi="Arial"/>
                <w:sz w:val="14"/>
                <w:szCs w:val="14"/>
                <w:color w:val="131E29"/>
              </w:rPr>
              <w:t>U.S. Generally Accepted Accounting Principles</w:t>
            </w:r>
          </w:p>
        </w:tc>
        <w:tc>
          <w:tcPr>
            <w:tcW w:w="0" w:type="dxa"/>
            <w:vAlign w:val="bottom"/>
          </w:tcPr>
          <w:p>
            <w:pPr>
              <w:spacing w:after="0"/>
              <w:rPr>
                <w:sz w:val="1"/>
                <w:szCs w:val="1"/>
                <w:color w:val="auto"/>
              </w:rPr>
            </w:pPr>
          </w:p>
        </w:tc>
      </w:tr>
      <w:tr>
        <w:trPr>
          <w:trHeight w:val="22"/>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7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IPO</w:t>
            </w:r>
          </w:p>
        </w:tc>
        <w:tc>
          <w:tcPr>
            <w:tcW w:w="8300" w:type="dxa"/>
            <w:vAlign w:val="bottom"/>
            <w:tcBorders>
              <w:bottom w:val="single" w:sz="8" w:color="D2DCE5"/>
            </w:tcBorders>
            <w:shd w:val="clear" w:color="auto" w:fill="D2DCE5"/>
          </w:tcPr>
          <w:p>
            <w:pPr>
              <w:spacing w:after="0"/>
              <w:rPr>
                <w:sz w:val="20"/>
                <w:szCs w:val="20"/>
                <w:color w:val="auto"/>
              </w:rPr>
            </w:pPr>
            <w:r>
              <w:rPr>
                <w:rFonts w:ascii="Arial" w:cs="Arial" w:eastAsia="Arial" w:hAnsi="Arial"/>
                <w:sz w:val="14"/>
                <w:szCs w:val="14"/>
                <w:color w:val="131E29"/>
              </w:rPr>
              <w:t>Initial Public Offering</w:t>
            </w:r>
          </w:p>
        </w:tc>
        <w:tc>
          <w:tcPr>
            <w:tcW w:w="0" w:type="dxa"/>
            <w:vAlign w:val="bottom"/>
          </w:tcPr>
          <w:p>
            <w:pPr>
              <w:spacing w:after="0"/>
              <w:rPr>
                <w:sz w:val="1"/>
                <w:szCs w:val="1"/>
                <w:color w:val="auto"/>
              </w:rPr>
            </w:pPr>
          </w:p>
        </w:tc>
      </w:tr>
      <w:tr>
        <w:trPr>
          <w:trHeight w:val="190"/>
        </w:trPr>
        <w:tc>
          <w:tcPr>
            <w:tcW w:w="2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131E29"/>
              </w:rPr>
              <w:t>MOB</w:t>
            </w:r>
          </w:p>
        </w:tc>
        <w:tc>
          <w:tcPr>
            <w:tcW w:w="8300" w:type="dxa"/>
            <w:vAlign w:val="bottom"/>
          </w:tcPr>
          <w:p>
            <w:pPr>
              <w:spacing w:after="0"/>
              <w:rPr>
                <w:sz w:val="20"/>
                <w:szCs w:val="20"/>
                <w:color w:val="auto"/>
              </w:rPr>
            </w:pPr>
            <w:r>
              <w:rPr>
                <w:rFonts w:ascii="Arial" w:cs="Arial" w:eastAsia="Arial" w:hAnsi="Arial"/>
                <w:sz w:val="14"/>
                <w:szCs w:val="14"/>
                <w:color w:val="131E29"/>
              </w:rPr>
              <w:t>A group of master broistas who travel to help open new locations and markets. They train new broistas on operations and infuse</w:t>
            </w:r>
          </w:p>
        </w:tc>
        <w:tc>
          <w:tcPr>
            <w:tcW w:w="0" w:type="dxa"/>
            <w:vAlign w:val="bottom"/>
          </w:tcPr>
          <w:p>
            <w:pPr>
              <w:spacing w:after="0"/>
              <w:rPr>
                <w:sz w:val="1"/>
                <w:szCs w:val="1"/>
                <w:color w:val="auto"/>
              </w:rPr>
            </w:pPr>
          </w:p>
        </w:tc>
      </w:tr>
      <w:tr>
        <w:trPr>
          <w:trHeight w:val="170"/>
        </w:trPr>
        <w:tc>
          <w:tcPr>
            <w:tcW w:w="2720" w:type="dxa"/>
            <w:vAlign w:val="bottom"/>
            <w:gridSpan w:val="2"/>
            <w:vMerge w:val="continue"/>
          </w:tcPr>
          <w:p>
            <w:pPr>
              <w:spacing w:after="0"/>
              <w:rPr>
                <w:sz w:val="14"/>
                <w:szCs w:val="14"/>
                <w:color w:val="auto"/>
              </w:rPr>
            </w:pPr>
          </w:p>
        </w:tc>
        <w:tc>
          <w:tcPr>
            <w:tcW w:w="8300" w:type="dxa"/>
            <w:vAlign w:val="bottom"/>
          </w:tcPr>
          <w:p>
            <w:pPr>
              <w:spacing w:after="0"/>
              <w:rPr>
                <w:sz w:val="20"/>
                <w:szCs w:val="20"/>
                <w:color w:val="auto"/>
              </w:rPr>
            </w:pPr>
            <w:r>
              <w:rPr>
                <w:rFonts w:ascii="Arial" w:cs="Arial" w:eastAsia="Arial" w:hAnsi="Arial"/>
                <w:sz w:val="14"/>
                <w:szCs w:val="14"/>
                <w:color w:val="131E29"/>
              </w:rPr>
              <w:t>them with the culture of the Company.</w:t>
            </w:r>
          </w:p>
        </w:tc>
        <w:tc>
          <w:tcPr>
            <w:tcW w:w="0" w:type="dxa"/>
            <w:vAlign w:val="bottom"/>
          </w:tcPr>
          <w:p>
            <w:pPr>
              <w:spacing w:after="0"/>
              <w:rPr>
                <w:sz w:val="1"/>
                <w:szCs w:val="1"/>
                <w:color w:val="auto"/>
              </w:rPr>
            </w:pPr>
          </w:p>
        </w:tc>
      </w:tr>
      <w:tr>
        <w:trPr>
          <w:trHeight w:val="22"/>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7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N/M</w:t>
            </w:r>
          </w:p>
        </w:tc>
        <w:tc>
          <w:tcPr>
            <w:tcW w:w="8300" w:type="dxa"/>
            <w:vAlign w:val="bottom"/>
            <w:tcBorders>
              <w:bottom w:val="single" w:sz="8" w:color="D2DCE5"/>
            </w:tcBorders>
            <w:shd w:val="clear" w:color="auto" w:fill="D2DCE5"/>
          </w:tcPr>
          <w:p>
            <w:pPr>
              <w:spacing w:after="0"/>
              <w:rPr>
                <w:sz w:val="20"/>
                <w:szCs w:val="20"/>
                <w:color w:val="auto"/>
              </w:rPr>
            </w:pPr>
            <w:r>
              <w:rPr>
                <w:rFonts w:ascii="Arial" w:cs="Arial" w:eastAsia="Arial" w:hAnsi="Arial"/>
                <w:sz w:val="14"/>
                <w:szCs w:val="14"/>
                <w:color w:val="131E29"/>
              </w:rPr>
              <w:t>A not meaningful percentage.</w:t>
            </w:r>
          </w:p>
        </w:tc>
        <w:tc>
          <w:tcPr>
            <w:tcW w:w="0" w:type="dxa"/>
            <w:vAlign w:val="bottom"/>
          </w:tcPr>
          <w:p>
            <w:pPr>
              <w:spacing w:after="0"/>
              <w:rPr>
                <w:sz w:val="1"/>
                <w:szCs w:val="1"/>
                <w:color w:val="auto"/>
              </w:rPr>
            </w:pPr>
          </w:p>
        </w:tc>
      </w:tr>
      <w:tr>
        <w:trPr>
          <w:trHeight w:val="190"/>
        </w:trPr>
        <w:tc>
          <w:tcPr>
            <w:tcW w:w="2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131E29"/>
              </w:rPr>
              <w:t>OpCo Units</w:t>
            </w:r>
          </w:p>
        </w:tc>
        <w:tc>
          <w:tcPr>
            <w:tcW w:w="8300" w:type="dxa"/>
            <w:vAlign w:val="bottom"/>
          </w:tcPr>
          <w:p>
            <w:pPr>
              <w:spacing w:after="0"/>
              <w:rPr>
                <w:sz w:val="20"/>
                <w:szCs w:val="20"/>
                <w:color w:val="auto"/>
              </w:rPr>
            </w:pPr>
            <w:r>
              <w:rPr>
                <w:rFonts w:ascii="Arial" w:cs="Arial" w:eastAsia="Arial" w:hAnsi="Arial"/>
                <w:sz w:val="14"/>
                <w:szCs w:val="14"/>
                <w:color w:val="131E29"/>
              </w:rPr>
              <w:t>Class A common units, Class B voting units and Class C voting units of Dutch Bros OpCo, each as further defined in the Third</w:t>
            </w:r>
          </w:p>
        </w:tc>
        <w:tc>
          <w:tcPr>
            <w:tcW w:w="0" w:type="dxa"/>
            <w:vAlign w:val="bottom"/>
          </w:tcPr>
          <w:p>
            <w:pPr>
              <w:spacing w:after="0"/>
              <w:rPr>
                <w:sz w:val="1"/>
                <w:szCs w:val="1"/>
                <w:color w:val="auto"/>
              </w:rPr>
            </w:pPr>
          </w:p>
        </w:tc>
      </w:tr>
      <w:tr>
        <w:trPr>
          <w:trHeight w:val="170"/>
        </w:trPr>
        <w:tc>
          <w:tcPr>
            <w:tcW w:w="2720" w:type="dxa"/>
            <w:vAlign w:val="bottom"/>
            <w:gridSpan w:val="2"/>
            <w:vMerge w:val="continue"/>
          </w:tcPr>
          <w:p>
            <w:pPr>
              <w:spacing w:after="0"/>
              <w:rPr>
                <w:sz w:val="14"/>
                <w:szCs w:val="14"/>
                <w:color w:val="auto"/>
              </w:rPr>
            </w:pPr>
          </w:p>
        </w:tc>
        <w:tc>
          <w:tcPr>
            <w:tcW w:w="8300" w:type="dxa"/>
            <w:vAlign w:val="bottom"/>
          </w:tcPr>
          <w:p>
            <w:pPr>
              <w:spacing w:after="0"/>
              <w:rPr>
                <w:sz w:val="20"/>
                <w:szCs w:val="20"/>
                <w:color w:val="auto"/>
              </w:rPr>
            </w:pPr>
            <w:r>
              <w:rPr>
                <w:rFonts w:ascii="Arial" w:cs="Arial" w:eastAsia="Arial" w:hAnsi="Arial"/>
                <w:sz w:val="14"/>
                <w:szCs w:val="14"/>
                <w:color w:val="131E29"/>
              </w:rPr>
              <w:t>Amended and Restated Limited Liability Company Agreement of Dutch Bros OpCo, collectively.</w:t>
            </w:r>
          </w:p>
        </w:tc>
        <w:tc>
          <w:tcPr>
            <w:tcW w:w="0" w:type="dxa"/>
            <w:vAlign w:val="bottom"/>
          </w:tcPr>
          <w:p>
            <w:pPr>
              <w:spacing w:after="0"/>
              <w:rPr>
                <w:sz w:val="1"/>
                <w:szCs w:val="1"/>
                <w:color w:val="auto"/>
              </w:rPr>
            </w:pPr>
          </w:p>
        </w:tc>
      </w:tr>
      <w:tr>
        <w:trPr>
          <w:trHeight w:val="22"/>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20" w:type="dxa"/>
            <w:vAlign w:val="bottom"/>
            <w:gridSpan w:val="2"/>
            <w:vMerge w:val="restart"/>
            <w:shd w:val="clear" w:color="auto" w:fill="D2DCE5"/>
          </w:tcPr>
          <w:p>
            <w:pPr>
              <w:ind w:left="20"/>
              <w:spacing w:after="0"/>
              <w:rPr>
                <w:sz w:val="20"/>
                <w:szCs w:val="20"/>
                <w:color w:val="auto"/>
              </w:rPr>
            </w:pPr>
            <w:r>
              <w:rPr>
                <w:rFonts w:ascii="Arial" w:cs="Arial" w:eastAsia="Arial" w:hAnsi="Arial"/>
                <w:sz w:val="14"/>
                <w:szCs w:val="14"/>
                <w:b w:val="1"/>
                <w:bCs w:val="1"/>
                <w:color w:val="131E29"/>
              </w:rPr>
              <w:t>Pre-IPO Blocker Holders</w:t>
            </w:r>
          </w:p>
        </w:tc>
        <w:tc>
          <w:tcPr>
            <w:tcW w:w="8300" w:type="dxa"/>
            <w:vAlign w:val="bottom"/>
            <w:shd w:val="clear" w:color="auto" w:fill="D2DCE5"/>
          </w:tcPr>
          <w:p>
            <w:pPr>
              <w:spacing w:after="0"/>
              <w:rPr>
                <w:sz w:val="20"/>
                <w:szCs w:val="20"/>
                <w:color w:val="auto"/>
              </w:rPr>
            </w:pPr>
            <w:r>
              <w:rPr>
                <w:rFonts w:ascii="Arial" w:cs="Arial" w:eastAsia="Arial" w:hAnsi="Arial"/>
                <w:sz w:val="14"/>
                <w:szCs w:val="14"/>
                <w:color w:val="131E29"/>
              </w:rPr>
              <w:t>TSG7 A AIV VI Holdings-A, L.P. and DG Coinvestor Blocker Aggregator, L.P. or their assignees or successors pursuant to the terms</w:t>
            </w:r>
          </w:p>
        </w:tc>
        <w:tc>
          <w:tcPr>
            <w:tcW w:w="0" w:type="dxa"/>
            <w:vAlign w:val="bottom"/>
          </w:tcPr>
          <w:p>
            <w:pPr>
              <w:spacing w:after="0"/>
              <w:rPr>
                <w:sz w:val="1"/>
                <w:szCs w:val="1"/>
                <w:color w:val="auto"/>
              </w:rPr>
            </w:pPr>
          </w:p>
        </w:tc>
      </w:tr>
      <w:tr>
        <w:trPr>
          <w:trHeight w:val="172"/>
        </w:trPr>
        <w:tc>
          <w:tcPr>
            <w:tcW w:w="2720" w:type="dxa"/>
            <w:vAlign w:val="bottom"/>
            <w:tcBorders>
              <w:bottom w:val="single" w:sz="8" w:color="D2DCE5"/>
            </w:tcBorders>
            <w:gridSpan w:val="2"/>
            <w:vMerge w:val="continue"/>
            <w:shd w:val="clear" w:color="auto" w:fill="D2DCE5"/>
          </w:tcPr>
          <w:p>
            <w:pPr>
              <w:spacing w:after="0"/>
              <w:rPr>
                <w:sz w:val="14"/>
                <w:szCs w:val="14"/>
                <w:color w:val="auto"/>
              </w:rPr>
            </w:pPr>
          </w:p>
        </w:tc>
        <w:tc>
          <w:tcPr>
            <w:tcW w:w="8300" w:type="dxa"/>
            <w:vAlign w:val="bottom"/>
            <w:tcBorders>
              <w:bottom w:val="single" w:sz="8" w:color="D2DCE5"/>
            </w:tcBorders>
            <w:shd w:val="clear" w:color="auto" w:fill="D2DCE5"/>
          </w:tcPr>
          <w:p>
            <w:pPr>
              <w:spacing w:after="0"/>
              <w:rPr>
                <w:sz w:val="20"/>
                <w:szCs w:val="20"/>
                <w:color w:val="auto"/>
              </w:rPr>
            </w:pPr>
            <w:r>
              <w:rPr>
                <w:rFonts w:ascii="Arial" w:cs="Arial" w:eastAsia="Arial" w:hAnsi="Arial"/>
                <w:sz w:val="14"/>
                <w:szCs w:val="14"/>
                <w:color w:val="131E29"/>
              </w:rPr>
              <w:t>of the certain Reorganization Tax Receivable Agreement.</w:t>
            </w:r>
          </w:p>
        </w:tc>
        <w:tc>
          <w:tcPr>
            <w:tcW w:w="0" w:type="dxa"/>
            <w:vAlign w:val="bottom"/>
          </w:tcPr>
          <w:p>
            <w:pPr>
              <w:spacing w:after="0"/>
              <w:rPr>
                <w:sz w:val="1"/>
                <w:szCs w:val="1"/>
                <w:color w:val="auto"/>
              </w:rPr>
            </w:pPr>
          </w:p>
        </w:tc>
      </w:tr>
      <w:tr>
        <w:trPr>
          <w:trHeight w:val="191"/>
        </w:trPr>
        <w:tc>
          <w:tcPr>
            <w:tcW w:w="2720" w:type="dxa"/>
            <w:vAlign w:val="bottom"/>
            <w:gridSpan w:val="2"/>
          </w:tcPr>
          <w:p>
            <w:pPr>
              <w:ind w:left="20"/>
              <w:spacing w:after="0"/>
              <w:rPr>
                <w:sz w:val="20"/>
                <w:szCs w:val="20"/>
                <w:color w:val="auto"/>
              </w:rPr>
            </w:pPr>
            <w:r>
              <w:rPr>
                <w:rFonts w:ascii="Arial" w:cs="Arial" w:eastAsia="Arial" w:hAnsi="Arial"/>
                <w:sz w:val="14"/>
                <w:szCs w:val="14"/>
                <w:b w:val="1"/>
                <w:bCs w:val="1"/>
                <w:color w:val="131E29"/>
              </w:rPr>
              <w:t>QSR</w:t>
            </w:r>
          </w:p>
        </w:tc>
        <w:tc>
          <w:tcPr>
            <w:tcW w:w="8300" w:type="dxa"/>
            <w:vAlign w:val="bottom"/>
          </w:tcPr>
          <w:p>
            <w:pPr>
              <w:spacing w:after="0"/>
              <w:rPr>
                <w:sz w:val="20"/>
                <w:szCs w:val="20"/>
                <w:color w:val="auto"/>
              </w:rPr>
            </w:pPr>
            <w:r>
              <w:rPr>
                <w:rFonts w:ascii="Arial" w:cs="Arial" w:eastAsia="Arial" w:hAnsi="Arial"/>
                <w:sz w:val="14"/>
                <w:szCs w:val="14"/>
                <w:color w:val="131E29"/>
              </w:rPr>
              <w:t>Quick Service Restaurant</w:t>
            </w:r>
          </w:p>
        </w:tc>
        <w:tc>
          <w:tcPr>
            <w:tcW w:w="0" w:type="dxa"/>
            <w:vAlign w:val="bottom"/>
          </w:tcPr>
          <w:p>
            <w:pPr>
              <w:spacing w:after="0"/>
              <w:rPr>
                <w:sz w:val="1"/>
                <w:szCs w:val="1"/>
                <w:color w:val="auto"/>
              </w:rPr>
            </w:pPr>
          </w:p>
        </w:tc>
      </w:tr>
      <w:tr>
        <w:trPr>
          <w:trHeight w:val="22"/>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20" w:type="dxa"/>
            <w:vAlign w:val="bottom"/>
            <w:gridSpan w:val="2"/>
            <w:vMerge w:val="restart"/>
            <w:shd w:val="clear" w:color="auto" w:fill="D2DCE5"/>
          </w:tcPr>
          <w:p>
            <w:pPr>
              <w:ind w:left="20"/>
              <w:spacing w:after="0"/>
              <w:rPr>
                <w:sz w:val="20"/>
                <w:szCs w:val="20"/>
                <w:color w:val="auto"/>
              </w:rPr>
            </w:pPr>
            <w:r>
              <w:rPr>
                <w:rFonts w:ascii="Arial" w:cs="Arial" w:eastAsia="Arial" w:hAnsi="Arial"/>
                <w:sz w:val="14"/>
                <w:szCs w:val="14"/>
                <w:b w:val="1"/>
                <w:bCs w:val="1"/>
                <w:color w:val="131E29"/>
              </w:rPr>
              <w:t>Reorganization Transactions</w:t>
            </w:r>
          </w:p>
        </w:tc>
        <w:tc>
          <w:tcPr>
            <w:tcW w:w="8300" w:type="dxa"/>
            <w:vAlign w:val="bottom"/>
            <w:shd w:val="clear" w:color="auto" w:fill="D2DCE5"/>
          </w:tcPr>
          <w:p>
            <w:pPr>
              <w:spacing w:after="0"/>
              <w:rPr>
                <w:sz w:val="20"/>
                <w:szCs w:val="20"/>
                <w:color w:val="auto"/>
              </w:rPr>
            </w:pPr>
            <w:r>
              <w:rPr>
                <w:rFonts w:ascii="Arial" w:cs="Arial" w:eastAsia="Arial" w:hAnsi="Arial"/>
                <w:sz w:val="14"/>
                <w:szCs w:val="14"/>
                <w:color w:val="131E29"/>
              </w:rPr>
              <w:t>The meaning set forth in NOTE 1 — Organization and Background to the consolidated financial statements, included elsewhere in</w:t>
            </w:r>
          </w:p>
        </w:tc>
        <w:tc>
          <w:tcPr>
            <w:tcW w:w="0" w:type="dxa"/>
            <w:vAlign w:val="bottom"/>
          </w:tcPr>
          <w:p>
            <w:pPr>
              <w:spacing w:after="0"/>
              <w:rPr>
                <w:sz w:val="1"/>
                <w:szCs w:val="1"/>
                <w:color w:val="auto"/>
              </w:rPr>
            </w:pPr>
          </w:p>
        </w:tc>
      </w:tr>
      <w:tr>
        <w:trPr>
          <w:trHeight w:val="172"/>
        </w:trPr>
        <w:tc>
          <w:tcPr>
            <w:tcW w:w="2720" w:type="dxa"/>
            <w:vAlign w:val="bottom"/>
            <w:tcBorders>
              <w:bottom w:val="single" w:sz="8" w:color="D2DCE5"/>
            </w:tcBorders>
            <w:gridSpan w:val="2"/>
            <w:vMerge w:val="continue"/>
            <w:shd w:val="clear" w:color="auto" w:fill="D2DCE5"/>
          </w:tcPr>
          <w:p>
            <w:pPr>
              <w:spacing w:after="0"/>
              <w:rPr>
                <w:sz w:val="14"/>
                <w:szCs w:val="14"/>
                <w:color w:val="auto"/>
              </w:rPr>
            </w:pPr>
          </w:p>
        </w:tc>
        <w:tc>
          <w:tcPr>
            <w:tcW w:w="8300" w:type="dxa"/>
            <w:vAlign w:val="bottom"/>
            <w:tcBorders>
              <w:bottom w:val="single" w:sz="8" w:color="D2DCE5"/>
            </w:tcBorders>
            <w:shd w:val="clear" w:color="auto" w:fill="D2DCE5"/>
          </w:tcPr>
          <w:p>
            <w:pPr>
              <w:spacing w:after="0"/>
              <w:rPr>
                <w:sz w:val="20"/>
                <w:szCs w:val="20"/>
                <w:color w:val="auto"/>
              </w:rPr>
            </w:pPr>
            <w:r>
              <w:rPr>
                <w:rFonts w:ascii="Arial" w:cs="Arial" w:eastAsia="Arial" w:hAnsi="Arial"/>
                <w:sz w:val="14"/>
                <w:szCs w:val="14"/>
                <w:color w:val="131E29"/>
              </w:rPr>
              <w:t>this Form 10-K.</w:t>
            </w:r>
          </w:p>
        </w:tc>
        <w:tc>
          <w:tcPr>
            <w:tcW w:w="0" w:type="dxa"/>
            <w:vAlign w:val="bottom"/>
          </w:tcPr>
          <w:p>
            <w:pPr>
              <w:spacing w:after="0"/>
              <w:rPr>
                <w:sz w:val="1"/>
                <w:szCs w:val="1"/>
                <w:color w:val="auto"/>
              </w:rPr>
            </w:pPr>
          </w:p>
        </w:tc>
      </w:tr>
      <w:tr>
        <w:trPr>
          <w:trHeight w:val="191"/>
        </w:trPr>
        <w:tc>
          <w:tcPr>
            <w:tcW w:w="2720" w:type="dxa"/>
            <w:vAlign w:val="bottom"/>
            <w:gridSpan w:val="2"/>
          </w:tcPr>
          <w:p>
            <w:pPr>
              <w:ind w:left="20"/>
              <w:spacing w:after="0"/>
              <w:rPr>
                <w:sz w:val="20"/>
                <w:szCs w:val="20"/>
                <w:color w:val="auto"/>
              </w:rPr>
            </w:pPr>
            <w:r>
              <w:rPr>
                <w:rFonts w:ascii="Arial" w:cs="Arial" w:eastAsia="Arial" w:hAnsi="Arial"/>
                <w:sz w:val="14"/>
                <w:szCs w:val="14"/>
                <w:b w:val="1"/>
                <w:bCs w:val="1"/>
                <w:color w:val="131E29"/>
              </w:rPr>
              <w:t>RSA</w:t>
            </w:r>
          </w:p>
        </w:tc>
        <w:tc>
          <w:tcPr>
            <w:tcW w:w="8300" w:type="dxa"/>
            <w:vAlign w:val="bottom"/>
          </w:tcPr>
          <w:p>
            <w:pPr>
              <w:spacing w:after="0"/>
              <w:rPr>
                <w:sz w:val="20"/>
                <w:szCs w:val="20"/>
                <w:color w:val="auto"/>
              </w:rPr>
            </w:pPr>
            <w:r>
              <w:rPr>
                <w:rFonts w:ascii="Arial" w:cs="Arial" w:eastAsia="Arial" w:hAnsi="Arial"/>
                <w:sz w:val="14"/>
                <w:szCs w:val="14"/>
                <w:color w:val="131E29"/>
              </w:rPr>
              <w:t>Restricted Stock Awards</w:t>
            </w:r>
          </w:p>
        </w:tc>
        <w:tc>
          <w:tcPr>
            <w:tcW w:w="0" w:type="dxa"/>
            <w:vAlign w:val="bottom"/>
          </w:tcPr>
          <w:p>
            <w:pPr>
              <w:spacing w:after="0"/>
              <w:rPr>
                <w:sz w:val="1"/>
                <w:szCs w:val="1"/>
                <w:color w:val="auto"/>
              </w:rPr>
            </w:pPr>
          </w:p>
        </w:tc>
      </w:tr>
      <w:tr>
        <w:trPr>
          <w:trHeight w:val="22"/>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7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RSU</w:t>
            </w:r>
          </w:p>
        </w:tc>
        <w:tc>
          <w:tcPr>
            <w:tcW w:w="8300" w:type="dxa"/>
            <w:vAlign w:val="bottom"/>
            <w:tcBorders>
              <w:bottom w:val="single" w:sz="8" w:color="D2DCE5"/>
            </w:tcBorders>
            <w:shd w:val="clear" w:color="auto" w:fill="D2DCE5"/>
          </w:tcPr>
          <w:p>
            <w:pPr>
              <w:spacing w:after="0"/>
              <w:rPr>
                <w:sz w:val="20"/>
                <w:szCs w:val="20"/>
                <w:color w:val="auto"/>
              </w:rPr>
            </w:pPr>
            <w:r>
              <w:rPr>
                <w:rFonts w:ascii="Arial" w:cs="Arial" w:eastAsia="Arial" w:hAnsi="Arial"/>
                <w:sz w:val="14"/>
                <w:szCs w:val="14"/>
                <w:color w:val="131E29"/>
              </w:rPr>
              <w:t>Restricted Stock Units</w:t>
            </w:r>
          </w:p>
        </w:tc>
        <w:tc>
          <w:tcPr>
            <w:tcW w:w="0" w:type="dxa"/>
            <w:vAlign w:val="bottom"/>
          </w:tcPr>
          <w:p>
            <w:pPr>
              <w:spacing w:after="0"/>
              <w:rPr>
                <w:sz w:val="1"/>
                <w:szCs w:val="1"/>
                <w:color w:val="auto"/>
              </w:rPr>
            </w:pPr>
          </w:p>
        </w:tc>
      </w:tr>
      <w:tr>
        <w:trPr>
          <w:trHeight w:val="191"/>
        </w:trPr>
        <w:tc>
          <w:tcPr>
            <w:tcW w:w="2720" w:type="dxa"/>
            <w:vAlign w:val="bottom"/>
            <w:gridSpan w:val="2"/>
          </w:tcPr>
          <w:p>
            <w:pPr>
              <w:ind w:left="20"/>
              <w:spacing w:after="0"/>
              <w:rPr>
                <w:sz w:val="20"/>
                <w:szCs w:val="20"/>
                <w:color w:val="auto"/>
              </w:rPr>
            </w:pPr>
            <w:r>
              <w:rPr>
                <w:rFonts w:ascii="Arial" w:cs="Arial" w:eastAsia="Arial" w:hAnsi="Arial"/>
                <w:sz w:val="14"/>
                <w:szCs w:val="14"/>
                <w:b w:val="1"/>
                <w:bCs w:val="1"/>
                <w:color w:val="131E29"/>
              </w:rPr>
              <w:t>SEC</w:t>
            </w:r>
          </w:p>
        </w:tc>
        <w:tc>
          <w:tcPr>
            <w:tcW w:w="8300" w:type="dxa"/>
            <w:vAlign w:val="bottom"/>
          </w:tcPr>
          <w:p>
            <w:pPr>
              <w:spacing w:after="0"/>
              <w:rPr>
                <w:sz w:val="20"/>
                <w:szCs w:val="20"/>
                <w:color w:val="auto"/>
              </w:rPr>
            </w:pPr>
            <w:r>
              <w:rPr>
                <w:rFonts w:ascii="Arial" w:cs="Arial" w:eastAsia="Arial" w:hAnsi="Arial"/>
                <w:sz w:val="14"/>
                <w:szCs w:val="14"/>
                <w:color w:val="131E29"/>
              </w:rPr>
              <w:t>Securities and Exchange Commission</w:t>
            </w:r>
          </w:p>
        </w:tc>
        <w:tc>
          <w:tcPr>
            <w:tcW w:w="0" w:type="dxa"/>
            <w:vAlign w:val="bottom"/>
          </w:tcPr>
          <w:p>
            <w:pPr>
              <w:spacing w:after="0"/>
              <w:rPr>
                <w:sz w:val="1"/>
                <w:szCs w:val="1"/>
                <w:color w:val="auto"/>
              </w:rPr>
            </w:pPr>
          </w:p>
        </w:tc>
      </w:tr>
      <w:tr>
        <w:trPr>
          <w:trHeight w:val="22"/>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7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Sponsor</w:t>
            </w:r>
          </w:p>
        </w:tc>
        <w:tc>
          <w:tcPr>
            <w:tcW w:w="8300" w:type="dxa"/>
            <w:vAlign w:val="bottom"/>
            <w:tcBorders>
              <w:bottom w:val="single" w:sz="8" w:color="D2DCE5"/>
            </w:tcBorders>
            <w:shd w:val="clear" w:color="auto" w:fill="D2DCE5"/>
          </w:tcPr>
          <w:p>
            <w:pPr>
              <w:spacing w:after="0"/>
              <w:rPr>
                <w:sz w:val="20"/>
                <w:szCs w:val="20"/>
                <w:color w:val="auto"/>
              </w:rPr>
            </w:pPr>
            <w:r>
              <w:rPr>
                <w:rFonts w:ascii="Arial" w:cs="Arial" w:eastAsia="Arial" w:hAnsi="Arial"/>
                <w:sz w:val="14"/>
                <w:szCs w:val="14"/>
                <w:color w:val="131E29"/>
              </w:rPr>
              <w:t>TSG Consumer Partners, L.P. and certain of its affiliates.</w:t>
            </w:r>
          </w:p>
        </w:tc>
        <w:tc>
          <w:tcPr>
            <w:tcW w:w="0" w:type="dxa"/>
            <w:vAlign w:val="bottom"/>
          </w:tcPr>
          <w:p>
            <w:pPr>
              <w:spacing w:after="0"/>
              <w:rPr>
                <w:sz w:val="1"/>
                <w:szCs w:val="1"/>
                <w:color w:val="auto"/>
              </w:rPr>
            </w:pPr>
          </w:p>
        </w:tc>
      </w:tr>
      <w:tr>
        <w:trPr>
          <w:trHeight w:val="190"/>
        </w:trPr>
        <w:tc>
          <w:tcPr>
            <w:tcW w:w="2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131E29"/>
              </w:rPr>
              <w:t>Tax Receivable Agreements and TRAs</w:t>
            </w:r>
          </w:p>
        </w:tc>
        <w:tc>
          <w:tcPr>
            <w:tcW w:w="8300" w:type="dxa"/>
            <w:vAlign w:val="bottom"/>
          </w:tcPr>
          <w:p>
            <w:pPr>
              <w:spacing w:after="0"/>
              <w:rPr>
                <w:sz w:val="20"/>
                <w:szCs w:val="20"/>
                <w:color w:val="auto"/>
              </w:rPr>
            </w:pPr>
            <w:r>
              <w:rPr>
                <w:rFonts w:ascii="Arial" w:cs="Arial" w:eastAsia="Arial" w:hAnsi="Arial"/>
                <w:sz w:val="14"/>
                <w:szCs w:val="14"/>
                <w:color w:val="131E29"/>
              </w:rPr>
              <w:t>Each have the meaning set forth in NOTE 1 — Organization and Background to the consolidated financial statements, included</w:t>
            </w:r>
          </w:p>
        </w:tc>
        <w:tc>
          <w:tcPr>
            <w:tcW w:w="0" w:type="dxa"/>
            <w:vAlign w:val="bottom"/>
          </w:tcPr>
          <w:p>
            <w:pPr>
              <w:spacing w:after="0"/>
              <w:rPr>
                <w:sz w:val="1"/>
                <w:szCs w:val="1"/>
                <w:color w:val="auto"/>
              </w:rPr>
            </w:pPr>
          </w:p>
        </w:tc>
      </w:tr>
      <w:tr>
        <w:trPr>
          <w:trHeight w:val="170"/>
        </w:trPr>
        <w:tc>
          <w:tcPr>
            <w:tcW w:w="2720" w:type="dxa"/>
            <w:vAlign w:val="bottom"/>
            <w:gridSpan w:val="2"/>
            <w:vMerge w:val="continue"/>
          </w:tcPr>
          <w:p>
            <w:pPr>
              <w:spacing w:after="0"/>
              <w:rPr>
                <w:sz w:val="14"/>
                <w:szCs w:val="14"/>
                <w:color w:val="auto"/>
              </w:rPr>
            </w:pPr>
          </w:p>
        </w:tc>
        <w:tc>
          <w:tcPr>
            <w:tcW w:w="8300" w:type="dxa"/>
            <w:vAlign w:val="bottom"/>
          </w:tcPr>
          <w:p>
            <w:pPr>
              <w:spacing w:after="0"/>
              <w:rPr>
                <w:sz w:val="20"/>
                <w:szCs w:val="20"/>
                <w:color w:val="auto"/>
              </w:rPr>
            </w:pPr>
            <w:r>
              <w:rPr>
                <w:rFonts w:ascii="Arial" w:cs="Arial" w:eastAsia="Arial" w:hAnsi="Arial"/>
                <w:sz w:val="14"/>
                <w:szCs w:val="14"/>
                <w:color w:val="131E29"/>
              </w:rPr>
              <w:t>elsewhere in this Form 10-K.</w:t>
            </w:r>
          </w:p>
        </w:tc>
        <w:tc>
          <w:tcPr>
            <w:tcW w:w="0" w:type="dxa"/>
            <w:vAlign w:val="bottom"/>
          </w:tcPr>
          <w:p>
            <w:pPr>
              <w:spacing w:after="0"/>
              <w:rPr>
                <w:sz w:val="1"/>
                <w:szCs w:val="1"/>
                <w:color w:val="auto"/>
              </w:rPr>
            </w:pPr>
          </w:p>
        </w:tc>
      </w:tr>
      <w:tr>
        <w:trPr>
          <w:trHeight w:val="22"/>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72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Western United States</w:t>
            </w:r>
          </w:p>
        </w:tc>
        <w:tc>
          <w:tcPr>
            <w:tcW w:w="8300" w:type="dxa"/>
            <w:vAlign w:val="bottom"/>
            <w:shd w:val="clear" w:color="auto" w:fill="D2DCE5"/>
          </w:tcPr>
          <w:p>
            <w:pPr>
              <w:spacing w:after="0"/>
              <w:rPr>
                <w:sz w:val="20"/>
                <w:szCs w:val="20"/>
                <w:color w:val="auto"/>
              </w:rPr>
            </w:pPr>
            <w:r>
              <w:rPr>
                <w:rFonts w:ascii="Arial" w:cs="Arial" w:eastAsia="Arial" w:hAnsi="Arial"/>
                <w:sz w:val="14"/>
                <w:szCs w:val="14"/>
                <w:color w:val="131E29"/>
              </w:rPr>
              <w:t>The collection of states including Arizona, California, Colorado, Idaho, Nevada, New Mexico, Oregon, Utah and Washington.</w:t>
            </w:r>
          </w:p>
        </w:tc>
        <w:tc>
          <w:tcPr>
            <w:tcW w:w="0" w:type="dxa"/>
            <w:vAlign w:val="bottom"/>
          </w:tcPr>
          <w:p>
            <w:pPr>
              <w:spacing w:after="0"/>
              <w:rPr>
                <w:sz w:val="1"/>
                <w:szCs w:val="1"/>
                <w:color w:val="auto"/>
              </w:rPr>
            </w:pPr>
          </w:p>
        </w:tc>
      </w:tr>
      <w:tr>
        <w:trPr>
          <w:trHeight w:val="22"/>
        </w:trPr>
        <w:tc>
          <w:tcPr>
            <w:tcW w:w="2620" w:type="dxa"/>
            <w:vAlign w:val="bottom"/>
            <w:shd w:val="clear" w:color="auto" w:fill="D2DCE5"/>
          </w:tcPr>
          <w:p>
            <w:pPr>
              <w:spacing w:after="0" w:line="20" w:lineRule="exact"/>
              <w:rPr>
                <w:sz w:val="1"/>
                <w:szCs w:val="1"/>
                <w:color w:val="auto"/>
              </w:rPr>
            </w:pPr>
          </w:p>
        </w:tc>
        <w:tc>
          <w:tcPr>
            <w:tcW w:w="100" w:type="dxa"/>
            <w:vAlign w:val="bottom"/>
            <w:shd w:val="clear" w:color="auto" w:fill="D2DCE5"/>
          </w:tcPr>
          <w:p>
            <w:pPr>
              <w:spacing w:after="0" w:line="20" w:lineRule="exact"/>
              <w:rPr>
                <w:sz w:val="1"/>
                <w:szCs w:val="1"/>
                <w:color w:val="auto"/>
              </w:rPr>
            </w:pPr>
          </w:p>
        </w:tc>
        <w:tc>
          <w:tcPr>
            <w:tcW w:w="8300" w:type="dxa"/>
            <w:vAlign w:val="bottom"/>
            <w:shd w:val="clear" w:color="auto" w:fill="D2DC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jc w:val="both"/>
        <w:ind w:right="240"/>
        <w:spacing w:after="0" w:line="296" w:lineRule="auto"/>
        <w:rPr>
          <w:sz w:val="20"/>
          <w:szCs w:val="20"/>
          <w:color w:val="auto"/>
        </w:rPr>
      </w:pPr>
      <w:r>
        <w:rPr>
          <w:rFonts w:ascii="Arial" w:cs="Arial" w:eastAsia="Arial" w:hAnsi="Arial"/>
          <w:sz w:val="11"/>
          <w:szCs w:val="11"/>
          <w:color w:val="131E29"/>
        </w:rPr>
        <w:t>Dutch Bros, our Windmill logo (</w:t>
      </w:r>
      <w:r>
        <w:rPr>
          <w:sz w:val="1"/>
          <w:szCs w:val="1"/>
          <w:color w:val="auto"/>
        </w:rPr>
        <w:drawing>
          <wp:inline distT="0" distB="0" distL="0" distR="0">
            <wp:extent cx="80645" cy="12128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0645" cy="121285"/>
                    </a:xfrm>
                    <a:prstGeom prst="rect">
                      <a:avLst/>
                    </a:prstGeom>
                    <a:noFill/>
                    <a:ln>
                      <a:noFill/>
                    </a:ln>
                  </pic:spPr>
                </pic:pic>
              </a:graphicData>
            </a:graphic>
          </wp:inline>
        </w:drawing>
      </w:r>
      <w:r>
        <w:rPr>
          <w:rFonts w:ascii="Arial" w:cs="Arial" w:eastAsia="Arial" w:hAnsi="Arial"/>
          <w:sz w:val="11"/>
          <w:szCs w:val="11"/>
          <w:color w:val="131E29"/>
        </w:rPr>
        <w:t>), Dutch Bros. Blue Rebel and our other registered and common law trade names, trademarks and service marks are the property of Dutch Bros Inc. All other trademarks, trade names and service marks appearing in this Form 10-K are the property of their respective owners. Solely for convenience, the trademarks and trade names in this Form 10-K may be referred to without the ® and ™ symbols, but such references should not be construed as any indicator that their respective owners will not assert their rights thereto.</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5" w:name="page6"/>
    <w:bookmarkEnd w:id="5"/>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FORWARD-LOOKING STATEMENTS</w:t>
      </w:r>
    </w:p>
    <w:p>
      <w:pPr>
        <w:spacing w:after="0" w:line="259"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131E29"/>
        </w:rPr>
        <w:t>Certain statements in this Form 10-K, including the impact of inflation, increased minimum wages, COVID-19, and the war between Russia and Ukraine, on our results of operations, supply chain or liquidity, the potential impact of actions we have taken to mitigate the impact of unforeseen circumstances, taxes and tax rates, our expectations regarding the number of new shops we may open, anticipated future revenues and earnings, anticipated capital expenditures, consumer demand, and our expectations to generate positive cash flow in the foreseeable future, are forward-looking statements as defined in the Private Securities Litigation Reform Act of 1995. We use words such as “anticipate,” “believe,” “could,” “should,” “estimate,” “expect,” “intend,” “may,” “predict,” “project,” “target,” and similar terms and phrases, including references to assumptions, to identify forward-looking statements. These forward-looking statements are based on information available to us as of the date any such statements are made, and we assume no obligation to update these forward-looking statements. These statements are subject to risks and uncertainties that could cause actual results to differ materially from those described in the statements. You should not place undue reliance on forward-looking statements, which speak only as of the date of this Form 10-K.</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While we believe that our assumptions are reasonable, we caution that it is very difficult to predict the impact of known factors, and it is impossible for us to anticipate all factors that could affect actual results. You should evaluate all forward-looking statements made in this report in the context of the factors that could cause outcomes to differ materially from expectations. These factors include, but are not limited to, those listed under “Item 1A. Risk Factors” of this report, as such risk factors may be amended, supplemented or superseded from time to time by other reports we file with the Securities and Exchange Commission.</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You should read the consolidated financial statements and the related notes in this Form 10-K together with our analysis and discussion of our consolidated financial condition and results of operations and other financial information included elsewhere in this Form 10-K.</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Website Disclosure</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We use our website as a distribution channel of material company information. Financial and other important information regarding our company is routinely posted on and accessible through our website at https://investors.dutchbros.com. In addition, you may automatically receive email alerts and other information about our company when you subscribe your email address by visiting the “Investor Email Alerts” section of our investor relations page at https://investors.dutchbros.com/resources. The information on our website is not incorporated herein or otherwise a part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6" w:name="page7"/>
    <w:bookmarkEnd w:id="6"/>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006098"/>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61530" cy="806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8064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1. BUSINESS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131E29"/>
        </w:rPr>
        <w:t>Dutch Bros Inc. is a Delaware corporation and its Class A common stock trades on the New York Stock Exchange under the symbol “BROS”.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OUR COMPANY</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Dutch Bros is a high growth operator and franchisor of drive-thru shops that focus on serving high QUALITY, hand-crafted beverages with unparalleled SPEED and superior SERVICE. Founded in 1992 by brothers Dane and Travis Boersma, Dutch Bros began with a double-head espresso machine and a pushcart in Grants Pass, Oregon. Today, we believe that Dutch Bros is one of the fastest-growing brands in the foodservice and restaurant industry in the United States by location count. As of December 31, 2022, we had 671 shops, of which 396 were company-operated and 275 were franchise, across 14 states as shown in the graphic below. For additional information regarding company-operated and franchise shops by state, refer to Part I, Item 2 Properties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1485265</wp:posOffset>
            </wp:positionH>
            <wp:positionV relativeFrom="paragraph">
              <wp:posOffset>128905</wp:posOffset>
            </wp:positionV>
            <wp:extent cx="4204335" cy="2439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04335" cy="2439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7" w:name="page8"/>
    <w:bookmarkEnd w:id="7"/>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The Dutch Bros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110490</wp:posOffset>
            </wp:positionV>
            <wp:extent cx="2155825" cy="11252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55825" cy="1125220"/>
                    </a:xfrm>
                    <a:prstGeom prst="rect">
                      <a:avLst/>
                    </a:prstGeom>
                    <a:noFill/>
                  </pic:spPr>
                </pic:pic>
              </a:graphicData>
            </a:graphic>
          </wp:anchor>
        </w:drawing>
      </w:r>
    </w:p>
    <w:p>
      <w:pPr>
        <w:spacing w:after="0" w:line="312" w:lineRule="exact"/>
        <w:rPr>
          <w:sz w:val="20"/>
          <w:szCs w:val="20"/>
          <w:color w:val="auto"/>
        </w:rPr>
      </w:pPr>
    </w:p>
    <w:p>
      <w:pPr>
        <w:ind w:left="3760"/>
        <w:spacing w:after="0"/>
        <w:rPr>
          <w:sz w:val="20"/>
          <w:szCs w:val="20"/>
          <w:color w:val="auto"/>
        </w:rPr>
      </w:pPr>
      <w:r>
        <w:rPr>
          <w:rFonts w:ascii="Arial" w:cs="Arial" w:eastAsia="Arial" w:hAnsi="Arial"/>
          <w:sz w:val="14"/>
          <w:szCs w:val="14"/>
          <w:color w:val="131E29"/>
        </w:rPr>
        <w:t>Dutch Bros is more than just the products we</w:t>
      </w:r>
    </w:p>
    <w:p>
      <w:pPr>
        <w:spacing w:after="0" w:line="9" w:lineRule="exact"/>
        <w:rPr>
          <w:sz w:val="20"/>
          <w:szCs w:val="20"/>
          <w:color w:val="auto"/>
        </w:rPr>
      </w:pPr>
    </w:p>
    <w:p>
      <w:pPr>
        <w:ind w:left="3760"/>
        <w:spacing w:after="0"/>
        <w:tabs>
          <w:tab w:leader="none" w:pos="4300" w:val="left"/>
          <w:tab w:leader="none" w:pos="4660" w:val="left"/>
          <w:tab w:leader="none" w:pos="5040" w:val="left"/>
          <w:tab w:leader="none" w:pos="5840" w:val="left"/>
          <w:tab w:leader="none" w:pos="6140" w:val="left"/>
        </w:tabs>
        <w:rPr>
          <w:sz w:val="20"/>
          <w:szCs w:val="20"/>
          <w:color w:val="auto"/>
        </w:rPr>
      </w:pPr>
      <w:r>
        <w:rPr>
          <w:rFonts w:ascii="Arial" w:cs="Arial" w:eastAsia="Arial" w:hAnsi="Arial"/>
          <w:sz w:val="14"/>
          <w:szCs w:val="14"/>
          <w:color w:val="131E29"/>
        </w:rPr>
        <w:t>serve:</w:t>
        <w:tab/>
        <w:t>we</w:t>
        <w:tab/>
        <w:t>are</w:t>
        <w:tab/>
        <w:t>dedicated</w:t>
        <w:tab/>
        <w:t>to</w:t>
      </w:r>
      <w:r>
        <w:rPr>
          <w:sz w:val="20"/>
          <w:szCs w:val="20"/>
          <w:color w:val="auto"/>
        </w:rPr>
        <w:tab/>
      </w:r>
      <w:r>
        <w:rPr>
          <w:rFonts w:ascii="Arial" w:cs="Arial" w:eastAsia="Arial" w:hAnsi="Arial"/>
          <w:sz w:val="13"/>
          <w:szCs w:val="13"/>
          <w:color w:val="131E29"/>
        </w:rPr>
        <w:t>making</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4"/>
          <w:szCs w:val="14"/>
          <w:color w:val="131E29"/>
        </w:rPr>
        <w:t>differences in the lives of our employees,</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4"/>
          <w:szCs w:val="14"/>
          <w:color w:val="131E29"/>
        </w:rPr>
        <w:t>customers, and the communities in which we</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4"/>
          <w:szCs w:val="14"/>
          <w:color w:val="131E29"/>
        </w:rPr>
        <w:t>operate.  Our  people  are  the  key  to  our</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4"/>
          <w:szCs w:val="14"/>
          <w:color w:val="131E29"/>
        </w:rPr>
        <w:t>success, and our broistas are the face of</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4"/>
          <w:szCs w:val="14"/>
          <w:color w:val="131E29"/>
        </w:rPr>
        <w:t>Dutch  Bros,  delivering  on  the  Company’s</w:t>
      </w:r>
    </w:p>
    <w:p>
      <w:pPr>
        <w:spacing w:after="0" w:line="9" w:lineRule="exact"/>
        <w:rPr>
          <w:sz w:val="20"/>
          <w:szCs w:val="20"/>
          <w:color w:val="auto"/>
        </w:rPr>
      </w:pPr>
    </w:p>
    <w:p>
      <w:pPr>
        <w:ind w:left="3760"/>
        <w:spacing w:after="0"/>
        <w:tabs>
          <w:tab w:leader="none" w:pos="4160" w:val="left"/>
          <w:tab w:leader="none" w:pos="4700" w:val="left"/>
          <w:tab w:leader="none" w:pos="4940" w:val="left"/>
          <w:tab w:leader="none" w:pos="5700" w:val="left"/>
          <w:tab w:leader="none" w:pos="6360" w:val="left"/>
        </w:tabs>
        <w:rPr>
          <w:sz w:val="20"/>
          <w:szCs w:val="20"/>
          <w:color w:val="auto"/>
        </w:rPr>
      </w:pPr>
      <w:r>
        <w:rPr>
          <w:rFonts w:ascii="Arial" w:cs="Arial" w:eastAsia="Arial" w:hAnsi="Arial"/>
          <w:sz w:val="14"/>
          <w:szCs w:val="14"/>
          <w:color w:val="131E29"/>
        </w:rPr>
        <w:t>core</w:t>
        <w:tab/>
        <w:t>values</w:t>
        <w:tab/>
        <w:t>of</w:t>
        <w:tab/>
        <w:t>QUALITY,</w:t>
        <w:tab/>
        <w:t>SPEED,</w:t>
        <w:tab/>
        <w:t>and</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4"/>
          <w:szCs w:val="14"/>
          <w:color w:val="131E29"/>
        </w:rPr>
        <w:t>SERVICE.</w:t>
      </w:r>
    </w:p>
    <w:p>
      <w:pPr>
        <w:spacing w:after="0" w:line="351" w:lineRule="exact"/>
        <w:rPr>
          <w:sz w:val="20"/>
          <w:szCs w:val="20"/>
          <w:color w:val="auto"/>
        </w:rPr>
      </w:pPr>
    </w:p>
    <w:p>
      <w:pPr>
        <w:ind w:left="260" w:hanging="255"/>
        <w:spacing w:after="0"/>
        <w:tabs>
          <w:tab w:leader="none" w:pos="260" w:val="left"/>
        </w:tabs>
        <w:numPr>
          <w:ilvl w:val="0"/>
          <w:numId w:val="3"/>
        </w:numPr>
        <w:rPr>
          <w:rFonts w:ascii="Arial" w:cs="Arial" w:eastAsia="Arial" w:hAnsi="Arial"/>
          <w:sz w:val="14"/>
          <w:szCs w:val="14"/>
          <w:color w:val="131E29"/>
        </w:rPr>
      </w:pPr>
      <w:r>
        <w:rPr>
          <w:rFonts w:ascii="Arial" w:cs="Arial" w:eastAsia="Arial" w:hAnsi="Arial"/>
          <w:sz w:val="14"/>
          <w:szCs w:val="14"/>
          <w:b w:val="1"/>
          <w:bCs w:val="1"/>
          <w:color w:val="006098"/>
        </w:rPr>
        <w:t xml:space="preserve">QUALITY: </w:t>
      </w:r>
      <w:r>
        <w:rPr>
          <w:rFonts w:ascii="Arial" w:cs="Arial" w:eastAsia="Arial" w:hAnsi="Arial"/>
          <w:sz w:val="14"/>
          <w:szCs w:val="14"/>
          <w:color w:val="131E29"/>
        </w:rPr>
        <w:t>Our broistas are provided with the resources and training to provide high-quality hand-crafted beverages to our customers.</w:t>
      </w:r>
    </w:p>
    <w:p>
      <w:pPr>
        <w:spacing w:after="0" w:line="136" w:lineRule="exact"/>
        <w:rPr>
          <w:rFonts w:ascii="Arial" w:cs="Arial" w:eastAsia="Arial" w:hAnsi="Arial"/>
          <w:sz w:val="14"/>
          <w:szCs w:val="14"/>
          <w:color w:val="131E29"/>
        </w:rPr>
      </w:pPr>
    </w:p>
    <w:p>
      <w:pPr>
        <w:jc w:val="both"/>
        <w:ind w:left="260" w:hanging="255"/>
        <w:spacing w:after="0" w:line="266" w:lineRule="auto"/>
        <w:tabs>
          <w:tab w:leader="none" w:pos="256" w:val="left"/>
        </w:tabs>
        <w:numPr>
          <w:ilvl w:val="0"/>
          <w:numId w:val="3"/>
        </w:numPr>
        <w:rPr>
          <w:rFonts w:ascii="Arial" w:cs="Arial" w:eastAsia="Arial" w:hAnsi="Arial"/>
          <w:sz w:val="14"/>
          <w:szCs w:val="14"/>
          <w:color w:val="131E29"/>
        </w:rPr>
      </w:pPr>
      <w:r>
        <w:rPr>
          <w:rFonts w:ascii="Arial" w:cs="Arial" w:eastAsia="Arial" w:hAnsi="Arial"/>
          <w:sz w:val="14"/>
          <w:szCs w:val="14"/>
          <w:b w:val="1"/>
          <w:bCs w:val="1"/>
          <w:color w:val="006098"/>
        </w:rPr>
        <w:t xml:space="preserve">SPEED: </w:t>
      </w:r>
      <w:r>
        <w:rPr>
          <w:rFonts w:ascii="Arial" w:cs="Arial" w:eastAsia="Arial" w:hAnsi="Arial"/>
          <w:sz w:val="14"/>
          <w:szCs w:val="14"/>
          <w:color w:val="131E29"/>
        </w:rPr>
        <w:t>When our shops are busy, a “runner” broista leaves the shop and greets our customers before they reach the drive-thru window. This runner explains the menu and</w:t>
      </w:r>
      <w:r>
        <w:rPr>
          <w:rFonts w:ascii="Arial" w:cs="Arial" w:eastAsia="Arial" w:hAnsi="Arial"/>
          <w:sz w:val="14"/>
          <w:szCs w:val="14"/>
          <w:b w:val="1"/>
          <w:bCs w:val="1"/>
          <w:color w:val="006098"/>
        </w:rPr>
        <w:t xml:space="preserve"> </w:t>
      </w:r>
      <w:r>
        <w:rPr>
          <w:rFonts w:ascii="Arial" w:cs="Arial" w:eastAsia="Arial" w:hAnsi="Arial"/>
          <w:sz w:val="14"/>
          <w:szCs w:val="14"/>
          <w:color w:val="131E29"/>
        </w:rPr>
        <w:t>helps customers personalize their orders. Using tablets, our runners take orders, sending them to broistas inside the shop, who utilize our flexible systems to handcraft custom beverages. This system, in combination with “escape lanes” that allow customers to receive their drinks and exit before reaching the window if their drinks are ready, helps our team manage throughput all day.</w:t>
      </w:r>
    </w:p>
    <w:p>
      <w:pPr>
        <w:spacing w:after="0" w:line="92" w:lineRule="exact"/>
        <w:rPr>
          <w:rFonts w:ascii="Arial" w:cs="Arial" w:eastAsia="Arial" w:hAnsi="Arial"/>
          <w:sz w:val="14"/>
          <w:szCs w:val="14"/>
          <w:color w:val="131E29"/>
        </w:rPr>
      </w:pPr>
    </w:p>
    <w:p>
      <w:pPr>
        <w:ind w:left="260" w:hanging="255"/>
        <w:spacing w:after="0" w:line="293" w:lineRule="auto"/>
        <w:tabs>
          <w:tab w:leader="none" w:pos="256" w:val="left"/>
        </w:tabs>
        <w:numPr>
          <w:ilvl w:val="0"/>
          <w:numId w:val="3"/>
        </w:numPr>
        <w:rPr>
          <w:rFonts w:ascii="Arial" w:cs="Arial" w:eastAsia="Arial" w:hAnsi="Arial"/>
          <w:sz w:val="14"/>
          <w:szCs w:val="14"/>
          <w:color w:val="131E29"/>
        </w:rPr>
      </w:pPr>
      <w:r>
        <w:rPr>
          <w:rFonts w:ascii="Arial" w:cs="Arial" w:eastAsia="Arial" w:hAnsi="Arial"/>
          <w:sz w:val="14"/>
          <w:szCs w:val="14"/>
          <w:b w:val="1"/>
          <w:bCs w:val="1"/>
          <w:color w:val="006098"/>
        </w:rPr>
        <w:t xml:space="preserve">SERVICE: </w:t>
      </w:r>
      <w:r>
        <w:rPr>
          <w:rFonts w:ascii="Arial" w:cs="Arial" w:eastAsia="Arial" w:hAnsi="Arial"/>
          <w:sz w:val="14"/>
          <w:szCs w:val="14"/>
          <w:color w:val="131E29"/>
        </w:rPr>
        <w:t>We embrace a customer-first attitude and use every interaction during the drive-thru experience to connect with our customers and strive to deliver an experience</w:t>
      </w:r>
      <w:r>
        <w:rPr>
          <w:rFonts w:ascii="Arial" w:cs="Arial" w:eastAsia="Arial" w:hAnsi="Arial"/>
          <w:sz w:val="14"/>
          <w:szCs w:val="14"/>
          <w:b w:val="1"/>
          <w:bCs w:val="1"/>
          <w:color w:val="006098"/>
        </w:rPr>
        <w:t xml:space="preserve"> </w:t>
      </w:r>
      <w:r>
        <w:rPr>
          <w:rFonts w:ascii="Arial" w:cs="Arial" w:eastAsia="Arial" w:hAnsi="Arial"/>
          <w:sz w:val="14"/>
          <w:szCs w:val="14"/>
          <w:color w:val="131E29"/>
        </w:rPr>
        <w:t>that exceeds our customers’ expectations.</w:t>
      </w:r>
    </w:p>
    <w:p>
      <w:pPr>
        <w:spacing w:after="0" w:line="9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The combination of hand-crafted and high-quality beverages, our unique drive-thru experience and our community-driven, people-first culture has allowed us to successfully open new shops and continue to share the “Dutch Luv”. To achieve these experiences and create meaningful differentiation in our industry, we and our franchise partners are committed to attracting and retaining broistas who go all out to deliver an experience that exceeds our customers’ expectations, every day. We empower our broistas to take the extra step to make each customer interaction remarkable.</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Our Menu</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131E29"/>
        </w:rPr>
        <w:t>We sell a wide range of customizable hot, iced, and blended beverages.</w:t>
      </w:r>
    </w:p>
    <w:p>
      <w:pPr>
        <w:spacing w:after="0" w:line="118" w:lineRule="exact"/>
        <w:rPr>
          <w:sz w:val="20"/>
          <w:szCs w:val="20"/>
          <w:color w:val="auto"/>
        </w:rPr>
      </w:pPr>
    </w:p>
    <w:p>
      <w:pPr>
        <w:jc w:val="both"/>
        <w:ind w:left="260" w:hanging="255"/>
        <w:spacing w:after="0" w:line="239" w:lineRule="auto"/>
        <w:tabs>
          <w:tab w:leader="none" w:pos="256" w:val="left"/>
        </w:tabs>
        <w:numPr>
          <w:ilvl w:val="0"/>
          <w:numId w:val="4"/>
        </w:numPr>
        <w:rPr>
          <w:rFonts w:ascii="Arial" w:cs="Arial" w:eastAsia="Arial" w:hAnsi="Arial"/>
          <w:sz w:val="14"/>
          <w:szCs w:val="14"/>
          <w:color w:val="131E29"/>
        </w:rPr>
      </w:pPr>
      <w:r>
        <w:rPr>
          <w:rFonts w:ascii="Arial" w:cs="Arial" w:eastAsia="Arial" w:hAnsi="Arial"/>
          <w:sz w:val="14"/>
          <w:szCs w:val="14"/>
          <w:b w:val="1"/>
          <w:bCs w:val="1"/>
          <w:color w:val="006098"/>
        </w:rPr>
        <w:t xml:space="preserve">Coffee: </w:t>
      </w:r>
      <w:r>
        <w:rPr>
          <w:rFonts w:ascii="Arial" w:cs="Arial" w:eastAsia="Arial" w:hAnsi="Arial"/>
          <w:sz w:val="14"/>
          <w:szCs w:val="14"/>
          <w:color w:val="131E29"/>
        </w:rPr>
        <w:t>coffee-based beverages make up ~50%</w:t>
      </w:r>
      <w:r>
        <w:rPr>
          <w:rFonts w:ascii="Arial" w:cs="Arial" w:eastAsia="Arial" w:hAnsi="Arial"/>
          <w:sz w:val="18"/>
          <w:szCs w:val="18"/>
          <w:color w:val="131E29"/>
          <w:vertAlign w:val="superscript"/>
        </w:rPr>
        <w:t>1</w:t>
      </w:r>
      <w:r>
        <w:rPr>
          <w:rFonts w:ascii="Arial" w:cs="Arial" w:eastAsia="Arial" w:hAnsi="Arial"/>
          <w:sz w:val="14"/>
          <w:szCs w:val="14"/>
          <w:b w:val="1"/>
          <w:bCs w:val="1"/>
          <w:color w:val="006098"/>
        </w:rPr>
        <w:t xml:space="preserve"> </w:t>
      </w:r>
      <w:r>
        <w:rPr>
          <w:rFonts w:ascii="Arial" w:cs="Arial" w:eastAsia="Arial" w:hAnsi="Arial"/>
          <w:sz w:val="14"/>
          <w:szCs w:val="14"/>
          <w:color w:val="131E29"/>
        </w:rPr>
        <w:t>of our menu mix. Coffee-based beverages include our espresso-based custom drinks, cold brew, and our proprietary “Freeze”</w:t>
      </w:r>
      <w:r>
        <w:rPr>
          <w:rFonts w:ascii="Arial" w:cs="Arial" w:eastAsia="Arial" w:hAnsi="Arial"/>
          <w:sz w:val="14"/>
          <w:szCs w:val="14"/>
          <w:b w:val="1"/>
          <w:bCs w:val="1"/>
          <w:color w:val="006098"/>
        </w:rPr>
        <w:t xml:space="preserve"> </w:t>
      </w:r>
      <w:r>
        <w:rPr>
          <w:rFonts w:ascii="Arial" w:cs="Arial" w:eastAsia="Arial" w:hAnsi="Arial"/>
          <w:sz w:val="14"/>
          <w:szCs w:val="14"/>
          <w:color w:val="131E29"/>
        </w:rPr>
        <w:t>blended beverages. Our Private Reserve coffee is a 100% Arabica three-bean blend, roasted in our Grant’s Pass facility. In our shops, we utilize premium La Marzocco machines to extract the coffee and deliver shots of smooth, full-bodied espresso.</w:t>
      </w:r>
    </w:p>
    <w:p>
      <w:pPr>
        <w:spacing w:after="0" w:line="109" w:lineRule="exact"/>
        <w:rPr>
          <w:rFonts w:ascii="Arial" w:cs="Arial" w:eastAsia="Arial" w:hAnsi="Arial"/>
          <w:sz w:val="14"/>
          <w:szCs w:val="14"/>
          <w:color w:val="131E29"/>
        </w:rPr>
      </w:pPr>
    </w:p>
    <w:p>
      <w:pPr>
        <w:ind w:left="260" w:hanging="255"/>
        <w:spacing w:after="0" w:line="233" w:lineRule="auto"/>
        <w:tabs>
          <w:tab w:leader="none" w:pos="256" w:val="left"/>
        </w:tabs>
        <w:numPr>
          <w:ilvl w:val="0"/>
          <w:numId w:val="4"/>
        </w:numPr>
        <w:rPr>
          <w:rFonts w:ascii="Arial" w:cs="Arial" w:eastAsia="Arial" w:hAnsi="Arial"/>
          <w:sz w:val="14"/>
          <w:szCs w:val="14"/>
          <w:color w:val="131E29"/>
        </w:rPr>
      </w:pPr>
      <w:r>
        <w:rPr>
          <w:rFonts w:ascii="Arial" w:cs="Arial" w:eastAsia="Arial" w:hAnsi="Arial"/>
          <w:sz w:val="14"/>
          <w:szCs w:val="14"/>
          <w:b w:val="1"/>
          <w:bCs w:val="1"/>
          <w:color w:val="006098"/>
        </w:rPr>
        <w:t xml:space="preserve">Energy: </w:t>
      </w:r>
      <w:r>
        <w:rPr>
          <w:rFonts w:ascii="Arial" w:cs="Arial" w:eastAsia="Arial" w:hAnsi="Arial"/>
          <w:sz w:val="14"/>
          <w:szCs w:val="14"/>
          <w:color w:val="131E29"/>
        </w:rPr>
        <w:t>~25%</w:t>
      </w:r>
      <w:r>
        <w:rPr>
          <w:rFonts w:ascii="Arial" w:cs="Arial" w:eastAsia="Arial" w:hAnsi="Arial"/>
          <w:sz w:val="18"/>
          <w:szCs w:val="18"/>
          <w:color w:val="131E29"/>
          <w:vertAlign w:val="superscript"/>
        </w:rPr>
        <w:t>1</w:t>
      </w:r>
      <w:r>
        <w:rPr>
          <w:rFonts w:ascii="Arial" w:cs="Arial" w:eastAsia="Arial" w:hAnsi="Arial"/>
          <w:sz w:val="14"/>
          <w:szCs w:val="14"/>
          <w:b w:val="1"/>
          <w:bCs w:val="1"/>
          <w:color w:val="006098"/>
        </w:rPr>
        <w:t xml:space="preserve"> </w:t>
      </w:r>
      <w:r>
        <w:rPr>
          <w:rFonts w:ascii="Arial" w:cs="Arial" w:eastAsia="Arial" w:hAnsi="Arial"/>
          <w:sz w:val="14"/>
          <w:szCs w:val="14"/>
          <w:color w:val="131E29"/>
        </w:rPr>
        <w:t>of our menu mix is based upon our proprietary Blue Rebel energy drink, which is highly customizable with flavors and modifiers and can be served blended or</w:t>
      </w:r>
      <w:r>
        <w:rPr>
          <w:rFonts w:ascii="Arial" w:cs="Arial" w:eastAsia="Arial" w:hAnsi="Arial"/>
          <w:sz w:val="14"/>
          <w:szCs w:val="14"/>
          <w:b w:val="1"/>
          <w:bCs w:val="1"/>
          <w:color w:val="006098"/>
        </w:rPr>
        <w:t xml:space="preserve"> </w:t>
      </w:r>
      <w:r>
        <w:rPr>
          <w:rFonts w:ascii="Arial" w:cs="Arial" w:eastAsia="Arial" w:hAnsi="Arial"/>
          <w:sz w:val="14"/>
          <w:szCs w:val="14"/>
          <w:color w:val="131E29"/>
        </w:rPr>
        <w:t>over ice. Our energy platform helps unlock the afternoon daypart and helps us appeal to a diverse customer base.</w:t>
      </w:r>
    </w:p>
    <w:p>
      <w:pPr>
        <w:spacing w:after="0" w:line="109" w:lineRule="exact"/>
        <w:rPr>
          <w:rFonts w:ascii="Arial" w:cs="Arial" w:eastAsia="Arial" w:hAnsi="Arial"/>
          <w:sz w:val="14"/>
          <w:szCs w:val="14"/>
          <w:color w:val="131E29"/>
        </w:rPr>
      </w:pPr>
    </w:p>
    <w:p>
      <w:pPr>
        <w:ind w:left="260" w:hanging="255"/>
        <w:spacing w:after="0"/>
        <w:tabs>
          <w:tab w:leader="none" w:pos="260" w:val="left"/>
        </w:tabs>
        <w:numPr>
          <w:ilvl w:val="0"/>
          <w:numId w:val="4"/>
        </w:numPr>
        <w:rPr>
          <w:rFonts w:ascii="Arial" w:cs="Arial" w:eastAsia="Arial" w:hAnsi="Arial"/>
          <w:sz w:val="14"/>
          <w:szCs w:val="14"/>
          <w:color w:val="131E29"/>
        </w:rPr>
      </w:pPr>
      <w:r>
        <w:rPr>
          <w:rFonts w:ascii="Arial" w:cs="Arial" w:eastAsia="Arial" w:hAnsi="Arial"/>
          <w:sz w:val="14"/>
          <w:szCs w:val="14"/>
          <w:b w:val="1"/>
          <w:bCs w:val="1"/>
          <w:color w:val="006098"/>
        </w:rPr>
        <w:t xml:space="preserve">Other: </w:t>
      </w:r>
      <w:r>
        <w:rPr>
          <w:rFonts w:ascii="Arial" w:cs="Arial" w:eastAsia="Arial" w:hAnsi="Arial"/>
          <w:sz w:val="14"/>
          <w:szCs w:val="14"/>
          <w:color w:val="131E29"/>
        </w:rPr>
        <w:t>the remaining ~25%</w:t>
      </w:r>
      <w:r>
        <w:rPr>
          <w:rFonts w:ascii="Arial" w:cs="Arial" w:eastAsia="Arial" w:hAnsi="Arial"/>
          <w:sz w:val="18"/>
          <w:szCs w:val="18"/>
          <w:color w:val="131E29"/>
          <w:vertAlign w:val="superscript"/>
        </w:rPr>
        <w:t>1</w:t>
      </w:r>
      <w:r>
        <w:rPr>
          <w:rFonts w:ascii="Arial" w:cs="Arial" w:eastAsia="Arial" w:hAnsi="Arial"/>
          <w:sz w:val="14"/>
          <w:szCs w:val="14"/>
          <w:b w:val="1"/>
          <w:bCs w:val="1"/>
          <w:color w:val="006098"/>
        </w:rPr>
        <w:t xml:space="preserve"> </w:t>
      </w:r>
      <w:r>
        <w:rPr>
          <w:rFonts w:ascii="Arial" w:cs="Arial" w:eastAsia="Arial" w:hAnsi="Arial"/>
          <w:sz w:val="14"/>
          <w:szCs w:val="14"/>
          <w:color w:val="131E29"/>
        </w:rPr>
        <w:t>of our menu mix is a wide variety of teas, lemonades, sodas, and smoothies.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color w:val="131E29"/>
        </w:rPr>
        <w:t>_________________</w:t>
      </w:r>
    </w:p>
    <w:p>
      <w:pPr>
        <w:spacing w:after="0" w:line="91" w:lineRule="exact"/>
        <w:rPr>
          <w:sz w:val="20"/>
          <w:szCs w:val="20"/>
          <w:color w:val="auto"/>
        </w:rPr>
      </w:pPr>
    </w:p>
    <w:p>
      <w:pPr>
        <w:ind w:left="220" w:hanging="215"/>
        <w:spacing w:after="0"/>
        <w:tabs>
          <w:tab w:leader="none" w:pos="220" w:val="left"/>
        </w:tabs>
        <w:numPr>
          <w:ilvl w:val="0"/>
          <w:numId w:val="5"/>
        </w:numPr>
        <w:rPr>
          <w:rFonts w:ascii="Arial" w:cs="Arial" w:eastAsia="Arial" w:hAnsi="Arial"/>
          <w:sz w:val="18"/>
          <w:szCs w:val="18"/>
          <w:color w:val="131E29"/>
          <w:vertAlign w:val="superscript"/>
        </w:rPr>
      </w:pPr>
      <w:r>
        <w:rPr>
          <w:rFonts w:ascii="Arial" w:cs="Arial" w:eastAsia="Arial" w:hAnsi="Arial"/>
          <w:sz w:val="11"/>
          <w:szCs w:val="11"/>
          <w:color w:val="131E29"/>
        </w:rPr>
        <w:t>Based on number of drinks sold across our system in 2022.</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8" w:name="page9"/>
    <w:bookmarkEnd w:id="8"/>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00"/>
        <w:spacing w:after="0"/>
        <w:rPr>
          <w:sz w:val="20"/>
          <w:szCs w:val="20"/>
          <w:color w:val="auto"/>
        </w:rPr>
      </w:pPr>
      <w:r>
        <w:rPr>
          <w:rFonts w:ascii="Arial" w:cs="Arial" w:eastAsia="Arial" w:hAnsi="Arial"/>
          <w:sz w:val="14"/>
          <w:szCs w:val="14"/>
          <w:color w:val="131E29"/>
        </w:rPr>
        <w:t>Customers are encouraged to explore our robust “secret”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1549400" cy="774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49400" cy="77470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14"/>
          <w:szCs w:val="14"/>
          <w:color w:val="131E29"/>
        </w:rPr>
        <w:t>menu and customize beverages through the addition of flavors</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4"/>
          <w:szCs w:val="14"/>
          <w:color w:val="131E29"/>
        </w:rPr>
        <w:t>and other modifiers. Many of our customers add “soft-top,” a</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4"/>
          <w:szCs w:val="14"/>
          <w:color w:val="131E29"/>
        </w:rPr>
        <w:t>sweet, creamy whipped topping that can be added to almost</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4"/>
          <w:szCs w:val="14"/>
          <w:color w:val="131E29"/>
        </w:rPr>
        <w:t>any order. High-levels of customization encourage innovation,</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4"/>
          <w:szCs w:val="14"/>
          <w:color w:val="131E29"/>
        </w:rPr>
        <w:t>creating  a  competitive  moat  and  helping  drive  a  broad</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4"/>
          <w:szCs w:val="14"/>
          <w:color w:val="131E29"/>
        </w:rPr>
        <w:t>demographic appeal.</w:t>
      </w: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Our Dutch Rewards Loyalty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3627755</wp:posOffset>
            </wp:positionH>
            <wp:positionV relativeFrom="paragraph">
              <wp:posOffset>110490</wp:posOffset>
            </wp:positionV>
            <wp:extent cx="2054860" cy="10509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54860" cy="1050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20" w:right="5680"/>
        <w:spacing w:after="0" w:line="266" w:lineRule="auto"/>
        <w:rPr>
          <w:sz w:val="20"/>
          <w:szCs w:val="20"/>
          <w:color w:val="auto"/>
        </w:rPr>
      </w:pPr>
      <w:r>
        <w:rPr>
          <w:rFonts w:ascii="Arial" w:cs="Arial" w:eastAsia="Arial" w:hAnsi="Arial"/>
          <w:sz w:val="14"/>
          <w:szCs w:val="14"/>
          <w:color w:val="131E29"/>
        </w:rPr>
        <w:t>In February 2021, we released our app-based digital loyalty program (Dutch Rewards) which has grown to 5.2 million registered members as of December 31, 2022.</w:t>
      </w:r>
    </w:p>
    <w:p>
      <w:pPr>
        <w:spacing w:after="0" w:line="174" w:lineRule="exact"/>
        <w:rPr>
          <w:sz w:val="20"/>
          <w:szCs w:val="20"/>
          <w:color w:val="auto"/>
        </w:rPr>
      </w:pPr>
    </w:p>
    <w:p>
      <w:pPr>
        <w:jc w:val="both"/>
        <w:ind w:left="20" w:right="5680"/>
        <w:spacing w:after="0" w:line="256" w:lineRule="auto"/>
        <w:rPr>
          <w:sz w:val="20"/>
          <w:szCs w:val="20"/>
          <w:color w:val="auto"/>
        </w:rPr>
      </w:pPr>
      <w:r>
        <w:rPr>
          <w:rFonts w:ascii="Arial" w:cs="Arial" w:eastAsia="Arial" w:hAnsi="Arial"/>
          <w:sz w:val="14"/>
          <w:szCs w:val="14"/>
          <w:color w:val="131E29"/>
        </w:rPr>
        <w:t>We utilize Dutch Rewards to interact directly with our customers, applying 1:1 marketing to offer targeted messaging, offers, and rewards that enhance the Dutch Bros experience. Dutch Rewards uses a spend-based model, where customers collect points that can be redeemed for rewards. These rewards can be utilized to receive free drinks or shared with others. Points and rewards generally expire after six months.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Further, we offer members the ability to preload funds on their account and pay through our app, a function we call Dutch Pass. In addition to being convenient for customers, Dutch Pass enables us to increase our speed of service by reducing the payment collection time. Our Dutch Pass functionality also allows users to purchase and share digital gift cards, providing more customers the opportunity to share in the Dutch Bros Experience.</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Our Shops</w:t>
      </w:r>
    </w:p>
    <w:p>
      <w:pPr>
        <w:spacing w:after="0" w:line="15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We are a drive-thru focused business: over 90% of our business is conducted through the drive-thru. We believe that our drive-thru business model places a premium on customer convenience without sacrificing the personal experience. Our shops and our real estate strategy are designed from the ground up to support the drive-thru business.</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Our shops typically have a smaller footprint than other drive-thru formats - our shops are typically 865 to 950 square feet. This compact footprint allows us greater flexibility to place locations on more parcels. We typically target lots that are at least 25,000 square feet to handle substantial car volume. Except for a handful of legacy “coffee houses”, all our shops deploy either a single or double drive-thru window with multiple feeder lanes for traffic flow. Most of our shops also have walk-up ordering windows and “escape lanes” that enable customers to exit the line after a runner delivers their drink before reaching the window, helping increase throughput and reducing congestion. For illustration of our shop model, see the graphic below.</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9" w:name="page10"/>
    <w:bookmarkEnd w:id="9"/>
    <w:p>
      <w:pPr>
        <w:spacing w:after="0"/>
        <w:rPr>
          <w:sz w:val="20"/>
          <w:szCs w:val="20"/>
          <w:color w:val="auto"/>
        </w:rPr>
      </w:pPr>
      <w:r>
        <w:rPr>
          <w:rFonts w:ascii="Arial" w:cs="Arial" w:eastAsia="Arial" w:hAnsi="Arial"/>
          <w:sz w:val="11"/>
          <w:szCs w:val="11"/>
          <w:u w:val="single" w:color="auto"/>
          <w:color w:val="006098"/>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1485265</wp:posOffset>
            </wp:positionH>
            <wp:positionV relativeFrom="paragraph">
              <wp:posOffset>645160</wp:posOffset>
            </wp:positionV>
            <wp:extent cx="4204335" cy="1664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204335" cy="166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Our Long-Term Franchise Partners</w:t>
      </w:r>
    </w:p>
    <w:p>
      <w:pPr>
        <w:spacing w:after="0" w:line="15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Historically, we used a franchising strategy alongside company-operated shop development to drive growth in select markets. Over time, as we decided to grow more from within, we only offered franchise partnership opportunities to the highest-quality employees within our network. In 2008, we stopped selling franchises to people that did not come from within our system. In 2017, we shifted to a company-operated strategy with all operators recruited from within our system. While we maintain great relationships with our existing franchise partners and they continue to open new shops as they look to infill their high-demand markets, we anticipate approximately 90% of new shops we open each year will be company-operated shops.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OUR GROWTH STRATEGIES TO SHARE THE “DUTCH LUV”</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131E29"/>
        </w:rPr>
        <w:t>We are in the early stages of our growth story. We will expand our business to positively impact our communities through the following growth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100330</wp:posOffset>
            </wp:positionV>
            <wp:extent cx="916305" cy="1280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16305" cy="1280160"/>
                    </a:xfrm>
                    <a:prstGeom prst="rect">
                      <a:avLst/>
                    </a:prstGeom>
                    <a:noFill/>
                  </pic:spPr>
                </pic:pic>
              </a:graphicData>
            </a:graphic>
          </wp:anchor>
        </w:drawing>
      </w:r>
    </w:p>
    <w:p>
      <w:pPr>
        <w:spacing w:after="0" w:line="141" w:lineRule="exact"/>
        <w:rPr>
          <w:sz w:val="20"/>
          <w:szCs w:val="20"/>
          <w:color w:val="auto"/>
        </w:rPr>
      </w:pPr>
    </w:p>
    <w:p>
      <w:pPr>
        <w:ind w:left="1580"/>
        <w:spacing w:after="0"/>
        <w:rPr>
          <w:sz w:val="20"/>
          <w:szCs w:val="20"/>
          <w:color w:val="auto"/>
        </w:rPr>
      </w:pPr>
      <w:r>
        <w:rPr>
          <w:rFonts w:ascii="Arial" w:cs="Arial" w:eastAsia="Arial" w:hAnsi="Arial"/>
          <w:sz w:val="14"/>
          <w:szCs w:val="14"/>
          <w:b w:val="1"/>
          <w:bCs w:val="1"/>
          <w:color w:val="006098"/>
        </w:rPr>
        <w:t>Develop our People, Who are our Growth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31115</wp:posOffset>
            </wp:positionV>
            <wp:extent cx="3240405" cy="397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40405" cy="397510"/>
                    </a:xfrm>
                    <a:prstGeom prst="rect">
                      <a:avLst/>
                    </a:prstGeom>
                    <a:noFill/>
                  </pic:spPr>
                </pic:pic>
              </a:graphicData>
            </a:graphic>
          </wp:anchor>
        </w:drawing>
      </w:r>
    </w:p>
    <w:p>
      <w:pPr>
        <w:spacing w:after="0" w:line="123" w:lineRule="exact"/>
        <w:rPr>
          <w:sz w:val="20"/>
          <w:szCs w:val="20"/>
          <w:color w:val="auto"/>
        </w:rPr>
      </w:pPr>
    </w:p>
    <w:p>
      <w:pPr>
        <w:jc w:val="both"/>
        <w:ind w:left="1840" w:right="4620" w:hanging="261"/>
        <w:spacing w:after="0" w:line="259" w:lineRule="auto"/>
        <w:tabs>
          <w:tab w:leader="none" w:pos="1836" w:val="left"/>
        </w:tabs>
        <w:numPr>
          <w:ilvl w:val="0"/>
          <w:numId w:val="6"/>
        </w:numPr>
        <w:rPr>
          <w:rFonts w:ascii="Arial" w:cs="Arial" w:eastAsia="Arial" w:hAnsi="Arial"/>
          <w:sz w:val="14"/>
          <w:szCs w:val="14"/>
          <w:color w:val="131E29"/>
        </w:rPr>
      </w:pPr>
      <w:r>
        <w:rPr>
          <w:rFonts w:ascii="Arial" w:cs="Arial" w:eastAsia="Arial" w:hAnsi="Arial"/>
          <w:sz w:val="14"/>
          <w:szCs w:val="14"/>
          <w:color w:val="131E29"/>
        </w:rPr>
        <w:t>100% of our Regional Operators began their Dutch Bros journey as broistas. We must attract and retain great people at the top of our funnel to sustain long-term growth.</w:t>
      </w:r>
    </w:p>
    <w:p>
      <w:pPr>
        <w:spacing w:after="0" w:line="104" w:lineRule="exact"/>
        <w:rPr>
          <w:rFonts w:ascii="Arial" w:cs="Arial" w:eastAsia="Arial" w:hAnsi="Arial"/>
          <w:sz w:val="14"/>
          <w:szCs w:val="14"/>
          <w:color w:val="131E29"/>
        </w:rPr>
      </w:pPr>
    </w:p>
    <w:p>
      <w:pPr>
        <w:jc w:val="both"/>
        <w:ind w:left="1840" w:right="4620" w:hanging="261"/>
        <w:spacing w:after="0" w:line="259" w:lineRule="auto"/>
        <w:tabs>
          <w:tab w:leader="none" w:pos="1836" w:val="left"/>
        </w:tabs>
        <w:numPr>
          <w:ilvl w:val="0"/>
          <w:numId w:val="6"/>
        </w:numPr>
        <w:rPr>
          <w:rFonts w:ascii="Arial" w:cs="Arial" w:eastAsia="Arial" w:hAnsi="Arial"/>
          <w:sz w:val="14"/>
          <w:szCs w:val="14"/>
          <w:color w:val="131E29"/>
        </w:rPr>
      </w:pPr>
      <w:r>
        <w:rPr>
          <w:rFonts w:ascii="Arial" w:cs="Arial" w:eastAsia="Arial" w:hAnsi="Arial"/>
          <w:sz w:val="14"/>
          <w:szCs w:val="14"/>
          <w:color w:val="131E29"/>
        </w:rPr>
        <w:t>Provide robust internal training and career advancement programs, which help develop a high-quality talent pool of candidates seeking larger roles within the Company.</w:t>
      </w:r>
    </w:p>
    <w:p>
      <w:pPr>
        <w:spacing w:after="0" w:line="104" w:lineRule="exact"/>
        <w:rPr>
          <w:rFonts w:ascii="Arial" w:cs="Arial" w:eastAsia="Arial" w:hAnsi="Arial"/>
          <w:sz w:val="14"/>
          <w:szCs w:val="14"/>
          <w:color w:val="131E29"/>
        </w:rPr>
      </w:pPr>
    </w:p>
    <w:p>
      <w:pPr>
        <w:jc w:val="both"/>
        <w:ind w:left="1840" w:right="4620" w:hanging="261"/>
        <w:spacing w:after="0" w:line="259" w:lineRule="auto"/>
        <w:tabs>
          <w:tab w:leader="none" w:pos="1836" w:val="left"/>
        </w:tabs>
        <w:numPr>
          <w:ilvl w:val="0"/>
          <w:numId w:val="6"/>
        </w:numPr>
        <w:rPr>
          <w:rFonts w:ascii="Arial" w:cs="Arial" w:eastAsia="Arial" w:hAnsi="Arial"/>
          <w:sz w:val="14"/>
          <w:szCs w:val="14"/>
          <w:color w:val="131E29"/>
        </w:rPr>
      </w:pPr>
      <w:r>
        <w:rPr>
          <w:rFonts w:ascii="Arial" w:cs="Arial" w:eastAsia="Arial" w:hAnsi="Arial"/>
          <w:sz w:val="14"/>
          <w:szCs w:val="14"/>
          <w:color w:val="131E29"/>
        </w:rPr>
        <w:t>Maintain the Dutch Bros culture as we scale. We design our people systems with culture in mind, enabling us to continue making a positive impact in new communities and providing career development opportunities for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-761365</wp:posOffset>
            </wp:positionV>
            <wp:extent cx="4190365" cy="18529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190365" cy="1852930"/>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-761365</wp:posOffset>
            </wp:positionV>
            <wp:extent cx="4190365" cy="18529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190365" cy="1852930"/>
                    </a:xfrm>
                    <a:prstGeom prst="rect">
                      <a:avLst/>
                    </a:prstGeom>
                    <a:noFill/>
                  </pic:spPr>
                </pic:pic>
              </a:graphicData>
            </a:graphic>
          </wp:anchor>
        </w:drawing>
      </w:r>
    </w:p>
    <w:p>
      <w:pPr>
        <w:spacing w:after="0" w:line="215" w:lineRule="exact"/>
        <w:rPr>
          <w:sz w:val="20"/>
          <w:szCs w:val="20"/>
          <w:color w:val="auto"/>
        </w:rPr>
      </w:pPr>
    </w:p>
    <w:p>
      <w:pPr>
        <w:ind w:left="1460"/>
        <w:spacing w:after="0"/>
        <w:rPr>
          <w:sz w:val="20"/>
          <w:szCs w:val="20"/>
          <w:color w:val="auto"/>
        </w:rPr>
      </w:pPr>
      <w:r>
        <w:rPr>
          <w:rFonts w:ascii="Arial" w:cs="Arial" w:eastAsia="Arial" w:hAnsi="Arial"/>
          <w:sz w:val="14"/>
          <w:szCs w:val="14"/>
          <w:b w:val="1"/>
          <w:bCs w:val="1"/>
          <w:color w:val="006098"/>
        </w:rPr>
        <w:t>Place Shops Wherever People Want Great Beverages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919480</wp:posOffset>
            </wp:positionH>
            <wp:positionV relativeFrom="paragraph">
              <wp:posOffset>31115</wp:posOffset>
            </wp:positionV>
            <wp:extent cx="3288030" cy="3771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88030" cy="377190"/>
                    </a:xfrm>
                    <a:prstGeom prst="rect">
                      <a:avLst/>
                    </a:prstGeom>
                    <a:noFill/>
                  </pic:spPr>
                </pic:pic>
              </a:graphicData>
            </a:graphic>
          </wp:anchor>
        </w:drawing>
      </w:r>
    </w:p>
    <w:p>
      <w:pPr>
        <w:spacing w:after="0" w:line="83" w:lineRule="exact"/>
        <w:rPr>
          <w:sz w:val="20"/>
          <w:szCs w:val="20"/>
          <w:color w:val="auto"/>
        </w:rPr>
      </w:pPr>
    </w:p>
    <w:p>
      <w:pPr>
        <w:jc w:val="both"/>
        <w:ind w:left="1720" w:right="4660" w:hanging="258"/>
        <w:spacing w:after="0" w:line="234" w:lineRule="auto"/>
        <w:tabs>
          <w:tab w:leader="none" w:pos="1716" w:val="left"/>
        </w:tabs>
        <w:numPr>
          <w:ilvl w:val="0"/>
          <w:numId w:val="7"/>
        </w:numPr>
        <w:rPr>
          <w:rFonts w:ascii="Arial" w:cs="Arial" w:eastAsia="Arial" w:hAnsi="Arial"/>
          <w:sz w:val="14"/>
          <w:szCs w:val="14"/>
          <w:color w:val="131E29"/>
        </w:rPr>
      </w:pPr>
      <w:r>
        <w:rPr>
          <w:rFonts w:ascii="Arial" w:cs="Arial" w:eastAsia="Arial" w:hAnsi="Arial"/>
          <w:sz w:val="14"/>
          <w:szCs w:val="14"/>
          <w:color w:val="131E29"/>
        </w:rPr>
        <w:t>Target 4,000 total shop addressable market (TAM)</w:t>
      </w:r>
      <w:r>
        <w:rPr>
          <w:rFonts w:ascii="Arial" w:cs="Arial" w:eastAsia="Arial" w:hAnsi="Arial"/>
          <w:sz w:val="18"/>
          <w:szCs w:val="18"/>
          <w:color w:val="131E29"/>
          <w:vertAlign w:val="superscript"/>
        </w:rPr>
        <w:t>1</w:t>
      </w:r>
      <w:r>
        <w:rPr>
          <w:rFonts w:ascii="Arial" w:cs="Arial" w:eastAsia="Arial" w:hAnsi="Arial"/>
          <w:sz w:val="14"/>
          <w:szCs w:val="14"/>
          <w:color w:val="131E29"/>
        </w:rPr>
        <w:t xml:space="preserve"> within the next 10-15 years. Maintain and grow people development systems and new shop pipeline, which is fully-populated for 2023.</w:t>
      </w:r>
    </w:p>
    <w:p>
      <w:pPr>
        <w:spacing w:after="0" w:line="86" w:lineRule="exact"/>
        <w:rPr>
          <w:rFonts w:ascii="Arial" w:cs="Arial" w:eastAsia="Arial" w:hAnsi="Arial"/>
          <w:sz w:val="14"/>
          <w:szCs w:val="14"/>
          <w:color w:val="131E29"/>
        </w:rPr>
      </w:pPr>
    </w:p>
    <w:p>
      <w:pPr>
        <w:jc w:val="both"/>
        <w:ind w:left="1720" w:right="4680" w:hanging="258"/>
        <w:spacing w:after="0" w:line="257" w:lineRule="auto"/>
        <w:tabs>
          <w:tab w:leader="none" w:pos="1716" w:val="left"/>
        </w:tabs>
        <w:numPr>
          <w:ilvl w:val="0"/>
          <w:numId w:val="7"/>
        </w:numPr>
        <w:rPr>
          <w:rFonts w:ascii="Arial" w:cs="Arial" w:eastAsia="Arial" w:hAnsi="Arial"/>
          <w:sz w:val="14"/>
          <w:szCs w:val="14"/>
          <w:color w:val="131E29"/>
        </w:rPr>
      </w:pPr>
      <w:r>
        <w:rPr>
          <w:rFonts w:ascii="Arial" w:cs="Arial" w:eastAsia="Arial" w:hAnsi="Arial"/>
          <w:sz w:val="14"/>
          <w:szCs w:val="14"/>
          <w:color w:val="131E29"/>
        </w:rPr>
        <w:t>Utilize “fortressing” strategy to rapidly build scale within markets by proactively opening new shops. We believe this strategy improves customer experience and promotes long-term brand loyalty by alleviating capacity constraints and reducing barriers for increased customer frequency.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919480</wp:posOffset>
            </wp:positionH>
            <wp:positionV relativeFrom="paragraph">
              <wp:posOffset>-450215</wp:posOffset>
            </wp:positionV>
            <wp:extent cx="3288030" cy="4578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88030" cy="457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10" w:name="page11"/>
    <w:bookmarkEnd w:id="10"/>
    <w:p>
      <w:pPr>
        <w:spacing w:after="0"/>
        <w:rPr>
          <w:sz w:val="20"/>
          <w:szCs w:val="20"/>
          <w:color w:val="auto"/>
        </w:rPr>
      </w:pPr>
      <w:r>
        <w:rPr>
          <w:rFonts w:ascii="Arial" w:cs="Arial" w:eastAsia="Arial" w:hAnsi="Arial"/>
          <w:sz w:val="11"/>
          <w:szCs w:val="11"/>
          <w:u w:val="single" w:color="auto"/>
          <w:color w:val="006098"/>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860425</wp:posOffset>
            </wp:positionV>
            <wp:extent cx="802005" cy="13404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02005" cy="1340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480"/>
        <w:spacing w:after="0"/>
        <w:rPr>
          <w:sz w:val="20"/>
          <w:szCs w:val="20"/>
          <w:color w:val="auto"/>
        </w:rPr>
      </w:pPr>
      <w:r>
        <w:rPr>
          <w:rFonts w:ascii="Arial" w:cs="Arial" w:eastAsia="Arial" w:hAnsi="Arial"/>
          <w:sz w:val="14"/>
          <w:szCs w:val="14"/>
          <w:b w:val="1"/>
          <w:bCs w:val="1"/>
          <w:color w:val="006098"/>
        </w:rPr>
        <w:t>Increase Brand Awareness and Encourage Deeper Customer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932815</wp:posOffset>
            </wp:positionH>
            <wp:positionV relativeFrom="paragraph">
              <wp:posOffset>31115</wp:posOffset>
            </wp:positionV>
            <wp:extent cx="3274060" cy="269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74060" cy="269240"/>
                    </a:xfrm>
                    <a:prstGeom prst="rect">
                      <a:avLst/>
                    </a:prstGeom>
                    <a:noFill/>
                  </pic:spPr>
                </pic:pic>
              </a:graphicData>
            </a:graphic>
          </wp:anchor>
        </w:drawing>
      </w:r>
    </w:p>
    <w:p>
      <w:pPr>
        <w:spacing w:after="0" w:line="92" w:lineRule="exact"/>
        <w:rPr>
          <w:sz w:val="20"/>
          <w:szCs w:val="20"/>
          <w:color w:val="auto"/>
        </w:rPr>
      </w:pPr>
    </w:p>
    <w:p>
      <w:pPr>
        <w:ind w:left="1740" w:right="4680" w:hanging="257"/>
        <w:spacing w:after="0" w:line="266" w:lineRule="auto"/>
        <w:tabs>
          <w:tab w:leader="none" w:pos="1736" w:val="left"/>
        </w:tabs>
        <w:numPr>
          <w:ilvl w:val="0"/>
          <w:numId w:val="8"/>
        </w:numPr>
        <w:rPr>
          <w:rFonts w:ascii="Arial" w:cs="Arial" w:eastAsia="Arial" w:hAnsi="Arial"/>
          <w:sz w:val="14"/>
          <w:szCs w:val="14"/>
          <w:color w:val="131E29"/>
        </w:rPr>
      </w:pPr>
      <w:r>
        <w:rPr>
          <w:rFonts w:ascii="Arial" w:cs="Arial" w:eastAsia="Arial" w:hAnsi="Arial"/>
          <w:sz w:val="14"/>
          <w:szCs w:val="14"/>
          <w:color w:val="131E29"/>
        </w:rPr>
        <w:t>Engage through social media platforms, prioritizing social impact and developing deep connections withing the communities we serve.</w:t>
      </w:r>
    </w:p>
    <w:p>
      <w:pPr>
        <w:spacing w:after="0" w:line="78" w:lineRule="exact"/>
        <w:rPr>
          <w:rFonts w:ascii="Arial" w:cs="Arial" w:eastAsia="Arial" w:hAnsi="Arial"/>
          <w:sz w:val="14"/>
          <w:szCs w:val="14"/>
          <w:color w:val="131E29"/>
        </w:rPr>
      </w:pPr>
    </w:p>
    <w:p>
      <w:pPr>
        <w:jc w:val="both"/>
        <w:ind w:left="1740" w:right="4660" w:hanging="257"/>
        <w:spacing w:after="0" w:line="257" w:lineRule="auto"/>
        <w:tabs>
          <w:tab w:leader="none" w:pos="1736" w:val="left"/>
        </w:tabs>
        <w:numPr>
          <w:ilvl w:val="0"/>
          <w:numId w:val="8"/>
        </w:numPr>
        <w:rPr>
          <w:rFonts w:ascii="Arial" w:cs="Arial" w:eastAsia="Arial" w:hAnsi="Arial"/>
          <w:sz w:val="14"/>
          <w:szCs w:val="14"/>
          <w:color w:val="131E29"/>
        </w:rPr>
      </w:pPr>
      <w:r>
        <w:rPr>
          <w:rFonts w:ascii="Arial" w:cs="Arial" w:eastAsia="Arial" w:hAnsi="Arial"/>
          <w:sz w:val="14"/>
          <w:szCs w:val="14"/>
          <w:color w:val="131E29"/>
        </w:rPr>
        <w:t>Utilize targeted in-app marketing promotions and grassroots campaigns. We believe the Dutch Rewards program enables us to serve customers unique beverage-focused content, information related to our social impact initiatives and new ways to engage with Dutch Bros.</w:t>
      </w:r>
    </w:p>
    <w:p>
      <w:pPr>
        <w:spacing w:after="0" w:line="84" w:lineRule="exact"/>
        <w:rPr>
          <w:rFonts w:ascii="Arial" w:cs="Arial" w:eastAsia="Arial" w:hAnsi="Arial"/>
          <w:sz w:val="14"/>
          <w:szCs w:val="14"/>
          <w:color w:val="131E29"/>
        </w:rPr>
      </w:pPr>
    </w:p>
    <w:p>
      <w:pPr>
        <w:jc w:val="both"/>
        <w:ind w:left="1740" w:right="4660" w:hanging="257"/>
        <w:spacing w:after="0" w:line="257" w:lineRule="auto"/>
        <w:tabs>
          <w:tab w:leader="none" w:pos="1736" w:val="left"/>
        </w:tabs>
        <w:numPr>
          <w:ilvl w:val="0"/>
          <w:numId w:val="8"/>
        </w:numPr>
        <w:rPr>
          <w:rFonts w:ascii="Arial" w:cs="Arial" w:eastAsia="Arial" w:hAnsi="Arial"/>
          <w:sz w:val="14"/>
          <w:szCs w:val="14"/>
          <w:color w:val="131E29"/>
        </w:rPr>
      </w:pPr>
      <w:r>
        <w:rPr>
          <w:rFonts w:ascii="Arial" w:cs="Arial" w:eastAsia="Arial" w:hAnsi="Arial"/>
          <w:sz w:val="14"/>
          <w:szCs w:val="14"/>
          <w:color w:val="131E29"/>
        </w:rPr>
        <w:t>Leverage strong word-of-mouth advocacy, one of the strongest drivers of Dutch Bros brand awareness. Our commitment to our people encourages them to become enthusiastic brand ambassadors, and we believe that their visible love for the brand is infectious.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-948690</wp:posOffset>
            </wp:positionV>
            <wp:extent cx="4170045" cy="2075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170045" cy="2075180"/>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-948690</wp:posOffset>
            </wp:positionV>
            <wp:extent cx="4170045" cy="2075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170045" cy="2075180"/>
                    </a:xfrm>
                    <a:prstGeom prst="rect">
                      <a:avLst/>
                    </a:prstGeom>
                    <a:noFill/>
                  </pic:spPr>
                </pic:pic>
              </a:graphicData>
            </a:graphic>
          </wp:anchor>
        </w:drawing>
      </w:r>
    </w:p>
    <w:p>
      <w:pPr>
        <w:spacing w:after="0" w:line="270" w:lineRule="exact"/>
        <w:rPr>
          <w:sz w:val="20"/>
          <w:szCs w:val="20"/>
          <w:color w:val="auto"/>
        </w:rPr>
      </w:pPr>
    </w:p>
    <w:p>
      <w:pPr>
        <w:ind w:left="1460"/>
        <w:spacing w:after="0"/>
        <w:rPr>
          <w:sz w:val="20"/>
          <w:szCs w:val="20"/>
          <w:color w:val="auto"/>
        </w:rPr>
      </w:pPr>
      <w:r>
        <w:rPr>
          <w:rFonts w:ascii="Arial" w:cs="Arial" w:eastAsia="Arial" w:hAnsi="Arial"/>
          <w:sz w:val="14"/>
          <w:szCs w:val="14"/>
          <w:b w:val="1"/>
          <w:bCs w:val="1"/>
          <w:color w:val="006098"/>
        </w:rPr>
        <w:t>Utilize Digital Technology that Enhances the Employee and Customer</w:t>
      </w:r>
    </w:p>
    <w:p>
      <w:pPr>
        <w:spacing w:after="0" w:line="27" w:lineRule="exact"/>
        <w:rPr>
          <w:sz w:val="20"/>
          <w:szCs w:val="20"/>
          <w:color w:val="auto"/>
        </w:rPr>
      </w:pPr>
    </w:p>
    <w:p>
      <w:pPr>
        <w:ind w:left="1460"/>
        <w:spacing w:after="0"/>
        <w:rPr>
          <w:sz w:val="20"/>
          <w:szCs w:val="20"/>
          <w:color w:val="auto"/>
        </w:rPr>
      </w:pPr>
      <w:r>
        <w:rPr>
          <w:rFonts w:ascii="Arial" w:cs="Arial" w:eastAsia="Arial" w:hAnsi="Arial"/>
          <w:sz w:val="14"/>
          <w:szCs w:val="14"/>
          <w:b w:val="1"/>
          <w:bCs w:val="1"/>
          <w:color w:val="006098"/>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919480</wp:posOffset>
            </wp:positionH>
            <wp:positionV relativeFrom="paragraph">
              <wp:posOffset>46355</wp:posOffset>
            </wp:positionV>
            <wp:extent cx="3288030" cy="141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88030" cy="141605"/>
                    </a:xfrm>
                    <a:prstGeom prst="rect">
                      <a:avLst/>
                    </a:prstGeom>
                    <a:noFill/>
                  </pic:spPr>
                </pic:pic>
              </a:graphicData>
            </a:graphic>
          </wp:anchor>
        </w:drawing>
        <w:drawing>
          <wp:anchor simplePos="0" relativeHeight="251657728" behindDoc="1" locked="0" layoutInCell="0" allowOverlap="1">
            <wp:simplePos x="0" y="0"/>
            <wp:positionH relativeFrom="column">
              <wp:posOffset>919480</wp:posOffset>
            </wp:positionH>
            <wp:positionV relativeFrom="paragraph">
              <wp:posOffset>19685</wp:posOffset>
            </wp:positionV>
            <wp:extent cx="328803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88030" cy="6985"/>
                    </a:xfrm>
                    <a:prstGeom prst="rect">
                      <a:avLst/>
                    </a:prstGeom>
                    <a:noFill/>
                  </pic:spPr>
                </pic:pic>
              </a:graphicData>
            </a:graphic>
          </wp:anchor>
        </w:drawing>
      </w:r>
    </w:p>
    <w:p>
      <w:pPr>
        <w:spacing w:after="0" w:line="84" w:lineRule="exact"/>
        <w:rPr>
          <w:sz w:val="20"/>
          <w:szCs w:val="20"/>
          <w:color w:val="auto"/>
        </w:rPr>
      </w:pPr>
    </w:p>
    <w:p>
      <w:pPr>
        <w:ind w:left="1720" w:hanging="258"/>
        <w:spacing w:after="0"/>
        <w:tabs>
          <w:tab w:leader="none" w:pos="1720" w:val="left"/>
        </w:tabs>
        <w:numPr>
          <w:ilvl w:val="0"/>
          <w:numId w:val="9"/>
        </w:numPr>
        <w:rPr>
          <w:rFonts w:ascii="Arial" w:cs="Arial" w:eastAsia="Arial" w:hAnsi="Arial"/>
          <w:sz w:val="14"/>
          <w:szCs w:val="14"/>
          <w:color w:val="131E29"/>
        </w:rPr>
      </w:pPr>
      <w:r>
        <w:rPr>
          <w:rFonts w:ascii="Arial" w:cs="Arial" w:eastAsia="Arial" w:hAnsi="Arial"/>
          <w:sz w:val="14"/>
          <w:szCs w:val="14"/>
          <w:color w:val="131E29"/>
        </w:rPr>
        <w:t>Meet customer speed expectations by investing in, and integrating technology.</w:t>
      </w:r>
    </w:p>
    <w:p>
      <w:pPr>
        <w:spacing w:after="0" w:line="125" w:lineRule="exact"/>
        <w:rPr>
          <w:rFonts w:ascii="Arial" w:cs="Arial" w:eastAsia="Arial" w:hAnsi="Arial"/>
          <w:sz w:val="14"/>
          <w:szCs w:val="14"/>
          <w:color w:val="131E29"/>
        </w:rPr>
      </w:pPr>
    </w:p>
    <w:p>
      <w:pPr>
        <w:ind w:left="1720" w:right="4660" w:hanging="258"/>
        <w:spacing w:after="0" w:line="266" w:lineRule="auto"/>
        <w:tabs>
          <w:tab w:leader="none" w:pos="1716" w:val="left"/>
        </w:tabs>
        <w:numPr>
          <w:ilvl w:val="0"/>
          <w:numId w:val="9"/>
        </w:numPr>
        <w:rPr>
          <w:rFonts w:ascii="Arial" w:cs="Arial" w:eastAsia="Arial" w:hAnsi="Arial"/>
          <w:sz w:val="14"/>
          <w:szCs w:val="14"/>
          <w:color w:val="131E29"/>
        </w:rPr>
      </w:pPr>
      <w:r>
        <w:rPr>
          <w:rFonts w:ascii="Arial" w:cs="Arial" w:eastAsia="Arial" w:hAnsi="Arial"/>
          <w:sz w:val="14"/>
          <w:szCs w:val="14"/>
          <w:color w:val="131E29"/>
        </w:rPr>
        <w:t>Utilize technology to reduce friction in customer interactions, providing opportunities to create deeper connections and better service.</w:t>
      </w:r>
    </w:p>
    <w:p>
      <w:pPr>
        <w:spacing w:after="0" w:line="99" w:lineRule="exact"/>
        <w:rPr>
          <w:rFonts w:ascii="Arial" w:cs="Arial" w:eastAsia="Arial" w:hAnsi="Arial"/>
          <w:sz w:val="14"/>
          <w:szCs w:val="14"/>
          <w:color w:val="131E29"/>
        </w:rPr>
      </w:pPr>
    </w:p>
    <w:p>
      <w:pPr>
        <w:ind w:left="1720" w:right="4680" w:hanging="258"/>
        <w:spacing w:after="0" w:line="266" w:lineRule="auto"/>
        <w:tabs>
          <w:tab w:leader="none" w:pos="1716" w:val="left"/>
        </w:tabs>
        <w:numPr>
          <w:ilvl w:val="0"/>
          <w:numId w:val="9"/>
        </w:numPr>
        <w:rPr>
          <w:rFonts w:ascii="Arial" w:cs="Arial" w:eastAsia="Arial" w:hAnsi="Arial"/>
          <w:sz w:val="14"/>
          <w:szCs w:val="14"/>
          <w:color w:val="131E29"/>
        </w:rPr>
      </w:pPr>
      <w:r>
        <w:rPr>
          <w:rFonts w:ascii="Arial" w:cs="Arial" w:eastAsia="Arial" w:hAnsi="Arial"/>
          <w:sz w:val="14"/>
          <w:szCs w:val="14"/>
          <w:color w:val="131E29"/>
        </w:rPr>
        <w:t>Utilize data-driven insights to refine menu offerings, drive frequency, and increase guest spend.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-542290</wp:posOffset>
            </wp:positionV>
            <wp:extent cx="4197350" cy="17919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197350" cy="179197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-542290</wp:posOffset>
            </wp:positionV>
            <wp:extent cx="4197350" cy="17919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197350" cy="1791970"/>
                    </a:xfrm>
                    <a:prstGeom prst="rect">
                      <a:avLst/>
                    </a:prstGeom>
                    <a:noFill/>
                  </pic:spPr>
                </pic:pic>
              </a:graphicData>
            </a:graphic>
          </wp:anchor>
        </w:drawing>
      </w:r>
    </w:p>
    <w:p>
      <w:pPr>
        <w:spacing w:after="0" w:line="199" w:lineRule="exact"/>
        <w:rPr>
          <w:sz w:val="20"/>
          <w:szCs w:val="20"/>
          <w:color w:val="auto"/>
        </w:rPr>
      </w:pPr>
    </w:p>
    <w:p>
      <w:pPr>
        <w:ind w:left="1460"/>
        <w:spacing w:after="0"/>
        <w:rPr>
          <w:sz w:val="20"/>
          <w:szCs w:val="20"/>
          <w:color w:val="auto"/>
        </w:rPr>
      </w:pPr>
      <w:r>
        <w:rPr>
          <w:rFonts w:ascii="Arial" w:cs="Arial" w:eastAsia="Arial" w:hAnsi="Arial"/>
          <w:sz w:val="14"/>
          <w:szCs w:val="14"/>
          <w:b w:val="1"/>
          <w:bCs w:val="1"/>
          <w:color w:val="006098"/>
        </w:rPr>
        <w:t>Expand Margins Through Operating Leverage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919480</wp:posOffset>
            </wp:positionH>
            <wp:positionV relativeFrom="paragraph">
              <wp:posOffset>31115</wp:posOffset>
            </wp:positionV>
            <wp:extent cx="3288030" cy="269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88030" cy="269240"/>
                    </a:xfrm>
                    <a:prstGeom prst="rect">
                      <a:avLst/>
                    </a:prstGeom>
                    <a:noFill/>
                  </pic:spPr>
                </pic:pic>
              </a:graphicData>
            </a:graphic>
          </wp:anchor>
        </w:drawing>
      </w:r>
    </w:p>
    <w:p>
      <w:pPr>
        <w:spacing w:after="0" w:line="92" w:lineRule="exact"/>
        <w:rPr>
          <w:sz w:val="20"/>
          <w:szCs w:val="20"/>
          <w:color w:val="auto"/>
        </w:rPr>
      </w:pPr>
    </w:p>
    <w:p>
      <w:pPr>
        <w:ind w:left="1720" w:right="4680" w:hanging="258"/>
        <w:spacing w:after="0" w:line="266" w:lineRule="auto"/>
        <w:tabs>
          <w:tab w:leader="none" w:pos="1716" w:val="left"/>
        </w:tabs>
        <w:numPr>
          <w:ilvl w:val="0"/>
          <w:numId w:val="10"/>
        </w:numPr>
        <w:rPr>
          <w:rFonts w:ascii="Arial" w:cs="Arial" w:eastAsia="Arial" w:hAnsi="Arial"/>
          <w:sz w:val="14"/>
          <w:szCs w:val="14"/>
          <w:color w:val="131E29"/>
        </w:rPr>
      </w:pPr>
      <w:r>
        <w:rPr>
          <w:rFonts w:ascii="Arial" w:cs="Arial" w:eastAsia="Arial" w:hAnsi="Arial"/>
          <w:sz w:val="14"/>
          <w:szCs w:val="14"/>
          <w:color w:val="131E29"/>
        </w:rPr>
        <w:t>Deploy a resourceful and flexible approach to product design and procurement, optimized for adaptability and scalability.</w:t>
      </w:r>
    </w:p>
    <w:p>
      <w:pPr>
        <w:spacing w:after="0" w:line="67" w:lineRule="exact"/>
        <w:rPr>
          <w:rFonts w:ascii="Arial" w:cs="Arial" w:eastAsia="Arial" w:hAnsi="Arial"/>
          <w:sz w:val="14"/>
          <w:szCs w:val="14"/>
          <w:color w:val="131E29"/>
        </w:rPr>
      </w:pPr>
    </w:p>
    <w:p>
      <w:pPr>
        <w:jc w:val="both"/>
        <w:ind w:left="1720" w:right="4660" w:hanging="258"/>
        <w:spacing w:after="0" w:line="259" w:lineRule="auto"/>
        <w:tabs>
          <w:tab w:leader="none" w:pos="1716" w:val="left"/>
        </w:tabs>
        <w:numPr>
          <w:ilvl w:val="0"/>
          <w:numId w:val="10"/>
        </w:numPr>
        <w:rPr>
          <w:rFonts w:ascii="Arial" w:cs="Arial" w:eastAsia="Arial" w:hAnsi="Arial"/>
          <w:sz w:val="14"/>
          <w:szCs w:val="14"/>
          <w:color w:val="131E29"/>
        </w:rPr>
      </w:pPr>
      <w:r>
        <w:rPr>
          <w:rFonts w:ascii="Arial" w:cs="Arial" w:eastAsia="Arial" w:hAnsi="Arial"/>
          <w:sz w:val="14"/>
          <w:szCs w:val="14"/>
          <w:color w:val="131E29"/>
        </w:rPr>
        <w:t>Invest in state-of-the-art roasting facility in Texas to support our expansion strategy and long-term supply chain requirements in a cost-advantaged manner.</w:t>
      </w:r>
    </w:p>
    <w:p>
      <w:pPr>
        <w:spacing w:after="0" w:line="72" w:lineRule="exact"/>
        <w:rPr>
          <w:rFonts w:ascii="Arial" w:cs="Arial" w:eastAsia="Arial" w:hAnsi="Arial"/>
          <w:sz w:val="14"/>
          <w:szCs w:val="14"/>
          <w:color w:val="131E29"/>
        </w:rPr>
      </w:pPr>
    </w:p>
    <w:p>
      <w:pPr>
        <w:jc w:val="both"/>
        <w:ind w:left="1720" w:right="4660" w:hanging="258"/>
        <w:spacing w:after="0" w:line="259" w:lineRule="auto"/>
        <w:tabs>
          <w:tab w:leader="none" w:pos="1716" w:val="left"/>
        </w:tabs>
        <w:numPr>
          <w:ilvl w:val="0"/>
          <w:numId w:val="10"/>
        </w:numPr>
        <w:rPr>
          <w:rFonts w:ascii="Arial" w:cs="Arial" w:eastAsia="Arial" w:hAnsi="Arial"/>
          <w:sz w:val="14"/>
          <w:szCs w:val="14"/>
          <w:color w:val="131E29"/>
        </w:rPr>
      </w:pPr>
      <w:r>
        <w:rPr>
          <w:rFonts w:ascii="Arial" w:cs="Arial" w:eastAsia="Arial" w:hAnsi="Arial"/>
          <w:sz w:val="14"/>
          <w:szCs w:val="14"/>
          <w:color w:val="131E29"/>
        </w:rPr>
        <w:t>Achieve structural selling, general, and administrative cost leverage as our selling, general and administrative costs grow at a slower rate than our shop base and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919480</wp:posOffset>
            </wp:positionH>
            <wp:positionV relativeFrom="paragraph">
              <wp:posOffset>-720725</wp:posOffset>
            </wp:positionV>
            <wp:extent cx="3288030" cy="7277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88030" cy="72771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131E29"/>
        </w:rPr>
        <w:t>_________________</w:t>
      </w:r>
    </w:p>
    <w:p>
      <w:pPr>
        <w:spacing w:after="0" w:line="104" w:lineRule="exact"/>
        <w:rPr>
          <w:sz w:val="20"/>
          <w:szCs w:val="20"/>
          <w:color w:val="auto"/>
        </w:rPr>
      </w:pPr>
    </w:p>
    <w:p>
      <w:pPr>
        <w:ind w:left="120" w:hanging="115"/>
        <w:spacing w:after="0"/>
        <w:tabs>
          <w:tab w:leader="none" w:pos="120" w:val="left"/>
        </w:tabs>
        <w:numPr>
          <w:ilvl w:val="0"/>
          <w:numId w:val="11"/>
        </w:numPr>
        <w:rPr>
          <w:rFonts w:ascii="Arial" w:cs="Arial" w:eastAsia="Arial" w:hAnsi="Arial"/>
          <w:sz w:val="15"/>
          <w:szCs w:val="15"/>
          <w:color w:val="131E29"/>
          <w:vertAlign w:val="superscript"/>
        </w:rPr>
      </w:pPr>
      <w:r>
        <w:rPr>
          <w:rFonts w:ascii="Arial" w:cs="Arial" w:eastAsia="Arial" w:hAnsi="Arial"/>
          <w:sz w:val="11"/>
          <w:szCs w:val="11"/>
          <w:color w:val="131E29"/>
        </w:rPr>
        <w:t>Internal analysis conducted by Dutch Bros, along with third-party analysis by Quantitative Analysis.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Operations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Sourcing and Supply Chain</w:t>
      </w:r>
    </w:p>
    <w:p>
      <w:pPr>
        <w:spacing w:after="0" w:line="152" w:lineRule="exact"/>
        <w:rPr>
          <w:sz w:val="20"/>
          <w:szCs w:val="20"/>
          <w:color w:val="auto"/>
        </w:rPr>
      </w:pPr>
    </w:p>
    <w:p>
      <w:pPr>
        <w:ind w:right="80"/>
        <w:spacing w:after="0" w:line="266" w:lineRule="auto"/>
        <w:rPr>
          <w:sz w:val="20"/>
          <w:szCs w:val="20"/>
          <w:color w:val="auto"/>
        </w:rPr>
      </w:pPr>
      <w:r>
        <w:rPr>
          <w:rFonts w:ascii="Arial" w:cs="Arial" w:eastAsia="Arial" w:hAnsi="Arial"/>
          <w:sz w:val="14"/>
          <w:szCs w:val="14"/>
          <w:color w:val="131E29"/>
        </w:rPr>
        <w:t>We pride ourselves on the quality of our coffee. To ensure we are able to consistently deliver high-quality coffee across our 671 shops in our system, we are actively involved in the sourcing, roasting, packaging, and distribution of coffee beans to our and our franchise partners’ shops.</w:t>
      </w:r>
    </w:p>
    <w:p>
      <w:pPr>
        <w:spacing w:after="0" w:line="110" w:lineRule="exact"/>
        <w:rPr>
          <w:sz w:val="20"/>
          <w:szCs w:val="20"/>
          <w:color w:val="auto"/>
        </w:rPr>
      </w:pPr>
    </w:p>
    <w:p>
      <w:pPr>
        <w:jc w:val="both"/>
        <w:ind w:left="260" w:hanging="255"/>
        <w:spacing w:after="0" w:line="259" w:lineRule="auto"/>
        <w:tabs>
          <w:tab w:leader="none" w:pos="256" w:val="left"/>
        </w:tabs>
        <w:numPr>
          <w:ilvl w:val="0"/>
          <w:numId w:val="12"/>
        </w:numPr>
        <w:rPr>
          <w:rFonts w:ascii="Arial" w:cs="Arial" w:eastAsia="Arial" w:hAnsi="Arial"/>
          <w:sz w:val="14"/>
          <w:szCs w:val="14"/>
          <w:color w:val="131E29"/>
        </w:rPr>
      </w:pPr>
      <w:r>
        <w:rPr>
          <w:rFonts w:ascii="Arial" w:cs="Arial" w:eastAsia="Arial" w:hAnsi="Arial"/>
          <w:sz w:val="14"/>
          <w:szCs w:val="14"/>
          <w:color w:val="131E29"/>
        </w:rPr>
        <w:t>We partner with third-party importers and exporters to purchase and import our green coffee beans. Through this relationship, we source high-quality coffee beans from across Central and South America. We typically purchase coffee contracts 18-24 months in advance of when we take physical delivery of the beans, allowing us to lock in pricing and to manage our input costs. This practice also allows us to be a good partner to our coffee producers, providing security of future business.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11" w:name="page12"/>
    <w:bookmarkEnd w:id="11"/>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60" w:hanging="255"/>
        <w:spacing w:after="0" w:line="266" w:lineRule="auto"/>
        <w:tabs>
          <w:tab w:leader="none" w:pos="256" w:val="left"/>
        </w:tabs>
        <w:numPr>
          <w:ilvl w:val="0"/>
          <w:numId w:val="13"/>
        </w:numPr>
        <w:rPr>
          <w:rFonts w:ascii="Arial" w:cs="Arial" w:eastAsia="Arial" w:hAnsi="Arial"/>
          <w:sz w:val="14"/>
          <w:szCs w:val="14"/>
          <w:color w:val="131E29"/>
        </w:rPr>
      </w:pPr>
      <w:r>
        <w:rPr>
          <w:rFonts w:ascii="Arial" w:cs="Arial" w:eastAsia="Arial" w:hAnsi="Arial"/>
          <w:sz w:val="14"/>
          <w:szCs w:val="14"/>
          <w:color w:val="131E29"/>
        </w:rPr>
        <w:t>We currently roast all our coffee in our roasting facility in Grants Pass, Oregon. We roast our coffee bean varietals to specific profiles designed to highlight each of the coffee bean’s unique flavors and aromas. After the coffee beans are roasted, we blend them to create our signature Private Reserve espresso.</w:t>
      </w:r>
    </w:p>
    <w:p>
      <w:pPr>
        <w:spacing w:after="0" w:line="109" w:lineRule="exact"/>
        <w:rPr>
          <w:rFonts w:ascii="Arial" w:cs="Arial" w:eastAsia="Arial" w:hAnsi="Arial"/>
          <w:sz w:val="14"/>
          <w:szCs w:val="14"/>
          <w:color w:val="131E29"/>
        </w:rPr>
      </w:pPr>
    </w:p>
    <w:p>
      <w:pPr>
        <w:ind w:left="260" w:hanging="255"/>
        <w:spacing w:after="0"/>
        <w:tabs>
          <w:tab w:leader="none" w:pos="260" w:val="left"/>
        </w:tabs>
        <w:numPr>
          <w:ilvl w:val="0"/>
          <w:numId w:val="13"/>
        </w:numPr>
        <w:rPr>
          <w:rFonts w:ascii="Arial" w:cs="Arial" w:eastAsia="Arial" w:hAnsi="Arial"/>
          <w:sz w:val="14"/>
          <w:szCs w:val="14"/>
          <w:color w:val="131E29"/>
        </w:rPr>
      </w:pPr>
      <w:r>
        <w:rPr>
          <w:rFonts w:ascii="Arial" w:cs="Arial" w:eastAsia="Arial" w:hAnsi="Arial"/>
          <w:sz w:val="14"/>
          <w:szCs w:val="14"/>
          <w:color w:val="131E29"/>
        </w:rPr>
        <w:t>We package and ship our Private Reserve, Decaf and White Coffee espresso blends to 14 distribution centers that supply all our company-operated and franchised locations.</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We designed our supply chain to be flexible in response to changes in the market. On average, we typically have approximately four months of green coffee bean inventory stored at our two ports of entry in the United States or at our roasting facility in Grants Pass, Oregon. In the event of a supply disruption in any one of our production origins, we have identified alternate coffee beans with substantially similar flavor profiles that can be sourced and incorporated to produce our blend.</w:t>
      </w:r>
    </w:p>
    <w:p>
      <w:pPr>
        <w:spacing w:after="0" w:line="11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We have taken several steps to increase our diversity of supply and reduce transportation costs as we expand company-operated shops eastward within the United States. We broke ground on a second state-of-the-art coffee roasting facility in Texas. We anticipate the new roasting facility will be operational in 2024.</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We also manufacture our own proprietary Dutch Bros. Blue Rebel Energy Drink via a co-bottling and co-packaging relationship. Beginning in 2023, we anticipate beginning to distribute a portion of our Blue Rebel Energy drink, along with our cold brew coffee, via a “bag in a box” system for use in shop beverage taps. We believe this will help us reduce our dependence on aluminum cans. Additionally, in 2022 we hired an industry veteran as our first Vice President of Procurement to help support our supply chain initiatives as we continue to scale.</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Quality, Health, and Safety</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We and our franchise partners strive to maintain a safe, healthy environment at each shop through the careful training and supervision of personnel and by following rigorous quality standards. Our Quality Assurance team informs, monitors, and reports on standards for preparation and cleaning, as well as inspects every shop in the system on a quarterly basis. As part of our people-first culture, the health of our employees is our highest priority, and we provide them with appropriate resources.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Our commitment to beverage and food safety is strengthened through the direct relationship between our supply chain, culinary, and quality assurance teams. We review our supply partners’ material decisions regarding ingredients, and we reserve the right to conduct spot-checks. We examine each suppliers’ safety and quality records and verify insurance coverage. We believe that our established requirement for franchise partners to purchase certain supplies and equipment from approved vendors further enhances safety and quality within our system.</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People</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Our people are the driving force of our mission and are a fundamental driver of our success. One of the most important relationships we have is with our employees, who are key members of the communities we love and support. We attract and seek out potential employees by identifying people with a love for life, a natural ability to connect with folks from all walks of life, and most of all, a big smile!</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131E29"/>
        </w:rPr>
        <w:t>As of December 31, 2022, we and our franchise partners have approximately 22,000 employees, of which 14,000 employees are in our company-operated shops and headquarters.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131E29"/>
        </w:rPr>
        <w:t>The chart below provides the approximate percentage of systemwide employees by shop type and by state location: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12" w:name="page13"/>
    <w:bookmarkEnd w:id="12"/>
    <w:p>
      <w:pPr>
        <w:spacing w:after="0"/>
        <w:rPr>
          <w:sz w:val="20"/>
          <w:szCs w:val="20"/>
          <w:color w:val="auto"/>
        </w:rPr>
      </w:pPr>
      <w:r>
        <w:rPr>
          <w:rFonts w:ascii="Arial" w:cs="Arial" w:eastAsia="Arial" w:hAnsi="Arial"/>
          <w:sz w:val="11"/>
          <w:szCs w:val="11"/>
          <w:u w:val="single" w:color="auto"/>
          <w:color w:val="006098"/>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645160</wp:posOffset>
            </wp:positionV>
            <wp:extent cx="4130040" cy="16840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130040" cy="168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131E29"/>
        </w:rPr>
        <w:t>The charts below provide the approximate percentages of our company-operated shop and headquarters employees by gender and ethnicity: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4109720" cy="20212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109720" cy="2021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Diversity, Equity, and Inclusion</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We are committed to DEI (Diversity, Equity, and Inclusion) in our Company, at the window and in our communities, cultivating an inclusive environment of love, acceptance, and kindness. Our DEI commitment strives to ensure all customers, crews, and communities are welcomed, honored, and loved. We are actively working to develop a holistic DEI program that can be a resource for everyone we serve. The events of the past several years have offered another reminder of how critically important our efforts have become, and as a result we have taken real, meaningful steps toward advancement of our DEI program including, but not limited to, the following:</w:t>
      </w:r>
    </w:p>
    <w:p>
      <w:pPr>
        <w:spacing w:after="0" w:line="117" w:lineRule="exact"/>
        <w:rPr>
          <w:sz w:val="20"/>
          <w:szCs w:val="20"/>
          <w:color w:val="auto"/>
        </w:rPr>
      </w:pPr>
    </w:p>
    <w:p>
      <w:pPr>
        <w:ind w:left="260" w:hanging="255"/>
        <w:spacing w:after="0" w:line="266" w:lineRule="auto"/>
        <w:tabs>
          <w:tab w:leader="none" w:pos="256" w:val="left"/>
        </w:tabs>
        <w:numPr>
          <w:ilvl w:val="0"/>
          <w:numId w:val="14"/>
        </w:numPr>
        <w:rPr>
          <w:rFonts w:ascii="Arial" w:cs="Arial" w:eastAsia="Arial" w:hAnsi="Arial"/>
          <w:sz w:val="14"/>
          <w:szCs w:val="14"/>
          <w:color w:val="131E29"/>
        </w:rPr>
      </w:pPr>
      <w:r>
        <w:rPr>
          <w:rFonts w:ascii="Arial" w:cs="Arial" w:eastAsia="Arial" w:hAnsi="Arial"/>
          <w:sz w:val="14"/>
          <w:szCs w:val="14"/>
          <w:color w:val="131E29"/>
        </w:rPr>
        <w:t>hired three female executives in the past 18 months including our President, Chief Legal Officer, and Chief Technology Officer. In total, as of the filing of this Form 10-K, 50% of our executive leadership team is female;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13" w:name="page14"/>
    <w:bookmarkEnd w:id="13"/>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60" w:hanging="255"/>
        <w:spacing w:after="0"/>
        <w:tabs>
          <w:tab w:leader="none" w:pos="260" w:val="left"/>
        </w:tabs>
        <w:numPr>
          <w:ilvl w:val="0"/>
          <w:numId w:val="15"/>
        </w:numPr>
        <w:rPr>
          <w:rFonts w:ascii="Arial" w:cs="Arial" w:eastAsia="Arial" w:hAnsi="Arial"/>
          <w:sz w:val="14"/>
          <w:szCs w:val="14"/>
          <w:color w:val="131E29"/>
        </w:rPr>
      </w:pPr>
      <w:r>
        <w:rPr>
          <w:rFonts w:ascii="Arial" w:cs="Arial" w:eastAsia="Arial" w:hAnsi="Arial"/>
          <w:sz w:val="14"/>
          <w:szCs w:val="14"/>
          <w:color w:val="131E29"/>
        </w:rPr>
        <w:t>appointed an additional female member to our Board of Directors in 2022. In total, as of the filing of this Form 10-K, 44% of our Board of Directors is female;</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15"/>
        </w:numPr>
        <w:rPr>
          <w:rFonts w:ascii="Arial" w:cs="Arial" w:eastAsia="Arial" w:hAnsi="Arial"/>
          <w:sz w:val="14"/>
          <w:szCs w:val="14"/>
          <w:color w:val="131E29"/>
        </w:rPr>
      </w:pPr>
      <w:r>
        <w:rPr>
          <w:rFonts w:ascii="Arial" w:cs="Arial" w:eastAsia="Arial" w:hAnsi="Arial"/>
          <w:sz w:val="14"/>
          <w:szCs w:val="14"/>
          <w:color w:val="131E29"/>
        </w:rPr>
        <w:t>hired an industry professional to serve as Director of DEI and developing long term programs;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15"/>
        </w:numPr>
        <w:rPr>
          <w:rFonts w:ascii="Arial" w:cs="Arial" w:eastAsia="Arial" w:hAnsi="Arial"/>
          <w:sz w:val="14"/>
          <w:szCs w:val="14"/>
          <w:color w:val="131E29"/>
        </w:rPr>
      </w:pPr>
      <w:r>
        <w:rPr>
          <w:rFonts w:ascii="Arial" w:cs="Arial" w:eastAsia="Arial" w:hAnsi="Arial"/>
          <w:sz w:val="14"/>
          <w:szCs w:val="14"/>
          <w:color w:val="131E29"/>
        </w:rPr>
        <w:t>offering DEI training to headquarters employees and field leadership;</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15"/>
        </w:numPr>
        <w:rPr>
          <w:rFonts w:ascii="Arial" w:cs="Arial" w:eastAsia="Arial" w:hAnsi="Arial"/>
          <w:sz w:val="14"/>
          <w:szCs w:val="14"/>
          <w:color w:val="131E29"/>
        </w:rPr>
      </w:pPr>
      <w:r>
        <w:rPr>
          <w:rFonts w:ascii="Arial" w:cs="Arial" w:eastAsia="Arial" w:hAnsi="Arial"/>
          <w:sz w:val="14"/>
          <w:szCs w:val="14"/>
          <w:color w:val="131E29"/>
        </w:rPr>
        <w:t>launching employee resource groups at our headquarters for leaders of color and for our female leaders; and</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15"/>
        </w:numPr>
        <w:rPr>
          <w:rFonts w:ascii="Arial" w:cs="Arial" w:eastAsia="Arial" w:hAnsi="Arial"/>
          <w:sz w:val="14"/>
          <w:szCs w:val="14"/>
          <w:color w:val="131E29"/>
        </w:rPr>
      </w:pPr>
      <w:r>
        <w:rPr>
          <w:rFonts w:ascii="Arial" w:cs="Arial" w:eastAsia="Arial" w:hAnsi="Arial"/>
          <w:sz w:val="14"/>
          <w:szCs w:val="14"/>
          <w:color w:val="131E29"/>
        </w:rPr>
        <w:t>reviewing our policies to make sure they are promoting equity, as well as supporting a diverse and inclusive workplace for everyone.</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Total Rewards</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We offer competitive salaries and wages with continual assessment by location of the business environment and labor market. We are continually making enhancements to our total rewards program to attract and retain top talent as part of our expanding growth strategy. We offer a comprehensive suite of benefits to our broistas, shop management, and headquarters employees, such as:</w:t>
      </w:r>
    </w:p>
    <w:p>
      <w:pPr>
        <w:spacing w:after="0" w:line="115" w:lineRule="exact"/>
        <w:rPr>
          <w:sz w:val="20"/>
          <w:szCs w:val="20"/>
          <w:color w:val="auto"/>
        </w:rPr>
      </w:pPr>
    </w:p>
    <w:p>
      <w:pPr>
        <w:ind w:left="260" w:hanging="255"/>
        <w:spacing w:after="0"/>
        <w:tabs>
          <w:tab w:leader="none" w:pos="260" w:val="left"/>
        </w:tabs>
        <w:numPr>
          <w:ilvl w:val="0"/>
          <w:numId w:val="16"/>
        </w:numPr>
        <w:rPr>
          <w:rFonts w:ascii="Arial" w:cs="Arial" w:eastAsia="Arial" w:hAnsi="Arial"/>
          <w:sz w:val="14"/>
          <w:szCs w:val="14"/>
          <w:color w:val="131E29"/>
        </w:rPr>
      </w:pPr>
      <w:r>
        <w:rPr>
          <w:rFonts w:ascii="Arial" w:cs="Arial" w:eastAsia="Arial" w:hAnsi="Arial"/>
          <w:sz w:val="14"/>
          <w:szCs w:val="14"/>
          <w:color w:val="131E29"/>
        </w:rPr>
        <w:t>company-wide minimum wage of at least $10.00 per hour across all markets;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16"/>
        </w:numPr>
        <w:rPr>
          <w:rFonts w:ascii="Arial" w:cs="Arial" w:eastAsia="Arial" w:hAnsi="Arial"/>
          <w:sz w:val="14"/>
          <w:szCs w:val="14"/>
          <w:color w:val="131E29"/>
        </w:rPr>
      </w:pPr>
      <w:r>
        <w:rPr>
          <w:rFonts w:ascii="Arial" w:cs="Arial" w:eastAsia="Arial" w:hAnsi="Arial"/>
          <w:sz w:val="14"/>
          <w:szCs w:val="14"/>
          <w:color w:val="131E29"/>
        </w:rPr>
        <w:t>company paid medical, dental, vision, and life insurance for all full-time employees;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16"/>
        </w:numPr>
        <w:rPr>
          <w:rFonts w:ascii="Arial" w:cs="Arial" w:eastAsia="Arial" w:hAnsi="Arial"/>
          <w:sz w:val="14"/>
          <w:szCs w:val="14"/>
          <w:color w:val="131E29"/>
        </w:rPr>
      </w:pPr>
      <w:r>
        <w:rPr>
          <w:rFonts w:ascii="Arial" w:cs="Arial" w:eastAsia="Arial" w:hAnsi="Arial"/>
          <w:sz w:val="14"/>
          <w:szCs w:val="14"/>
          <w:color w:val="131E29"/>
        </w:rPr>
        <w:t>company paid parental leave of more than eight weeks, after one full year of employment for shop management and headquarters employees;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16"/>
        </w:numPr>
        <w:rPr>
          <w:rFonts w:ascii="Arial" w:cs="Arial" w:eastAsia="Arial" w:hAnsi="Arial"/>
          <w:sz w:val="14"/>
          <w:szCs w:val="14"/>
          <w:color w:val="131E29"/>
        </w:rPr>
      </w:pPr>
      <w:r>
        <w:rPr>
          <w:rFonts w:ascii="Arial" w:cs="Arial" w:eastAsia="Arial" w:hAnsi="Arial"/>
          <w:sz w:val="14"/>
          <w:szCs w:val="14"/>
          <w:color w:val="131E29"/>
        </w:rPr>
        <w:t>wellness program to help employees live their best lives;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16"/>
        </w:numPr>
        <w:rPr>
          <w:rFonts w:ascii="Arial" w:cs="Arial" w:eastAsia="Arial" w:hAnsi="Arial"/>
          <w:sz w:val="14"/>
          <w:szCs w:val="14"/>
          <w:color w:val="131E29"/>
        </w:rPr>
      </w:pPr>
      <w:r>
        <w:rPr>
          <w:rFonts w:ascii="Arial" w:cs="Arial" w:eastAsia="Arial" w:hAnsi="Arial"/>
          <w:sz w:val="14"/>
          <w:szCs w:val="14"/>
          <w:color w:val="131E29"/>
        </w:rPr>
        <w:t>access to free drinks and Dutch Bros swag for employees to show off their “Dutch Luv”;</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16"/>
        </w:numPr>
        <w:rPr>
          <w:rFonts w:ascii="Arial" w:cs="Arial" w:eastAsia="Arial" w:hAnsi="Arial"/>
          <w:sz w:val="14"/>
          <w:szCs w:val="14"/>
          <w:color w:val="131E29"/>
        </w:rPr>
      </w:pPr>
      <w:r>
        <w:rPr>
          <w:rFonts w:ascii="Arial" w:cs="Arial" w:eastAsia="Arial" w:hAnsi="Arial"/>
          <w:sz w:val="14"/>
          <w:szCs w:val="14"/>
          <w:color w:val="131E29"/>
        </w:rPr>
        <w:t>tuition assistance toward employees’ professional development after one full year of employment;</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16"/>
        </w:numPr>
        <w:rPr>
          <w:rFonts w:ascii="Arial" w:cs="Arial" w:eastAsia="Arial" w:hAnsi="Arial"/>
          <w:sz w:val="14"/>
          <w:szCs w:val="14"/>
          <w:color w:val="131E29"/>
        </w:rPr>
      </w:pPr>
      <w:r>
        <w:rPr>
          <w:rFonts w:ascii="Arial" w:cs="Arial" w:eastAsia="Arial" w:hAnsi="Arial"/>
          <w:sz w:val="14"/>
          <w:szCs w:val="14"/>
          <w:color w:val="131E29"/>
        </w:rPr>
        <w:t>flexible working arrangements for headquarters employees, including on-site, hybrid, and remote options;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16"/>
        </w:numPr>
        <w:rPr>
          <w:rFonts w:ascii="Arial" w:cs="Arial" w:eastAsia="Arial" w:hAnsi="Arial"/>
          <w:sz w:val="14"/>
          <w:szCs w:val="14"/>
          <w:color w:val="131E29"/>
        </w:rPr>
      </w:pPr>
      <w:r>
        <w:rPr>
          <w:rFonts w:ascii="Arial" w:cs="Arial" w:eastAsia="Arial" w:hAnsi="Arial"/>
          <w:sz w:val="14"/>
          <w:szCs w:val="14"/>
          <w:color w:val="131E29"/>
        </w:rPr>
        <w:t>up to 16 hours of paid volunteer hours to use when helping out the community, which is available to all employees; and</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16"/>
        </w:numPr>
        <w:rPr>
          <w:rFonts w:ascii="Arial" w:cs="Arial" w:eastAsia="Arial" w:hAnsi="Arial"/>
          <w:sz w:val="14"/>
          <w:szCs w:val="14"/>
          <w:color w:val="131E29"/>
        </w:rPr>
      </w:pPr>
      <w:r>
        <w:rPr>
          <w:rFonts w:ascii="Arial" w:cs="Arial" w:eastAsia="Arial" w:hAnsi="Arial"/>
          <w:sz w:val="14"/>
          <w:szCs w:val="14"/>
          <w:color w:val="131E29"/>
        </w:rPr>
        <w:t>team focused culture with growth and leadership opportunities for career advancement.</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Training and Development</w:t>
      </w:r>
    </w:p>
    <w:p>
      <w:pPr>
        <w:spacing w:after="0" w:line="152" w:lineRule="exact"/>
        <w:rPr>
          <w:sz w:val="20"/>
          <w:szCs w:val="20"/>
          <w:color w:val="auto"/>
        </w:rPr>
      </w:pPr>
    </w:p>
    <w:p>
      <w:pPr>
        <w:spacing w:after="0" w:line="266" w:lineRule="auto"/>
        <w:rPr>
          <w:sz w:val="20"/>
          <w:szCs w:val="20"/>
          <w:color w:val="auto"/>
        </w:rPr>
      </w:pPr>
      <w:r>
        <w:rPr>
          <w:rFonts w:ascii="Arial" w:cs="Arial" w:eastAsia="Arial" w:hAnsi="Arial"/>
          <w:sz w:val="14"/>
          <w:szCs w:val="14"/>
          <w:color w:val="131E29"/>
        </w:rPr>
        <w:t>We are committed to inspiring and facilitating personal and professional growth for our people as they fulfill their dreams and contribute to their communities. As part of this commitment, we provide resources to train and develop our people.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i w:val="1"/>
          <w:iCs w:val="1"/>
          <w:color w:val="006098"/>
        </w:rPr>
        <w:t>Broista Training</w:t>
      </w:r>
    </w:p>
    <w:p>
      <w:pPr>
        <w:spacing w:after="0" w:line="23" w:lineRule="exact"/>
        <w:rPr>
          <w:sz w:val="20"/>
          <w:szCs w:val="20"/>
          <w:color w:val="auto"/>
        </w:rPr>
      </w:pPr>
    </w:p>
    <w:p>
      <w:pPr>
        <w:ind w:left="260" w:hanging="255"/>
        <w:spacing w:after="0"/>
        <w:tabs>
          <w:tab w:leader="none" w:pos="260" w:val="left"/>
        </w:tabs>
        <w:numPr>
          <w:ilvl w:val="0"/>
          <w:numId w:val="17"/>
        </w:numPr>
        <w:rPr>
          <w:rFonts w:ascii="Arial" w:cs="Arial" w:eastAsia="Arial" w:hAnsi="Arial"/>
          <w:sz w:val="14"/>
          <w:szCs w:val="14"/>
          <w:color w:val="131E29"/>
        </w:rPr>
      </w:pPr>
      <w:r>
        <w:rPr>
          <w:rFonts w:ascii="Arial" w:cs="Arial" w:eastAsia="Arial" w:hAnsi="Arial"/>
          <w:sz w:val="14"/>
          <w:szCs w:val="14"/>
          <w:color w:val="131E29"/>
        </w:rPr>
        <w:t>2 day cultural immersion, history, and fundamental knowledge</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17"/>
        </w:numPr>
        <w:rPr>
          <w:rFonts w:ascii="Arial" w:cs="Arial" w:eastAsia="Arial" w:hAnsi="Arial"/>
          <w:sz w:val="14"/>
          <w:szCs w:val="14"/>
          <w:color w:val="131E29"/>
        </w:rPr>
      </w:pPr>
      <w:r>
        <w:rPr>
          <w:rFonts w:ascii="Arial" w:cs="Arial" w:eastAsia="Arial" w:hAnsi="Arial"/>
          <w:sz w:val="14"/>
          <w:szCs w:val="14"/>
          <w:color w:val="131E29"/>
        </w:rPr>
        <w:t>10 shifts of on-the-job training</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17"/>
        </w:numPr>
        <w:rPr>
          <w:rFonts w:ascii="Arial" w:cs="Arial" w:eastAsia="Arial" w:hAnsi="Arial"/>
          <w:sz w:val="14"/>
          <w:szCs w:val="14"/>
          <w:color w:val="131E29"/>
        </w:rPr>
      </w:pPr>
      <w:r>
        <w:rPr>
          <w:rFonts w:ascii="Arial" w:cs="Arial" w:eastAsia="Arial" w:hAnsi="Arial"/>
          <w:sz w:val="14"/>
          <w:szCs w:val="14"/>
          <w:color w:val="131E29"/>
        </w:rPr>
        <w:t>Review of “Manifesto” and employee handbook, and have proficiency tests twice per year</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14" w:name="page15"/>
    <w:bookmarkEnd w:id="14"/>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i w:val="1"/>
          <w:iCs w:val="1"/>
          <w:color w:val="006098"/>
        </w:rPr>
        <w:t>Leadership Pathways</w:t>
      </w:r>
    </w:p>
    <w:p>
      <w:pPr>
        <w:spacing w:after="0" w:line="2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We exclusively source regional operators, who we view as the linchpins of our field organization and lead between 3-7 shops at scale, from within our organization. For our continued growth, it is critical that we consistently train and develop new leaders. Our leadership development program outlines shop growth opportunities at all levels of the organization and furthers our philosophy of hiring and developing leaders from within. This program provides ample opportunities for our shop broistas to create their own pathway, which can be a mix of Path A and B, to reach their potential goals.</w:t>
      </w:r>
    </w:p>
    <w:p>
      <w:pPr>
        <w:spacing w:after="0" w:line="139" w:lineRule="exact"/>
        <w:rPr>
          <w:sz w:val="20"/>
          <w:szCs w:val="20"/>
          <w:color w:val="auto"/>
        </w:rPr>
      </w:pPr>
    </w:p>
    <w:tbl>
      <w:tblPr>
        <w:tblLayout w:type="fixed"/>
        <w:tblInd w:w="820" w:type="dxa"/>
        <w:tblCellMar>
          <w:top w:w="0" w:type="dxa"/>
          <w:left w:w="0" w:type="dxa"/>
          <w:bottom w:w="0" w:type="dxa"/>
          <w:right w:w="0" w:type="dxa"/>
        </w:tblCellMar>
      </w:tblPr>
      <w:tr>
        <w:trPr>
          <w:trHeight w:val="212"/>
        </w:trPr>
        <w:tc>
          <w:tcPr>
            <w:tcW w:w="400" w:type="dxa"/>
            <w:vAlign w:val="bottom"/>
            <w:shd w:val="clear" w:color="auto" w:fill="006098"/>
          </w:tcPr>
          <w:p>
            <w:pPr>
              <w:spacing w:after="0"/>
              <w:rPr>
                <w:sz w:val="18"/>
                <w:szCs w:val="18"/>
                <w:color w:val="auto"/>
              </w:rPr>
            </w:pPr>
          </w:p>
        </w:tc>
        <w:tc>
          <w:tcPr>
            <w:tcW w:w="3720" w:type="dxa"/>
            <w:vAlign w:val="bottom"/>
            <w:shd w:val="clear" w:color="auto" w:fill="006098"/>
          </w:tcPr>
          <w:p>
            <w:pPr>
              <w:spacing w:after="0"/>
              <w:rPr>
                <w:sz w:val="18"/>
                <w:szCs w:val="18"/>
                <w:color w:val="auto"/>
              </w:rPr>
            </w:pPr>
          </w:p>
        </w:tc>
        <w:tc>
          <w:tcPr>
            <w:tcW w:w="220" w:type="dxa"/>
            <w:vAlign w:val="bottom"/>
            <w:shd w:val="clear" w:color="auto" w:fill="006098"/>
          </w:tcPr>
          <w:p>
            <w:pPr>
              <w:spacing w:after="0"/>
              <w:rPr>
                <w:sz w:val="18"/>
                <w:szCs w:val="18"/>
                <w:color w:val="auto"/>
              </w:rPr>
            </w:pPr>
          </w:p>
        </w:tc>
        <w:tc>
          <w:tcPr>
            <w:tcW w:w="5320" w:type="dxa"/>
            <w:vAlign w:val="bottom"/>
            <w:gridSpan w:val="3"/>
            <w:shd w:val="clear" w:color="auto" w:fill="006098"/>
          </w:tcPr>
          <w:p>
            <w:pPr>
              <w:jc w:val="center"/>
              <w:ind w:right="4360"/>
              <w:spacing w:after="0"/>
              <w:rPr>
                <w:sz w:val="20"/>
                <w:szCs w:val="20"/>
                <w:color w:val="auto"/>
              </w:rPr>
            </w:pPr>
            <w:r>
              <w:rPr>
                <w:rFonts w:ascii="Arial" w:cs="Arial" w:eastAsia="Arial" w:hAnsi="Arial"/>
                <w:sz w:val="14"/>
                <w:szCs w:val="14"/>
                <w:b w:val="1"/>
                <w:bCs w:val="1"/>
                <w:color w:val="FFFFFF"/>
                <w:w w:val="99"/>
              </w:rPr>
              <w:t>Broista</w:t>
            </w:r>
          </w:p>
        </w:tc>
      </w:tr>
      <w:tr>
        <w:trPr>
          <w:trHeight w:val="340"/>
        </w:trPr>
        <w:tc>
          <w:tcPr>
            <w:tcW w:w="4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475"/>
              <w:spacing w:after="0"/>
              <w:rPr>
                <w:sz w:val="20"/>
                <w:szCs w:val="20"/>
                <w:color w:val="auto"/>
              </w:rPr>
            </w:pPr>
            <w:r>
              <w:rPr>
                <w:rFonts w:ascii="Arial" w:cs="Arial" w:eastAsia="Arial" w:hAnsi="Arial"/>
                <w:sz w:val="25"/>
                <w:szCs w:val="25"/>
                <w:color w:val="FDE021"/>
              </w:rPr>
              <w:t>ê</w:t>
            </w:r>
          </w:p>
        </w:tc>
        <w:tc>
          <w:tcPr>
            <w:tcW w:w="38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2"/>
        </w:trPr>
        <w:tc>
          <w:tcPr>
            <w:tcW w:w="400" w:type="dxa"/>
            <w:vAlign w:val="bottom"/>
            <w:tcBorders>
              <w:bottom w:val="single" w:sz="8" w:color="006098"/>
            </w:tcBorders>
            <w:shd w:val="clear" w:color="auto" w:fill="006098"/>
          </w:tcPr>
          <w:p>
            <w:pPr>
              <w:spacing w:after="0"/>
              <w:rPr>
                <w:sz w:val="17"/>
                <w:szCs w:val="17"/>
                <w:color w:val="auto"/>
              </w:rPr>
            </w:pPr>
          </w:p>
        </w:tc>
        <w:tc>
          <w:tcPr>
            <w:tcW w:w="3720" w:type="dxa"/>
            <w:vAlign w:val="bottom"/>
            <w:tcBorders>
              <w:bottom w:val="single" w:sz="8" w:color="006098"/>
            </w:tcBorders>
            <w:shd w:val="clear" w:color="auto" w:fill="006098"/>
          </w:tcPr>
          <w:p>
            <w:pPr>
              <w:spacing w:after="0"/>
              <w:rPr>
                <w:sz w:val="17"/>
                <w:szCs w:val="17"/>
                <w:color w:val="auto"/>
              </w:rPr>
            </w:pPr>
          </w:p>
        </w:tc>
        <w:tc>
          <w:tcPr>
            <w:tcW w:w="220" w:type="dxa"/>
            <w:vAlign w:val="bottom"/>
            <w:tcBorders>
              <w:bottom w:val="single" w:sz="8" w:color="006098"/>
            </w:tcBorders>
            <w:shd w:val="clear" w:color="auto" w:fill="006098"/>
          </w:tcPr>
          <w:p>
            <w:pPr>
              <w:spacing w:after="0"/>
              <w:rPr>
                <w:sz w:val="17"/>
                <w:szCs w:val="17"/>
                <w:color w:val="auto"/>
              </w:rPr>
            </w:pPr>
          </w:p>
        </w:tc>
        <w:tc>
          <w:tcPr>
            <w:tcW w:w="5320" w:type="dxa"/>
            <w:vAlign w:val="bottom"/>
            <w:tcBorders>
              <w:bottom w:val="single" w:sz="8" w:color="006098"/>
            </w:tcBorders>
            <w:gridSpan w:val="3"/>
            <w:shd w:val="clear" w:color="auto" w:fill="006098"/>
          </w:tcPr>
          <w:p>
            <w:pPr>
              <w:jc w:val="center"/>
              <w:ind w:right="4360"/>
              <w:spacing w:after="0"/>
              <w:rPr>
                <w:sz w:val="20"/>
                <w:szCs w:val="20"/>
                <w:color w:val="auto"/>
              </w:rPr>
            </w:pPr>
            <w:r>
              <w:rPr>
                <w:rFonts w:ascii="Arial" w:cs="Arial" w:eastAsia="Arial" w:hAnsi="Arial"/>
                <w:sz w:val="14"/>
                <w:szCs w:val="14"/>
                <w:b w:val="1"/>
                <w:bCs w:val="1"/>
                <w:color w:val="FFFFFF"/>
              </w:rPr>
              <w:t>Shift Lead</w:t>
            </w:r>
          </w:p>
        </w:tc>
      </w:tr>
      <w:tr>
        <w:trPr>
          <w:trHeight w:val="331"/>
        </w:trPr>
        <w:tc>
          <w:tcPr>
            <w:tcW w:w="4340" w:type="dxa"/>
            <w:vAlign w:val="bottom"/>
            <w:gridSpan w:val="3"/>
          </w:tcPr>
          <w:p>
            <w:pPr>
              <w:jc w:val="right"/>
              <w:ind w:right="120"/>
              <w:spacing w:after="0"/>
              <w:rPr>
                <w:sz w:val="20"/>
                <w:szCs w:val="20"/>
                <w:color w:val="auto"/>
              </w:rPr>
            </w:pPr>
            <w:r>
              <w:rPr>
                <w:rFonts w:ascii="Arial" w:cs="Arial" w:eastAsia="Arial" w:hAnsi="Arial"/>
                <w:sz w:val="25"/>
                <w:szCs w:val="25"/>
                <w:color w:val="FDE021"/>
              </w:rPr>
              <w:t>í</w:t>
            </w:r>
          </w:p>
        </w:tc>
        <w:tc>
          <w:tcPr>
            <w:tcW w:w="1100" w:type="dxa"/>
            <w:vAlign w:val="bottom"/>
          </w:tcPr>
          <w:p>
            <w:pPr>
              <w:jc w:val="right"/>
              <w:ind w:right="235"/>
              <w:spacing w:after="0"/>
              <w:rPr>
                <w:sz w:val="20"/>
                <w:szCs w:val="20"/>
                <w:color w:val="auto"/>
              </w:rPr>
            </w:pPr>
            <w:r>
              <w:rPr>
                <w:rFonts w:ascii="Arial" w:cs="Arial" w:eastAsia="Arial" w:hAnsi="Arial"/>
                <w:sz w:val="25"/>
                <w:szCs w:val="25"/>
                <w:color w:val="FDE021"/>
              </w:rPr>
              <w:t>î</w:t>
            </w:r>
          </w:p>
        </w:tc>
        <w:tc>
          <w:tcPr>
            <w:tcW w:w="38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10"/>
        </w:trPr>
        <w:tc>
          <w:tcPr>
            <w:tcW w:w="400" w:type="dxa"/>
            <w:vAlign w:val="bottom"/>
          </w:tcPr>
          <w:p>
            <w:pPr>
              <w:spacing w:after="0"/>
              <w:rPr>
                <w:sz w:val="18"/>
                <w:szCs w:val="18"/>
                <w:color w:val="auto"/>
              </w:rPr>
            </w:pPr>
          </w:p>
        </w:tc>
        <w:tc>
          <w:tcPr>
            <w:tcW w:w="3940" w:type="dxa"/>
            <w:vAlign w:val="bottom"/>
            <w:gridSpan w:val="2"/>
          </w:tcPr>
          <w:p>
            <w:pPr>
              <w:jc w:val="right"/>
              <w:ind w:right="1940"/>
              <w:spacing w:after="0"/>
              <w:rPr>
                <w:sz w:val="20"/>
                <w:szCs w:val="20"/>
                <w:color w:val="auto"/>
              </w:rPr>
            </w:pPr>
            <w:r>
              <w:rPr>
                <w:rFonts w:ascii="Arial" w:cs="Arial" w:eastAsia="Arial" w:hAnsi="Arial"/>
                <w:sz w:val="14"/>
                <w:szCs w:val="14"/>
                <w:b w:val="1"/>
                <w:bCs w:val="1"/>
                <w:color w:val="006098"/>
              </w:rPr>
              <w:t xml:space="preserve">Path A: </w:t>
            </w:r>
            <w:r>
              <w:rPr>
                <w:rFonts w:ascii="Arial" w:cs="Arial" w:eastAsia="Arial" w:hAnsi="Arial"/>
                <w:sz w:val="14"/>
                <w:szCs w:val="14"/>
                <w:color w:val="131E29"/>
              </w:rPr>
              <w:t>Shop Level Operations</w:t>
            </w:r>
          </w:p>
        </w:tc>
        <w:tc>
          <w:tcPr>
            <w:tcW w:w="110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4"/>
                <w:szCs w:val="14"/>
                <w:b w:val="1"/>
                <w:bCs w:val="1"/>
                <w:color w:val="00416B"/>
              </w:rPr>
              <w:t xml:space="preserve">Path B: </w:t>
            </w:r>
            <w:r>
              <w:rPr>
                <w:rFonts w:ascii="Arial" w:cs="Arial" w:eastAsia="Arial" w:hAnsi="Arial"/>
                <w:sz w:val="14"/>
                <w:szCs w:val="14"/>
                <w:color w:val="131E29"/>
              </w:rPr>
              <w:t>Shop Opening Team</w:t>
            </w:r>
          </w:p>
        </w:tc>
      </w:tr>
      <w:tr>
        <w:trPr>
          <w:trHeight w:val="351"/>
        </w:trPr>
        <w:tc>
          <w:tcPr>
            <w:tcW w:w="400" w:type="dxa"/>
            <w:vAlign w:val="bottom"/>
          </w:tcPr>
          <w:p>
            <w:pPr>
              <w:spacing w:after="0"/>
              <w:rPr>
                <w:sz w:val="24"/>
                <w:szCs w:val="24"/>
                <w:color w:val="auto"/>
              </w:rPr>
            </w:pPr>
          </w:p>
        </w:tc>
        <w:tc>
          <w:tcPr>
            <w:tcW w:w="3940" w:type="dxa"/>
            <w:vAlign w:val="bottom"/>
            <w:gridSpan w:val="2"/>
          </w:tcPr>
          <w:p>
            <w:pPr>
              <w:spacing w:after="0"/>
              <w:rPr>
                <w:sz w:val="24"/>
                <w:szCs w:val="24"/>
                <w:color w:val="auto"/>
              </w:rPr>
            </w:pPr>
          </w:p>
        </w:tc>
        <w:tc>
          <w:tcPr>
            <w:tcW w:w="11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92"/>
        </w:trPr>
        <w:tc>
          <w:tcPr>
            <w:tcW w:w="400" w:type="dxa"/>
            <w:vAlign w:val="bottom"/>
          </w:tcPr>
          <w:p>
            <w:pPr>
              <w:spacing w:after="0"/>
              <w:rPr>
                <w:sz w:val="16"/>
                <w:szCs w:val="16"/>
                <w:color w:val="auto"/>
              </w:rPr>
            </w:pPr>
          </w:p>
        </w:tc>
        <w:tc>
          <w:tcPr>
            <w:tcW w:w="372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4"/>
                <w:szCs w:val="14"/>
                <w:color w:val="131E29"/>
              </w:rPr>
              <w:t>Assistant Manager</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4"/>
                <w:szCs w:val="14"/>
                <w:color w:val="131E29"/>
              </w:rPr>
              <w:t>Master of Broistas (MOB)</w:t>
            </w:r>
          </w:p>
        </w:tc>
        <w:tc>
          <w:tcPr>
            <w:tcW w:w="420" w:type="dxa"/>
            <w:vAlign w:val="bottom"/>
          </w:tcPr>
          <w:p>
            <w:pPr>
              <w:spacing w:after="0"/>
              <w:rPr>
                <w:sz w:val="16"/>
                <w:szCs w:val="16"/>
                <w:color w:val="auto"/>
              </w:rPr>
            </w:pPr>
          </w:p>
        </w:tc>
      </w:tr>
      <w:tr>
        <w:trPr>
          <w:trHeight w:val="212"/>
        </w:trPr>
        <w:tc>
          <w:tcPr>
            <w:tcW w:w="400" w:type="dxa"/>
            <w:vAlign w:val="bottom"/>
          </w:tcPr>
          <w:p>
            <w:pPr>
              <w:spacing w:after="0"/>
              <w:rPr>
                <w:sz w:val="18"/>
                <w:szCs w:val="18"/>
                <w:color w:val="auto"/>
              </w:rPr>
            </w:pPr>
          </w:p>
        </w:tc>
        <w:tc>
          <w:tcPr>
            <w:tcW w:w="394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4220" w:type="dxa"/>
            <w:vAlign w:val="bottom"/>
            <w:gridSpan w:val="2"/>
          </w:tcPr>
          <w:p>
            <w:pPr>
              <w:spacing w:after="0"/>
              <w:rPr>
                <w:sz w:val="18"/>
                <w:szCs w:val="18"/>
                <w:color w:val="auto"/>
              </w:rPr>
            </w:pPr>
          </w:p>
        </w:tc>
      </w:tr>
      <w:tr>
        <w:trPr>
          <w:trHeight w:val="192"/>
        </w:trPr>
        <w:tc>
          <w:tcPr>
            <w:tcW w:w="400" w:type="dxa"/>
            <w:vAlign w:val="bottom"/>
          </w:tcPr>
          <w:p>
            <w:pPr>
              <w:spacing w:after="0"/>
              <w:rPr>
                <w:sz w:val="16"/>
                <w:szCs w:val="16"/>
                <w:color w:val="auto"/>
              </w:rPr>
            </w:pPr>
          </w:p>
        </w:tc>
        <w:tc>
          <w:tcPr>
            <w:tcW w:w="372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4"/>
                <w:szCs w:val="14"/>
                <w:color w:val="131E29"/>
              </w:rPr>
              <w:t>Manager</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4"/>
                <w:szCs w:val="14"/>
                <w:color w:val="131E29"/>
              </w:rPr>
              <w:t>Assistant Lead MOB</w:t>
            </w:r>
          </w:p>
        </w:tc>
        <w:tc>
          <w:tcPr>
            <w:tcW w:w="420" w:type="dxa"/>
            <w:vAlign w:val="bottom"/>
          </w:tcPr>
          <w:p>
            <w:pPr>
              <w:spacing w:after="0"/>
              <w:rPr>
                <w:sz w:val="16"/>
                <w:szCs w:val="16"/>
                <w:color w:val="auto"/>
              </w:rPr>
            </w:pPr>
          </w:p>
        </w:tc>
      </w:tr>
      <w:tr>
        <w:trPr>
          <w:trHeight w:val="212"/>
        </w:trPr>
        <w:tc>
          <w:tcPr>
            <w:tcW w:w="400" w:type="dxa"/>
            <w:vAlign w:val="bottom"/>
          </w:tcPr>
          <w:p>
            <w:pPr>
              <w:spacing w:after="0"/>
              <w:rPr>
                <w:sz w:val="18"/>
                <w:szCs w:val="18"/>
                <w:color w:val="auto"/>
              </w:rPr>
            </w:pPr>
          </w:p>
        </w:tc>
        <w:tc>
          <w:tcPr>
            <w:tcW w:w="394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4220" w:type="dxa"/>
            <w:vAlign w:val="bottom"/>
            <w:gridSpan w:val="2"/>
          </w:tcPr>
          <w:p>
            <w:pPr>
              <w:spacing w:after="0"/>
              <w:rPr>
                <w:sz w:val="18"/>
                <w:szCs w:val="18"/>
                <w:color w:val="auto"/>
              </w:rPr>
            </w:pPr>
          </w:p>
        </w:tc>
      </w:tr>
      <w:tr>
        <w:trPr>
          <w:trHeight w:val="192"/>
        </w:trPr>
        <w:tc>
          <w:tcPr>
            <w:tcW w:w="400" w:type="dxa"/>
            <w:vAlign w:val="bottom"/>
          </w:tcPr>
          <w:p>
            <w:pPr>
              <w:spacing w:after="0"/>
              <w:rPr>
                <w:sz w:val="16"/>
                <w:szCs w:val="16"/>
                <w:color w:val="auto"/>
              </w:rPr>
            </w:pPr>
          </w:p>
        </w:tc>
        <w:tc>
          <w:tcPr>
            <w:tcW w:w="372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4"/>
                <w:szCs w:val="14"/>
                <w:color w:val="131E29"/>
              </w:rPr>
              <w:t>Regional Manager</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4"/>
                <w:szCs w:val="14"/>
                <w:color w:val="131E29"/>
              </w:rPr>
              <w:t>Lead MOB</w:t>
            </w:r>
          </w:p>
        </w:tc>
        <w:tc>
          <w:tcPr>
            <w:tcW w:w="420" w:type="dxa"/>
            <w:vAlign w:val="bottom"/>
          </w:tcPr>
          <w:p>
            <w:pPr>
              <w:spacing w:after="0"/>
              <w:rPr>
                <w:sz w:val="16"/>
                <w:szCs w:val="16"/>
                <w:color w:val="auto"/>
              </w:rPr>
            </w:pPr>
          </w:p>
        </w:tc>
      </w:tr>
      <w:tr>
        <w:trPr>
          <w:trHeight w:val="458"/>
        </w:trPr>
        <w:tc>
          <w:tcPr>
            <w:tcW w:w="4340" w:type="dxa"/>
            <w:vAlign w:val="bottom"/>
            <w:gridSpan w:val="3"/>
          </w:tcPr>
          <w:p>
            <w:pPr>
              <w:jc w:val="right"/>
              <w:ind w:right="120"/>
              <w:spacing w:after="0"/>
              <w:rPr>
                <w:sz w:val="20"/>
                <w:szCs w:val="20"/>
                <w:color w:val="auto"/>
              </w:rPr>
            </w:pPr>
            <w:r>
              <w:rPr>
                <w:rFonts w:ascii="Arial" w:cs="Arial" w:eastAsia="Arial" w:hAnsi="Arial"/>
                <w:sz w:val="25"/>
                <w:szCs w:val="25"/>
                <w:color w:val="FDE021"/>
              </w:rPr>
              <w:t>î</w:t>
            </w:r>
          </w:p>
        </w:tc>
        <w:tc>
          <w:tcPr>
            <w:tcW w:w="1100" w:type="dxa"/>
            <w:vAlign w:val="bottom"/>
          </w:tcPr>
          <w:p>
            <w:pPr>
              <w:jc w:val="right"/>
              <w:ind w:right="235"/>
              <w:spacing w:after="0"/>
              <w:rPr>
                <w:sz w:val="20"/>
                <w:szCs w:val="20"/>
                <w:color w:val="auto"/>
              </w:rPr>
            </w:pPr>
            <w:r>
              <w:rPr>
                <w:rFonts w:ascii="Arial" w:cs="Arial" w:eastAsia="Arial" w:hAnsi="Arial"/>
                <w:sz w:val="25"/>
                <w:szCs w:val="25"/>
                <w:color w:val="FDE021"/>
              </w:rPr>
              <w:t>í</w:t>
            </w:r>
          </w:p>
        </w:tc>
        <w:tc>
          <w:tcPr>
            <w:tcW w:w="38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12065</wp:posOffset>
            </wp:positionV>
            <wp:extent cx="6137910" cy="134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37910" cy="13462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-1050925</wp:posOffset>
            </wp:positionV>
            <wp:extent cx="6169660" cy="8540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69660" cy="854075"/>
                    </a:xfrm>
                    <a:prstGeom prst="rect">
                      <a:avLst/>
                    </a:prstGeom>
                    <a:noFill/>
                  </pic:spPr>
                </pic:pic>
              </a:graphicData>
            </a:graphic>
          </wp:anchor>
        </w:drawing>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Regional Operator</w:t>
      </w: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131E29"/>
        </w:rPr>
        <w:t>This leadership program develops a pipeline of home-grown talent, which we believe will be sufficient for our new shop growth over the next several years.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Planet</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131E29"/>
        </w:rPr>
        <w:t>We aim to be good stewards of all that is available to us. We have committed to various initiatives to reduce our impact on the planet and its resources, such as:</w:t>
      </w:r>
    </w:p>
    <w:p>
      <w:pPr>
        <w:spacing w:after="0" w:line="136" w:lineRule="exact"/>
        <w:rPr>
          <w:sz w:val="20"/>
          <w:szCs w:val="20"/>
          <w:color w:val="auto"/>
        </w:rPr>
      </w:pPr>
    </w:p>
    <w:p>
      <w:pPr>
        <w:ind w:left="260" w:hanging="255"/>
        <w:spacing w:after="0"/>
        <w:tabs>
          <w:tab w:leader="none" w:pos="260" w:val="left"/>
        </w:tabs>
        <w:numPr>
          <w:ilvl w:val="0"/>
          <w:numId w:val="18"/>
        </w:numPr>
        <w:rPr>
          <w:rFonts w:ascii="Arial" w:cs="Arial" w:eastAsia="Arial" w:hAnsi="Arial"/>
          <w:sz w:val="14"/>
          <w:szCs w:val="14"/>
          <w:color w:val="131E29"/>
        </w:rPr>
      </w:pPr>
      <w:r>
        <w:rPr>
          <w:rFonts w:ascii="Arial" w:cs="Arial" w:eastAsia="Arial" w:hAnsi="Arial"/>
          <w:sz w:val="14"/>
          <w:szCs w:val="14"/>
          <w:color w:val="131E29"/>
        </w:rPr>
        <w:t>purchased renewable energy credits to offset approximately all of our electricity usage at headquarters buildings and company-operated shops;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18"/>
        </w:numPr>
        <w:rPr>
          <w:rFonts w:ascii="Arial" w:cs="Arial" w:eastAsia="Arial" w:hAnsi="Arial"/>
          <w:sz w:val="14"/>
          <w:szCs w:val="14"/>
          <w:color w:val="131E29"/>
        </w:rPr>
      </w:pPr>
      <w:r>
        <w:rPr>
          <w:rFonts w:ascii="Arial" w:cs="Arial" w:eastAsia="Arial" w:hAnsi="Arial"/>
          <w:sz w:val="14"/>
          <w:szCs w:val="14"/>
          <w:color w:val="131E29"/>
        </w:rPr>
        <w:t>improved instrument cleaning process to reduce the number of water-consuming “dipper wells” required in our new shops;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18"/>
        </w:numPr>
        <w:rPr>
          <w:rFonts w:ascii="Arial" w:cs="Arial" w:eastAsia="Arial" w:hAnsi="Arial"/>
          <w:sz w:val="14"/>
          <w:szCs w:val="14"/>
          <w:color w:val="131E29"/>
        </w:rPr>
      </w:pPr>
      <w:r>
        <w:rPr>
          <w:rFonts w:ascii="Arial" w:cs="Arial" w:eastAsia="Arial" w:hAnsi="Arial"/>
          <w:sz w:val="14"/>
          <w:szCs w:val="14"/>
          <w:color w:val="131E29"/>
        </w:rPr>
        <w:t>began testing a beverage tap system for cold brew and Blue Rebel, which will reduce pallet size and weight with liquid not shipped;</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18"/>
        </w:numPr>
        <w:rPr>
          <w:rFonts w:ascii="Arial" w:cs="Arial" w:eastAsia="Arial" w:hAnsi="Arial"/>
          <w:sz w:val="14"/>
          <w:szCs w:val="14"/>
          <w:color w:val="131E29"/>
        </w:rPr>
      </w:pPr>
      <w:r>
        <w:rPr>
          <w:rFonts w:ascii="Arial" w:cs="Arial" w:eastAsia="Arial" w:hAnsi="Arial"/>
          <w:sz w:val="14"/>
          <w:szCs w:val="14"/>
          <w:color w:val="131E29"/>
        </w:rPr>
        <w:t>utilized modular construction, which reduces construction material waste and raw material inventory; and</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18"/>
        </w:numPr>
        <w:rPr>
          <w:rFonts w:ascii="Arial" w:cs="Arial" w:eastAsia="Arial" w:hAnsi="Arial"/>
          <w:sz w:val="14"/>
          <w:szCs w:val="14"/>
          <w:color w:val="131E29"/>
        </w:rPr>
      </w:pPr>
      <w:r>
        <w:rPr>
          <w:rFonts w:ascii="Arial" w:cs="Arial" w:eastAsia="Arial" w:hAnsi="Arial"/>
          <w:sz w:val="14"/>
          <w:szCs w:val="14"/>
          <w:color w:val="131E29"/>
        </w:rPr>
        <w:t>broke ground on our new roasting facility in Texas, which will help reduce our transportation costs and carbon emissions impact.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15" w:name="page16"/>
    <w:bookmarkEnd w:id="15"/>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Philanthropy</w:t>
      </w:r>
    </w:p>
    <w:p>
      <w:pPr>
        <w:spacing w:after="0" w:line="137" w:lineRule="exact"/>
        <w:rPr>
          <w:sz w:val="20"/>
          <w:szCs w:val="20"/>
          <w:color w:val="auto"/>
        </w:rPr>
      </w:pPr>
    </w:p>
    <w:p>
      <w:pPr>
        <w:jc w:val="both"/>
        <w:spacing w:after="0" w:line="243" w:lineRule="auto"/>
        <w:rPr>
          <w:sz w:val="20"/>
          <w:szCs w:val="20"/>
          <w:color w:val="auto"/>
        </w:rPr>
      </w:pPr>
      <w:r>
        <w:rPr>
          <w:rFonts w:ascii="Arial" w:cs="Arial" w:eastAsia="Arial" w:hAnsi="Arial"/>
          <w:sz w:val="14"/>
          <w:szCs w:val="14"/>
          <w:color w:val="131E29"/>
        </w:rPr>
        <w:t>Since our inception, we have been dedicated to giving back to the communities in which we serve, and we consider our brand to be a powerful platform for social impact. Our philanthropic efforts support local and national causes. A culture of philanthropy and giving back to build better communities permeates the entire Dutch Bros organization, energizing both our broistas and customers alike.</w:t>
      </w:r>
    </w:p>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We host three company-wide givebacks days each year. The Company, along with our franchise partners and Dutch Bros Foundation (the Foundation) provide donations for funds raised in each of these giveback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83820</wp:posOffset>
            </wp:positionV>
            <wp:extent cx="1010285" cy="10102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10285" cy="101028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130810</wp:posOffset>
            </wp:positionV>
            <wp:extent cx="909320" cy="909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09320" cy="909320"/>
                    </a:xfrm>
                    <a:prstGeom prst="rect">
                      <a:avLst/>
                    </a:prstGeom>
                    <a:noFill/>
                  </pic:spPr>
                </pic:pic>
              </a:graphicData>
            </a:graphic>
          </wp:anchor>
        </w:drawing>
        <w:drawing>
          <wp:anchor simplePos="0" relativeHeight="251657728" behindDoc="1" locked="0" layoutInCell="0" allowOverlap="1">
            <wp:simplePos x="0" y="0"/>
            <wp:positionH relativeFrom="column">
              <wp:posOffset>5709285</wp:posOffset>
            </wp:positionH>
            <wp:positionV relativeFrom="paragraph">
              <wp:posOffset>83820</wp:posOffset>
            </wp:positionV>
            <wp:extent cx="774700" cy="10102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0" cy="101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300"/>
        <w:spacing w:after="0"/>
        <w:tabs>
          <w:tab w:leader="none" w:pos="4920" w:val="left"/>
          <w:tab w:leader="none" w:pos="9040" w:val="left"/>
        </w:tabs>
        <w:rPr>
          <w:sz w:val="20"/>
          <w:szCs w:val="20"/>
          <w:color w:val="auto"/>
        </w:rPr>
      </w:pPr>
      <w:r>
        <w:rPr>
          <w:rFonts w:ascii="Arial" w:cs="Arial" w:eastAsia="Arial" w:hAnsi="Arial"/>
          <w:sz w:val="14"/>
          <w:szCs w:val="14"/>
          <w:b w:val="1"/>
          <w:bCs w:val="1"/>
          <w:color w:val="006098"/>
        </w:rPr>
        <w:t>“Dutch Luv”</w:t>
      </w:r>
      <w:r>
        <w:rPr>
          <w:sz w:val="20"/>
          <w:szCs w:val="20"/>
          <w:color w:val="auto"/>
        </w:rPr>
        <w:tab/>
      </w:r>
      <w:r>
        <w:rPr>
          <w:rFonts w:ascii="Arial" w:cs="Arial" w:eastAsia="Arial" w:hAnsi="Arial"/>
          <w:sz w:val="14"/>
          <w:szCs w:val="14"/>
          <w:b w:val="1"/>
          <w:bCs w:val="1"/>
          <w:color w:val="006098"/>
        </w:rPr>
        <w:t>“Drink One for Dane”</w:t>
      </w:r>
      <w:r>
        <w:rPr>
          <w:sz w:val="20"/>
          <w:szCs w:val="20"/>
          <w:color w:val="auto"/>
        </w:rPr>
        <w:tab/>
      </w:r>
      <w:r>
        <w:rPr>
          <w:rFonts w:ascii="Arial" w:cs="Arial" w:eastAsia="Arial" w:hAnsi="Arial"/>
          <w:sz w:val="14"/>
          <w:szCs w:val="14"/>
          <w:b w:val="1"/>
          <w:bCs w:val="1"/>
          <w:color w:val="006098"/>
        </w:rPr>
        <w:t>“Buck for Kids”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wp:posOffset>
            </wp:positionV>
            <wp:extent cx="7161530" cy="4578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578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p>
      <w:pPr>
        <w:spacing w:after="0" w:line="69" w:lineRule="exact"/>
        <w:rPr>
          <w:sz w:val="20"/>
          <w:szCs w:val="20"/>
          <w:color w:val="auto"/>
        </w:rPr>
      </w:pPr>
    </w:p>
    <w:p>
      <w:pPr>
        <w:jc w:val="both"/>
        <w:ind w:left="20"/>
        <w:spacing w:after="0" w:line="259" w:lineRule="auto"/>
        <w:rPr>
          <w:sz w:val="20"/>
          <w:szCs w:val="20"/>
          <w:color w:val="auto"/>
        </w:rPr>
      </w:pPr>
      <w:r>
        <w:rPr>
          <w:rFonts w:ascii="Arial" w:cs="Arial" w:eastAsia="Arial" w:hAnsi="Arial"/>
          <w:sz w:val="14"/>
          <w:szCs w:val="14"/>
          <w:color w:val="131E29"/>
        </w:rPr>
        <w:t>Every February, we donate $1 from every drink sold to local organizations working to fight food insecurity in our communities.</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Every May, in honor of our co-founder Dane Boersma, we raise funds for the Muscular Dystrophy Association to find a cause and cure for ALS (Amyotrophic Lateral Sclerosis), or Lou Gehrig’s disease.</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jc w:val="both"/>
        <w:ind w:right="20"/>
        <w:spacing w:after="0" w:line="259" w:lineRule="auto"/>
        <w:rPr>
          <w:sz w:val="20"/>
          <w:szCs w:val="20"/>
          <w:color w:val="auto"/>
        </w:rPr>
      </w:pPr>
      <w:r>
        <w:rPr>
          <w:rFonts w:ascii="Arial" w:cs="Arial" w:eastAsia="Arial" w:hAnsi="Arial"/>
          <w:sz w:val="14"/>
          <w:szCs w:val="14"/>
          <w:color w:val="131E29"/>
        </w:rPr>
        <w:t>Every September, we dedicate a day to give $1 from every drink sold to nonprofit organizations helping create brighter futures for local kids.</w:t>
      </w:r>
    </w:p>
    <w:p>
      <w:pPr>
        <w:spacing w:after="0" w:line="256" w:lineRule="exact"/>
        <w:rPr>
          <w:sz w:val="20"/>
          <w:szCs w:val="20"/>
          <w:color w:val="auto"/>
        </w:rPr>
      </w:pPr>
    </w:p>
    <w:p>
      <w:pPr>
        <w:sectPr>
          <w:pgSz w:w="11900" w:h="16838" w:orient="portrait"/>
          <w:cols w:equalWidth="0" w:num="3">
            <w:col w:w="3400" w:space="180"/>
            <w:col w:w="4160" w:space="180"/>
            <w:col w:w="3360"/>
          </w:cols>
          <w:pgMar w:left="300" w:top="143" w:right="31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131E29"/>
        </w:rPr>
        <w:t>2022 Donations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420" w:type="dxa"/>
            <w:vAlign w:val="bottom"/>
            <w:tcBorders>
              <w:top w:val="single" w:sz="8" w:color="auto"/>
            </w:tcBorders>
            <w:shd w:val="clear" w:color="auto" w:fill="D2DCE5"/>
          </w:tcPr>
          <w:p>
            <w:pPr>
              <w:ind w:left="1040"/>
              <w:spacing w:after="0"/>
              <w:rPr>
                <w:sz w:val="20"/>
                <w:szCs w:val="20"/>
                <w:color w:val="auto"/>
              </w:rPr>
            </w:pPr>
            <w:r>
              <w:rPr>
                <w:rFonts w:ascii="Arial" w:cs="Arial" w:eastAsia="Arial" w:hAnsi="Arial"/>
                <w:sz w:val="14"/>
                <w:szCs w:val="14"/>
                <w:color w:val="131E29"/>
              </w:rPr>
              <w:t>More than $0.8 million</w:t>
            </w:r>
          </w:p>
        </w:tc>
        <w:tc>
          <w:tcPr>
            <w:tcW w:w="140" w:type="dxa"/>
            <w:vAlign w:val="bottom"/>
            <w:tcBorders>
              <w:top w:val="single" w:sz="8" w:color="auto"/>
            </w:tcBorders>
          </w:tcPr>
          <w:p>
            <w:pPr>
              <w:spacing w:after="0"/>
              <w:rPr>
                <w:sz w:val="17"/>
                <w:szCs w:val="17"/>
                <w:color w:val="auto"/>
              </w:rPr>
            </w:pPr>
          </w:p>
        </w:tc>
        <w:tc>
          <w:tcPr>
            <w:tcW w:w="4200" w:type="dxa"/>
            <w:vAlign w:val="bottom"/>
            <w:tcBorders>
              <w:top w:val="single" w:sz="8" w:color="auto"/>
            </w:tcBorders>
            <w:shd w:val="clear" w:color="auto" w:fill="D2DCE5"/>
          </w:tcPr>
          <w:p>
            <w:pPr>
              <w:ind w:left="1400"/>
              <w:spacing w:after="0"/>
              <w:rPr>
                <w:sz w:val="20"/>
                <w:szCs w:val="20"/>
                <w:color w:val="auto"/>
              </w:rPr>
            </w:pPr>
            <w:r>
              <w:rPr>
                <w:rFonts w:ascii="Arial" w:cs="Arial" w:eastAsia="Arial" w:hAnsi="Arial"/>
                <w:sz w:val="14"/>
                <w:szCs w:val="14"/>
                <w:color w:val="131E29"/>
              </w:rPr>
              <w:t>More than $2.3 million</w:t>
            </w:r>
          </w:p>
        </w:tc>
        <w:tc>
          <w:tcPr>
            <w:tcW w:w="140" w:type="dxa"/>
            <w:vAlign w:val="bottom"/>
            <w:tcBorders>
              <w:top w:val="single" w:sz="8" w:color="auto"/>
            </w:tcBorders>
          </w:tcPr>
          <w:p>
            <w:pPr>
              <w:spacing w:after="0"/>
              <w:rPr>
                <w:sz w:val="17"/>
                <w:szCs w:val="17"/>
                <w:color w:val="auto"/>
              </w:rPr>
            </w:pPr>
          </w:p>
        </w:tc>
        <w:tc>
          <w:tcPr>
            <w:tcW w:w="3380" w:type="dxa"/>
            <w:vAlign w:val="bottom"/>
            <w:tcBorders>
              <w:top w:val="single" w:sz="8" w:color="auto"/>
            </w:tcBorders>
            <w:shd w:val="clear" w:color="auto" w:fill="D2DCE5"/>
          </w:tcPr>
          <w:p>
            <w:pPr>
              <w:ind w:left="1000"/>
              <w:spacing w:after="0"/>
              <w:rPr>
                <w:sz w:val="20"/>
                <w:szCs w:val="20"/>
                <w:color w:val="auto"/>
              </w:rPr>
            </w:pPr>
            <w:r>
              <w:rPr>
                <w:rFonts w:ascii="Arial" w:cs="Arial" w:eastAsia="Arial" w:hAnsi="Arial"/>
                <w:sz w:val="14"/>
                <w:szCs w:val="14"/>
                <w:color w:val="131E29"/>
              </w:rPr>
              <w:t>More than $1.1 million</w:t>
            </w:r>
          </w:p>
        </w:tc>
      </w:tr>
      <w:tr>
        <w:trPr>
          <w:trHeight w:val="22"/>
        </w:trPr>
        <w:tc>
          <w:tcPr>
            <w:tcW w:w="3420" w:type="dxa"/>
            <w:vAlign w:val="bottom"/>
            <w:shd w:val="clear" w:color="auto" w:fill="D2DCE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0" w:type="dxa"/>
            <w:vAlign w:val="bottom"/>
            <w:shd w:val="clear" w:color="auto" w:fill="D2DCE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80" w:type="dxa"/>
            <w:vAlign w:val="bottom"/>
            <w:shd w:val="clear" w:color="auto" w:fill="D2DCE5"/>
          </w:tcPr>
          <w:p>
            <w:pPr>
              <w:spacing w:after="0" w:line="20" w:lineRule="exact"/>
              <w:rPr>
                <w:sz w:val="1"/>
                <w:szCs w:val="1"/>
                <w:color w:val="auto"/>
              </w:rPr>
            </w:pPr>
          </w:p>
        </w:tc>
      </w:tr>
    </w:tbl>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Additionally, our operators and franchise partners are empowered to create their own local, shop-specific giveback programs that help support and build relationships within their communities. In addition to the 2022 donations noted above, the Company, along with our franchise partners and the Foundation donated more than $2.0 million in 2022 to various organizations through our local giveback days.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Competition</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The beverage industry is highly competitive and fragmented, and our shops compete on a variety of factors, including convenience, taste, price, quality, service, and location. We believe our primary competitors include national and regional coffee chains, local specialty coffee shops, regional drive-thru coffee chains, and drive-thru quick service restaurants with coffee and other beverage programs. Our competitors operate company-operated, franchised, and mixed business models. In addition, due to our proprietary Dutch Bros. Blue Rebel energy beverages, we also compete with convenience stores.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Intellectual Property</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We own many registered trademarks and service marks in the United States, the most important of which might be our trademarked Windmill logo. Other important trademarks include our “Dutch Bros,” “Dutch Bros Coffee,” “Dutch Bros Rebel,” and “Dutch Bros. Blue Rebel” word marks and our recognizable Dutch Bros sign logo. We believe the Dutch Bros name and the many distinctive marks associated with it are of significant value and are very important to our business. Accordingly, as a general policy, we pursue registration and monitor the use of our marks in the United States and challenge any unauthorized use.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We license the use of our marks to franchise partners, third-party vendors and others through franchise agreements, vendor agreements and licensing agreements. These agreements typically restrict third parties’ activities with respect to use of the marks and impose brand standards requirements, and require licensees to inform us of any potential infringement of the marks.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131E29"/>
        </w:rPr>
        <w:t>We register some of our copyrighted material and otherwise rely on common law protection of our copyrighted works. Such copyrighted materials are not material to our business.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Government Regulation and Environmental Matters</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We are subject to extensive federal, state, local and foreign laws and regulations, as well as other statutory and regulatory requirements, including those related to, among others, nutritional content labeling and disclosure requirements, food safety regulations, local licensure, building and zoning regulations, employment regulations, and laws and regulations related to our licensed operations. New laws and regulations or new interpretations of existing laws and regulations may also impact our business. The costs of compliance with these laws and regulations are high, are likely to increase in the future, and any failure on our part to comply with these laws may subject us to significant liabilities and other penalties. See "Regulatory and Legal Risks" in Item 1A, Risk Factors for more information.</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We are not aware of any federal, state, or local provisions that have been enacted or adopted regulating the discharge of materials into the environment, or otherwise relating to the protection of the environment, that have materially affected, or are reasonably expected to materially affect, our results of operations, competitive position, or capital expenditures.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Seasonality</w:t>
      </w:r>
    </w:p>
    <w:p>
      <w:pPr>
        <w:spacing w:after="0" w:line="14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Our business is subject to seasonal fluctuations that impact our revenue and company-operated shop gross profit margins. We typically experience higher nominal system sales in the summer months, which impacts revenue and company-operated shop gross profit margins in our second and third quarters of our fiscal year.</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Information About our Executive Officers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131E29"/>
        </w:rPr>
        <w:t>The executive officers of Dutch Bros Inc. as of the filing of this Form 10-K, are as follows:</w:t>
      </w:r>
    </w:p>
    <w:p>
      <w:pPr>
        <w:spacing w:after="0" w:line="161" w:lineRule="exact"/>
        <w:rPr>
          <w:sz w:val="20"/>
          <w:szCs w:val="20"/>
          <w:color w:val="auto"/>
        </w:rPr>
      </w:pPr>
    </w:p>
    <w:p>
      <w:pPr>
        <w:ind w:left="20"/>
        <w:spacing w:after="0"/>
        <w:tabs>
          <w:tab w:leader="none" w:pos="7940" w:val="left"/>
        </w:tabs>
        <w:rPr>
          <w:sz w:val="20"/>
          <w:szCs w:val="20"/>
          <w:color w:val="auto"/>
        </w:rPr>
      </w:pPr>
      <w:r>
        <w:rPr>
          <w:rFonts w:ascii="Arial" w:cs="Arial" w:eastAsia="Arial" w:hAnsi="Arial"/>
          <w:sz w:val="14"/>
          <w:szCs w:val="14"/>
          <w:b w:val="1"/>
          <w:bCs w:val="1"/>
          <w:color w:val="006098"/>
        </w:rPr>
        <w:t>Travis Boersma, 52</w:t>
      </w:r>
      <w:r>
        <w:rPr>
          <w:sz w:val="20"/>
          <w:szCs w:val="20"/>
          <w:color w:val="auto"/>
        </w:rPr>
        <w:tab/>
      </w:r>
      <w:r>
        <w:rPr>
          <w:rFonts w:ascii="Arial" w:cs="Arial" w:eastAsia="Arial" w:hAnsi="Arial"/>
          <w:sz w:val="14"/>
          <w:szCs w:val="14"/>
          <w:b w:val="1"/>
          <w:bCs w:val="1"/>
          <w:color w:val="006098"/>
        </w:rPr>
        <w:t>Co-founder and Executive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wp:posOffset>
            </wp:positionV>
            <wp:extent cx="716153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Mr. Boersma is our Co-Founder and has served as our Executive Chairman since August 2021 and as the Executive Chairman of Dutch Bros OpCo since February 2021. Prior to serving as our Executive Chairman, he served as the Chief Executive Officer from February 2019 to February 2021 of Dutch Bros OpCo. Mr. Boersma has led us as Co-Founder since 1992. Mr. Boersma attended Southern Oregon University.</w:t>
      </w:r>
    </w:p>
    <w:p>
      <w:pPr>
        <w:spacing w:after="0" w:line="140" w:lineRule="exact"/>
        <w:rPr>
          <w:sz w:val="20"/>
          <w:szCs w:val="20"/>
          <w:color w:val="auto"/>
        </w:rPr>
      </w:pPr>
    </w:p>
    <w:p>
      <w:pPr>
        <w:ind w:left="20"/>
        <w:spacing w:after="0"/>
        <w:tabs>
          <w:tab w:leader="none" w:pos="9700" w:val="left"/>
        </w:tabs>
        <w:rPr>
          <w:sz w:val="20"/>
          <w:szCs w:val="20"/>
          <w:color w:val="auto"/>
        </w:rPr>
      </w:pPr>
      <w:r>
        <w:rPr>
          <w:rFonts w:ascii="Arial" w:cs="Arial" w:eastAsia="Arial" w:hAnsi="Arial"/>
          <w:sz w:val="14"/>
          <w:szCs w:val="14"/>
          <w:b w:val="1"/>
          <w:bCs w:val="1"/>
          <w:color w:val="006098"/>
        </w:rPr>
        <w:t>Jonathan “Joth” Ricci, 54</w:t>
      </w:r>
      <w:r>
        <w:rPr>
          <w:sz w:val="20"/>
          <w:szCs w:val="20"/>
          <w:color w:val="auto"/>
        </w:rPr>
        <w:tab/>
      </w:r>
      <w:r>
        <w:rPr>
          <w:rFonts w:ascii="Arial" w:cs="Arial" w:eastAsia="Arial" w:hAnsi="Arial"/>
          <w:sz w:val="14"/>
          <w:szCs w:val="14"/>
          <w:b w:val="1"/>
          <w:bCs w:val="1"/>
          <w:color w:val="006098"/>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wp:posOffset>
            </wp:positionV>
            <wp:extent cx="716153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13"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Mr. Ricci has served as our Chief Executive Officer and a member of our board of directors since August 2021, our President from August 2021 to February 2023, the Chief Executive Officer of Dutch Bros OpCo since February 2021, and the President of Dutch Bros OpCo from January 2019 to February 2023. Since January 2020, Mr. Ricci has served as Chairman of the board of directors of Dutch Bros Foundation, our philanthropic arm. From April 2017 to January 2019, he served as President and Chief Executive Officer of Adelsheim Vineyard. From February 2013 to April 2017, Mr. Ricci served as President of Stumptown Coffee Roasters, a coffee company. In addition to his senior management experience, Mr. Ricci has served on various boards of directors in the beverage industry and civic organizations since January 2012. Mr. Ricci received a B.S. in Business Education from Oregon State University.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17" w:name="page18"/>
    <w:bookmarkEnd w:id="17"/>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tabs>
          <w:tab w:leader="none" w:pos="10600" w:val="left"/>
        </w:tabs>
        <w:rPr>
          <w:sz w:val="20"/>
          <w:szCs w:val="20"/>
          <w:color w:val="auto"/>
        </w:rPr>
      </w:pPr>
      <w:r>
        <w:rPr>
          <w:rFonts w:ascii="Arial" w:cs="Arial" w:eastAsia="Arial" w:hAnsi="Arial"/>
          <w:sz w:val="14"/>
          <w:szCs w:val="14"/>
          <w:b w:val="1"/>
          <w:bCs w:val="1"/>
          <w:color w:val="006098"/>
        </w:rPr>
        <w:t>Christine Barone, 49</w:t>
      </w:r>
      <w:r>
        <w:rPr>
          <w:sz w:val="20"/>
          <w:szCs w:val="20"/>
          <w:color w:val="auto"/>
        </w:rPr>
        <w:tab/>
      </w:r>
      <w:r>
        <w:rPr>
          <w:rFonts w:ascii="Arial" w:cs="Arial" w:eastAsia="Arial" w:hAnsi="Arial"/>
          <w:sz w:val="14"/>
          <w:szCs w:val="14"/>
          <w:b w:val="1"/>
          <w:bCs w:val="1"/>
          <w:color w:val="006098"/>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wp:posOffset>
            </wp:positionV>
            <wp:extent cx="716153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Ms. Barone has served as our President and the President of Dutch Bros OpCo since February 2023. Ms. Barone has worked in the food service and beverage industries for more than a decade, and most recently served as Chief Executive Officer at True Food Kitchen, a high growth restaurant and lifestyle brand, from August 2016 to February 2023. Prior to that, she served in various leadership roles at Starbucks Corporation (Nasdaq: SBUX). Earlier in her career, she held positions with Bain &amp; Company and Raymond James. Ms. Barone holds a B.A. in Applied Mathematics and an M.B.A. from Harvard University.</w:t>
      </w:r>
    </w:p>
    <w:p>
      <w:pPr>
        <w:spacing w:after="0" w:line="141" w:lineRule="exact"/>
        <w:rPr>
          <w:sz w:val="20"/>
          <w:szCs w:val="20"/>
          <w:color w:val="auto"/>
        </w:rPr>
      </w:pPr>
    </w:p>
    <w:p>
      <w:pPr>
        <w:ind w:left="20"/>
        <w:spacing w:after="0"/>
        <w:tabs>
          <w:tab w:leader="none" w:pos="9740" w:val="left"/>
        </w:tabs>
        <w:rPr>
          <w:sz w:val="20"/>
          <w:szCs w:val="20"/>
          <w:color w:val="auto"/>
        </w:rPr>
      </w:pPr>
      <w:r>
        <w:rPr>
          <w:rFonts w:ascii="Arial" w:cs="Arial" w:eastAsia="Arial" w:hAnsi="Arial"/>
          <w:sz w:val="14"/>
          <w:szCs w:val="14"/>
          <w:b w:val="1"/>
          <w:bCs w:val="1"/>
          <w:color w:val="006098"/>
        </w:rPr>
        <w:t>Charles Jemley, 59</w:t>
      </w:r>
      <w:r>
        <w:rPr>
          <w:sz w:val="20"/>
          <w:szCs w:val="20"/>
          <w:color w:val="auto"/>
        </w:rPr>
        <w:tab/>
      </w:r>
      <w:r>
        <w:rPr>
          <w:rFonts w:ascii="Arial" w:cs="Arial" w:eastAsia="Arial" w:hAnsi="Arial"/>
          <w:sz w:val="14"/>
          <w:szCs w:val="14"/>
          <w:b w:val="1"/>
          <w:bCs w:val="1"/>
          <w:color w:val="006098"/>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wp:posOffset>
            </wp:positionV>
            <wp:extent cx="716153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02"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131E29"/>
        </w:rPr>
        <w:t>Mr. Jemley has served as our Chief Financial Officer since August 2021 and the Chief Financial Officer of Dutch Bros OpCo since January 2020. Since June 2017, Mr. Jemley has served as a member of the board of directors of Four Corners Property Trust Inc., a real estate investment trust (NYSE: FCPT), where he chairs the Audit Committee and serves as a member of the Nominating and Governance Committee. From July 2018 to December 2019, he served as the Chief Financial Officer of CKE Restaurant Holdings, Inc., a quick service restaurant company. From February 2006 to January 2018, Mr. Jemley served in various senior management positions at Starbucks Corporation (Nasdaq: SBUX), most recently as Senior Vice President Finance, Starbucks Reserve &amp; Roastery, Global Digital &amp; Store Development. From April 1990 to January 2006, Mr. Jemley served in various positions in finance and store development at Yum! Brands, Inc. (NYSE: YUM) including most recently as the Chief Financial Officer of Yum Restaurants China from December 2003 to January 2006. Mr. Jemley received an M.B.A. from the Michael G. Foster School of Business at the University of Washington and a B.B.A in Accounting from the University of Louisville.</w:t>
      </w:r>
    </w:p>
    <w:p>
      <w:pPr>
        <w:spacing w:after="0" w:line="147" w:lineRule="exact"/>
        <w:rPr>
          <w:sz w:val="20"/>
          <w:szCs w:val="20"/>
          <w:color w:val="auto"/>
        </w:rPr>
      </w:pPr>
    </w:p>
    <w:p>
      <w:pPr>
        <w:ind w:left="20"/>
        <w:spacing w:after="0"/>
        <w:tabs>
          <w:tab w:leader="none" w:pos="9700" w:val="left"/>
        </w:tabs>
        <w:rPr>
          <w:sz w:val="20"/>
          <w:szCs w:val="20"/>
          <w:color w:val="auto"/>
        </w:rPr>
      </w:pPr>
      <w:r>
        <w:rPr>
          <w:rFonts w:ascii="Arial" w:cs="Arial" w:eastAsia="Arial" w:hAnsi="Arial"/>
          <w:sz w:val="14"/>
          <w:szCs w:val="14"/>
          <w:b w:val="1"/>
          <w:bCs w:val="1"/>
          <w:color w:val="006098"/>
        </w:rPr>
        <w:t>Brian Maxwell, 51</w:t>
      </w:r>
      <w:r>
        <w:rPr>
          <w:sz w:val="20"/>
          <w:szCs w:val="20"/>
          <w:color w:val="auto"/>
        </w:rPr>
        <w:tab/>
      </w:r>
      <w:r>
        <w:rPr>
          <w:rFonts w:ascii="Arial" w:cs="Arial" w:eastAsia="Arial" w:hAnsi="Arial"/>
          <w:sz w:val="13"/>
          <w:szCs w:val="13"/>
          <w:b w:val="1"/>
          <w:bCs w:val="1"/>
          <w:color w:val="006098"/>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wp:posOffset>
            </wp:positionV>
            <wp:extent cx="716153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Mr. Maxwell has served as our Chief Operating Officer since August 2021 and the Chief Operating Officer of Dutch Bros OpCo since January 2017, and previously served in various roles at Dutch Bros OpCo, including as the Vice President and General Manager from April 2009 to December 2016, Vice President of Growth from January 2004 to March 2009 and Franchise Coordinator from January 1999 to December 2003. Prior to joining Dutch Bros, Mr. Maxwell worked in finance and investment advising. Mr. Maxwell studied at Lewis &amp; Clark College.</w:t>
      </w:r>
    </w:p>
    <w:p>
      <w:pPr>
        <w:spacing w:after="0" w:line="141" w:lineRule="exact"/>
        <w:rPr>
          <w:sz w:val="20"/>
          <w:szCs w:val="20"/>
          <w:color w:val="auto"/>
        </w:rPr>
      </w:pPr>
    </w:p>
    <w:p>
      <w:pPr>
        <w:ind w:left="20"/>
        <w:spacing w:after="0"/>
        <w:tabs>
          <w:tab w:leader="none" w:pos="9380" w:val="left"/>
        </w:tabs>
        <w:rPr>
          <w:sz w:val="20"/>
          <w:szCs w:val="20"/>
          <w:color w:val="auto"/>
        </w:rPr>
      </w:pPr>
      <w:r>
        <w:rPr>
          <w:rFonts w:ascii="Arial" w:cs="Arial" w:eastAsia="Arial" w:hAnsi="Arial"/>
          <w:sz w:val="14"/>
          <w:szCs w:val="14"/>
          <w:b w:val="1"/>
          <w:bCs w:val="1"/>
          <w:color w:val="006098"/>
        </w:rPr>
        <w:t>Christine Schmidt, 46</w:t>
      </w:r>
      <w:r>
        <w:rPr>
          <w:sz w:val="20"/>
          <w:szCs w:val="20"/>
          <w:color w:val="auto"/>
        </w:rPr>
        <w:tab/>
      </w:r>
      <w:r>
        <w:rPr>
          <w:rFonts w:ascii="Arial" w:cs="Arial" w:eastAsia="Arial" w:hAnsi="Arial"/>
          <w:sz w:val="14"/>
          <w:szCs w:val="14"/>
          <w:b w:val="1"/>
          <w:bCs w:val="1"/>
          <w:color w:val="006098"/>
        </w:rPr>
        <w:t>Chief Administrative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wp:posOffset>
            </wp:positionV>
            <wp:extent cx="716153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Ms. Schmidt has served as our Chief Administrative Officer since August 2021, and the Chief Administrative Officer of Dutch Bros OpCo since September 2019, leading the administrative teams that serve as an integral part of business operations. After starting as a "broista" at the original coffee house in Grants Pass, Oregon in 1996, she joined headquarters in 1999. Prior to her role as Chief Administrative Officer, Ms. Schmidt served in various roles at Dutch Bros OpCo, including most recently as chief financial officer from May 2016 to September 2019, and prior to that, as vice president of finance and in a variety of other positions supporting and growing marketing, finance, and operations.</w:t>
      </w:r>
    </w:p>
    <w:p>
      <w:pPr>
        <w:spacing w:after="0" w:line="141" w:lineRule="exact"/>
        <w:rPr>
          <w:sz w:val="20"/>
          <w:szCs w:val="20"/>
          <w:color w:val="auto"/>
        </w:rPr>
      </w:pPr>
    </w:p>
    <w:p>
      <w:pPr>
        <w:ind w:left="20"/>
        <w:spacing w:after="0"/>
        <w:tabs>
          <w:tab w:leader="none" w:pos="10000" w:val="left"/>
        </w:tabs>
        <w:rPr>
          <w:sz w:val="20"/>
          <w:szCs w:val="20"/>
          <w:color w:val="auto"/>
        </w:rPr>
      </w:pPr>
      <w:r>
        <w:rPr>
          <w:rFonts w:ascii="Arial" w:cs="Arial" w:eastAsia="Arial" w:hAnsi="Arial"/>
          <w:sz w:val="14"/>
          <w:szCs w:val="14"/>
          <w:b w:val="1"/>
          <w:bCs w:val="1"/>
          <w:color w:val="006098"/>
        </w:rPr>
        <w:t>Victoria Tullett, 55</w:t>
      </w:r>
      <w:r>
        <w:rPr>
          <w:sz w:val="20"/>
          <w:szCs w:val="20"/>
          <w:color w:val="auto"/>
        </w:rPr>
        <w:tab/>
      </w:r>
      <w:r>
        <w:rPr>
          <w:rFonts w:ascii="Arial" w:cs="Arial" w:eastAsia="Arial" w:hAnsi="Arial"/>
          <w:sz w:val="13"/>
          <w:szCs w:val="13"/>
          <w:b w:val="1"/>
          <w:bCs w:val="1"/>
          <w:color w:val="006098"/>
        </w:rPr>
        <w:t>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wp:posOffset>
            </wp:positionV>
            <wp:extent cx="716153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0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Ms. Tullett has served as our Chief Legal Officer since September 2022 and has more than 20 years of experience helping diverse organizations manage operational risk and achieve record levels of growth, compliance, and profitability. Prior to joining Dutch Bros, she served Papa Murphy’s International, a franchise model take-and-bake pizza company, for more than 20 years in various roles, including most recently as Senior Vice President, General Counsel, and head of new store Development from May 2019 to August 2022, and from May 2014 to May 2019, as Chief Legal Officer while the company was publicly traded on the Nasdaq. Her experience with high growth companies, risk management, and franchisee relations align with the next stage of Dutch Bros’ development. In addition to her role at Dutch Bros, Ms. Tullett serves on the Board of Directors for Vancouver Symphony Orchestra. Ms. Tullett is a graduate of Lewis &amp; Clark, Northwestern School of Law in Portland, Oregon.</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18" w:name="page19"/>
    <w:bookmarkEnd w:id="18"/>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tabs>
          <w:tab w:leader="none" w:pos="9580" w:val="left"/>
        </w:tabs>
        <w:rPr>
          <w:sz w:val="20"/>
          <w:szCs w:val="20"/>
          <w:color w:val="auto"/>
        </w:rPr>
      </w:pPr>
      <w:r>
        <w:rPr>
          <w:rFonts w:ascii="Arial" w:cs="Arial" w:eastAsia="Arial" w:hAnsi="Arial"/>
          <w:sz w:val="14"/>
          <w:szCs w:val="14"/>
          <w:b w:val="1"/>
          <w:bCs w:val="1"/>
          <w:color w:val="006098"/>
        </w:rPr>
        <w:t>Leigh Gower, 53</w:t>
      </w:r>
      <w:r>
        <w:rPr>
          <w:sz w:val="20"/>
          <w:szCs w:val="20"/>
          <w:color w:val="auto"/>
        </w:rPr>
        <w:tab/>
      </w:r>
      <w:r>
        <w:rPr>
          <w:rFonts w:ascii="Arial" w:cs="Arial" w:eastAsia="Arial" w:hAnsi="Arial"/>
          <w:sz w:val="13"/>
          <w:szCs w:val="13"/>
          <w:b w:val="1"/>
          <w:bCs w:val="1"/>
          <w:color w:val="006098"/>
        </w:rPr>
        <w:t>Chief Technology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wp:posOffset>
            </wp:positionV>
            <wp:extent cx="716153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13"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Ms. Gower has served as our Chief Technology Officer since December 2021 and has more than 20 years of experience helping companies transform customer experience through technology. Prior to joining Dutch Bros in December 2021, she served as Vice President, Technology at Blue Nile Inc., a digitally native, disruptive fine jewelry retailer, from October 2020 to November 2021, as a Product &amp; Technology leader at T-Mobile USA, a global mobile telecommunications company, from September 2012 to August 2020, most recently as Senior Director from July 2018, and as Management Consultant at Slalom Consulting, a business and technology consulting firm, from December 2003 to September 2012. In addition, Ms. Gower serves on the Board of Directors of the Technology Association of Oregon. Ms. Gower earned a B.S. in Economics and Spanish from University of Puget Sound, and professional certificates from Villanova University, University of California, Berkeley, and University of Washington.</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Available Information</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Our website address is dutchbros.com. Our Form 10-K, Quarterly Reports on Form 10-Q, Current Reports on Form 8-K, and other filings with the Securities and Exchange Commission (the SEC), and all amendments to these filings, can be obtained free of charge from our website at https://investors.dutchbros.com/financials/sec-filings/default.aspx or by contacting our Investor Relations department at our office address listed above as soon as reasonably practical following our filing or furnishing of any of these reports with the SEC. The SEC maintains a website that contains reports, proxy and information statements, and other information regarding issuers that file electronically with the SEC at www.sec.gov. We also routinely use the investor relations page on our website as a channel of distribution for important Company information, including press releases, analyst presentations, and financial and corporate governance information. The contents of these websites are not incorporated into this filing. Further, the Company’s references to the URLs for these websites are intended to be inactive textual references only.</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1A. RISK FACTORS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Summary of Risk Factors</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4"/>
          <w:szCs w:val="14"/>
          <w:i w:val="1"/>
          <w:iCs w:val="1"/>
          <w:color w:val="131E29"/>
        </w:rPr>
        <w:t>Below is a summary of the principal factors that make an investment in our Class A common stock speculative or risky. This summary does not address all of the risks that we face. Additional discussion of the risks summarized in this summary, and other risks that we face, can be found below under the heading “Risk Factors” and should be carefully considered, together with other information in this Form 10-K and our other filings with the SEC before making investment decisions regarding our Class A common stock.</w:t>
      </w:r>
    </w:p>
    <w:p>
      <w:pPr>
        <w:spacing w:after="0" w:line="171" w:lineRule="exact"/>
        <w:rPr>
          <w:sz w:val="20"/>
          <w:szCs w:val="20"/>
          <w:color w:val="auto"/>
        </w:rPr>
      </w:pPr>
    </w:p>
    <w:p>
      <w:pPr>
        <w:ind w:left="260" w:hanging="255"/>
        <w:spacing w:after="0"/>
        <w:tabs>
          <w:tab w:leader="none" w:pos="260" w:val="left"/>
        </w:tabs>
        <w:numPr>
          <w:ilvl w:val="0"/>
          <w:numId w:val="19"/>
        </w:numPr>
        <w:rPr>
          <w:rFonts w:ascii="Arial" w:cs="Arial" w:eastAsia="Arial" w:hAnsi="Arial"/>
          <w:sz w:val="14"/>
          <w:szCs w:val="14"/>
          <w:color w:val="131E29"/>
        </w:rPr>
      </w:pPr>
      <w:r>
        <w:rPr>
          <w:rFonts w:ascii="Arial" w:cs="Arial" w:eastAsia="Arial" w:hAnsi="Arial"/>
          <w:sz w:val="14"/>
          <w:szCs w:val="14"/>
          <w:color w:val="131E29"/>
        </w:rPr>
        <w:t>Evolving consumer preferences and tastes or changes in consumer spending may adversely affect our business.</w:t>
      </w:r>
    </w:p>
    <w:p>
      <w:pPr>
        <w:spacing w:after="0" w:line="136" w:lineRule="exact"/>
        <w:rPr>
          <w:rFonts w:ascii="Arial" w:cs="Arial" w:eastAsia="Arial" w:hAnsi="Arial"/>
          <w:sz w:val="14"/>
          <w:szCs w:val="14"/>
          <w:color w:val="131E29"/>
        </w:rPr>
      </w:pPr>
    </w:p>
    <w:p>
      <w:pPr>
        <w:ind w:left="260" w:hanging="255"/>
        <w:spacing w:after="0" w:line="266" w:lineRule="auto"/>
        <w:tabs>
          <w:tab w:leader="none" w:pos="256" w:val="left"/>
        </w:tabs>
        <w:numPr>
          <w:ilvl w:val="0"/>
          <w:numId w:val="19"/>
        </w:numPr>
        <w:rPr>
          <w:rFonts w:ascii="Arial" w:cs="Arial" w:eastAsia="Arial" w:hAnsi="Arial"/>
          <w:sz w:val="14"/>
          <w:szCs w:val="14"/>
          <w:color w:val="131E29"/>
        </w:rPr>
      </w:pPr>
      <w:r>
        <w:rPr>
          <w:rFonts w:ascii="Arial" w:cs="Arial" w:eastAsia="Arial" w:hAnsi="Arial"/>
          <w:sz w:val="14"/>
          <w:szCs w:val="14"/>
          <w:color w:val="131E29"/>
        </w:rPr>
        <w:t>Our financial condition and quarterly results of operations are subject to, and may be adversely affected by, a number of factors, many of which are also largely outside our control and as such our results may fluctuate significantly and may not fully reflect the underlying performance of our business.</w:t>
      </w:r>
    </w:p>
    <w:p>
      <w:pPr>
        <w:spacing w:after="0" w:line="109" w:lineRule="exact"/>
        <w:rPr>
          <w:rFonts w:ascii="Arial" w:cs="Arial" w:eastAsia="Arial" w:hAnsi="Arial"/>
          <w:sz w:val="14"/>
          <w:szCs w:val="14"/>
          <w:color w:val="131E29"/>
        </w:rPr>
      </w:pPr>
    </w:p>
    <w:p>
      <w:pPr>
        <w:jc w:val="both"/>
        <w:ind w:left="260" w:hanging="255"/>
        <w:spacing w:after="0" w:line="259" w:lineRule="auto"/>
        <w:tabs>
          <w:tab w:leader="none" w:pos="256" w:val="left"/>
        </w:tabs>
        <w:numPr>
          <w:ilvl w:val="0"/>
          <w:numId w:val="19"/>
        </w:numPr>
        <w:rPr>
          <w:rFonts w:ascii="Arial" w:cs="Arial" w:eastAsia="Arial" w:hAnsi="Arial"/>
          <w:sz w:val="14"/>
          <w:szCs w:val="14"/>
          <w:color w:val="131E29"/>
        </w:rPr>
      </w:pPr>
      <w:r>
        <w:rPr>
          <w:rFonts w:ascii="Arial" w:cs="Arial" w:eastAsia="Arial" w:hAnsi="Arial"/>
          <w:sz w:val="14"/>
          <w:szCs w:val="14"/>
          <w:color w:val="131E29"/>
        </w:rPr>
        <w:t>We may not be able to compete successfully with other shops, QSRs and convenience shops, including the growing number of coffee delivery options. Intense competition in the food service and restaurant industry could make it more difficult to expand our business and could also have a negative impact on our operating results if customers favor our competitors.</w:t>
      </w:r>
    </w:p>
    <w:p>
      <w:pPr>
        <w:spacing w:after="0" w:line="115" w:lineRule="exact"/>
        <w:rPr>
          <w:rFonts w:ascii="Arial" w:cs="Arial" w:eastAsia="Arial" w:hAnsi="Arial"/>
          <w:sz w:val="14"/>
          <w:szCs w:val="14"/>
          <w:color w:val="131E29"/>
        </w:rPr>
      </w:pPr>
    </w:p>
    <w:p>
      <w:pPr>
        <w:ind w:left="260" w:hanging="255"/>
        <w:spacing w:after="0"/>
        <w:tabs>
          <w:tab w:leader="none" w:pos="260" w:val="left"/>
        </w:tabs>
        <w:numPr>
          <w:ilvl w:val="0"/>
          <w:numId w:val="19"/>
        </w:numPr>
        <w:rPr>
          <w:rFonts w:ascii="Arial" w:cs="Arial" w:eastAsia="Arial" w:hAnsi="Arial"/>
          <w:sz w:val="14"/>
          <w:szCs w:val="14"/>
          <w:color w:val="131E29"/>
        </w:rPr>
      </w:pPr>
      <w:r>
        <w:rPr>
          <w:rFonts w:ascii="Arial" w:cs="Arial" w:eastAsia="Arial" w:hAnsi="Arial"/>
          <w:sz w:val="14"/>
          <w:szCs w:val="14"/>
          <w:color w:val="131E29"/>
        </w:rPr>
        <w:t>Our failure to manage our growth effectively could harm our business and operating results.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19"/>
        </w:numPr>
        <w:rPr>
          <w:rFonts w:ascii="Arial" w:cs="Arial" w:eastAsia="Arial" w:hAnsi="Arial"/>
          <w:sz w:val="14"/>
          <w:szCs w:val="14"/>
          <w:color w:val="131E29"/>
        </w:rPr>
      </w:pPr>
      <w:r>
        <w:rPr>
          <w:rFonts w:ascii="Arial" w:cs="Arial" w:eastAsia="Arial" w:hAnsi="Arial"/>
          <w:sz w:val="14"/>
          <w:szCs w:val="14"/>
          <w:color w:val="131E29"/>
        </w:rPr>
        <w:t>Our inability to identify, recruit and retain qualified individuals for our shops could slow our growth and adversely impact our ability to operate.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19" w:name="page20"/>
    <w:bookmarkEnd w:id="19"/>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60" w:hanging="255"/>
        <w:spacing w:after="0"/>
        <w:tabs>
          <w:tab w:leader="none" w:pos="260" w:val="left"/>
        </w:tabs>
        <w:numPr>
          <w:ilvl w:val="0"/>
          <w:numId w:val="20"/>
        </w:numPr>
        <w:rPr>
          <w:rFonts w:ascii="Arial" w:cs="Arial" w:eastAsia="Arial" w:hAnsi="Arial"/>
          <w:sz w:val="14"/>
          <w:szCs w:val="14"/>
          <w:color w:val="131E29"/>
        </w:rPr>
      </w:pPr>
      <w:r>
        <w:rPr>
          <w:rFonts w:ascii="Arial" w:cs="Arial" w:eastAsia="Arial" w:hAnsi="Arial"/>
          <w:sz w:val="14"/>
          <w:szCs w:val="14"/>
          <w:color w:val="131E29"/>
        </w:rPr>
        <w:t>Our shops are geographically concentrated in the Western United States, and we could be negatively affected by conditions specific to that region.</w:t>
      </w:r>
    </w:p>
    <w:p>
      <w:pPr>
        <w:spacing w:after="0" w:line="136" w:lineRule="exact"/>
        <w:rPr>
          <w:rFonts w:ascii="Arial" w:cs="Arial" w:eastAsia="Arial" w:hAnsi="Arial"/>
          <w:sz w:val="14"/>
          <w:szCs w:val="14"/>
          <w:color w:val="131E29"/>
        </w:rPr>
      </w:pPr>
    </w:p>
    <w:p>
      <w:pPr>
        <w:ind w:left="260" w:hanging="255"/>
        <w:spacing w:after="0" w:line="266" w:lineRule="auto"/>
        <w:tabs>
          <w:tab w:leader="none" w:pos="256" w:val="left"/>
        </w:tabs>
        <w:numPr>
          <w:ilvl w:val="0"/>
          <w:numId w:val="20"/>
        </w:numPr>
        <w:rPr>
          <w:rFonts w:ascii="Arial" w:cs="Arial" w:eastAsia="Arial" w:hAnsi="Arial"/>
          <w:sz w:val="14"/>
          <w:szCs w:val="14"/>
          <w:color w:val="131E29"/>
        </w:rPr>
      </w:pPr>
      <w:r>
        <w:rPr>
          <w:rFonts w:ascii="Arial" w:cs="Arial" w:eastAsia="Arial" w:hAnsi="Arial"/>
          <w:sz w:val="14"/>
          <w:szCs w:val="14"/>
          <w:color w:val="131E29"/>
        </w:rPr>
        <w:t>Interruption of our supply chain of coffee, flavored syrups or other ingredients, coffee machines and other restaurant equipment or packaging could affect our ability to produce or deliver our products and could negatively impact our business and profitability.</w:t>
      </w:r>
    </w:p>
    <w:p>
      <w:pPr>
        <w:spacing w:after="0" w:line="109" w:lineRule="exact"/>
        <w:rPr>
          <w:rFonts w:ascii="Arial" w:cs="Arial" w:eastAsia="Arial" w:hAnsi="Arial"/>
          <w:sz w:val="14"/>
          <w:szCs w:val="14"/>
          <w:color w:val="131E29"/>
        </w:rPr>
      </w:pPr>
    </w:p>
    <w:p>
      <w:pPr>
        <w:ind w:left="260" w:hanging="255"/>
        <w:spacing w:after="0" w:line="266" w:lineRule="auto"/>
        <w:tabs>
          <w:tab w:leader="none" w:pos="256" w:val="left"/>
        </w:tabs>
        <w:numPr>
          <w:ilvl w:val="0"/>
          <w:numId w:val="20"/>
        </w:numPr>
        <w:rPr>
          <w:rFonts w:ascii="Arial" w:cs="Arial" w:eastAsia="Arial" w:hAnsi="Arial"/>
          <w:sz w:val="14"/>
          <w:szCs w:val="14"/>
          <w:color w:val="131E29"/>
        </w:rPr>
      </w:pPr>
      <w:r>
        <w:rPr>
          <w:rFonts w:ascii="Arial" w:cs="Arial" w:eastAsia="Arial" w:hAnsi="Arial"/>
          <w:sz w:val="14"/>
          <w:szCs w:val="14"/>
          <w:color w:val="131E29"/>
        </w:rPr>
        <w:t>Increases in the cost of high-quality arabica coffee beans, dairy or other commodities or decreases in the availability of high-quality arabica coffee beans, dairy or other commodities could have an adverse impact on our business and financial results.</w:t>
      </w:r>
    </w:p>
    <w:p>
      <w:pPr>
        <w:spacing w:after="0" w:line="109" w:lineRule="exact"/>
        <w:rPr>
          <w:rFonts w:ascii="Arial" w:cs="Arial" w:eastAsia="Arial" w:hAnsi="Arial"/>
          <w:sz w:val="14"/>
          <w:szCs w:val="14"/>
          <w:color w:val="131E29"/>
        </w:rPr>
      </w:pPr>
    </w:p>
    <w:p>
      <w:pPr>
        <w:ind w:left="260" w:hanging="255"/>
        <w:spacing w:after="0"/>
        <w:tabs>
          <w:tab w:leader="none" w:pos="260" w:val="left"/>
        </w:tabs>
        <w:numPr>
          <w:ilvl w:val="0"/>
          <w:numId w:val="20"/>
        </w:numPr>
        <w:rPr>
          <w:rFonts w:ascii="Arial" w:cs="Arial" w:eastAsia="Arial" w:hAnsi="Arial"/>
          <w:sz w:val="14"/>
          <w:szCs w:val="14"/>
          <w:color w:val="131E29"/>
        </w:rPr>
      </w:pPr>
      <w:r>
        <w:rPr>
          <w:rFonts w:ascii="Arial" w:cs="Arial" w:eastAsia="Arial" w:hAnsi="Arial"/>
          <w:sz w:val="14"/>
          <w:szCs w:val="14"/>
          <w:color w:val="131E29"/>
        </w:rPr>
        <w:t>Pandemics or disease outbreaks have had, and may continue to have, an effect on our business and results of operations.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20"/>
        </w:numPr>
        <w:rPr>
          <w:rFonts w:ascii="Arial" w:cs="Arial" w:eastAsia="Arial" w:hAnsi="Arial"/>
          <w:sz w:val="14"/>
          <w:szCs w:val="14"/>
          <w:color w:val="131E29"/>
        </w:rPr>
      </w:pPr>
      <w:r>
        <w:rPr>
          <w:rFonts w:ascii="Arial" w:cs="Arial" w:eastAsia="Arial" w:hAnsi="Arial"/>
          <w:sz w:val="14"/>
          <w:szCs w:val="14"/>
          <w:color w:val="131E29"/>
        </w:rPr>
        <w:t>Our success depends substantially on the value of our brand and failure to preserve its value could have a negative impact on our financial results.</w:t>
      </w:r>
    </w:p>
    <w:p>
      <w:pPr>
        <w:spacing w:after="0" w:line="136" w:lineRule="exact"/>
        <w:rPr>
          <w:rFonts w:ascii="Arial" w:cs="Arial" w:eastAsia="Arial" w:hAnsi="Arial"/>
          <w:sz w:val="14"/>
          <w:szCs w:val="14"/>
          <w:color w:val="131E29"/>
        </w:rPr>
      </w:pPr>
    </w:p>
    <w:p>
      <w:pPr>
        <w:jc w:val="both"/>
        <w:ind w:left="260" w:hanging="255"/>
        <w:spacing w:after="0" w:line="259" w:lineRule="auto"/>
        <w:tabs>
          <w:tab w:leader="none" w:pos="256" w:val="left"/>
        </w:tabs>
        <w:numPr>
          <w:ilvl w:val="0"/>
          <w:numId w:val="20"/>
        </w:numPr>
        <w:rPr>
          <w:rFonts w:ascii="Arial" w:cs="Arial" w:eastAsia="Arial" w:hAnsi="Arial"/>
          <w:sz w:val="14"/>
          <w:szCs w:val="14"/>
          <w:color w:val="131E29"/>
        </w:rPr>
      </w:pPr>
      <w:r>
        <w:rPr>
          <w:rFonts w:ascii="Arial" w:cs="Arial" w:eastAsia="Arial" w:hAnsi="Arial"/>
          <w:sz w:val="14"/>
          <w:szCs w:val="14"/>
          <w:color w:val="131E29"/>
        </w:rPr>
        <w:t>Food safety and quality concerns may negatively impact our brand, business and profitability, our internal operational controls and standards may not always be met and our employees may not always act professionally, responsibly and in our and our customers’ best interests. Any possible instances or reports, whether true or not, of food and/or beverage-borne illness could reduce our sales.</w:t>
      </w:r>
    </w:p>
    <w:p>
      <w:pPr>
        <w:spacing w:after="0" w:line="115" w:lineRule="exact"/>
        <w:rPr>
          <w:rFonts w:ascii="Arial" w:cs="Arial" w:eastAsia="Arial" w:hAnsi="Arial"/>
          <w:sz w:val="14"/>
          <w:szCs w:val="14"/>
          <w:color w:val="131E29"/>
        </w:rPr>
      </w:pPr>
    </w:p>
    <w:p>
      <w:pPr>
        <w:ind w:left="260" w:hanging="255"/>
        <w:spacing w:after="0"/>
        <w:tabs>
          <w:tab w:leader="none" w:pos="260" w:val="left"/>
        </w:tabs>
        <w:numPr>
          <w:ilvl w:val="0"/>
          <w:numId w:val="20"/>
        </w:numPr>
        <w:rPr>
          <w:rFonts w:ascii="Arial" w:cs="Arial" w:eastAsia="Arial" w:hAnsi="Arial"/>
          <w:sz w:val="14"/>
          <w:szCs w:val="14"/>
          <w:color w:val="131E29"/>
        </w:rPr>
      </w:pPr>
      <w:r>
        <w:rPr>
          <w:rFonts w:ascii="Arial" w:cs="Arial" w:eastAsia="Arial" w:hAnsi="Arial"/>
          <w:sz w:val="14"/>
          <w:szCs w:val="14"/>
          <w:color w:val="131E29"/>
        </w:rPr>
        <w:t>Changes in the availability of and the cost of labor could harm our business.</w:t>
      </w:r>
    </w:p>
    <w:p>
      <w:pPr>
        <w:spacing w:after="0" w:line="136" w:lineRule="exact"/>
        <w:rPr>
          <w:rFonts w:ascii="Arial" w:cs="Arial" w:eastAsia="Arial" w:hAnsi="Arial"/>
          <w:sz w:val="14"/>
          <w:szCs w:val="14"/>
          <w:color w:val="131E29"/>
        </w:rPr>
      </w:pPr>
    </w:p>
    <w:p>
      <w:pPr>
        <w:ind w:left="260" w:hanging="255"/>
        <w:spacing w:after="0" w:line="266" w:lineRule="auto"/>
        <w:tabs>
          <w:tab w:leader="none" w:pos="256" w:val="left"/>
        </w:tabs>
        <w:numPr>
          <w:ilvl w:val="0"/>
          <w:numId w:val="20"/>
        </w:numPr>
        <w:rPr>
          <w:rFonts w:ascii="Arial" w:cs="Arial" w:eastAsia="Arial" w:hAnsi="Arial"/>
          <w:sz w:val="14"/>
          <w:szCs w:val="14"/>
          <w:color w:val="131E29"/>
        </w:rPr>
      </w:pPr>
      <w:r>
        <w:rPr>
          <w:rFonts w:ascii="Arial" w:cs="Arial" w:eastAsia="Arial" w:hAnsi="Arial"/>
          <w:sz w:val="14"/>
          <w:szCs w:val="14"/>
          <w:color w:val="131E29"/>
        </w:rPr>
        <w:t>Our culture has contributed to our success, and if we cannot maintain this culture as we grow, we could lose the high employee engagement fostered by our culture, which could harm our business.</w:t>
      </w:r>
    </w:p>
    <w:p>
      <w:pPr>
        <w:spacing w:after="0" w:line="109" w:lineRule="exact"/>
        <w:rPr>
          <w:rFonts w:ascii="Arial" w:cs="Arial" w:eastAsia="Arial" w:hAnsi="Arial"/>
          <w:sz w:val="14"/>
          <w:szCs w:val="14"/>
          <w:color w:val="131E29"/>
        </w:rPr>
      </w:pPr>
    </w:p>
    <w:p>
      <w:pPr>
        <w:ind w:left="260" w:hanging="255"/>
        <w:spacing w:after="0" w:line="253" w:lineRule="auto"/>
        <w:tabs>
          <w:tab w:leader="none" w:pos="256" w:val="left"/>
        </w:tabs>
        <w:numPr>
          <w:ilvl w:val="0"/>
          <w:numId w:val="20"/>
        </w:numPr>
        <w:rPr>
          <w:rFonts w:ascii="Arial" w:cs="Arial" w:eastAsia="Arial" w:hAnsi="Arial"/>
          <w:sz w:val="14"/>
          <w:szCs w:val="14"/>
          <w:color w:val="131E29"/>
        </w:rPr>
      </w:pPr>
      <w:r>
        <w:rPr>
          <w:rFonts w:ascii="Arial" w:cs="Arial" w:eastAsia="Arial" w:hAnsi="Arial"/>
          <w:sz w:val="14"/>
          <w:szCs w:val="14"/>
          <w:color w:val="131E29"/>
        </w:rPr>
        <w:t>Our Co-Founder and Sponsor continue to have significant influence over us, which could limit your ability to influence the outcome of matters submitted to stockholders for a vote.</w:t>
      </w:r>
    </w:p>
    <w:p>
      <w:pPr>
        <w:spacing w:after="0" w:line="297" w:lineRule="exact"/>
        <w:rPr>
          <w:rFonts w:ascii="Arial" w:cs="Arial" w:eastAsia="Arial" w:hAnsi="Arial"/>
          <w:sz w:val="14"/>
          <w:szCs w:val="14"/>
          <w:color w:val="131E29"/>
        </w:rPr>
      </w:pPr>
    </w:p>
    <w:p>
      <w:pPr>
        <w:ind w:left="260" w:hanging="255"/>
        <w:spacing w:after="0" w:line="266" w:lineRule="auto"/>
        <w:tabs>
          <w:tab w:leader="none" w:pos="256" w:val="left"/>
        </w:tabs>
        <w:numPr>
          <w:ilvl w:val="0"/>
          <w:numId w:val="20"/>
        </w:numPr>
        <w:rPr>
          <w:rFonts w:ascii="Arial" w:cs="Arial" w:eastAsia="Arial" w:hAnsi="Arial"/>
          <w:sz w:val="14"/>
          <w:szCs w:val="14"/>
          <w:color w:val="131E29"/>
        </w:rPr>
      </w:pPr>
      <w:r>
        <w:rPr>
          <w:rFonts w:ascii="Arial" w:cs="Arial" w:eastAsia="Arial" w:hAnsi="Arial"/>
          <w:sz w:val="14"/>
          <w:szCs w:val="14"/>
          <w:color w:val="131E29"/>
        </w:rPr>
        <w:t>We are a “controlled company” within the meaning of the New York Stock Exchange rules and, as a result, qualify for, and rely on, exemptions and relief from certain corporate governance requirements. You do not have the same protections afforded to stockholders of companies that are subject to such requirements.</w:t>
      </w:r>
    </w:p>
    <w:p>
      <w:pPr>
        <w:spacing w:after="0" w:line="109" w:lineRule="exact"/>
        <w:rPr>
          <w:rFonts w:ascii="Arial" w:cs="Arial" w:eastAsia="Arial" w:hAnsi="Arial"/>
          <w:sz w:val="14"/>
          <w:szCs w:val="14"/>
          <w:color w:val="131E29"/>
        </w:rPr>
      </w:pPr>
    </w:p>
    <w:p>
      <w:pPr>
        <w:ind w:left="260" w:hanging="255"/>
        <w:spacing w:after="0" w:line="266" w:lineRule="auto"/>
        <w:tabs>
          <w:tab w:leader="none" w:pos="256" w:val="left"/>
        </w:tabs>
        <w:numPr>
          <w:ilvl w:val="0"/>
          <w:numId w:val="20"/>
        </w:numPr>
        <w:rPr>
          <w:rFonts w:ascii="Arial" w:cs="Arial" w:eastAsia="Arial" w:hAnsi="Arial"/>
          <w:sz w:val="14"/>
          <w:szCs w:val="14"/>
          <w:color w:val="131E29"/>
        </w:rPr>
      </w:pPr>
      <w:r>
        <w:rPr>
          <w:rFonts w:ascii="Arial" w:cs="Arial" w:eastAsia="Arial" w:hAnsi="Arial"/>
          <w:sz w:val="14"/>
          <w:szCs w:val="14"/>
          <w:color w:val="131E29"/>
        </w:rPr>
        <w:t>Our growth strategy depends in part on opening new shops in existing and new markets. We may be unsuccessful in opening new shops or establishing new markets, which could adversely affect our growth.</w:t>
      </w:r>
    </w:p>
    <w:p>
      <w:pPr>
        <w:spacing w:after="0" w:line="109" w:lineRule="exact"/>
        <w:rPr>
          <w:rFonts w:ascii="Arial" w:cs="Arial" w:eastAsia="Arial" w:hAnsi="Arial"/>
          <w:sz w:val="14"/>
          <w:szCs w:val="14"/>
          <w:color w:val="131E29"/>
        </w:rPr>
      </w:pPr>
    </w:p>
    <w:p>
      <w:pPr>
        <w:ind w:left="260" w:hanging="255"/>
        <w:spacing w:after="0" w:line="266" w:lineRule="auto"/>
        <w:tabs>
          <w:tab w:leader="none" w:pos="256" w:val="left"/>
        </w:tabs>
        <w:numPr>
          <w:ilvl w:val="0"/>
          <w:numId w:val="20"/>
        </w:numPr>
        <w:rPr>
          <w:rFonts w:ascii="Arial" w:cs="Arial" w:eastAsia="Arial" w:hAnsi="Arial"/>
          <w:sz w:val="14"/>
          <w:szCs w:val="14"/>
          <w:color w:val="131E29"/>
        </w:rPr>
      </w:pPr>
      <w:r>
        <w:rPr>
          <w:rFonts w:ascii="Arial" w:cs="Arial" w:eastAsia="Arial" w:hAnsi="Arial"/>
          <w:sz w:val="14"/>
          <w:szCs w:val="14"/>
          <w:color w:val="131E29"/>
        </w:rPr>
        <w:t>Our operating results and growth strategies are closely tied to the success of our franchise partners, and we have limited control with respect to their operations. Additionally, our franchise partners’ interests may conflict or diverge with our interests in the future, which could have a negative impact on our business.</w:t>
      </w:r>
    </w:p>
    <w:p>
      <w:pPr>
        <w:spacing w:after="0" w:line="109" w:lineRule="exact"/>
        <w:rPr>
          <w:rFonts w:ascii="Arial" w:cs="Arial" w:eastAsia="Arial" w:hAnsi="Arial"/>
          <w:sz w:val="14"/>
          <w:szCs w:val="14"/>
          <w:color w:val="131E29"/>
        </w:rPr>
      </w:pPr>
    </w:p>
    <w:p>
      <w:pPr>
        <w:jc w:val="both"/>
        <w:ind w:left="260" w:hanging="255"/>
        <w:spacing w:after="0" w:line="259" w:lineRule="auto"/>
        <w:tabs>
          <w:tab w:leader="none" w:pos="256" w:val="left"/>
        </w:tabs>
        <w:numPr>
          <w:ilvl w:val="0"/>
          <w:numId w:val="20"/>
        </w:numPr>
        <w:rPr>
          <w:rFonts w:ascii="Arial" w:cs="Arial" w:eastAsia="Arial" w:hAnsi="Arial"/>
          <w:sz w:val="14"/>
          <w:szCs w:val="14"/>
          <w:color w:val="131E29"/>
        </w:rPr>
      </w:pPr>
      <w:r>
        <w:rPr>
          <w:rFonts w:ascii="Arial" w:cs="Arial" w:eastAsia="Arial" w:hAnsi="Arial"/>
          <w:sz w:val="14"/>
          <w:szCs w:val="14"/>
          <w:color w:val="131E29"/>
        </w:rPr>
        <w:t>We have identified material weaknesses in our internal control over financial reporting. If we are unable to remedy our material weaknesses,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Class A common stock price.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20" w:name="page21"/>
    <w:bookmarkEnd w:id="20"/>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Risk Factors</w:t>
      </w:r>
    </w:p>
    <w:p>
      <w:pPr>
        <w:spacing w:after="0" w:line="13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i w:val="1"/>
          <w:iCs w:val="1"/>
          <w:color w:val="131E29"/>
        </w:rPr>
        <w:t>You should carefully consider the risks described below in addition to the other information set forth in this Form 10-K, including “Management’s Discussion and Analysis of Financial Condition and Results of Operations,” “Quantitative and Qualitative Disclosures about Market Risk,” our consolidated financial statements and related notes in this Form 10-K, before making an investment decision. If any of the risks and uncertainties described below occur, it could have a material adverse impact on our business, reputation, financial position, results of operations or cash flows, and the trading price of our Class A common stock. Although it is not possible to predict or identify all such risks and uncertainties, they may include, but are not limited to, the factors discussed below. The risks described herein are not the only risks we may face. Additional risks and uncertainties not currently known to us or that we currently deem to be immaterial may become material and adversely affect our business, reputation, financial condition, results of operations or cash flows or the trading price of our Class A common stock.</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Risks Related to Our Business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Evolving consumer preferences and tastes or changes in consumer spending may adversely affect our business.</w:t>
      </w:r>
    </w:p>
    <w:p>
      <w:pPr>
        <w:spacing w:after="0" w:line="152"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131E29"/>
        </w:rPr>
        <w:t>Dutch Bros’ continued success depends on our ability to attract and retain customers. Our financial results could be adversely affected by a shift in consumer spending away from outside-the-home beverages, decreases in general discretionary consumer spending (including due to higher gas prices, inflation or lack of consumer confidence), lack of customer acceptance of new products (including due to price increases necessary to cover the costs of new beverages or higher input costs), brand perception (such as the existence or expansion of our competitors), platforms (such as features of our mobile application and changes in our loyalty rewards programs and initiatives), a reduction in individual car ownership, which in turn may reduce the usefulness and convenience of our drive-thru shops, or customers reducing their demand for our current offerings as new beverages are introduced. In addition, most of our beverages contain sugar, caffeine, dairy products, and other compounds, such as taurine and artificial coloring, the health effects of which are the subject of public and regulatory scrutiny, including the suggestion of linkages to a variety of adverse health effects. There is increasing consumer awareness of health risks that are attributed to ingredients we use, particularly in the United States, including obesity, increased blood pressure and heart rate, anxiety and insomnia, as well as increased consumer litigation based on alleged adverse health impacts attributed to the consumption of various food and beverage products. While we offer alternatives, including reduced sugar and sugar-free items, negative publicity or an unfavorable perception of the health effects of sugar, caffeine, or other ingredients in our products could significantly reduce the demand for our beverages and could harm our business.</w:t>
      </w:r>
    </w:p>
    <w:p>
      <w:pPr>
        <w:spacing w:after="0" w:line="10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006098"/>
        </w:rPr>
        <w:t>Our financial condition and results of operations are subject to, and may be adversely affected by, a number of factors, many of which are also largely outside our control.</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Our results of operations will be subject to a number of factors and may vary significantly in the future as they have in the past, many of which are outside of our control, and may not fully reflect the underlying performance of our business. Factors that may cause fluctuations in our results of operations and key metrics include, without limitation, those listed elsewhere in this Risk Factors section and those listed below. Any one or more of the factors listed below or described elsewhere in this section could harm our business:</w:t>
      </w:r>
    </w:p>
    <w:p>
      <w:pPr>
        <w:spacing w:after="0" w:line="115" w:lineRule="exact"/>
        <w:rPr>
          <w:sz w:val="20"/>
          <w:szCs w:val="20"/>
          <w:color w:val="auto"/>
        </w:rPr>
      </w:pPr>
    </w:p>
    <w:p>
      <w:pPr>
        <w:ind w:left="260" w:hanging="255"/>
        <w:spacing w:after="0"/>
        <w:tabs>
          <w:tab w:leader="none" w:pos="260" w:val="left"/>
        </w:tabs>
        <w:numPr>
          <w:ilvl w:val="0"/>
          <w:numId w:val="21"/>
        </w:numPr>
        <w:rPr>
          <w:rFonts w:ascii="Arial" w:cs="Arial" w:eastAsia="Arial" w:hAnsi="Arial"/>
          <w:sz w:val="14"/>
          <w:szCs w:val="14"/>
          <w:color w:val="131E29"/>
        </w:rPr>
      </w:pPr>
      <w:r>
        <w:rPr>
          <w:rFonts w:ascii="Arial" w:cs="Arial" w:eastAsia="Arial" w:hAnsi="Arial"/>
          <w:sz w:val="14"/>
          <w:szCs w:val="14"/>
          <w:color w:val="131E29"/>
        </w:rPr>
        <w:t>increases in real estate or labor costs in certain markets;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21"/>
        </w:numPr>
        <w:rPr>
          <w:rFonts w:ascii="Arial" w:cs="Arial" w:eastAsia="Arial" w:hAnsi="Arial"/>
          <w:sz w:val="14"/>
          <w:szCs w:val="14"/>
          <w:color w:val="131E29"/>
        </w:rPr>
      </w:pPr>
      <w:r>
        <w:rPr>
          <w:rFonts w:ascii="Arial" w:cs="Arial" w:eastAsia="Arial" w:hAnsi="Arial"/>
          <w:sz w:val="14"/>
          <w:szCs w:val="14"/>
          <w:color w:val="131E29"/>
        </w:rPr>
        <w:t>changes in consumer preferences;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21"/>
        </w:numPr>
        <w:rPr>
          <w:rFonts w:ascii="Arial" w:cs="Arial" w:eastAsia="Arial" w:hAnsi="Arial"/>
          <w:sz w:val="14"/>
          <w:szCs w:val="14"/>
          <w:color w:val="131E29"/>
        </w:rPr>
      </w:pPr>
      <w:r>
        <w:rPr>
          <w:rFonts w:ascii="Arial" w:cs="Arial" w:eastAsia="Arial" w:hAnsi="Arial"/>
          <w:sz w:val="14"/>
          <w:szCs w:val="14"/>
          <w:color w:val="131E29"/>
        </w:rPr>
        <w:t>disruptions in our supply chain;</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21"/>
        </w:numPr>
        <w:rPr>
          <w:rFonts w:ascii="Arial" w:cs="Arial" w:eastAsia="Arial" w:hAnsi="Arial"/>
          <w:sz w:val="14"/>
          <w:szCs w:val="14"/>
          <w:color w:val="131E29"/>
        </w:rPr>
      </w:pPr>
      <w:r>
        <w:rPr>
          <w:rFonts w:ascii="Arial" w:cs="Arial" w:eastAsia="Arial" w:hAnsi="Arial"/>
          <w:sz w:val="14"/>
          <w:szCs w:val="14"/>
          <w:color w:val="131E29"/>
        </w:rPr>
        <w:t>the impact of shortages or inflation on our cost of goods or labor, including construction labor, which we have recently seen;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21" w:name="page22"/>
    <w:bookmarkEnd w:id="21"/>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60" w:hanging="255"/>
        <w:spacing w:after="0"/>
        <w:tabs>
          <w:tab w:leader="none" w:pos="260" w:val="left"/>
        </w:tabs>
        <w:numPr>
          <w:ilvl w:val="0"/>
          <w:numId w:val="22"/>
        </w:numPr>
        <w:rPr>
          <w:rFonts w:ascii="Arial" w:cs="Arial" w:eastAsia="Arial" w:hAnsi="Arial"/>
          <w:sz w:val="14"/>
          <w:szCs w:val="14"/>
          <w:color w:val="131E29"/>
        </w:rPr>
      </w:pPr>
      <w:r>
        <w:rPr>
          <w:rFonts w:ascii="Arial" w:cs="Arial" w:eastAsia="Arial" w:hAnsi="Arial"/>
          <w:sz w:val="14"/>
          <w:szCs w:val="14"/>
          <w:color w:val="131E29"/>
        </w:rPr>
        <w:t>changes in governmental laws and rules, including those regarding minimum wage, and approaches to taxation;</w:t>
      </w:r>
    </w:p>
    <w:p>
      <w:pPr>
        <w:spacing w:after="0" w:line="136" w:lineRule="exact"/>
        <w:rPr>
          <w:rFonts w:ascii="Arial" w:cs="Arial" w:eastAsia="Arial" w:hAnsi="Arial"/>
          <w:sz w:val="14"/>
          <w:szCs w:val="14"/>
          <w:color w:val="131E29"/>
        </w:rPr>
      </w:pPr>
    </w:p>
    <w:p>
      <w:pPr>
        <w:ind w:left="260" w:hanging="255"/>
        <w:spacing w:after="0" w:line="266" w:lineRule="auto"/>
        <w:tabs>
          <w:tab w:leader="none" w:pos="256" w:val="left"/>
        </w:tabs>
        <w:numPr>
          <w:ilvl w:val="0"/>
          <w:numId w:val="22"/>
        </w:numPr>
        <w:rPr>
          <w:rFonts w:ascii="Arial" w:cs="Arial" w:eastAsia="Arial" w:hAnsi="Arial"/>
          <w:sz w:val="14"/>
          <w:szCs w:val="14"/>
          <w:color w:val="131E29"/>
        </w:rPr>
      </w:pPr>
      <w:r>
        <w:rPr>
          <w:rFonts w:ascii="Arial" w:cs="Arial" w:eastAsia="Arial" w:hAnsi="Arial"/>
          <w:sz w:val="14"/>
          <w:szCs w:val="14"/>
          <w:color w:val="131E29"/>
        </w:rPr>
        <w:t>severe weather or other natural or man-made disasters affecting a large market or several closely located markets that may temporarily but significantly affect our business in such markets, including the price or availability of goods;</w:t>
      </w:r>
    </w:p>
    <w:p>
      <w:pPr>
        <w:spacing w:after="0" w:line="109" w:lineRule="exact"/>
        <w:rPr>
          <w:rFonts w:ascii="Arial" w:cs="Arial" w:eastAsia="Arial" w:hAnsi="Arial"/>
          <w:sz w:val="14"/>
          <w:szCs w:val="14"/>
          <w:color w:val="131E29"/>
        </w:rPr>
      </w:pPr>
    </w:p>
    <w:p>
      <w:pPr>
        <w:ind w:left="260" w:hanging="255"/>
        <w:spacing w:after="0" w:line="266" w:lineRule="auto"/>
        <w:tabs>
          <w:tab w:leader="none" w:pos="256" w:val="left"/>
        </w:tabs>
        <w:numPr>
          <w:ilvl w:val="0"/>
          <w:numId w:val="22"/>
        </w:numPr>
        <w:rPr>
          <w:rFonts w:ascii="Arial" w:cs="Arial" w:eastAsia="Arial" w:hAnsi="Arial"/>
          <w:sz w:val="14"/>
          <w:szCs w:val="14"/>
          <w:color w:val="131E29"/>
        </w:rPr>
      </w:pPr>
      <w:r>
        <w:rPr>
          <w:rFonts w:ascii="Arial" w:cs="Arial" w:eastAsia="Arial" w:hAnsi="Arial"/>
          <w:sz w:val="14"/>
          <w:szCs w:val="14"/>
          <w:color w:val="131E29"/>
        </w:rPr>
        <w:t>labor discord or disruption, geopolitical events, social unrest, war, including repercussions of the war between Russia and Ukraine, terrorism, political instability, acts of public violence, boycotts, hostilities and social unrest, COVID-19 variants and other epidemics; and</w:t>
      </w:r>
    </w:p>
    <w:p>
      <w:pPr>
        <w:spacing w:after="0" w:line="109" w:lineRule="exact"/>
        <w:rPr>
          <w:rFonts w:ascii="Arial" w:cs="Arial" w:eastAsia="Arial" w:hAnsi="Arial"/>
          <w:sz w:val="14"/>
          <w:szCs w:val="14"/>
          <w:color w:val="131E29"/>
        </w:rPr>
      </w:pPr>
    </w:p>
    <w:p>
      <w:pPr>
        <w:ind w:left="260" w:hanging="255"/>
        <w:spacing w:after="0"/>
        <w:tabs>
          <w:tab w:leader="none" w:pos="260" w:val="left"/>
        </w:tabs>
        <w:numPr>
          <w:ilvl w:val="0"/>
          <w:numId w:val="22"/>
        </w:numPr>
        <w:rPr>
          <w:rFonts w:ascii="Arial" w:cs="Arial" w:eastAsia="Arial" w:hAnsi="Arial"/>
          <w:sz w:val="14"/>
          <w:szCs w:val="14"/>
          <w:color w:val="131E29"/>
        </w:rPr>
      </w:pPr>
      <w:r>
        <w:rPr>
          <w:rFonts w:ascii="Arial" w:cs="Arial" w:eastAsia="Arial" w:hAnsi="Arial"/>
          <w:sz w:val="14"/>
          <w:szCs w:val="14"/>
          <w:color w:val="131E29"/>
        </w:rPr>
        <w:t>adverse outcomes of litigation.</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Our marketing programs may not be successful, and our new menu items and advertising campaigns may not generate increased revenues or profits.</w:t>
      </w:r>
    </w:p>
    <w:p>
      <w:pPr>
        <w:spacing w:after="0" w:line="15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We incur costs and expend resources in our marketing efforts on new menu items and advertising campaigns to raise brand awareness and attract and retain customers. These initiatives may not be successful, resulting in expenses incurred without the benefit of higher revenue. Additionally, some of our competitors have substantially greater financial resources than we do, which enable them to spend significantly more on marketing, advertising, pricing and other initiatives. Should our competitors increase spending on marketing and advertising and other initiatives or our marketing funds decrease for any reason, or should our advertising, promotions and new menu items fail to reach our customers effectively and efficiently, for example if our marketing efforts do not continue to appeal to our current customers or are perceived negatively, there could be an adverse effect on our revenues and profits could decrease.</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b w:val="1"/>
          <w:bCs w:val="1"/>
          <w:i w:val="1"/>
          <w:iCs w:val="1"/>
          <w:color w:val="006098"/>
        </w:rPr>
        <w:t>We may not be able to compete successfully with other coffee shops, QSRs and convenience shops, including the growing number of coffee delivery options. Intense competition in the food service and restaurant industry could make it more difficult to expand our business and could also have a negative impact on our operating results if customers favor our competitors.</w:t>
      </w:r>
    </w:p>
    <w:p>
      <w:pPr>
        <w:spacing w:after="0" w:line="107"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131E29"/>
        </w:rPr>
        <w:t>The food service and restaurant industry is intensely competitive. We expect competition in this market to continue to be intense as we compete on a variety of fronts, including convenience, taste, price, quality, service, and location. If our company-operated and franchised shops cannot compete successfully with other beverage and coffee shops, including Dunkin’ Donuts, Starbucks, other specialty coffee shops, drive-thru QSRs, and the growing number of coffee delivery options in new and existing markets, we could lose customers and our revenue could decline. Our company-operated and franchised shops compete with national, regional, and local coffee chains, QSRs, and convenience shops for customers, shop locations, and qualified management and other staff. Compared to us, some of our competitors have substantially greater financial and other resources, have been in business longer, have greater brand recognition, or are better established in the markets where our shops are located or are planned to be located. In some markets that we may grow into, there are already well-funded competitors in the drive-thru coffee or beverage business that may challenge our ability to grow into those regions. Any of these competitive factors may harm our business.</w:t>
      </w:r>
    </w:p>
    <w:p>
      <w:pPr>
        <w:spacing w:after="0" w:line="12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Additionally, if our competitors begin to evolve their business strategies and adopt aspects of the Dutch Bros business model, such as our drive-thru convenience, digital ordering, and similar product offerings or branding, our customers may be drawn to those competitors for their beverage needs and our business could be harmed.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22" w:name="page23"/>
    <w:bookmarkEnd w:id="22"/>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Our strategic initiatives and growth strategy may be unsuccessful which could adversely affect our business and financial results.</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As of December 31, 2022, Dutch Bros had 671 shops across 14 states, of which 396 were company-operated and 275 were franchised. One of the key means to achieving our growth strategy will be through opening new shops and operating those shops on a profitable basis. During the year ended December 31, 2022, we opened 120 new company-operated shops. Our ability to open new shops is dependent upon a number of factors, many of which are beyond our control, including our and our franchise partners’ ability to:</w:t>
      </w:r>
    </w:p>
    <w:p>
      <w:pPr>
        <w:spacing w:after="0" w:line="115" w:lineRule="exact"/>
        <w:rPr>
          <w:sz w:val="20"/>
          <w:szCs w:val="20"/>
          <w:color w:val="auto"/>
        </w:rPr>
      </w:pPr>
    </w:p>
    <w:p>
      <w:pPr>
        <w:ind w:left="260" w:hanging="255"/>
        <w:spacing w:after="0"/>
        <w:tabs>
          <w:tab w:leader="none" w:pos="260" w:val="left"/>
        </w:tabs>
        <w:numPr>
          <w:ilvl w:val="0"/>
          <w:numId w:val="23"/>
        </w:numPr>
        <w:rPr>
          <w:rFonts w:ascii="Arial" w:cs="Arial" w:eastAsia="Arial" w:hAnsi="Arial"/>
          <w:sz w:val="14"/>
          <w:szCs w:val="14"/>
          <w:color w:val="131E29"/>
        </w:rPr>
      </w:pPr>
      <w:r>
        <w:rPr>
          <w:rFonts w:ascii="Arial" w:cs="Arial" w:eastAsia="Arial" w:hAnsi="Arial"/>
          <w:sz w:val="14"/>
          <w:szCs w:val="14"/>
          <w:color w:val="131E29"/>
        </w:rPr>
        <w:t>identify available and suitable sites, specifically for drive-thru locations;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23"/>
        </w:numPr>
        <w:rPr>
          <w:rFonts w:ascii="Arial" w:cs="Arial" w:eastAsia="Arial" w:hAnsi="Arial"/>
          <w:sz w:val="14"/>
          <w:szCs w:val="14"/>
          <w:color w:val="131E29"/>
        </w:rPr>
      </w:pPr>
      <w:r>
        <w:rPr>
          <w:rFonts w:ascii="Arial" w:cs="Arial" w:eastAsia="Arial" w:hAnsi="Arial"/>
          <w:sz w:val="14"/>
          <w:szCs w:val="14"/>
          <w:color w:val="131E29"/>
        </w:rPr>
        <w:t>compete for such sites;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23"/>
        </w:numPr>
        <w:rPr>
          <w:rFonts w:ascii="Arial" w:cs="Arial" w:eastAsia="Arial" w:hAnsi="Arial"/>
          <w:sz w:val="14"/>
          <w:szCs w:val="14"/>
          <w:color w:val="131E29"/>
        </w:rPr>
      </w:pPr>
      <w:r>
        <w:rPr>
          <w:rFonts w:ascii="Arial" w:cs="Arial" w:eastAsia="Arial" w:hAnsi="Arial"/>
          <w:sz w:val="14"/>
          <w:szCs w:val="14"/>
          <w:color w:val="131E29"/>
        </w:rPr>
        <w:t>reach acceptable agreements regarding the lease of locations;</w:t>
      </w:r>
    </w:p>
    <w:p>
      <w:pPr>
        <w:spacing w:after="0" w:line="136" w:lineRule="exact"/>
        <w:rPr>
          <w:rFonts w:ascii="Arial" w:cs="Arial" w:eastAsia="Arial" w:hAnsi="Arial"/>
          <w:sz w:val="14"/>
          <w:szCs w:val="14"/>
          <w:color w:val="131E29"/>
        </w:rPr>
      </w:pPr>
    </w:p>
    <w:p>
      <w:pPr>
        <w:ind w:left="260" w:hanging="255"/>
        <w:spacing w:after="0" w:line="266" w:lineRule="auto"/>
        <w:tabs>
          <w:tab w:leader="none" w:pos="256" w:val="left"/>
        </w:tabs>
        <w:numPr>
          <w:ilvl w:val="0"/>
          <w:numId w:val="23"/>
        </w:numPr>
        <w:rPr>
          <w:rFonts w:ascii="Arial" w:cs="Arial" w:eastAsia="Arial" w:hAnsi="Arial"/>
          <w:sz w:val="14"/>
          <w:szCs w:val="14"/>
          <w:color w:val="131E29"/>
        </w:rPr>
      </w:pPr>
      <w:r>
        <w:rPr>
          <w:rFonts w:ascii="Arial" w:cs="Arial" w:eastAsia="Arial" w:hAnsi="Arial"/>
          <w:sz w:val="14"/>
          <w:szCs w:val="14"/>
          <w:color w:val="131E29"/>
        </w:rPr>
        <w:t>obtain or have available the financing required to acquire and operate a shop, including construction and opening costs, which includes access to build-to-suit leases and ground lease construction arrangements;</w:t>
      </w:r>
    </w:p>
    <w:p>
      <w:pPr>
        <w:spacing w:after="0" w:line="109" w:lineRule="exact"/>
        <w:rPr>
          <w:rFonts w:ascii="Arial" w:cs="Arial" w:eastAsia="Arial" w:hAnsi="Arial"/>
          <w:sz w:val="14"/>
          <w:szCs w:val="14"/>
          <w:color w:val="131E29"/>
        </w:rPr>
      </w:pPr>
    </w:p>
    <w:p>
      <w:pPr>
        <w:ind w:left="260" w:hanging="255"/>
        <w:spacing w:after="0"/>
        <w:tabs>
          <w:tab w:leader="none" w:pos="260" w:val="left"/>
        </w:tabs>
        <w:numPr>
          <w:ilvl w:val="0"/>
          <w:numId w:val="23"/>
        </w:numPr>
        <w:rPr>
          <w:rFonts w:ascii="Arial" w:cs="Arial" w:eastAsia="Arial" w:hAnsi="Arial"/>
          <w:sz w:val="14"/>
          <w:szCs w:val="14"/>
          <w:color w:val="131E29"/>
        </w:rPr>
      </w:pPr>
      <w:r>
        <w:rPr>
          <w:rFonts w:ascii="Arial" w:cs="Arial" w:eastAsia="Arial" w:hAnsi="Arial"/>
          <w:sz w:val="14"/>
          <w:szCs w:val="14"/>
          <w:color w:val="131E29"/>
        </w:rPr>
        <w:t>respond to unforeseen engineering or environmental problems with leased premises;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23"/>
        </w:numPr>
        <w:rPr>
          <w:rFonts w:ascii="Arial" w:cs="Arial" w:eastAsia="Arial" w:hAnsi="Arial"/>
          <w:sz w:val="14"/>
          <w:szCs w:val="14"/>
          <w:color w:val="131E29"/>
        </w:rPr>
      </w:pPr>
      <w:r>
        <w:rPr>
          <w:rFonts w:ascii="Arial" w:cs="Arial" w:eastAsia="Arial" w:hAnsi="Arial"/>
          <w:sz w:val="14"/>
          <w:szCs w:val="14"/>
          <w:color w:val="131E29"/>
        </w:rPr>
        <w:t>avoid the impact of inclement weather, natural disasters, and other calamities;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23"/>
        </w:numPr>
        <w:rPr>
          <w:rFonts w:ascii="Arial" w:cs="Arial" w:eastAsia="Arial" w:hAnsi="Arial"/>
          <w:sz w:val="14"/>
          <w:szCs w:val="14"/>
          <w:color w:val="131E29"/>
        </w:rPr>
      </w:pPr>
      <w:r>
        <w:rPr>
          <w:rFonts w:ascii="Arial" w:cs="Arial" w:eastAsia="Arial" w:hAnsi="Arial"/>
          <w:sz w:val="14"/>
          <w:szCs w:val="14"/>
          <w:color w:val="131E29"/>
        </w:rPr>
        <w:t>hire, train and retain the skilled management and other employees necessary to meet staffing needs;</w:t>
      </w:r>
    </w:p>
    <w:p>
      <w:pPr>
        <w:spacing w:after="0" w:line="136" w:lineRule="exact"/>
        <w:rPr>
          <w:rFonts w:ascii="Arial" w:cs="Arial" w:eastAsia="Arial" w:hAnsi="Arial"/>
          <w:sz w:val="14"/>
          <w:szCs w:val="14"/>
          <w:color w:val="131E29"/>
        </w:rPr>
      </w:pPr>
    </w:p>
    <w:p>
      <w:pPr>
        <w:ind w:left="260" w:hanging="255"/>
        <w:spacing w:after="0" w:line="266" w:lineRule="auto"/>
        <w:tabs>
          <w:tab w:leader="none" w:pos="256" w:val="left"/>
        </w:tabs>
        <w:numPr>
          <w:ilvl w:val="0"/>
          <w:numId w:val="23"/>
        </w:numPr>
        <w:rPr>
          <w:rFonts w:ascii="Arial" w:cs="Arial" w:eastAsia="Arial" w:hAnsi="Arial"/>
          <w:sz w:val="14"/>
          <w:szCs w:val="14"/>
          <w:color w:val="131E29"/>
        </w:rPr>
      </w:pPr>
      <w:r>
        <w:rPr>
          <w:rFonts w:ascii="Arial" w:cs="Arial" w:eastAsia="Arial" w:hAnsi="Arial"/>
          <w:sz w:val="14"/>
          <w:szCs w:val="14"/>
          <w:color w:val="131E29"/>
        </w:rPr>
        <w:t>obtain, in a timely manner and for an acceptable cost, required licenses, permits, and regulatory approvals and respond effectively to any changes in local, state, or federal law and regulations, such as regulatory bans on new drive-thru businesses, that adversely affect our and our franchise partners’ costs or ability to open new shops; and</w:t>
      </w:r>
    </w:p>
    <w:p>
      <w:pPr>
        <w:spacing w:after="0" w:line="109" w:lineRule="exact"/>
        <w:rPr>
          <w:rFonts w:ascii="Arial" w:cs="Arial" w:eastAsia="Arial" w:hAnsi="Arial"/>
          <w:sz w:val="14"/>
          <w:szCs w:val="14"/>
          <w:color w:val="131E29"/>
        </w:rPr>
      </w:pPr>
    </w:p>
    <w:p>
      <w:pPr>
        <w:ind w:left="260" w:hanging="255"/>
        <w:spacing w:after="0" w:line="253" w:lineRule="auto"/>
        <w:tabs>
          <w:tab w:leader="none" w:pos="256" w:val="left"/>
        </w:tabs>
        <w:numPr>
          <w:ilvl w:val="0"/>
          <w:numId w:val="23"/>
        </w:numPr>
        <w:rPr>
          <w:rFonts w:ascii="Arial" w:cs="Arial" w:eastAsia="Arial" w:hAnsi="Arial"/>
          <w:sz w:val="14"/>
          <w:szCs w:val="14"/>
          <w:color w:val="131E29"/>
        </w:rPr>
      </w:pPr>
      <w:r>
        <w:rPr>
          <w:rFonts w:ascii="Arial" w:cs="Arial" w:eastAsia="Arial" w:hAnsi="Arial"/>
          <w:sz w:val="14"/>
          <w:szCs w:val="14"/>
          <w:color w:val="131E29"/>
        </w:rPr>
        <w:t>control construction and equipment cost increases for new shops and secure the services of qualified contractors and subcontractors in an increasingly competitive environment.</w:t>
      </w:r>
    </w:p>
    <w:p>
      <w:pPr>
        <w:spacing w:after="0" w:line="29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There is no guarantee that a sufficient number of suitable sites for shops will be available in desirable areas or on terms that are acceptable to us in order to achieve our growth plan. If we are unable to open new shops, or if existing franchise partners do not open new shops, or if shop openings are significantly delayed, our revenue or earnings growth could be adversely affected and our business may be harmed.</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As part of our longer term growth strategy, we expect to enter into geographic markets in which we have little or no prior operating experience. The challenges of entering new markets include: adapting to local regulations or restrictions that may limit our ability to open new shops, restrictions on the use of certain branding, or increases in the cost of development; difficulties in hiring qualified personnel; unfamiliarity with local real estate markets and demographics; consumer unfamiliarity with our brand; and different competitive and economic conditions, consumer tastes, and discretionary spending patterns that are more difficult to predict or satisfy than in our existing markets. Consumer recognition of our brand has been important in the success of our shops in our existing markets, and we will need to build this recognition in new markets. Shops we open in new markets may take longer to reach expected sales and profit levels on a consistent basis and may have higher construction, occupancy, and operating costs than existing shops, thereby affecting our overall profitability. Any failure on our part to recognize or respond to these challenges may adversely affect the success of any new shops.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23" w:name="page24"/>
    <w:bookmarkEnd w:id="23"/>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006098"/>
        </w:rPr>
        <w:t>New shops, once opened, may not be profitable or may close, and the increases in average per shop revenue and comparable sales that we have experienced in the past may not be indicative of future results.</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131E29"/>
        </w:rPr>
        <w:t>We plan to open additional company-operated Dutch Bros shops in markets, including in markets where we have little or no operating experience. The target customer base of our shops varies by location, depending on a number of factors, including population density, other local coffee and convenience beverage distributors, area demographics, and geography. Our results have been, and in the future may continue to be, significantly impacted by the timing of new shop openings, which is subject to a number of factors, many of which are outside of our control, including landlord delays, delays due to scarcity of construction labor, associated pre-opening costs, and operating inefficiencies, as well as changes in our geographic concentration due to the opening of new shops. We have typically incurred the most significant portion of pre-opening expenses associated with a given shop within the three months preceding the opening of the shop. Our experience has been that labor and operating costs associated with a newly opened shop for the first several months of operation are materially greater than what can be expected after that time, both in aggregate dollars and as a percentage of sales. Our new shops commonly take three months or more to reach planned operating levels due to inefficiencies typically associated with new shops, including the training of new personnel, new market learning curves, inability to hire sufficient qualified staff, and other factors. We may incur additional costs in new markets, particularly for transportation and distribution, which may impact sales and the profitability of those shops. Accordingly, the volume and timing of new shop openings may have a material adverse impact on our profitability.</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Some of Dutch Bros’ shops open with an initial start-up period of higher than normal sales volumes and related costs, which subsequently decrease to stabilized levels. In new markets, the length of time before average sales for new shops stabilize is less predictable and can be longer as a result of our limited knowledge of these markets and consumers’ limited awareness of our brand. In addition, our AUV and comparable sales may not increase at the rates achieved over the past several years. Our ability to operate new shops profitably and increase average shop revenue and comparable shop sales will depend on many factors, some of which are beyond our control, including:</w:t>
      </w:r>
    </w:p>
    <w:p>
      <w:pPr>
        <w:spacing w:after="0" w:line="117" w:lineRule="exact"/>
        <w:rPr>
          <w:sz w:val="20"/>
          <w:szCs w:val="20"/>
          <w:color w:val="auto"/>
        </w:rPr>
      </w:pPr>
    </w:p>
    <w:p>
      <w:pPr>
        <w:ind w:left="260" w:hanging="255"/>
        <w:spacing w:after="0"/>
        <w:tabs>
          <w:tab w:leader="none" w:pos="260" w:val="left"/>
        </w:tabs>
        <w:numPr>
          <w:ilvl w:val="0"/>
          <w:numId w:val="24"/>
        </w:numPr>
        <w:rPr>
          <w:rFonts w:ascii="Arial" w:cs="Arial" w:eastAsia="Arial" w:hAnsi="Arial"/>
          <w:sz w:val="14"/>
          <w:szCs w:val="14"/>
          <w:color w:val="131E29"/>
        </w:rPr>
      </w:pPr>
      <w:r>
        <w:rPr>
          <w:rFonts w:ascii="Arial" w:cs="Arial" w:eastAsia="Arial" w:hAnsi="Arial"/>
          <w:sz w:val="14"/>
          <w:szCs w:val="14"/>
          <w:color w:val="131E29"/>
        </w:rPr>
        <w:t>consumer awareness and understanding of the Dutch Bros brand;</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24"/>
        </w:numPr>
        <w:rPr>
          <w:rFonts w:ascii="Arial" w:cs="Arial" w:eastAsia="Arial" w:hAnsi="Arial"/>
          <w:sz w:val="14"/>
          <w:szCs w:val="14"/>
          <w:color w:val="131E29"/>
        </w:rPr>
      </w:pPr>
      <w:r>
        <w:rPr>
          <w:rFonts w:ascii="Arial" w:cs="Arial" w:eastAsia="Arial" w:hAnsi="Arial"/>
          <w:sz w:val="14"/>
          <w:szCs w:val="14"/>
          <w:color w:val="131E29"/>
        </w:rPr>
        <w:t>general economic conditions, such as inflation, which can affect shop traffic, local labor costs, and prices we pay for the beverage and other supplies we use;</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24"/>
        </w:numPr>
        <w:rPr>
          <w:rFonts w:ascii="Arial" w:cs="Arial" w:eastAsia="Arial" w:hAnsi="Arial"/>
          <w:sz w:val="14"/>
          <w:szCs w:val="14"/>
          <w:color w:val="131E29"/>
        </w:rPr>
      </w:pPr>
      <w:r>
        <w:rPr>
          <w:rFonts w:ascii="Arial" w:cs="Arial" w:eastAsia="Arial" w:hAnsi="Arial"/>
          <w:sz w:val="14"/>
          <w:szCs w:val="14"/>
          <w:color w:val="131E29"/>
        </w:rPr>
        <w:t>consumption patterns and beverage preferences that differ from region to region;</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24"/>
        </w:numPr>
        <w:rPr>
          <w:rFonts w:ascii="Arial" w:cs="Arial" w:eastAsia="Arial" w:hAnsi="Arial"/>
          <w:sz w:val="14"/>
          <w:szCs w:val="14"/>
          <w:color w:val="131E29"/>
        </w:rPr>
      </w:pPr>
      <w:r>
        <w:rPr>
          <w:rFonts w:ascii="Arial" w:cs="Arial" w:eastAsia="Arial" w:hAnsi="Arial"/>
          <w:sz w:val="14"/>
          <w:szCs w:val="14"/>
          <w:color w:val="131E29"/>
        </w:rPr>
        <w:t>changes in consumer preferences and discretionary spending;</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24"/>
        </w:numPr>
        <w:rPr>
          <w:rFonts w:ascii="Arial" w:cs="Arial" w:eastAsia="Arial" w:hAnsi="Arial"/>
          <w:sz w:val="14"/>
          <w:szCs w:val="14"/>
          <w:color w:val="131E29"/>
        </w:rPr>
      </w:pPr>
      <w:r>
        <w:rPr>
          <w:rFonts w:ascii="Arial" w:cs="Arial" w:eastAsia="Arial" w:hAnsi="Arial"/>
          <w:sz w:val="14"/>
          <w:szCs w:val="14"/>
          <w:color w:val="131E29"/>
        </w:rPr>
        <w:t>difficulties obtaining or maintaining adequate relationships with distributors or suppliers in new markets;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24"/>
        </w:numPr>
        <w:rPr>
          <w:rFonts w:ascii="Arial" w:cs="Arial" w:eastAsia="Arial" w:hAnsi="Arial"/>
          <w:sz w:val="14"/>
          <w:szCs w:val="14"/>
          <w:color w:val="131E29"/>
        </w:rPr>
      </w:pPr>
      <w:r>
        <w:rPr>
          <w:rFonts w:ascii="Arial" w:cs="Arial" w:eastAsia="Arial" w:hAnsi="Arial"/>
          <w:sz w:val="14"/>
          <w:szCs w:val="14"/>
          <w:color w:val="131E29"/>
        </w:rPr>
        <w:t>increases in prices for commodities, including coffee, milk and flavored syrups;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24"/>
        </w:numPr>
        <w:rPr>
          <w:rFonts w:ascii="Arial" w:cs="Arial" w:eastAsia="Arial" w:hAnsi="Arial"/>
          <w:sz w:val="14"/>
          <w:szCs w:val="14"/>
          <w:color w:val="131E29"/>
        </w:rPr>
      </w:pPr>
      <w:r>
        <w:rPr>
          <w:rFonts w:ascii="Arial" w:cs="Arial" w:eastAsia="Arial" w:hAnsi="Arial"/>
          <w:sz w:val="14"/>
          <w:szCs w:val="14"/>
          <w:color w:val="131E29"/>
        </w:rPr>
        <w:t>inefficiency in our labor costs as the staff gains experience;</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24"/>
        </w:numPr>
        <w:rPr>
          <w:rFonts w:ascii="Arial" w:cs="Arial" w:eastAsia="Arial" w:hAnsi="Arial"/>
          <w:sz w:val="14"/>
          <w:szCs w:val="14"/>
          <w:color w:val="131E29"/>
        </w:rPr>
      </w:pPr>
      <w:r>
        <w:rPr>
          <w:rFonts w:ascii="Arial" w:cs="Arial" w:eastAsia="Arial" w:hAnsi="Arial"/>
          <w:sz w:val="14"/>
          <w:szCs w:val="14"/>
          <w:color w:val="131E29"/>
        </w:rPr>
        <w:t>competition, either from our competitors in the food service and restaurant industry or our own shops;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24"/>
        </w:numPr>
        <w:rPr>
          <w:rFonts w:ascii="Arial" w:cs="Arial" w:eastAsia="Arial" w:hAnsi="Arial"/>
          <w:sz w:val="14"/>
          <w:szCs w:val="14"/>
          <w:color w:val="131E29"/>
        </w:rPr>
      </w:pPr>
      <w:r>
        <w:rPr>
          <w:rFonts w:ascii="Arial" w:cs="Arial" w:eastAsia="Arial" w:hAnsi="Arial"/>
          <w:sz w:val="14"/>
          <w:szCs w:val="14"/>
          <w:color w:val="131E29"/>
        </w:rPr>
        <w:t>temporary and permanent site characteristics of new shops;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24"/>
        </w:numPr>
        <w:rPr>
          <w:rFonts w:ascii="Arial" w:cs="Arial" w:eastAsia="Arial" w:hAnsi="Arial"/>
          <w:sz w:val="14"/>
          <w:szCs w:val="14"/>
          <w:color w:val="131E29"/>
        </w:rPr>
      </w:pPr>
      <w:r>
        <w:rPr>
          <w:rFonts w:ascii="Arial" w:cs="Arial" w:eastAsia="Arial" w:hAnsi="Arial"/>
          <w:sz w:val="14"/>
          <w:szCs w:val="14"/>
          <w:color w:val="131E29"/>
        </w:rPr>
        <w:t>changes in government regulation;</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24"/>
        </w:numPr>
        <w:rPr>
          <w:rFonts w:ascii="Arial" w:cs="Arial" w:eastAsia="Arial" w:hAnsi="Arial"/>
          <w:sz w:val="14"/>
          <w:szCs w:val="14"/>
          <w:color w:val="131E29"/>
        </w:rPr>
      </w:pPr>
      <w:r>
        <w:rPr>
          <w:rFonts w:ascii="Arial" w:cs="Arial" w:eastAsia="Arial" w:hAnsi="Arial"/>
          <w:sz w:val="14"/>
          <w:szCs w:val="14"/>
          <w:color w:val="131E29"/>
        </w:rPr>
        <w:t>our ability to hire, motivate, and retain qualified employees who share our values; and</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24"/>
        </w:numPr>
        <w:rPr>
          <w:rFonts w:ascii="Arial" w:cs="Arial" w:eastAsia="Arial" w:hAnsi="Arial"/>
          <w:sz w:val="14"/>
          <w:szCs w:val="14"/>
          <w:color w:val="131E29"/>
        </w:rPr>
      </w:pPr>
      <w:r>
        <w:rPr>
          <w:rFonts w:ascii="Arial" w:cs="Arial" w:eastAsia="Arial" w:hAnsi="Arial"/>
          <w:sz w:val="14"/>
          <w:szCs w:val="14"/>
          <w:color w:val="131E29"/>
        </w:rPr>
        <w:t>other unanticipated increases in costs, including costs of construction materials and trade labor, any of which could give rise to delays or cost overruns.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24" w:name="page25"/>
    <w:bookmarkEnd w:id="24"/>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If our new shops do not perform as planned or close, our business and future prospects could be harmed. In addition, an inability to achieve our expected average shop revenue could harm our business.</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Additionally, opening new shops in existing markets may negatively impact sales at our, and our franchise partners’, existing shops, even if it increases overall AUV in a region. The consumer target area of our shops varies by location, depending on a number of factors, including population density, other local retail and business attractions, area demographics, and geography. Our core business strategy anticipates achieving an ideal AUV through multiple mid-volume shops in a single region to infill and reduce the number of high-volume shops in order to provide continued efficient service. However, existing shops could also make it more difficult to build our and our franchise partners’ consumer base for a new shop in the same market. Sales transfer between our shops may become significant in the future as we continue to expand our operations and could affect our sales growth, which could, in turn, harm our business.</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As we expand, we may not be able to maintain our current average shop sales and our business may be harmed. Although we target specified operating and financial metrics, new shops may never meet these targets or may take longer than anticipated to do so. Any new shop we open may never become profitable or achieve operating results similar to those of our existing shops, which could adversely affect our business, financial condition, or 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Our failure to manage our growth effectively could harm our business and operating results.</w:t>
      </w:r>
    </w:p>
    <w:p>
      <w:pPr>
        <w:spacing w:after="0" w:line="15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We have experienced rapid growth. The growth and expansion of our business may place a significant strain on our management, operational, and financial resources. As we expand our business, it is important that we continue to maintain a high level of customer service and satisfaction which may place a significant strain on our management, sales and marketing, administrative, financial, and other resources. We may not be able to respond in a timely basis to all the changing demands that our planned expansion will impose on management and on our existing infrastructure, or be able to hire or retain the necessary management and broistas, which could harm our business. Further, if we are not able to continue to provide high quality customer service as a result of these demands, our reputation, as well as our business, could be harmed, including by a decline in financial performance. If we experience a decline in financial performance, we may decrease the number of or discontinue new Dutch Bros shop openings, or we may decide to close shops that we are unable to operate in a profitable manner.</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We are required to manage multiple relationships with various strategic partners, our franchise partners, customers, and other third parties. In the event of further growth of our operations or in the number of our third-party relationships, our existing management systems, financial and management controls and information systems may not be adequate to support our planned expansion and we may face challenges of integrating, developing, training, and motivating a rapidly growing employee base in our various shops and maintaining our company culture across multiple offices and shops. Our ability to manage our growth effectively will require us to continue to enhance our systems, procedures and controls and to locate, hire, train and retain management and broistas, particularly in new markets which may require significant capital expenditures.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Damage to our brand or reputation or negative publicity could negatively impact our business.</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Our reputation and the quality of our Dutch Bros brand are critical to our business and success in existing markets and will be critical to our success as we enter new markets. We believe that we have built our reputation on the high quality of our hand-crafted beverages and service, our commitment to our customers and our strong employee culture, and we must protect and grow the value of our brand in order for us to continue to be successful. Any incident that erodes consumer loyalty for our brand could significantly reduce its value and damage our business.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We may, from time to time, be faced with negative publicity, regardless of its accuracy, relating to: beverage quality; pricing; the safety, sanitation and welfare of our shops; customer complaints or litigation alleging illness or injury; health inspection scores; integrity of our or our suppliers’ or franchise partners’ food processing, employment practices, and other policies, practices and procedures; or employee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25" w:name="page26"/>
    <w:bookmarkEnd w:id="25"/>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131E29"/>
        </w:rPr>
        <w:t>relationships and welfare; the appearance of our shops on third-party delivery platforms that may contain inaccurate menu pricing and extended delivery times; or other matters. Negative publicity may adversely affect us, regardless of whether the allegations are substantiated or whether we are determined to be responsible. In addition, the negative impact of adverse publicity relating to one shop may extend far beyond the shop involved, to affect some or all of our other shops, including our franchise partner shops. The risk of negative publicity is particularly great with respect to our franchise partner shops because we are limited in the manner in which we can regulate them, especially on a real-time basis, and negative publicity from our franchise partners’ shops may also significantly impact company-operated shops. A similar risk exists with respect to beverage businesses unrelated to us if customers mistakenly associate such unrelated businesses with our operations. Employee claims against us based on, among other things, wage and hour violations, discrimination, harassment or wrongful termination may also create not only legal and financial liability but also negative publicity that could adversely affect us and divert our financial and management resources that would otherwise be used to benefit the future performance of our operations. These types of employee claims could also be asserted against us, on a co-employer theory, by employees of our franchise partners. A significant increase in the number of these claims or an increase in the number of successful claims could harm our business.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Additionally, there has been a marked increase in the use of social media platforms and similar devices, including blogs, social media websites and other forms of internet-based communications that provide individuals with access to a broad audience of consumers and other interested persons. The availability of information on social media platforms is virtually immediate as is its impact. Many social media platforms immediately publish the content their subscribers and participants can post, often without filters or checks on accuracy of the content posted. The opportunity for dissemination of information, including inaccurate information, is seemingly limitless and readily available. Information concerning us may be posted on such platforms at any time. Information posted may be adverse to our interests or may be inaccurate, each of which may harm our performance, prospects, or business. The harm may be immediate without affording us an opportunity for redress or correction.</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131E29"/>
        </w:rPr>
        <w:t>Ultimately, the risks associated with any such negative publicity or incorrect information cannot be completely eliminated or mitigated and may harm our business.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Our inability to identify, recruit and retain qualified individuals for our shops could slow our growth and adversely impact our ability to operate.</w:t>
      </w:r>
    </w:p>
    <w:p>
      <w:pPr>
        <w:spacing w:after="0" w:line="152"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131E29"/>
        </w:rPr>
        <w:t>Our success also depends substantially on the contributions and abilities of our broistas on whom we rely to give customers a superior experience and elevate our brand. At Dutch Bros, it’s about having fun and giving customers our special brand of “Dutch Luv,” growing our people, and forming genuine relationships with our customers. Accordingly, our success depends in part upon our ability to attract, motivate, and retain a sufficient number of qualified operators, all of whom come from within our system, and broistas to meet the needs of our existing shops and to staff new shops. Some of our broistas advance to become operators and when they do, their prior positions need to be filled. We aim to hire warm, friendly, motivated, caring, self-aware, and intellectually curious individuals, who are excited and committed to championship performance, remarkable and enriching hospitality, embodying our culture and actively growing themselves and our brand. A sufficient number of qualified individuals to fill these positions and qualifications may be in short supply in some communities. Competition in these communities for qualified staff is high and may require us to pay higher wages and provide greater benefits, especially if there is improvement in regional or national economic conditions. We place a heavy emphasis on the qualification and training of our personnel and spend a significant amount of time and money on training our employees. Any inability to recruit and retain qualified individuals may result in higher turnover and increased labor costs, and could compromise the quality of our service, all of which could adversely affect our business. Any such inability could also delay the planned openings of new shops and could adversely impact our existing shops. Any such inability to retain or recruit qualified employees, increased costs of attracting qualified employees or delays in shop openings could harm our business.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26" w:name="page27"/>
    <w:bookmarkEnd w:id="26"/>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006098"/>
        </w:rPr>
        <w:t>We are subject to the risks associated with leasing space subject to long-term non-cancelable leases and, with respect to the real property that we own, owning real estate.</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131E29"/>
        </w:rPr>
        <w:t>Our leases generally have initial terms of 15 years with renewal options. Shop leases provide for a specified annual rent, typically at a fixed rate for the first five years, with incremental escalations thereafter, and which may contain Consumer Price Index increases and other escalators. Generally, our leases are “net” leases, which require us to pay all the cost of insurance, taxes, maintenance and utilities. We generally cannot terminate these leases without incurring substantial costs. Additional sites that we lease are likely to be subject to similar long-term non-cancelable leases. If an existing or future shop is not profitable, and we decide to close it, we may nonetheless be committed to perform our obligations under the applicable lease including, among other things, paying the base rent for the balance of the lease term. In addition, as each of our leases expires, we may fail to negotiate renewals, either on commercially acceptable terms or at all, which could cause us to close shops in desirable locations. Also, because we sometimes purchase real property for various shop locations, we're subject to all the risks generally associated with owning real estate, including changes in the investment climate for real estate, demographic trends and supply or demand for the use of the shops, which may result from competition from similar restaurants in the area as well as strict, joint and several liability for environmental contamination at or from the property, regardless of fault.</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Our operating results and growth strategies are closely tied to the success of our franchise partners and we have limited control with respect to their operations.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Additionally, our franchise partners’ interests may conflict or diverge with our interests in the future, which could have a negative impact on our business.</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As of December 31, 2022, approximately 41% of our shops were operated by Dutch Bros’ franchise partners and, because of this, we depend on the financial success and cooperation of our franchise partners for our success. Our franchise partners are independent business operators and are not our employees, and as such we have limited control over how our franchise partners run their businesses, and their inability to operate successfully could adversely affect our operating results.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We receive royalties, franchise fees, contributions to our marketing development fund, and other fees from our franchise partners. Additionally, we sell proprietary products to our franchise partners at a markup over our cost to produce. We have established operational standards and guidelines for our franchise partners; however, we have limited control over how our franchise partners’ businesses are run, including day to day operations. Even with these operation standards and guidelines, the quality of franchised Dutch Bros shops may be diminished by any number of factors beyond our control. Consequently, our franchise partners may not successfully operate shops in a manner consistent with our standards and requirements, such as quality, service and cleanliness, or may not hire and train qualified shop managers, broistas and other shop personnel or may not implement marketing programs and major initiatives such as shop remodels or equipment or technology upgrades, which may require financial investment. Even if such unsuccessful operations do not rise to the level of breaching the related franchise documents, they may be attributed by customers to our Dutch Bros brand and could have a negative impact on our business.</w:t>
      </w:r>
    </w:p>
    <w:p>
      <w:pPr>
        <w:spacing w:after="0" w:line="28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Our franchise partners may not be able to secure adequate financing to open or continue operating their Dutch Bros shops. If they incur too much debt or if economic or sales trends deteriorate such that they are unable to repay existing debt, our franchise partners could experience financial distress or even bankruptcy. If a significant number of our franchise partners become financially distressed, it could harm our operating results through reduced royalty revenue, marketing fees, and proprietary product sales, and the impact on our profitability could be greater than the percentage decrease in these revenue streams.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While we are responsible for ensuring the success of our entire system of shops and for taking a longer term view with respect to system improvements, our franchise partners have individual business strategies and objectives, which might conflict with our interests. Our franchise partners may from time to time disagree with us and our strategies and objectives regarding the business or our interpretation of our</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27" w:name="page28"/>
    <w:bookmarkEnd w:id="27"/>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respective rights and obligations under the franchise agreement and the terms and conditions of the franchise partner relationship. This may lead to disputes with our franchise partners and we expect such disputes to occur from time to time in the future as we continue to have franchises. Such disputes may result in legal action against us. To the extent we have such disputes, the attention, time and financial resources of our management and our franchise partners will be diverted from our shops, which could harm our business even if we have a successful outcome in the dispute.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Actions or omissions by our franchise partners in violation of various laws may be attributed to us or result in negative publicity that affects our overall brand image, which may decrease consumer demand for our products. Franchise partners may engage in online activity via social media or activity in their personal lives that negatively impacts public perception of our franchise partners, our operations or our brand as a whole. This activity may negatively affect franchise partners’ sales and in turn impact our revenue.</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In addition, various state and federal laws govern our relationship with our franchise partners and our potential sale of a franchise. A franchise partner and/or a government agency may bring legal action against us based on the franchisee/franchisor relationships that could result in the award of damages to franchise partners and/or the imposition of fines or other penalties against us.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Our shops are geographically concentrated in the Western United States, and we could be negatively affected by conditions specific to that region.</w:t>
      </w:r>
    </w:p>
    <w:p>
      <w:pPr>
        <w:spacing w:after="0" w:line="152"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131E29"/>
        </w:rPr>
        <w:t>As of December 31, 2022, our company-operated and franchised shops in the Western United States represent approximately 80% of our total shops. Adverse changes in demographic, unemployment, economic, regulatory or weather conditions in the Western United States, including recent significant increases in gas prices, have harmed, and may continue to harm, our business. As a result of our concentration in this market, we have been, and in the future may be, disproportionately affected by these adverse conditions compared to other chain beverage shops with a national footprint. For example, in recent years, wildfires spread across most western states causing poor air quality which reduced consumers’ willingness to venture outside their homes and reduced our AUVs, and any future wildfires may have a similar impact. If we experience wildfires, such wildfires may also damage shops and the communities in which they operate which could decrease demand for our products. For example, in 2018 a wildfire partially destroyed the town of Surprise, California and damaged one of our shops. In addition to rebuilding costs, prolonged economic recovery within affected communities may have a negative impact on our results of operations. In addition, until our roasting facility in Texas is operational, our roasting operations are concentrated in this region and may experience closures or be subject to damage due to adverse weather conditions occurring in the Western United States. For example, in 2022 our roasting facility was temporarily under a “Level 1 - Be Ready” evacuation alert due to the Rum Creek Fire. Future wildfires may result in actual evacuations and closures, which would disrupt our operations and may harm our business.</w:t>
      </w:r>
    </w:p>
    <w:p>
      <w:pPr>
        <w:spacing w:after="0" w:line="10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006098"/>
        </w:rPr>
        <w:t>Interruption of our supply chain of coffee, flavored syrups or other ingredients, coffee machines and other restaurant equipment or packaging could affect our ability to produce or deliver our products and could negatively impact our business and profitability.</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Any material interruption in our supply chain, such as material interruption of the supply of coffee, flavored syrups, dairy, coffee machines, cans for our Dutch Bros. Blue Rebel energy drink, and other restaurant equipment or packaging, including any packaging for our for our proprietary products, for any reason, including: the casualty loss of our roasting facility; interruptions in service by our third-party logistic service providers or common carriers that ship goods within our distribution channels; trade restrictions, such as increased tariffs or quotas, embargoes or customs restrictions; pandemics; social or labor unrest; acts of terrorism; natural disasters; or political disputes and military conflicts could have a negative material impact on our business and our profitability. For example, in 2005, our roasting facility burned and our costs increased as we replaced these operations by purchasing coffee from other roasters and paying for contract roasting to cover for the shortage in our own supply, and in 2021, there were global delays in shipping due in part to the COVID-19 pandemic.</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28" w:name="page29"/>
    <w:bookmarkEnd w:id="28"/>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Additionally, most of our beverage and other products are sourced from a wide variety of domestic and international business partners and we rely on these suppliers to provide high quality products and to comply with applicable laws. For certain products, we may rely on one or very few suppliers, such as for our proprietary Dutch Bros. Blue Rebel energy drinks, where we rely on relationships with our co-packers, Portland Bottling Co. and Lieb Foods, LLC to blend, package, label, and warehouse these drinks. Sales of Dutch Bros. Blue Rebel accounted for approximately 26% of our systemwide net sales in the year ended December 31, 2022. Failures by our co-packers or any of our other suppliers or distributors to meet our standards, provide products in a timely and efficient manner, or comply with applicable laws is beyond our control. Failures by a supplier could have a direct negative impact that would harm our business by reducing our and our franchise partners’ sales, which would reduce income from direct sales and royalties.</w:t>
      </w:r>
    </w:p>
    <w:p>
      <w:pPr>
        <w:spacing w:after="0" w:line="12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We have experienced disruptions in our supply chain for certain products including cups, canning supplies, lids, espresso machines and restaurant equipment parts, and certain building materials and supplies. While we have, to this point, been able to find acceptable replacements or substitutes or prepurchase certain materials or items, this may not always be possible, especially if supply chains continue to suffer disruptions for extended periods of time. If we are unable to source critical or proprietary supplies, it will negatively affect or business and profitability. If we are unable to locate sufficient building or construction materials, we may not be able to achieve our stated growth objectives.</w:t>
      </w:r>
    </w:p>
    <w:p>
      <w:pPr>
        <w:spacing w:after="0" w:line="10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006098"/>
        </w:rPr>
        <w:t>Increases in the cost of high-quality arabica coffee beans, dairy or other commodities or decreases in the availability of high-quality arabica coffee beans, dairy or other commodities could have an adverse impact on our business and financial results.</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The availability and prices of coffee beans, dairy, and other commodities are subject to significant volatility. We purchase, roast, and sell high-quality whole bean arabica coffee beans and related coffee products. The high-quality arabica coffee of the quality we seek tends to trade on a negotiated basis at a premium above the “C” price. This premium depends upon the supply and demand at the time of purchase and the amount of the premium can vary significantly. Increases in the “C” coffee commodity price increase the price of high-quality arabica coffee and also impact our ability to enter into fixed-price purchase commitments. We frequently enter into supply contracts whereby the quality, quantity, delivery period, and other negotiated terms are agreed upon, but the date, and therefore price, at which the base “C” coffee commodity price component will be fixed has not yet been established.</w:t>
      </w:r>
    </w:p>
    <w:p>
      <w:pPr>
        <w:spacing w:after="0" w:line="287"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The supply and price of coffee we purchase can also be affected by multiple factors in the producing countries, such as weather (including the potential effects of climate change), natural disasters, crop disease, general increase in farm inputs and costs of production, inventory levels, political and economic conditions, and the actions of certain organizations and associations that have historically attempted to influence prices of green coffee through agreements establishing export quotas or by restricting coffee supplies. Speculative trading in coffee commodities can also influence coffee prices. The price of coffee continued to increase significantly during the year ended December 31, 2022. Because of the significance of coffee beans to our operations, combined with our ability to only partially mitigate future price risk through purchasing practices and hedging activities, increases in the cost of high-quality arabica coffee beans could have a material adverse impact on our profitability. In addition, if we are not able to purchase sufficient quantities of green coffee due to any of the above factors or to a worldwide or regional shortage, we may not be able to fulfill the demand for our coffee, which could have a material adverse impact on our profitability.</w:t>
      </w:r>
    </w:p>
    <w:p>
      <w:pPr>
        <w:spacing w:after="0" w:line="28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We also purchase significant amounts of dairy products, particularly milk, to support the needs of our shops. For example, the cost of dairy products continued to increase significantly during the year ended December 31, 2022, and we continue to see such increased costs. If these increased dairy costs are sustained or further increased, this could harm our business. Additionally, and although less significant to our operations than coffee or dairy, other commodities, including but not limited to plant-based “milks,” tea, sugar, syrups, energy and packaging material, such as plastics, corrugate, and canning materials,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29" w:name="page30"/>
    <w:bookmarkEnd w:id="29"/>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131E29"/>
        </w:rPr>
        <w:t>are important to our operations, and may be subject to increased costs, which could negatively impact our margins.</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Increases in the cost of other commodities, such as petroleum, may increase the cost of our packing materials, or lack of availability, whether due to supply shortages, delays or interruptions in processing, may impact consumer spending, or could otherwise harm our business. For example, during the year ended December 31, 2022, we believe fluctuating increases in gas prices negatively impacted consumer discretionary spending, particularly in the Western United States where such increases were relatively higher and where our shops are geographically concentrated.</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If we fail to offer high-quality customer experience, our business and reputation will suffer.</w:t>
      </w:r>
    </w:p>
    <w:p>
      <w:pPr>
        <w:spacing w:after="0" w:line="15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Numerous factors may impact a customer’s experience which may in turn impact the likelihood of such customer returning. Those factors include service, convenience, taste, price, quality, location of our shops, and brand image. In addition to providing high quality hand-crafted beverages, we empower our employees to provide an enhanced customer experience. Our broistas put customer needs first and we give them the flexibility required to build genuine, meaningful connections that keep our customers returning for more. From remembering our regulars by name and knowing their customary order, to having treats ready for the four-legged members of the family, or by offering a free drink to someone having a rough day—there is a hint of magic in the details of the Dutch Bros experience that leads to recurring, loyal customers. As we grow, it may be difficult for us to identify, recruit, train, and manage enough people with the right skills, talent, and attitude to provide this enhanced customer experience.</w:t>
      </w:r>
    </w:p>
    <w:p>
      <w:pPr>
        <w:spacing w:after="0" w:line="10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006098"/>
        </w:rPr>
        <w:t>If we fail to maintain adequate operational and financial resources, particularly if we continue to grow rapidly, we may be unable to execute our business plan or maintain high levels of service and customer satisfaction.</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Our continuous growth and expansion have placed, and may continue to place, significant demands on our management and our operational and financial resources and in connection therewith. Our organizational structure is becoming more complex as we scale our operational, financial, and management controls, as well as our reporting systems and procedures. As we continue to grow, we face challenges of integrating, developing, training, and motivating a rapidly growing employee base in our various shops and maintaining our company culture across multiple offices and shops, and within our hybrid remote and remote workforce. Certain members of our management have not previously worked together for an extended period of time, and some do not have prior experience managing a public company, which may affect how they manage our growth. If we fail to manage our anticipated growth and change in a manner that preserves the key aspects of our corporate culture, the quality of our beverages and services may suffer, which could negatively affect our brand and reputation and harm our ability to attract users, employees, and organizations.</w:t>
      </w:r>
    </w:p>
    <w:p>
      <w:pPr>
        <w:spacing w:after="0" w:line="11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To manage growth in our operations and personnel, we need to continue to grow and improve our operational, financial, and management controls and our reporting systems and procedures. We will require significant capital expenditures and the allocation of valuable management resources to grow and change in these areas. Our expansion has placed, and our expected future growth will continue to place, a significant strain on our management, customer experience, research and development, sales and marketing, administrative, financial, and other resources.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In addition, as we expand our business, it is important that we continue to maintain a high level of customer service and satisfaction. As our customer base continues to grow, we will need to expand our customer service and other personnel, which will require more complex management and systems. If we are not able to continue to provide high levels of customer service, our reputation, as well as our business could be harmed.</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We have a limited history of operating with a substantial remote workforce and the long-term impact on our financial results and business operations are uncertain.</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30" w:name="page31"/>
    <w:bookmarkEnd w:id="30"/>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We have an increasing number of employees who work fully remote or hybrid remote. Remote work has become the primary experience for a large number of our employees, and our intention is for our workforce to continue to have remote work opportunities into the future. However, we have a limited history of operating with a large remote workforce and the impact on our financial results and business operations remains uncertain, particularly in the near term. Additionally, there is no guarantee that we will realize any anticipated benefits to our business from our remote and hybrid remote workforce, such as any cost savings or operational efficiencies.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4"/>
          <w:szCs w:val="14"/>
          <w:color w:val="131E29"/>
        </w:rPr>
        <w:t>Our continuing support of a growing remote and hybrid workforce may make it increasingly difficult to manage our business and adequately oversee our employees and business functions, potentially resulting in harm to our company culture, increased employee attrition, the loss of key personnel, difficulty in properly classifying employees, and harm to the growth of our business. We may also experience an increased risk of privacy and data security breaches and incidents involving our information technology networks and systems and data processing. The mobility of our remote workers may also subject us to an increased risk of regulatory claims if our remote employees establish a nexus for our business in unanticipated jurisdictions. This could cause us to be subject to tax and employment claims in the applicable jurisdiction. Any of these factors could adversely affect our financial condition and operating results.</w:t>
      </w:r>
    </w:p>
    <w:p>
      <w:pPr>
        <w:spacing w:after="0" w:line="10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b w:val="1"/>
          <w:bCs w:val="1"/>
          <w:i w:val="1"/>
          <w:iCs w:val="1"/>
          <w:color w:val="006098"/>
        </w:rPr>
        <w:t>We are increasingly dependent on information technology and our ability to process data in order to operate and sell our products, and if we (or our vendors) are unable to protect against software and hardware vulnerabilities, service interruptions, data corruption, cyber-based attacks, ransomware, fraud, or security breaches, or if we fail to comply with our commitments and assurances regarding the privacy and security of such data, our operations could be disrupted, our ability to provide our products could be interrupted, our reputation may be harmed and we may be exposed to liability and loss of customers and business.</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We rely on information technology networks and systems and data processing: to market; to sell and deliver our products; to fulfill orders; to collect, receive, store, process, generate, use, transfer, disclose, make accessible, protect, secure, dispose of and share (Process or Processing) personal information, confidential or proprietary information, financial information and other sensitive information (collectively, Sensitive Information); to manage a variety of business processes and activities; for financial reporting purposes; to operate our business; to process orders; to accept payments using credit cards and debit cards; to accept payments using the Dutch Rewards mobile app; for legal and marketing purposes; and to comply with regulatory, legal and tax requirements.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Our (and those of the third parties upon which we rely) information technology networks and systems, and the Processing of Sensitive Information they perform, may be vulnerable to data security and privacy threats, cyber and otherwise. These threats are becoming increasingly difficult to detect and come from a variety of sources, including traditional computer “hackers,” threat actors, “hacktivists,” personnel (such as through theft or misuse), organized criminal threat actors, sophisticated nation states, and nation-state supported actors. Some threat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market, produce, sell, and distribute our products.</w:t>
      </w:r>
    </w:p>
    <w:p>
      <w:pPr>
        <w:spacing w:after="0" w:line="28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The risk of unauthorized circumvention of our security measures or those of our third parties on whom we rely has been heightened by advances in computer and software capabilities and the increasing sophistication of actors who employ complex techniques, including, without limitation, “phishing” or social engineering incidents, ransomware, extortion, account takeover attacks, personnel misconduct or error, denial or degradation of service attacks, malicious code (such as viruses or worms), supply-chain attacks, software bugs, adware, or malware. In particular, severe ransomware attacks are becoming increasingly prevalent and can lead to significant interruptions in our operations, loss of Sensitive Information and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31" w:name="page32"/>
    <w:bookmarkEnd w:id="31"/>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income, reputational harm, and diversion of funds. Extortion payments may alleviate the negative impact of a ransomware attack, but we may be unwilling or unable to make such payments due to, for example, applicable laws or regulations prohibiting such payments. We may also experience server malfunctions, software or hardware failures, telecommunications failures, or loss of data or other information technology assets. Further, security incidents experienced by other companies may also be leveraged against us. For example, credential stuffing attacks are becoming increasingly common and sophisticated actors can mask their attacks, making them increasingly difficult to identify and prevent.</w:t>
      </w:r>
    </w:p>
    <w:p>
      <w:pPr>
        <w:spacing w:after="0" w:line="28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Additionally, our remote workforce poses increased risks to our information technology network and systems and data, as more of our employees work remotely, utilizing network connections outside our premises or network, including working at home, while in transit, and in public locations.</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131E29"/>
        </w:rPr>
        <w:t>We rely upon third-party service providers and technologies to operate critical business systems to process Sensitive Information in a variety of contexts, including, without limitation, third-party payment processors, point of sale and order management systems, encryption and authentication technology, human resources systems including scheduling, payroll and compliance systems, internet service providers, enterprise resource planning and financial systems, document management and storage, employee email, our Dutch Rewards mobile app, and other functions.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Any of the previously identified or similar threats could cause a security incident or other interruption. A security incident or other interruption could result in unauthorized, unlawful, or accidental acquisition, modification, destruction, loss, alteration, encryption, disclosure of, or access to Sensitive Information or our information technology networks and systems (or those of the third parties upon which we rely).</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131E29"/>
        </w:rPr>
        <w:t>We may expend significant resources or modify our business activities to try to protect against such security incidents and/or fraud. Certain data privacy and security obligations may require us to implement and maintain specific security measures, industry-standard, or reasonable security measures to protect our information technology networks and systems and Sensitive Information. Despite our efforts to protect our information technology networks and systems, and our Processing of Sensitive Information, no security solution, strategy, or measures can address all possible security threats and/or fraud. While we take steps to detect and remediate vulnerabilities, our security measures (and those of the third parties upon which we rely) may not be adequate to prevent or detect service interruption, system failure data loss, fraud or theft, or other material adverse consequences because the threats and techniques used to exploit vulnerabilities change frequently and are often sophisticated in nature. Therefore, such vulnerabilities could be exploited but may not be detected until after a security incident has occurred and we may not be able to anticipate or to implement effective preventative and remedial measures against all vulnerabilities. These vulnerabilities pose material risks to our business. Furthermore, there may be delays in developing and deploying patches and other remedial measures to adequately address vulnerabilities, and taking such remedial steps could adversely impact or disrupt our operations. We expect similar issues to arise in the future as the Dutch Rewards mobile app is more widely adopted, and as we continue to expand the features and functionality of the Dutch Rewards mobile app.</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32" w:name="page33"/>
    <w:bookmarkEnd w:id="32"/>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Applicable data privacy and security obligations may require us to notify relevant stakeholders of security incidents including affected individuals, customers, and regulators. Such disclosures are costly, and the disclosure or the failure to comply with such requirements could lead to adverse consequences. If we or a third party upon whom we rely experience a security incident or are perceived to have experienced a security incident, we may experience adverse consequences, including reputational harm, costly litigation (including class action litigation), material contract breaches, liability, settlement costs, loss of sales, disruption in our ability (or that of third parties upon whom we rely) to process payments, regulatory scrutiny, actions or investigations, a loss of confidence in our business, systems and Processing of Sensitive Information, a diversion of management’s time and attention, and significant fines, penalties, assessments, fees and expenses.</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Additionally, the costs to respond to a security incident and/or to mitigate any security vulnerabilities that may be identified could be significant, and our efforts to address these problems may not be successful. These costs include, but are not limited to, retaining the services of cybersecurity providers; compliance costs arising out of existing and future cybersecurity, data protection and privacy laws and regulations; and costs related to maintaining redundant networks, data backups and other damage-mitigation measures. We could be required to fundamentally change our business activities and practices in response to a security incident or related regulatory actions or litigation, which could have an adverse effect on our business.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We may not have adequate insurance coverage for handling security incidents or breaches, including fines, judgments, settlements, penalties, costs, attorney fees and other impacts that arise out of incidents or breaches. If the impacts of a security incident or breach, or the successful assertion of one or more large claims against us that exceeds our available insurance coverage, or results in changes to our insurance policies (including premium increases or the imposition of large deductible or co-insurance requirements), it could harm our business. In addition, we cannot be sure that our existing insurance coverage will continue to be available on acceptable terms or that our insurers will not deny coverage as to all or part of any future claim or loss. Our contracts may not contain limitations of liability, and even where they do, there can be no assurance that limitations of liability in our contracts are sufficient to protect us from liabilities, damages, or claims related to our data privacy and security obligations. Moreover, our privacy risks are likely to increase as we continue to expand, grow our customer base, and process, store, and transmit increasingly large amounts of personal and/or Sensitive Information.</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Pandemics or disease outbreaks have had, and may continue to have, an effect on our business and results of operations.</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Pandemics or disease outbreaks such as the COVID-19 pandemic have impacted and are likely to continue to impact customer traffic at our Dutch Bros shops and may make it more difficult to staff our shops and, in more severe cases, may cause a temporary inability to obtain supplies and may increase commodity costs. The extent of the impact of pandemics or disease outbreaks, including the COVID-19 pandemic, on our business, operations, and development timelines and plans remains uncertain and will depend on future developments that cannot be predicted at this time. Such developments include the potential emergence of variants that may prove especially contagious, virulent, or vaccine-resistant.</w:t>
      </w:r>
    </w:p>
    <w:p>
      <w:pPr>
        <w:spacing w:after="0" w:line="28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Our operations have been and we expect will be disrupted when employees or employees of our franchise partners were suspected of having COVID-19 or other illnesses since this required us or our franchise partners to quarantine some or all such employees and close and disinfect our impacted shops. If a significant percentage of our workforce or the workforce of our franchise partners are unable to work, including because of illness or travel or government restrictions, like quarantine requirements, in connection with pandemics or disease outbreaks, our operations may be negatively impacted, potentially materially adversely affecting our business, liquidity,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33" w:name="page34"/>
    <w:bookmarkEnd w:id="33"/>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60"/>
        <w:spacing w:after="0" w:line="255" w:lineRule="auto"/>
        <w:rPr>
          <w:sz w:val="20"/>
          <w:szCs w:val="20"/>
          <w:color w:val="auto"/>
        </w:rPr>
      </w:pPr>
      <w:r>
        <w:rPr>
          <w:rFonts w:ascii="Arial" w:cs="Arial" w:eastAsia="Arial" w:hAnsi="Arial"/>
          <w:sz w:val="14"/>
          <w:szCs w:val="14"/>
          <w:color w:val="131E29"/>
        </w:rPr>
        <w:t>Our success is heavily reliant on our franchise partners and the COVID-19 pandemic has caused and may continue to cause financial distress for certain franchise partners that have been or will be impacted. As a result of this distress, our franchise partners may not be able to meet their financial obligations as they come due, including the payment of royalties, rent, or other amounts due to us. For example, in the past, this has led to write-offs of amounts we had due from our franchise partners beyond amounts we have reserved, as well as decreased future collections from franchise partners. Franchise partners’ financial distress has also led to, and may continue to lead to, permanent shop closures and delayed or reduced new franchise partner development which would further harm our results and liquidity going forward. Further, in some cases, we are contingently liable for franchise partner lease obligations, and a failure by a franchise partner to perform its obligations under such lease could result in direct payment obligations for us.</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The ultimate impact of the COVID-19 pandemic or a similar health epidemic on our business, operations, or the global economy as a whole remains highly uncertain. While we have developed and continue to develop plans to help mitigate the potential negative impact of the COVID-19 pandemic, these efforts may not be effective, and any protracted economic downturn will likely limit the effectiveness of our efforts. Accordingly, it is not possible for us to predict the duration and extent to which this will affect our business at this time. There is no guarantee that a future outbreak of this or any other widespread epidemics will not occur, or that the global economy will recover, either of which could seriously harm our business.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Unstable market and economic conditions may have serious adverse consequences on our business and financial condition.</w:t>
      </w:r>
    </w:p>
    <w:p>
      <w:pPr>
        <w:spacing w:after="0" w:line="152"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131E29"/>
        </w:rPr>
        <w:t>The global credit and financial markets have experienced extreme volatility and disruptions (including as a result of the COVID-19 pandemic and actual or perceived changes in interest rates and economic inflation), which has included severely diminished liquidity and credit availability, declines in consumer confidence, prolonged weak consumer demand, a decrease in consumer discretionary spending, declines in economic growth, high inflation, uncertainty about economic stability, and increases in unemployment rates. The financial markets and the global economy may also be adversely affected by the current or anticipated impact of military conflict, including the war between Russia and Ukraine, terrorism, or other geopolitical events. Sanctions imposed by the United States and other countries in response to such conflicts, including the war in Ukraine, may also continue to adversely impact the financial markets and the global economy, and any economic countermeasures by the affected countries or others could exacerbate market and economic instability.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including disruption to customer demand and our ability to purchase necessary supplies on acceptable terms, if at all.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growth plans. In addition, there is a risk that one or more of our current suppliers, manufacturers, or other partners may not survive an economic downturn, which could directly affect our ability to attain our operating goals on schedule and on budget.</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Risks Related to Our Brand</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Our success depends substantially on the value of our brand and failure to preserve its value could have a negative impact on our financial results.</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Our success depends in large part upon our and our franchise partners’ ability to maintain and enhance our corporate reputation and the value and perception of our brand. Brand value is based in part on consumer perceptions on a variety of subjective qualities. To be successful in the future, particularly outside of the Western United States where the Dutch Bros brand may be less well-known, we believe we must preserve, grow, and leverage the value of our brand across interactions.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34" w:name="page35"/>
    <w:bookmarkEnd w:id="34"/>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131E29"/>
        </w:rPr>
        <w:t>Business incidents, whether isolated or recurring and whether originating from us or our business partners, that erode consumer trust can significantly reduce brand value, potentially trigger boycotts of our shops, or result in civil or criminal liability and can have a negative impact on our financial results. Such incidents include actual or perceived breaches of privacy, contaminated products, broistas infected with communicable diseases, such as COVID-19, or other potential incidents discussed in this Risk Factors section. The impact of such incidents may be exacerbated if they receive considerable publicity, including rapidly through social or digital media (including for malicious reasons), or result in litigation. Consumer demand for our products and our brand equity could diminish significantly if we, our employees, franchise partners, or other business partners fail to preserve the quality of our products, act or are perceived to act in an unethical, illegal, racially-biased, unequal or socially irresponsible manner, including with respect to the sourcing, content or sale of our products, service and treatment of customers at Dutch Bros shops, or the use of customer data for general or direct marketing or other purposes. Additionally, if we fail to comply with laws and regulations, publicly take controversial positions or actions or fail to deliver a consistently positive consumer experience in each of our markets, including by failing to invest in the right balance of wages and benefits to attract and retain employees that represent the brand well or foster an inclusive and diverse environment, our brand value may be diminished.</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131E29"/>
        </w:rPr>
        <w:t>Moreover, our success depends in large part upon our ability to maintain our corporate reputation. For example, the reputation of our Dutch Bros brand could be damaged by claims or perceptions about the quality or safety of our ingredients or beverages or the quality or reputation of our suppliers, distributors or franchise partners or by claims or perceptions that we, our franchise partners or other business partners have acted or are acting in an unethical, illegal, racially-biased, or socially irresponsible manner or are not fostering an inclusive and diverse environment, regardless of whether such claims or perceptions are substantiated. Our corporate reputation could also suffer from negative publicity or consumer sentiment regarding Dutch Bros action or inaction or brand imagery, or a real or perceived failure of corporate governance or misconduct by any officer or any employee or representative of us or a franchise partner. Any such incidents (even if resulting from actions of a competitor or franchise partner) could cause a decline directly or indirectly in consumer confidence in, or the perception of, our Dutch Bros brand and/or our products and reduce consumer demand for our products, which would likely result in lower revenue and profits.</w:t>
      </w:r>
    </w:p>
    <w:p>
      <w:pPr>
        <w:spacing w:after="0" w:line="12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There has been an increased public focus, including from the United States federal and state governments, on environmental sustainability matters, including with respect to climate change, greenhouse gases, water resources, packaging and waste, animal health and welfare, deforestation, and land use. We endeavor to conduct our business in a manner which reflects our priority of sustainable stewardship, including with respect to environmental sustainability matters, and we are working to manage the risks and costs to us, our franchise partners and our supply chain associated with these types of environmental sustainability matters. In addition, as the result of such heightened public focus on environmental sustainability matters, we may face increased pressure to provide expanded disclosure, make or expand commitments, set targets, or establish additional goals and take actions to meet such goals, in connection with such environmental sustainability matters. These matters and our efforts to address them could expose us to market, operational, reputational and execution costs or risks.</w:t>
      </w:r>
    </w:p>
    <w:p>
      <w:pPr>
        <w:spacing w:after="0" w:line="10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006098"/>
        </w:rPr>
        <w:t>We may not be able to adequately protect our intellectual property, including trademarks, trade names, and service marks, which, in turn, could harm the value of our brand and adversely affect our business.</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Our ability to implement our business plan successfully depends in part on our ability to further build brand recognition using our trademarks, service marks, proprietary products, and other intellectual property, including our name and logos and the unique character and atmosphere of our Dutch Bros shops. We rely on U.S. and foreign trademark, copyright, and trade secret laws, as well as license agreements, nondisclosure agreements, and confidentiality and other contractual provisions to protect our intellectual property. Nevertheless, our competitors may develop similar marks, menu items, and concepts, and adequate remedies may not be available in the event of an unauthorized use or disclosure of our trade secrets and other intellectual property.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35" w:name="page36"/>
    <w:bookmarkEnd w:id="35"/>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The success of our business depends on our continued ability to use our existing trademarks, trade names, and service marks to increase brand awareness and further develop our brand as we expand into new markets. We have registered and applied to register trademarks and service marks in the United States and in foreign jurisdictions. We may not be able to adequately protect our trademarks and service marks, and our competitors and others may successfully challenge the validity and/or enforceability of our trademarks and service marks and other intellectual property. There can also be no assurance that pending or future trademark applications will be approved in a timely manner or at all, or that such registrations will effectively protect our brand names and trademarks.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Additionally, the steps we have taken to protect our intellectual property in the United States and internationally may not be adequate. If our efforts to maintain and protect our intellectual property are inadequate, or if any third party misappropriates, dilutes, or infringes on our intellectual property, the value of our brand may be harmed, which could have a material adverse effect on our business and might prevent our brand from achieving or maintaining market acceptance. Even with our own franchise partners, whose activities are monitored and regulated through our franchise agreements, we face risk that they may refer to or make statements about our Dutch Bros brand that do not make proper use of our trademarks or required designations, that improperly alter trademarks or branding, or that are critical of our brand or place our brand in a context that may tarnish our reputation. This may result in dilution of, or harm to, our intellectual property or the value of our brand.</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We may also from time to time be required to institute enforcement action, including litigation, to enforce and preserve the value of our trademarks, service marks and other intellectual property. Such litigation could result in substantial costs and diversion of resources and could negatively affect our sales, business, profitability, and prospects regardless of whether we can successfully enforce our rights.</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131E29"/>
        </w:rPr>
        <w:t>Third parties may oppose our trademark and service mark applications, or otherwise challenge our use of the trademarks and service marks. This risk may increase as we enter new markets with localized competitors. In the event that these or other intellectual property rights are successfully challenged, we could experience brand dilution or be forced to rebrand our products, which would result in loss of brand recognition and would require us to devote resources to advertising and marketing new brands. Third parties may also assert that we infringe, misappropriate, or otherwise violate their intellectual property and may sue us for intellectual property infringement. Even if we are successful in these proceedings, we may incur substantial costs, and the time and attention of our management and other personnel may be diverted in pursuing these proceedings. If a court finds that we infringe a third party's intellectual property, we may be required to pay damages and/or be subject to an injunction. With respect to any third party intellectual property that we use or wish to use in our business (whether or not asserted against us in litigation), we may not be able to enter into licensing or other arrangements with the owner of such intellectual property at a reasonable cost or on reasonable terms.</w:t>
      </w:r>
    </w:p>
    <w:p>
      <w:pPr>
        <w:spacing w:after="0" w:line="10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b w:val="1"/>
          <w:bCs w:val="1"/>
          <w:i w:val="1"/>
          <w:iCs w:val="1"/>
          <w:color w:val="006098"/>
        </w:rPr>
        <w:t>Food safety and quality concerns may negatively impact our brand, business, and profitability, our internal operational controls and standards may not always be met, and our employees may not always act professionally, responsibly and in our and our customers’ best interests. Any possible instances or reports, whether true or not, of food and/or beverage-borne illness could negatively affect our brand and reduce our sales.</w:t>
      </w:r>
    </w:p>
    <w:p>
      <w:pPr>
        <w:spacing w:after="0" w:line="10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Incidents or reports, whether true or not, of food-borne or water-borne illness or other food safety issues, food contamination or tampering, employee hygiene and cleanliness failures, or improper employee conduct at our shops could lead to product liability or other claims. Such incidents or reports could negatively affect our brand and reputation as well as our business, revenue, and profits. Similar incidents or reports occurring at coffee and convenience shops unrelated to us could likewise create negative publicity, which could negatively impact consumer behavior towards us.</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We cannot guarantee to customers that our internal controls and training will be fully effective in preventing all food-borne illnesses. New illnesses resistant to our current precautions may develop in the future, or diseases with long incubation periods could arise, that could give rise to claims or allegations on</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36" w:name="page37"/>
    <w:bookmarkEnd w:id="36"/>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a retroactive basis. One or more instances of food-borne illness in one of our company-operated or franchised shops could negatively affect sales at all our shops if highly publicized. This risk exists even if it were later determined that the illness was wrongly attributed to one of our shops. Additionally, even if food-borne illnesses were not identified at our shops, our sales could be adversely affected if instances of food-borne illnesses at other coffee and beverage chains were highly publicized.</w:t>
      </w:r>
    </w:p>
    <w:p>
      <w:pPr>
        <w:spacing w:after="0" w:line="9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006098"/>
        </w:rPr>
        <w:t>If we, our franchise partners, or our vendors are unable to protect our customers’ credit and debit card data or confidential information in connection with processing the same or confidential employee information, we could be exposed to data loss, litigation, liability, and reputational damage.</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Our business requires the collection, transmission and retention of large volumes of customer and employee data, including credit and debit card numbers and other personally identifiable information, in various information technology systems that we maintain and in those maintained by third parties with whom we contract to provide services. The integrity and protection of that customer and employee data is critical to us. Further, our customers and employees have a high expectation that we and our service providers will adequately protect their personal information.</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We are subject to rules governing electronic funds transfers, including the Payment Card Industry Data Security Standard as discussed further below. Such rules could change or be reinterpreted to make it difficult or impossible for us to comply. If we (or a third party processing payment card transactions on our behalf) suffer a security breach affecting payment card information, we may have to pay onerous and significant fines, penalties and assessments arising out of the major card brands’ rules and regulations, contractual indemnifications or liability contained in merchant agreements and similar contracts, and we may lose our ability to accept payment cards as payment for transactions, which could materially impact our operations and financial performance.</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131E29"/>
        </w:rPr>
        <w:t>The information, security and privacy requirements imposed by governmental regulation are increasingly demanding. Our systems may not be able to satisfy these changing requirements and customer and employee expectations or may require significant additional investments or time in order to do so. Efforts to hack or breach security measures, failures of systems or software to operate as designed or intended, viruses, operator error or inadvertent releases of data all threaten our and our service providers' information systems and records. A breach in the security of our information technology systems or those of our service providers could lead to an interruption in the operation of our systems, resulting in operational inefficiencies and a loss of profits. For example, in 2014, our online store and our customers were the victims of a security breach and as a result a few thousand of our customer’s personal information records were exposed. Additionally, a significant theft, loss or misappropriation of, or access to, customers’ or other proprietary data or other breach of our information technology systems could result in fines, legal claims or proceedings, including regulatory investigations and actions, or liability for failure to comply with privacy and information security laws, which could disrupt our operations, damage our reputation and expose us to claims from customers and employees, any of which could harm our business.</w:t>
      </w:r>
    </w:p>
    <w:p>
      <w:pPr>
        <w:spacing w:after="0" w:line="10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006098"/>
        </w:rPr>
        <w:t>We are subject to payment-related fraud and an increase in or failure to deal effectively with fraud, fraudulent activities, fictitious transactions, or illegal transactions would materially and adversely affect our business, results of operations, and financial condition.</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We process a significant volume of credit and debit card transactions on a daily basis through our point of sale and order management systems and our Dutch Rewards mobile app. We have in the past, and may again in the future, be the victim of fraudulent transactions arising out of the actual or alleged theft of credit or debit card information through such systems. Such instances have and can lead to the reversal of payments received by us for such payments, referred to as a “chargeback.” We have been and will likely continue to be liable for chargebacks and other costs and fees related to fraudulent transactions. Our ability to detect and combat such fraudulent transactions, which have become increasingly common and sophisticated, could be adversely impacted by the emergence and innovation of new technology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37" w:name="page38"/>
    <w:bookmarkEnd w:id="37"/>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platforms, including mobile and other devices. We expect that technically knowledgeable criminals will continue to attempt to circumvent our anti-fraud systems. In addition, the payment card networks have rules around acceptable chargeback ratios. If we are unable to effectively combat the use of fraudulent or stolen credit cards, we may be subject to fines and higher transaction fees or be unable to continue to accept card payments because payment card networks have revoked our access to their networks, any of which would materially adversely impact our business, results of operations, and financial condition. We may also be subject to lawsuits, regulatory investigations, or other proceedings relating to these types of incidents.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Further, payments systems we use are susceptible to potentially illegal or improper uses, including money laundering, transactions in violation of economic and trade sanctions, corruption and bribery, terrorist financing, customer account takeovers, or the facilitation of other illegal activity. Use of our payments systems for illegal or improper uses could subject us to claims, lawsuits, and government and regulatory investigations, inquiries, or requests, which could result in liability and reputational harm for us. We have taken measures to detect and reduce fraud and illegal activities, but these measures need to be continually improved and may add friction to our payment processes. These measures may also not be effective against fraud and illegal activities, particularly new and continually evolving forms of circumvention. If these measures do not succeed in reducing fraud, our business, results of operations, and financial condition would be materially and adversely affected.</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Risks Related to People and Culture</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Changes in the availability of and the cost of labor could harm our business.</w:t>
      </w:r>
    </w:p>
    <w:p>
      <w:pPr>
        <w:spacing w:after="0" w:line="152"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131E29"/>
        </w:rPr>
        <w:t>Our business could be harmed by increases in labor costs, including those increases triggered by inflation, regulatory actions regarding wages, scheduling and benefits, and increased health care and workers’ compensation insurance costs, which, in a retail business such as ours, are some of our most significant costs. In particular, our broistas are paid wage rates at or based on the applicable federal, state, or local minimum wage, and increases in the applicable minimum wage have in the past and will increase labor costs. From time to time, legislative proposals are made to increase the minimum wage at the federal, state, and local level, such as the California Fast Food Accountability and Standards Recovery Act, passed in September 2022, which would create a council to establish, among other things, minimum wages in the broadly-defined fast food industry. As federal, state, or other applicable minimum wage rates increase, we may be required to increase not only the wage rates of minimum wage broistas or other employees, but also the wages paid to other hourly employees. As part of our focus on building long-term customer loyalty, we do not expect our customers to bear the entire burden of increased labor and commodity costs and, when possible, we do not increase prices in order to pass increased labor or commodity costs on to customers, as we believe such price increases would negatively impact our brand and consumer loyalty. If we do not increase prices to cover increased labor or commodity costs, this is likely to result in lower revenue, and may also reduce margins.</w:t>
      </w:r>
    </w:p>
    <w:p>
      <w:pPr>
        <w:spacing w:after="0" w:line="291"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Furthermore, the successful operation of our business depends upon our, and our franchise partners’, ability to attract, motivate, and retain a sufficient number of qualified employees. From time to time, there may be a shortage of qualified employees in certain of the communities in which we operate or expand to. Shortages may make it increasingly difficult and expensive to attract, train, and retain the services of a satisfactory number of qualified employees, which could delay the planned openings of new company-operated and franchised shops and adversely impact the operations and profitability of existing shops. Furthermore, competition for qualified employees, particularly in markets where such shortages exist, could require us to pay higher wages, which could result in higher labor costs. Accordingly, if we and our franchise partners are unable to recruit and retain sufficiently qualified individuals, our business could be harmed.</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Additionally, the growth of our business can make it increasingly difficult to locate and hire sufficient numbers of key employees, to maintain an effective system of internal controls for a dispersed chain, and to train employees to deliver consistently high-quality hand-crafted beverages and customer experiences,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38" w:name="page39"/>
    <w:bookmarkEnd w:id="38"/>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which could materially harm our business and results of operations. In addition, growth and the addition of new shops may result in inefficiencies in our staffing, which can increase overtime costs or otherwise impact profitability.</w:t>
      </w:r>
    </w:p>
    <w:p>
      <w:pPr>
        <w:spacing w:after="0" w:line="9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006098"/>
        </w:rPr>
        <w:t>We depend on our executive officers and other key employees, and the loss of one or more of these employees or an inability to attract and retain other highly skilled employees could harm our business.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Our success depends largely upon the continued services of our executive officers and other key employees, and the hiring and retention of additional executives and other key personnel. We rely on our leadership team in the areas of marketing, sales, customer experience, and selling, general and administrative. From time to time, we expect there will be changes in our executive management team resulting from the hiring or departure of executives, which could disrupt our business. The loss of one or more of our executive officers or key employees could harm our business. Changes in our executive management team may also cause disruptions in, and harm to, our business.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Dutch Bros continues to be led by our Executive Chairman and Co-Founder, Travis Boersma, who plays an important role in driving our culture, determining the strategy, and executing against that strategy across the Company. If Mr. Boersma’s services became unavailable to Dutch Bros for any reason, it may be difficult or impossible for us to find an adequate replacement, which could cause us to be less successful in maintaining our culture and developing and effectively executing on our company strategies.</w:t>
      </w:r>
    </w:p>
    <w:p>
      <w:pPr>
        <w:spacing w:after="0" w:line="9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006098"/>
        </w:rPr>
        <w:t>Our culture has contributed to our success, and if we cannot maintain this culture as we grow, we could lose the high employee engagement fostered by our culture, which could harm our business.</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At Dutch Bros, we believe our people-first culture is a critical component of our success and customer loyalty. The success of this differentiated people-first culture and serving hand-crafted, high-quality beverages through the convenience of a premium drive-thru experience has helped us enter new markets and rapidly open new shops. We have invested substantial time and resources in developing pathways for our employees to create their own compelling future, which we believe has fostered the positive, people-first culture that defines our organization and is enjoyed by our customers. We have built out our leadership team with an expectation of protecting this culture, an emphasis on shared values and a commitment to diversity and inclusion. As we continue to develop the infrastructure to support our growth, we will need to maintain our culture among a larger number of employees dispersed in various geographic regions. Any failure to preserve our culture could negatively affect our future success, including our ability to retain and recruit personnel, and loss of customer loyalty.</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Unionization activities may disrupt our operations and affect our profitability.</w:t>
      </w:r>
    </w:p>
    <w:p>
      <w:pPr>
        <w:spacing w:after="0" w:line="15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Although none of our employees are currently covered under collective bargaining agreements, our employees may elect to be represented by labor unions in the future. If a significant number of our employees were to become unionized and collective bargaining agreement terms were significantly different from our current compensation arrangements, it could adversely affect our business, financial condition, or results of operations. In addition, a labor dispute involving some or all of our employees may harm our reputation, disrupt our operations and reduce our revenue, and resolution of disputes may increase our costs. Further, if we enter into a new market with unionized construction companies, or the construction companies in our current markets become unionized, construction and build out costs for new shops in such markets could materially increase.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39" w:name="page40"/>
    <w:bookmarkEnd w:id="39"/>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Risks Related to Regulation and Litigation</w:t>
      </w:r>
    </w:p>
    <w:p>
      <w:pPr>
        <w:spacing w:after="0" w:line="13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006098"/>
        </w:rPr>
        <w:t>Changes in statutory, regulatory, accounting, and other legal requirements, including changes in accounting principles generally accepted in the United States, could potentially impact our operating and financial results.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We are subject to numerous statutory, regulatory, and legal requirements. Our operating results could be negatively impacted by developments in these areas due to the costs of compliance in addition to possible government penalties and litigation in the event of deemed noncompliance. Changes in the regulatory environment in the area of food safety, privacy and information security, wage and hour laws, among others, could potentially impact our operations and financial results.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Generally accepted accounting principles in the United States (GAAP) are subject to interpretation by the Financial Accounting Standards Board, the American Institute of Certified Public Accountants,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1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Moreover, while we believe that we maintain insurance customary for businesses of our size and type, there are types of losses we may incur that cannot be insured against or that we believe are not economically reasonable to insure. Such losses could harm our business.</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Federal regulators and some state governments in states in which we do business have indicated that they will be imposing vaccination and testing mandates for employers. While the exact contours of these rules and regulations are not yet known, if vaccinations are mandated it will negatively impact our ability to recruit and retain sufficient employees to meet our growth goals and operate existing shops in some areas. In addition, if these mandates impose the cost of testing of wages for time spent testing on employers this will have a material impact on our business and profitability.</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Until the end of the COVID-19 pandemic, we may be made subject to additional burdensome employment and health and safety laws and regulations passed or adopted by legislatures and regulators in an effort to end the pandemic or mitigate its effects. Any future pandemics could have similar impacts.</w:t>
      </w:r>
    </w:p>
    <w:p>
      <w:pPr>
        <w:spacing w:after="0" w:line="9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006098"/>
        </w:rPr>
        <w:t>Fluctuations in our tax obligations and effective tax rate and realization of our deferred tax assets may result in volatility of our operating results and adversely affect our financial condition.</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We are subject to taxes by the U.S. federal, state, and local tax authorities, and our tax liabilities will be affected by the allocation of expenses to differing jurisdictions. We record tax expense based on our estimates of future payments, which may include reserves for uncertain tax positions in multiple tax jurisdictions, and valuation allowances related to certain net deferred tax assets. At any one time, many tax years may be subject to audit by various taxing jurisdictions. The results of these audits and negotiations with taxing authorities may affect the ultimate settlement of these issues. We expect that throughout the year there could be ongoing variability in our quarterly tax rates as events occur and exposures are evaluated. Our future effective tax rates could be subject to volatility or adversely affected by a number of factors, including:</w:t>
      </w:r>
    </w:p>
    <w:p>
      <w:pPr>
        <w:spacing w:after="0" w:line="117" w:lineRule="exact"/>
        <w:rPr>
          <w:sz w:val="20"/>
          <w:szCs w:val="20"/>
          <w:color w:val="auto"/>
        </w:rPr>
      </w:pPr>
    </w:p>
    <w:p>
      <w:pPr>
        <w:ind w:left="260" w:hanging="255"/>
        <w:spacing w:after="0"/>
        <w:tabs>
          <w:tab w:leader="none" w:pos="260" w:val="left"/>
        </w:tabs>
        <w:numPr>
          <w:ilvl w:val="0"/>
          <w:numId w:val="25"/>
        </w:numPr>
        <w:rPr>
          <w:rFonts w:ascii="Arial" w:cs="Arial" w:eastAsia="Arial" w:hAnsi="Arial"/>
          <w:sz w:val="14"/>
          <w:szCs w:val="14"/>
          <w:color w:val="131E29"/>
        </w:rPr>
      </w:pPr>
      <w:r>
        <w:rPr>
          <w:rFonts w:ascii="Arial" w:cs="Arial" w:eastAsia="Arial" w:hAnsi="Arial"/>
          <w:sz w:val="14"/>
          <w:szCs w:val="14"/>
          <w:color w:val="131E29"/>
        </w:rPr>
        <w:t>changes in the valuation of our deferred tax assets and liabilities;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25"/>
        </w:numPr>
        <w:rPr>
          <w:rFonts w:ascii="Arial" w:cs="Arial" w:eastAsia="Arial" w:hAnsi="Arial"/>
          <w:sz w:val="14"/>
          <w:szCs w:val="14"/>
          <w:color w:val="131E29"/>
        </w:rPr>
      </w:pPr>
      <w:r>
        <w:rPr>
          <w:rFonts w:ascii="Arial" w:cs="Arial" w:eastAsia="Arial" w:hAnsi="Arial"/>
          <w:sz w:val="14"/>
          <w:szCs w:val="14"/>
          <w:color w:val="131E29"/>
        </w:rPr>
        <w:t>expected timing and amount of the release of any tax valuation allowance;</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25"/>
        </w:numPr>
        <w:rPr>
          <w:rFonts w:ascii="Arial" w:cs="Arial" w:eastAsia="Arial" w:hAnsi="Arial"/>
          <w:sz w:val="14"/>
          <w:szCs w:val="14"/>
          <w:color w:val="131E29"/>
        </w:rPr>
      </w:pPr>
      <w:r>
        <w:rPr>
          <w:rFonts w:ascii="Arial" w:cs="Arial" w:eastAsia="Arial" w:hAnsi="Arial"/>
          <w:sz w:val="14"/>
          <w:szCs w:val="14"/>
          <w:color w:val="131E29"/>
        </w:rPr>
        <w:t>changes in tax laws, regulations, or interpretations thereof; or</w:t>
      </w:r>
    </w:p>
    <w:p>
      <w:pPr>
        <w:spacing w:after="0" w:line="136" w:lineRule="exact"/>
        <w:rPr>
          <w:rFonts w:ascii="Arial" w:cs="Arial" w:eastAsia="Arial" w:hAnsi="Arial"/>
          <w:sz w:val="14"/>
          <w:szCs w:val="14"/>
          <w:color w:val="131E29"/>
        </w:rPr>
      </w:pPr>
    </w:p>
    <w:p>
      <w:pPr>
        <w:ind w:left="260" w:hanging="255"/>
        <w:spacing w:after="0" w:line="266" w:lineRule="auto"/>
        <w:tabs>
          <w:tab w:leader="none" w:pos="256" w:val="left"/>
        </w:tabs>
        <w:numPr>
          <w:ilvl w:val="0"/>
          <w:numId w:val="25"/>
        </w:numPr>
        <w:rPr>
          <w:rFonts w:ascii="Arial" w:cs="Arial" w:eastAsia="Arial" w:hAnsi="Arial"/>
          <w:sz w:val="14"/>
          <w:szCs w:val="14"/>
          <w:color w:val="131E29"/>
        </w:rPr>
      </w:pPr>
      <w:r>
        <w:rPr>
          <w:rFonts w:ascii="Arial" w:cs="Arial" w:eastAsia="Arial" w:hAnsi="Arial"/>
          <w:sz w:val="14"/>
          <w:szCs w:val="14"/>
          <w:color w:val="131E29"/>
        </w:rPr>
        <w:t>future earnings being lower than anticipated in jurisdictions where we have lower statutory tax rates and higher than anticipated earnings in jurisdictions where we have higher statutory tax rates.</w:t>
      </w:r>
    </w:p>
    <w:p>
      <w:pPr>
        <w:spacing w:after="0" w:line="110" w:lineRule="exact"/>
        <w:rPr>
          <w:sz w:val="20"/>
          <w:szCs w:val="20"/>
          <w:color w:val="auto"/>
        </w:rPr>
      </w:pPr>
    </w:p>
    <w:p>
      <w:pPr>
        <w:spacing w:after="0" w:line="266" w:lineRule="auto"/>
        <w:rPr>
          <w:sz w:val="20"/>
          <w:szCs w:val="20"/>
          <w:color w:val="auto"/>
        </w:rPr>
      </w:pPr>
      <w:r>
        <w:rPr>
          <w:rFonts w:ascii="Arial" w:cs="Arial" w:eastAsia="Arial" w:hAnsi="Arial"/>
          <w:sz w:val="14"/>
          <w:szCs w:val="14"/>
          <w:color w:val="131E29"/>
        </w:rPr>
        <w:t>In addition, our effective tax rate in a given financial statement period may be materially impacted by a variety of factors including but not limited to changes in the mix and level of earnings, varying tax rates in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40" w:name="page41"/>
    <w:bookmarkEnd w:id="40"/>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the different jurisdictions in which we operate, fluctuations in the valuation allowance, or by changes to existing accounting rules or regulations. Further, tax legislation may be enacted in the future which could negatively impact our current or future tax structure and effective tax rates. We may be subject to audits of our income, sales, and other transaction taxes by U.S. federal, state, and local taxing authorities. Outcomes from these audits could have an adverse effect on our operating results and financial condition.</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We are subject to many federal, state, and local laws with which compliance is both costly and complex.</w:t>
      </w:r>
    </w:p>
    <w:p>
      <w:pPr>
        <w:spacing w:after="0" w:line="15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The food service and restaurant industry is subject to extensive federal, state, and local laws and regulations, including those relating to health care reform, building and zoning requirements, and the preparation and sale of food and beverages for consumption. Such laws and regulations are subject to change from time to time. The failure to comply with these laws and regulations could adversely affect our operating results. Typically, licenses, permits, and approvals under such laws and regulations must be renewed annually and may be revoked, suspended, or denied renewal for cause at any time if governmental authorities determine that our conduct violates applicable regulations. Difficulties or failure to maintain or obtain the required licenses, permits, and approvals could adversely affect our existing shops and delay or result in our decision to cancel the opening of new shops, which would adversely affect our business.</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The development and operation of a shop depends, to a significant extent, on the selection of suitable sites for drive-thrus, which are subject to unique permitting, zoning, land use, environmental, traffic, and other regulations and requirements. We are also subject to licensing and regulation by state and local authorities relating to health, sanitation, safety, and fire standards.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We are subject to the Fair Labor Standards Act and various other federal, state and local laws that regulate the wages and hours of employees. These laws commonly apply a strict liability standard so that even inadvertent noncompliance can lead to claims, government enforcement actions, and litigation. These laws vary from state to state and are subject to frequent amendments and judicial interpretations that can require rapid adjustments to operations. Insurance coverage for violations of these laws is costly and sometimes is not available. Changes to these laws can adversely affect our business by increasing labor and compliance costs. The failure to comply with these laws could adversely affect our business as a result of costly litigation or government enforcement actions.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We are also subject to a variety of other employee relations laws including Family and Medical Leave Act of 1933 and state leave laws, employment discrimination laws, predictive scheduling laws, occupational health and safety laws and regulations, and the National Labor Relations Act of 1935, to name a few. Together, these many laws and regulations present a thicket of compliance obligations and liability risks. As we grow, we will need to continue to increase our compliance efforts in these areas, which may affect our results from operations. Changes to these laws and regulations may increase these costs beyond our expectations or predictions, which would adversely affect our business operations and financial results. Violations of these laws could lead to costly litigation or governmental investigation or proceedings.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We are subject to compliance obligations of the Food Safety Modernization Acts (FSMA). Under FSMA, we are required to develop and implement a Food Safety Plan for our roasting operations. While we are not currently required to implement a FSMA Food Safety Plan or a Hazard Analysis and Critical Points system (HACCP) in our shops, many states have required restaurants to develop and implement HACCP, and the United States government continues to expand the sectors of the food industry that must adopt and implement HACCP. Additionally, our suppliers may initiate or otherwise be subject to food recalls that may impact the availability of certain products, result in adverse publicity or require us to take actions that could be costly for us or otherwise impact our business.</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We are subject to the Americans with Disabilities Act (the ADA), which, among other things, requires our shops to meet federally mandated requirements for the disabled. The ADA prohibits discrimination in employment and public accommodations on the basis of disability. Under the ADA, we could be required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41" w:name="page42"/>
    <w:bookmarkEnd w:id="41"/>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to expend funds to modify our shops to provide service to, or make reasonable accommodations for the employment of, disabled persons. In addition, our employment practices are subject to the requirements of the Immigration and Naturalization Service relating to citizenship and residency.</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In addition, our franchise activities are subject to laws enacted by a number of states and rules and regulations promulgated by the Franchise Trade Commission (the FTC). Failure to comply with new or existing franchise laws, rules, and regulations in any jurisdiction or to obtain required government approvals could negatively affect our franchising activities and our relationships with our franchisees.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The impact of current laws and regulations, the effect of future changes in laws or regulations that impose additional requirements and the consequences of litigation relating to current or future laws and regulations, or our inability to respond effectively to significant regulatory or public policy issues, could increase our compliance and other costs of doing business and, therefore, have an adverse effect on our results of operations. Failure to comply with the laws and regulatory requirements of federal, state, and local authorities could result in, among other things, revocation of required licenses, administrative enforcement actions, fines, and civil and criminal liability. In addition, certain laws, including the ADA, could require us to expend significant funds to make modifications to our shops if we failed to comply with applicable standards. Compliance with all these laws and regulations can be costly and can increase our exposure to litigation or governmental investigations or proceedings.</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b w:val="1"/>
          <w:bCs w:val="1"/>
          <w:i w:val="1"/>
          <w:iCs w:val="1"/>
          <w:color w:val="006098"/>
        </w:rPr>
        <w:t>We (and our vendors) are subject to stringent and changing laws, regulations, industry standards, contractual obligations, policies, and other obligations related to data privacy and security. The actual or perceived failure by us or our vendors to comply with such obligations, may harm our business, financial condition and results of operations, and prospects.</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We Process Sensitive Information necessary to provide our products and services and other business functions. Our Processing activities may subject us to numerous data privacy and security obligations, such as various laws, regulations, guidance, industry standards, external and internal privacy and security policies, contracts, and other obligations that govern data privacy, security, and Processing of personal information by us and on our behalf.</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Data privacy and security have become a significant issue in the United States. The legal and regulatory framework for data privacy and security issues is rapidly evolving and is expected to increase our compliance costs and exposure to liability. The number and scope of data privacy and security obligations is changing, subject to differing applications and interpretations, and may be inconsistent among jurisdictions, or in conflict with other obligations. We expect that there will continue to be new data privacy and security obligations, and any significant change to data privacy and security obligations.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131E29"/>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these include the Telephone Consumer Protection Act (TCPA), the Electronic Communications Privacy Act, the Computer Fraud and Abuse Act, the California Consumer Privacy Act (the CCPA), other state, local, and federal laws relating to data privacy and security, and rules and regulations promulgated under the authority of the Federal Trade Commission. The CCPA provides individual privacy rights for California residents and places increased privacy and security obligations on covered businesses Processing personal information. The CCPA requires covered businesses to provide new disclosures to California residents and provide such individuals with ways to opt-out of certain sales of personal information. The CCPA also provides a private right of action and statutory damages for violations (up to $7,500 per violation), including for data breaches. In addition, the California Privacy Rights Act of 2020 (CPRA) applies to personal information of consumers, business representatives and employees and establishes a new California Privacy Protection Agency to implement and enforce the law.</w:t>
      </w:r>
    </w:p>
    <w:p>
      <w:pPr>
        <w:spacing w:after="0" w:line="29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Moreover, across the United States, laws and regulations governing data privacy and security continue to develop and evolve. For example, Virginia passed the Consumer Data Protection Act (CDPA), Colorado</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42" w:name="page43"/>
    <w:bookmarkEnd w:id="42"/>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passed the Colorado Privacy Act (CPA), Connecticut passed the Connecticut Data Privacy Act (CTDPA), and Utah passed the Utah Consumer Privacy Act (UCPA), all of which become effective in 2023. In addition, data privacy and security laws have been proposed at the federal, state, and local levels in recent years, which could further complicate compliance efforts. Compliance with data privacy and security laws or regulations may be challenging and cost- and time-intensive, and may require us to modify our data processing practices and policies and to incur substantial costs and potential liability in an effort to comply with such legislation.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In addition, we are subject to the terms of our external and internal privacy and security policies, marketing materials, and other statements, such as compliance with certain certifications, industry standards, publications and frameworks and contractual obligations to third parties related to data privacy, security and Processing of Sensitive Information.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131E29"/>
        </w:rPr>
        <w:t>We are also contractually subject to data privacy and security obligations, including contractual obligations to indemnify and hold harmless third parties from the costs or consequences of non-compliance with data privacy laws or other obligations and to comply with industry standards adopted by industry groups. We may become subject to new data privacy and security contractual obligations in the future. Additionally, because we accept payments using credit cards and debit cards, we are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PCI-DSS can result in penalties ranging from $ 5,000 to $100,000 per month by credit card companies, litigation, damage to our reputation, and revenue losses. We may also rely on vendors to process payment card data, and those vendors may be subject to PCI DSS, and our business may be negatively affected if our vendors are fined or suffer other consequences as a result of PCI DSS noncompliance (or perceived noncompliance).</w:t>
      </w:r>
    </w:p>
    <w:p>
      <w:pPr>
        <w:spacing w:after="0" w:line="12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Furthermore, we rely on a variety of marketing techniques and practices, including email and social media marketing, online targeted advertising, and cookie-based Processing, to sell our products and services and to attract new customers. We, and our vendors, may be subject to various current and future obligations that govern marketing and advertising practices. For example, the Controlling the Assault of Non-Solicited Pornography and Marketing Act of 2003 (CAN-SPAM) and the TCPA impose specific requirements on communications with customers. For example, the TCPA imposes various consumer consent requirements and other restrictions on certain telemarketing activity and other communications with consumers by phone, fax or text message. TCPA violations can result in significant financial penalties, including penalties or criminal fines imposed by the Federal Communications Commission or fines of up to $1,500 per violation imposed through private litigation or by state authorities.</w:t>
      </w:r>
    </w:p>
    <w:p>
      <w:pPr>
        <w:spacing w:after="0" w:line="120"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131E29"/>
        </w:rPr>
        <w:t>We strive to comply with applicable data privacy and security obligations to the extent possible, but we may at times fail to do so, or may be perceived to have failed to do so. Moreover, despite our efforts, we may not be successful in achieving compliance if our employees, partners or vendors do not comply with applicable data privacy and security obligations. Any failure by us or a third-party processor to comply with applicable data privacy and security obligations could subject us to litigation, claims, proceedings, actions or investigations by governmental entities, authorities, private parties, or regulators; additional reporting requirements and/or oversight; bans on Processing personal data; and orders to destroy or not use personal data, which could result in an adverse consequences, including increase our compliance and operational costs; limit our ability to market our products or services and attract new and retain current customers; result in reputational harm; lead to a loss of customers; reduce the use of our products or services; cause us to incur significant costs, expenses, and fees (including attorney fees); cause a material adverse impact to business operations or financial results; and otherwise result in other material harm to our business.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43" w:name="page44"/>
    <w:bookmarkEnd w:id="43"/>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006098"/>
        </w:rPr>
        <w:t>We and our franchise partners are subject to extensive government regulations that could result in claims leading to increased costs and restrict our ability to operate franchises.</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We and our franchise partners are subject to extensive government regulation at the federal, state and local government levels, including by the FTC. These include, but are not limited to, regulations relating to the preparation and sale of beverages, zoning and building codes, franchising, land use, and employee, health, sanitation and safety matters. We and our franchise partners are required to obtain and maintain a wide variety of governmental licenses, permits and approvals. Local authorities may suspend or deny renewal of our governmental licenses if they determine that our operations do not meet the standards for initial grant or renewal. Difficulty or failure in obtaining them in the future could result in delaying or canceling the opening of new shops and thus could harm our business. Any such failure could also subject us to liability from our franchise partners.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Additionally, governmental authorities may adopt broad standards for determining when two or more entities may be deemed joint employers of the same employees. For example, Congress has a legislation proposal in process that could shift more liability for franchise partner employment practices onto franchisors. The federal PROAct would codify the Browning-Ferris decision that redefined joint employment to include a broader category of conduct by the franchisor. In addition, the National Labor Relations Board proposed a rule in September 2022 that could broaden the standards applicable to establishing a joint employer relationship. If these or similar laws or rules come into effect, it could increase the possibility of Dutch Bros being held liable for our franchise partners’ employment practices.</w:t>
      </w:r>
    </w:p>
    <w:p>
      <w:pPr>
        <w:spacing w:after="0" w:line="10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006098"/>
        </w:rPr>
        <w:t>Beverage and restaurant companies have been the target of class action lawsuits and other proceedings that are costly, divert management attention and, if successful, could result in our payment of substantial damages or settlement costs.</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Our business is subject to the risk of litigation by employees, customers, competitors, landlords, or neighboring businesses, suppliers, franchise partners, stockholders, or others through private actions, class actions, administrative proceedings, regulatory actions, or other litigation. The outcome of litigation, particularly class action and regulatory actions, is difficult to assess or quantify. In recent years, beverage and restaurant companies have been subject to lawsuits, including class action lawsuits, alleging violations of federal and state laws regarding workplace and employment matters, discrimination, and similar matters. A number of these lawsuits have resulted in the payment of substantial damages by the defendants. Similar lawsuits have been instituted from time to time alleging violations of various federal and state wage and hour laws regarding, among other things, employee meal deductions, overtime eligibility of assistant managers and failure to pay for all hours worked. Any such lawsuits in which Dutch Bros, Dutch Bros OpCo, or any subsidiary thereof is named as a party may result in substantial expenses and/or damages.</w:t>
      </w:r>
    </w:p>
    <w:p>
      <w:pPr>
        <w:spacing w:after="0" w:line="11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Occasionally, our customers file complaints or lawsuits against us alleging that we are responsible for some illness or injury they suffered at or after a visit to one of our shops, including actions seeking damages resulting from food-borne illness or accidents in our shops. We also could be subject to a variety of other claims from third parties arising in the ordinary course of our business, including contract claims. The food service and restaurant industry has also been subject to a growing number of claims that their menus and actions have led to the obesity of certain of their customers.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Occasionally, we and our franchise partners are involved in disputes with neighbors, government officials, and landlords over the lines of cars attempting to visit our shops. These disputes have led to and could lead to the loss or changing of locations, changes to hours and operations, and costly litigation. If we are unable to reach agreement in future disputes or to alleviate pressure on certain shops by building additional shops or making operational changes, we may be required to close locations or alter operations at some locations. Lost sales and royalty payments caused by such closures or alterations, plus increased expenses from litigation, would harm our business.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44" w:name="page45"/>
    <w:bookmarkEnd w:id="44"/>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Regardless of whether any claims against us are valid or whether we are liable, claims may be expensive to defend and may divert time and money away from our operations. In addition, they may generate negative publicity, which could reduce customer traffic and sales. Although we maintain what we believe to be adequate levels of insurance, insurance may not be available at all or in sufficient amounts to cover any liabilities with respect to these or other matters. A judgment or other liability in excess of our insurance coverage for any claims or any adverse publicity resulting from claims could harm our business.</w:t>
      </w:r>
    </w:p>
    <w:p>
      <w:pPr>
        <w:spacing w:after="0" w:line="10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b w:val="1"/>
          <w:bCs w:val="1"/>
          <w:i w:val="1"/>
          <w:iCs w:val="1"/>
          <w:color w:val="006098"/>
        </w:rPr>
        <w:t>Legislation and regulations requiring the display and provision of nutritional information for our menu offerings, and new information or attitudes regarding diet and health or adverse opinions about the health effects of consuming our menu offerings, could affect consumer preferences and negatively impact our business, financial condition, and results of operations.</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Government regulation and consumer eating habits may impact our business as a result of changes in attitudes regarding diet and health or new information regarding the health effects of consuming our menu offerings. These changes have resulted in, and may continue to result in, the enactment of laws and regulations that impact the ingredients and nutritional content of our menu offerings, or laws and regulations requiring us to disclose the nutritional content of our food offerings.</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131E29"/>
        </w:rPr>
        <w:t>For example, a number of states, counties, and cities have enacted menu labeling laws requiring multi-unit restaurant operators to disclose certain nutritional information to customers, or have enacted legislation restricting the use of certain types of ingredients in food sold at restaurants. Furthermore, the Patient Protection and Affordable Care Act of 2010 (the PPACA) establishes a uniform, federal requirement for certain restaurants to post certain nutritional information on their menus. Specifically, the PPACA amended the Federal Food, Drug and Cosmetic Act to require certain chain restaurants to publish the total number of calories of standard menu items on menus and menu boards, along with a statement that puts this calorie information in the context of a total daily calorie intake. The PPACA also requires covered restaurants to provide to consumers, upon request, a written summary of detailed nutritional information for each standard menu item, and to provide a statement on menus and menu boards about the availability of this information. The PPACA further permits the FDA to require covered restaurants to make additional nutrient disclosures, such as disclosure of trans-fat content. An unfavorable report on, or reaction to, our menu ingredients, the size of our portions or the nutritional content of our menu items could negatively influence the demand for our offerings.</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We cannot make any assurances regarding our ability to effectively respond to changes in consumer health perceptions or our ability to successfully implement the nutrient content disclosure requirements and to adapt our menu offerings to trends in drinking and consumption habits. The imposition of menu-labeling laws could have an adverse effect on our results of operations and financial position, as well as the food service and restaurant industry in general.</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Risks Related to Our Organizational Structure</w:t>
      </w:r>
    </w:p>
    <w:p>
      <w:pPr>
        <w:spacing w:after="0" w:line="13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006098"/>
        </w:rPr>
        <w:t>Dutch Bros Inc. is a holding company, and its only material asset is its interest in Dutch Bros OpCo. Accordingly, Dutch Bros Inc. is dependent upon distributions from Dutch Bros OpCo to pay its taxes and expenses (including payments under the Tax Receivable Agreements) and to pay dividends.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Dutch Bros Inc. is a holding company, and has no material assets other than its ownership of OpCo Units. Dutch Bros Inc. has no independent means of generating revenue or cash flow, and its ability to pay taxes, operating expenses and dividends in the future, if any, will be dependent upon the financial results and cash flows of Dutch Bros OpCo and its subsidiaries and distributions received from Dutch Bros OpCo. There can be no assurance that Dutch Bros OpCo and its subsidiaries will generate sufficient cash flow to make such distributions, or that applicable state law and contractual restrictions, including negative covenants in our debt instruments, will permit such distributions.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45" w:name="page46"/>
    <w:bookmarkEnd w:id="45"/>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We anticipate that Dutch Bros OpCo will continue to be treated as a partnership for U.S. federal income tax purposes and, as such, generally will not be subject to any entity-level U.S. federal income tax. Instead, taxable income will be allocated to holders of Dutch Bros OpCo Class A common units. Accordingly, Dutch Bros Inc. will incur income taxes on its allocable share of any net taxable income of Dutch Bros OpCo and will also incur expenses related to its operations, including payments under the Tax Receivable Agreements, which we expect could be significant. Furthermore, Dutch Bros Inc.’s allocable share of Dutch Bros OpCo’s net taxable income will increase over time as the Continuing Members redeem or exchange their Dutch Bros OpCo Class A common units for shares of Class A common stock or cash.</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131E29"/>
        </w:rPr>
        <w:t>We intend, through Dutch Bros Inc.’s role as managing member, to cause Dutch Bros OpCo to make cash distributions to the holders of Dutch Bros OpCo Class A common units, including Dutch Bros Inc., in an amount sufficient to (i) fund each holder’s tax obligations in respect of allocations of taxable income from Dutch Bros OpCo and (ii) cover Dutch Bros Inc.’s operating expenses, including payments under the Tax Receivable Agreements. However, Dutch Bros OpCo’s ability to make such distributions may be subject to various limitations and restrictions, such as restrictions on distributions that would either violate any contract or agreement to which Dutch Bros OpCo is then a party, including debt agreements, or any applicable law, or that would have the effect of rendering Dutch Bros OpCo insolvent. In addition, for taxable years beginning after December 31, 2017, liability for adjustments to a partnership’s tax return can be imposed on the partnership itself in certain circumstances, absent an election to the contrary. Dutch Bros OpCo could be subject to material liabilities pursuant to adjustments to its partnership tax returns if, for example, its calculations or allocations of taxable income or loss are incorrect, which also could limit its ability to make distributions to us.</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If Dutch Bros Inc. does not have sufficient funds to pay taxes or other liabilities or to fund its operations, we may have to borrow funds, which could materially adversely affect our liquidity and financial condition and subject us to various restrictions imposed by any such lenders. To the extent that Dutch Bros Inc. is unable to make payments under the Tax Receivable Agreements for any reason, such payments generally will be deferred and will accrue interest until paid; provided, however, that nonpayment for a specified period may constitute a material breach of a material obligation under the Tax Receivable Agreements and therefore accelerate payments due under the Tax Receivable Agreements. In addition, if Dutch Bros OpCo does not have sufficient funds to make distributions, Dutch Bros Inc.’s ability to declare and pay cash dividends will also be restricted or impaired.</w:t>
      </w:r>
    </w:p>
    <w:p>
      <w:pPr>
        <w:spacing w:after="0" w:line="10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b w:val="1"/>
          <w:bCs w:val="1"/>
          <w:i w:val="1"/>
          <w:iCs w:val="1"/>
          <w:color w:val="006098"/>
        </w:rPr>
        <w:t>Dutch Bros OpCo may make distributions of cash to Dutch Bros Inc. in excess of the amounts used by Dutch Bros Inc. to make distributions to its stockholders and pay its expenses (including taxes and payments under the Tax Receivable Agreements). To the extent Dutch Bros Inc. does not distribute such excess cash as dividends on Class A and Class D common stock, the Continuing Members would benefit from any value attributable to such cash as a result of their ownership of Class A common stock upon a redemption or exchange of their Dutch Bros OpCo Class A common units.</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Distributions from Dutch Bros OpCo may in certain periods exceed Dutch Bros Inc.’s liabilities, including tax liabilities, obligations to make payments under the Tax Receivable Agreements, and other expenses. Dutch Bros Inc.’s board of directors, in its sole discretion, will make any determination from time to time with respect to the use of any such excess cash so accumulated, which may include, among other uses, to pay dividends on its Class A common stock and Class D common stock. Dutch Bros Inc. will have no obligation to distribute such cash (or other available cash other than any declared dividend) to its stockholders.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46" w:name="page47"/>
    <w:bookmarkEnd w:id="46"/>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No adjustments to the exchange ratio of Dutch Bros OpCo Class A common units for shares of Class A common stock will be made as a result of either (i) any cash distribution by Dutch Bros Inc. or (ii) any cash that Dutch Bros Inc. retains and does not distribute to its stockholders. To the extent Dutch Bros Inc. does not distribute such cash as dividends on Class A and Class D common stock and instead, for example, holds such cash balances, buys additional Dutch Bros OpCo Class A common units or lends such cash to Dutch Bros OpCo, this may result in shares of Class A common stock increasing in value relative to the Dutch Bros OpCo Class A common units. The holders of Dutch Bros OpCo Class A common units may benefit from any value attributable to such cash balances if they receive shares of Class A common stock on redemption or exchange of their Dutch Bros OpCo Class A common units or if Dutch Bros Inc. acquires additional Dutch Bros OpCo Class A common units (whether from Dutch Bros OpCo or from holders of Dutch Bros OpCo Class A common units) at a price based on the market price of our Class A common stock at the time.</w:t>
      </w:r>
    </w:p>
    <w:p>
      <w:pPr>
        <w:spacing w:after="0" w:line="10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006098"/>
        </w:rPr>
        <w:t>The Tax Receivable Agreements with the Continuing Members and Pre-IPO Blocker Holders require Dutch Bros Inc. to make cash payments to them in respect of certain tax benefits to which it may become entitled, and such payments may be substantial.</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131E29"/>
        </w:rPr>
        <w:t>In connection with the IPO, Dutch Bros Inc. entered into the Tax Receivable Agreements with the Continuing Members and the Pre-IPO Blocker Holders, as applicable. These Tax Receivable Agreements provide for the payment by Dutch Bros Inc. to such Continuing Members and Pre-IPO Blocker Holders of 85% of the benefits, if any, that Dutch Bros Inc. is deemed to realize (calculated using certain assumptions) as a result of certain tax attributes and benefits covered by the Tax Receivable Agreements. The Exchange Tax Receivable Agreement provides for the payment by Dutch Bros Inc. to the Continuing Members of 85% of the benefits, if any, that Dutch Bros Inc. is deemed to realize (calculated using certain assumptions) as a result of (i) Dutch Bros Inc.’s allocable share of existing tax basis attributable to certain assets of Dutch Bros OpCo and its subsidiaries (including assets that will eventually be subject to depreciation or amortization once placed in service) at the time of any redemption or exchange of Dutch Bros OpCo Class A common units (including certain transactions in connection with the IPO) which tax basis is allocated to such redeemed or exchanged Dutch Bros OpCo Class A common units acquired by Dutch Bros Inc., (ii) adjustments that will increase the tax basis of the tangible and intangible assets of the Dutch Bros OpCo and its subsidiaries as a result of Dutch Bros Inc.’s taxable acquisition of Dutch Bros OpCo Class A common units from the Continuing Members in connection with the IPO and in connection with future redemptions or exchanges of Dutch Bros OpCo Class A common units for shares of Class A common stock (or a corresponding amount of cash), (iii) disproportionate allocations (if any) of tax benefits to Dutch Bros Inc. under Section 704(c) of the Internal Revenue Code of 1986, as amended (the Code), as a result of Dutch Bros Inc.’s earlier acquisition of other Dutch Bros OpCo Class A common units in connection with the IPO and (iv) certain other tax benefits, including tax benefits attributable to payments under the Exchange Tax Receivable Agreement. The Reorganization Tax Receivable Agreement provides for the payment by Dutch Bros Inc. to Pre-IPO Blocker Holders of 85% of the benefits, if any, that Dutch Bros Inc. is deemed to realize (calculated using certain assumptions) as a result of (i) existing tax basis and certain adjustments to the tax basis of certain assets of Dutch Bros OpCo and its subsidiaries, in each case, that are attributable to Dutch Bros OpCo Class A common units acquired by Dutch Bros Inc. from the Blocker Companies in connection with the IPO, (ii) certain tax attributes of the Blocker Companies (including net operating losses, capital losses, research and development credits, work opportunity tax credits, excess Section 163(j) limitation carryforwards, charitable deductions, foreign Tax credits and any Tax attributes subject to carryforward under Section 381 of the Code), and (iii) certain other tax benefits, including tax benefits attributable to payments under the Reorganization Tax Receivable Agreement.</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In each case, these increases in Dutch Bros Inc.’s allocable share of existing tax basis, the tax basis adjustments generated over time, and the application of Section 704(c) of the Code, may increase (for tax purposes) depreciation and amortization deductions allocated to Dutch Bros Inc. and, therefore, may reduce the amount of tax that Dutch Bros Inc. would otherwise be required to pay in the future. Actual tax benefits realized by Dutch Bros Inc. may differ from tax benefits calculated under the Tax Receivable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47" w:name="page48"/>
    <w:bookmarkEnd w:id="47"/>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131E29"/>
        </w:rPr>
        <w:t>Agreements as a result of the use of certain assumptions in the Tax Receivable Agreements, including the use of an assumed weighted-average state and local income tax rate to calculate tax benefits. The payment obligations under the Tax Receivable Agreements are an obligation of Dutch Bros Inc., but not of Dutch Bros OpCo. While the amount of existing tax basis, the anticipated tax basis adjustments, the application of Section 704(c) of the Code, and the actual amount and utilization of tax attributes, as well as the amount and timing of any payments under the Tax Receivable Agreements, will vary depending upon a number of factors, including the timing of redemptions and exchanges, the price of shares of our Class A common stock at the time of redemptions and exchanges, the extent to which such redemptions and exchanges are taxable, and the amount and timing of our income, we expect that as a result of the size of the transfers and increases in the tax basis of the tangible and intangible assets of Dutch Bros OpCo and our possible utilization of tax attributes, including existing tax basis attributable to Dutch Bros OpCo Class A common units acquired in connection with the IPO, the payments that Dutch Bros Inc. may make under the Tax Receivable Agreements may be substantial. The payments under the Tax Receivable Agreements are not conditioned upon continued ownership of Dutch Bros Inc. by the exchanging holders of Dutch Bros OpCo Class A common units or the Pre-IPO Blocker Holders.</w:t>
      </w:r>
    </w:p>
    <w:p>
      <w:pPr>
        <w:spacing w:after="0" w:line="122"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131E29"/>
        </w:rPr>
        <w:t>Payments under the Tax Receivable Agreements will be based on the tax reporting positions that we determine, and the Internal Revenue Service (IRS) or another tax authority may challenge all or part of the tax basis increases, as well as other related tax positions we take, and a court could sustain such challenge. The Continuing Members and Pre-IPO Blocker Holders will not reimburse Dutch Bros Inc. for any payments previously made under the Tax Receivable Agreements if such basis increases or other tax benefits are subsequently disallowed, except that any excess payments made by Dutch Bros Inc. to the Continuing Members and Pre-IPO Blocker Holders will be netted against future payments that it might otherwise be required to make to them under the applicable Tax Receivable Agreements. However, a challenge to any tax benefits initially claimed may not arise for a number of years following the initial time of such payment or, even if challenged early, such excess cash payment may be greater than the amount of future cash payments that Dutch Bros Inc. might otherwise be required to make under the terms of the Tax Receivable Agreements and, as a result, there might not be sufficient future cash payments against which the prior payments can be fully netted. The applicable U.S. federal income tax rules are complex and factual in nature, and there can be no assurance that the IRS or a court will not disagree with our tax reporting positions. As a result, in certain circumstances Dutch Bros Inc. may make payments to the Continuing Members and Pre-IPO Blocker Holders under the Tax Receivable Agreements in excess of its actual cash tax savings. Therefore, payments could be made under the Tax Receivable Agreements in excess of the tax savings that we realize in respect of the tax attributes with respect to the Continuing Members and Pre-IPO Blocker Holders that are the subject of the Tax Receivable Agreements.</w:t>
      </w:r>
    </w:p>
    <w:p>
      <w:pPr>
        <w:spacing w:after="0" w:line="27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006098"/>
        </w:rPr>
        <w:t>In certain cases, payments under the Tax Receivable Agreements may be accelerated and/or significantly exceed the actual benefits Dutch Bros Inc. realizes in respect of the tax attributes subject to the Tax Receivable Agreements.</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131E29"/>
        </w:rPr>
        <w:t>Dutch Bros Inc.’s payment obligations under the Tax Receivable Agreements may be accelerated in the event of certain changes of control or certain material breaches of material obligations and will be accelerated in the event it elects to terminate the Tax Receivable Agreements early. The accelerated payments will relate to all relevant tax attributes that may subsequently be available to Dutch Bros Inc. The accelerated payments required in such circumstances will be calculated by reference to the present value (at a discount rate equal to the lesser of (i) 6.5% per annum and (ii) one year LIBOR, or its successor rate, plus 100 “basis points”) of all future payments that the Continuing Members and Pre-IPO Blocker Holders would have been entitled to receive under the Tax Receivable Agreements, and such accelerated payments and any other future payments under the Tax Receivable Agreements will utilize certain valuation assumptions, including that Dutch Bros Inc. will have sufficient taxable income to fully utilize the deductions arising from the increased tax deductions and tax basis and other benefits related to entering into the Tax Receivable Agreements and sufficient taxable income to fully utilize any remaining net operating losses subject to the Tax Receivable Agreements on a straight line basis over the shorter of</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48" w:name="page49"/>
    <w:bookmarkEnd w:id="48"/>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131E29"/>
        </w:rPr>
        <w:t>the statutory expiration period for such net operating losses and the five-year period after the early termination or change of control.</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Accordingly, it is possible that the actual cash tax benefits realized by Dutch Bros Inc. may be significantly less than the corresponding Tax Receivable Agreement payments or that payments under the Tax Receivable Agreements may be made years in advance of the actual realization, if any, of the anticipated future tax benefits. There may be a material negative effect on our liquidity if the payments under the Tax Receivable Agreements exceed the actual cash tax benefits that Dutch Bros Inc. realizes in respect of the tax attributes subject to the Tax Receivable Agreements and/or payments to us from Dutch Bros OpCo are not sufficient to permit Dutch Bros Inc. to make payments under the Tax Receivable Agreements after it has paid taxes and other expenses. We may need to incur additional indebtedness to finance payments under the Tax Receivable Agreements to the extent our cash resources are insufficient to meet our obligations under the Tax Receivable Agreements as a result of timing discrepancies or otherwise, and these obligations could have the effect of delaying, deferring or preventing certain mergers, asset sales, other forms of business combinations, or other changes of control.</w:t>
      </w:r>
    </w:p>
    <w:p>
      <w:pPr>
        <w:spacing w:after="0" w:line="10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006098"/>
        </w:rPr>
        <w:t>The acceleration of payments under the Tax Receivable Agreements in the case of certain changes of control may impair our ability to consummate change of control transactions or negatively impact the value received by owners of our Class A common stock.</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The Tax Receivable Agreements provide that upon certain mergers, asset sales or other forms of business combination, or certain other changes of control, Dutch Bros Inc.’s (or its successor’s) obligations with respect to the Tax Receivable Agreements would be based on certain assumptions, including that we (or our successor) would have sufficient taxable income to fully utilize the benefits arising from the increased tax deductions and tax basis and other benefits covered by the Tax Receivable Agreements. Consequently, it is possible, in these circumstances, that the actual cash tax savings realized by us may be significantly less than the corresponding tax benefit payments under the Tax Receivable Agreements. Dutch Bros Inc.’s accelerated payment obligations and/or assumptions adopted under the Tax Receivable Agreements in the case of a change of control may impair our ability to consummate a change of control transactions or negatively impact the value received by owners of our Class A common stock in a change of control transaction.</w:t>
      </w:r>
    </w:p>
    <w:p>
      <w:pPr>
        <w:spacing w:after="0" w:line="10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006098"/>
        </w:rPr>
        <w:t>If we were deemed to be an investment company under the Investment Company Act of 1940, as amended (the 1940 Act), as a result of our ownership of Dutch Bros OpCo, applicable restrictions could make it impractical for us to continue our business as contemplated and could have a material adverse effect on our business.</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As the sole managing member of Dutch Bros OpCo, we control and operate Dutch Bros OpCo. On that basis, we believe that our interest in Dutch Bros OpCo is not an “investment security” as that term is used in the 1940 Act. However, if we were to cease participation in the management of Dutch Bros OpCo or if Dutch Bros OpCo itself becomes an investment company, our interest in Dutch Bros OpCo, as applicable, could be deemed an “investment security” for purposes of the 1940 Act.</w:t>
      </w:r>
    </w:p>
    <w:p>
      <w:pPr>
        <w:spacing w:after="0" w:line="11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We and Dutch Bros OpCo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49" w:name="page50"/>
    <w:bookmarkEnd w:id="49"/>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Risks Related to Ownership of Our Class A Common Stock</w:t>
      </w:r>
    </w:p>
    <w:p>
      <w:pPr>
        <w:spacing w:after="0" w:line="13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006098"/>
        </w:rPr>
        <w:t>Additional stock issuances (including pursuant to the redemption of Dutch Bros OpCo Class A common units from our Continuing Members) could result in significant dilution to our stockholders and cause the trading price of our Class A common stock to decline.</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We may issue our capital stock or securities convertible into our capital stock from time to time in connection with a financing, acquisition, investments or otherwise (including pursuant to the redemption of Dutch Bros OpCo Class A common units from our Continuing Members). Additional issuances of our stock will result in dilution to existing holders of our stock. Any such issuances could result in substantial dilution to our existing stockholders and cause the trading price of our Class A common stock to decline.</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In particular, following the issuance of shares of Class A common stock in connection with the redemption of Dutch Bros OpCo Class A common units from our Continuing Members and the related cancellation of shares of our Class B common stock or Class C common stock, such shares of Class A common stock will have the same economic rights as other shares of Class A common stock.</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The trading price of our Class A common stock may be volatile, and you could lose all or part of your investment.</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The price of our Class A common stock may be volatile and could be subject to fluctuations in response to various factors, some of which are beyond our control. These fluctuations could cause you to lose all or part of your investment in our Class A common stock. Factors that could cause fluctuations in the trading price of our Class A common stock include the risk factors set forth in this section as well as the following:</w:t>
      </w:r>
    </w:p>
    <w:p>
      <w:pPr>
        <w:spacing w:after="0" w:line="115" w:lineRule="exact"/>
        <w:rPr>
          <w:sz w:val="20"/>
          <w:szCs w:val="20"/>
          <w:color w:val="auto"/>
        </w:rPr>
      </w:pPr>
    </w:p>
    <w:p>
      <w:pPr>
        <w:ind w:left="260" w:hanging="255"/>
        <w:spacing w:after="0"/>
        <w:tabs>
          <w:tab w:leader="none" w:pos="260" w:val="left"/>
        </w:tabs>
        <w:numPr>
          <w:ilvl w:val="0"/>
          <w:numId w:val="26"/>
        </w:numPr>
        <w:rPr>
          <w:rFonts w:ascii="Arial" w:cs="Arial" w:eastAsia="Arial" w:hAnsi="Arial"/>
          <w:sz w:val="14"/>
          <w:szCs w:val="14"/>
          <w:color w:val="131E29"/>
        </w:rPr>
      </w:pPr>
      <w:r>
        <w:rPr>
          <w:rFonts w:ascii="Arial" w:cs="Arial" w:eastAsia="Arial" w:hAnsi="Arial"/>
          <w:sz w:val="14"/>
          <w:szCs w:val="14"/>
          <w:color w:val="131E29"/>
        </w:rPr>
        <w:t>price and volume fluctuations in the overall stock market from time to time;</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26"/>
        </w:numPr>
        <w:rPr>
          <w:rFonts w:ascii="Arial" w:cs="Arial" w:eastAsia="Arial" w:hAnsi="Arial"/>
          <w:sz w:val="14"/>
          <w:szCs w:val="14"/>
          <w:color w:val="131E29"/>
        </w:rPr>
      </w:pPr>
      <w:r>
        <w:rPr>
          <w:rFonts w:ascii="Arial" w:cs="Arial" w:eastAsia="Arial" w:hAnsi="Arial"/>
          <w:sz w:val="14"/>
          <w:szCs w:val="14"/>
          <w:color w:val="131E29"/>
        </w:rPr>
        <w:t>volatility in the trading prices and trading volumes of competitors’ stocks;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26"/>
        </w:numPr>
        <w:rPr>
          <w:rFonts w:ascii="Arial" w:cs="Arial" w:eastAsia="Arial" w:hAnsi="Arial"/>
          <w:sz w:val="14"/>
          <w:szCs w:val="14"/>
          <w:color w:val="131E29"/>
        </w:rPr>
      </w:pPr>
      <w:r>
        <w:rPr>
          <w:rFonts w:ascii="Arial" w:cs="Arial" w:eastAsia="Arial" w:hAnsi="Arial"/>
          <w:sz w:val="14"/>
          <w:szCs w:val="14"/>
          <w:color w:val="131E29"/>
        </w:rPr>
        <w:t>changes in operating performance and stock market valuations of other companies generally, or those in our industry in particular;</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26"/>
        </w:numPr>
        <w:rPr>
          <w:rFonts w:ascii="Arial" w:cs="Arial" w:eastAsia="Arial" w:hAnsi="Arial"/>
          <w:sz w:val="14"/>
          <w:szCs w:val="14"/>
          <w:color w:val="131E29"/>
        </w:rPr>
      </w:pPr>
      <w:r>
        <w:rPr>
          <w:rFonts w:ascii="Arial" w:cs="Arial" w:eastAsia="Arial" w:hAnsi="Arial"/>
          <w:sz w:val="14"/>
          <w:szCs w:val="14"/>
          <w:color w:val="131E29"/>
        </w:rPr>
        <w:t>sales of shares of our Class A common stock by us or our stockholders, including the Continuing Members;</w:t>
      </w:r>
    </w:p>
    <w:p>
      <w:pPr>
        <w:spacing w:after="0" w:line="136" w:lineRule="exact"/>
        <w:rPr>
          <w:rFonts w:ascii="Arial" w:cs="Arial" w:eastAsia="Arial" w:hAnsi="Arial"/>
          <w:sz w:val="14"/>
          <w:szCs w:val="14"/>
          <w:color w:val="131E29"/>
        </w:rPr>
      </w:pPr>
    </w:p>
    <w:p>
      <w:pPr>
        <w:ind w:left="260" w:hanging="255"/>
        <w:spacing w:after="0" w:line="266" w:lineRule="auto"/>
        <w:tabs>
          <w:tab w:leader="none" w:pos="256" w:val="left"/>
        </w:tabs>
        <w:numPr>
          <w:ilvl w:val="0"/>
          <w:numId w:val="26"/>
        </w:numPr>
        <w:rPr>
          <w:rFonts w:ascii="Arial" w:cs="Arial" w:eastAsia="Arial" w:hAnsi="Arial"/>
          <w:sz w:val="14"/>
          <w:szCs w:val="14"/>
          <w:color w:val="131E29"/>
        </w:rPr>
      </w:pPr>
      <w:r>
        <w:rPr>
          <w:rFonts w:ascii="Arial" w:cs="Arial" w:eastAsia="Arial" w:hAnsi="Arial"/>
          <w:sz w:val="14"/>
          <w:szCs w:val="14"/>
          <w:color w:val="131E29"/>
        </w:rPr>
        <w:t>failure of securities analysts to maintain coverage of us, changes in financial estimates by securities analysts who follow our company, or our failure to meet these estimates or the expectations of investors;</w:t>
      </w:r>
    </w:p>
    <w:p>
      <w:pPr>
        <w:spacing w:after="0" w:line="109" w:lineRule="exact"/>
        <w:rPr>
          <w:rFonts w:ascii="Arial" w:cs="Arial" w:eastAsia="Arial" w:hAnsi="Arial"/>
          <w:sz w:val="14"/>
          <w:szCs w:val="14"/>
          <w:color w:val="131E29"/>
        </w:rPr>
      </w:pPr>
    </w:p>
    <w:p>
      <w:pPr>
        <w:jc w:val="both"/>
        <w:ind w:left="260" w:hanging="255"/>
        <w:spacing w:after="0" w:line="259" w:lineRule="auto"/>
        <w:tabs>
          <w:tab w:leader="none" w:pos="256" w:val="left"/>
        </w:tabs>
        <w:numPr>
          <w:ilvl w:val="0"/>
          <w:numId w:val="26"/>
        </w:numPr>
        <w:rPr>
          <w:rFonts w:ascii="Arial" w:cs="Arial" w:eastAsia="Arial" w:hAnsi="Arial"/>
          <w:sz w:val="14"/>
          <w:szCs w:val="14"/>
          <w:color w:val="131E29"/>
        </w:rPr>
      </w:pPr>
      <w:r>
        <w:rPr>
          <w:rFonts w:ascii="Arial" w:cs="Arial" w:eastAsia="Arial" w:hAnsi="Arial"/>
          <w:sz w:val="14"/>
          <w:szCs w:val="14"/>
          <w:color w:val="131E29"/>
        </w:rPr>
        <w:t>changes in our financial, operating or other metrics, regardless of whether we consider those metrics as reflective of the current state or long-term prospects of our business, and how those results compare to securities analyst expectations, including whether those results fail to meet, exceed or significantly exceed securities analyst expectations, particularly in light of the significant portion of our revenue derived from a limited number of customers;</w:t>
      </w:r>
    </w:p>
    <w:p>
      <w:pPr>
        <w:spacing w:after="0" w:line="115" w:lineRule="exact"/>
        <w:rPr>
          <w:rFonts w:ascii="Arial" w:cs="Arial" w:eastAsia="Arial" w:hAnsi="Arial"/>
          <w:sz w:val="14"/>
          <w:szCs w:val="14"/>
          <w:color w:val="131E29"/>
        </w:rPr>
      </w:pPr>
    </w:p>
    <w:p>
      <w:pPr>
        <w:ind w:left="260" w:hanging="255"/>
        <w:spacing w:after="0"/>
        <w:tabs>
          <w:tab w:leader="none" w:pos="260" w:val="left"/>
        </w:tabs>
        <w:numPr>
          <w:ilvl w:val="0"/>
          <w:numId w:val="26"/>
        </w:numPr>
        <w:rPr>
          <w:rFonts w:ascii="Arial" w:cs="Arial" w:eastAsia="Arial" w:hAnsi="Arial"/>
          <w:sz w:val="14"/>
          <w:szCs w:val="14"/>
          <w:color w:val="131E29"/>
        </w:rPr>
      </w:pPr>
      <w:r>
        <w:rPr>
          <w:rFonts w:ascii="Arial" w:cs="Arial" w:eastAsia="Arial" w:hAnsi="Arial"/>
          <w:sz w:val="14"/>
          <w:szCs w:val="14"/>
          <w:color w:val="131E29"/>
        </w:rPr>
        <w:t>announcements by us or our competitors of new products or services;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26"/>
        </w:numPr>
        <w:rPr>
          <w:rFonts w:ascii="Arial" w:cs="Arial" w:eastAsia="Arial" w:hAnsi="Arial"/>
          <w:sz w:val="14"/>
          <w:szCs w:val="14"/>
          <w:color w:val="131E29"/>
        </w:rPr>
      </w:pPr>
      <w:r>
        <w:rPr>
          <w:rFonts w:ascii="Arial" w:cs="Arial" w:eastAsia="Arial" w:hAnsi="Arial"/>
          <w:sz w:val="14"/>
          <w:szCs w:val="14"/>
          <w:color w:val="131E29"/>
        </w:rPr>
        <w:t>the public’s reaction to our press releases, other public announcements, and filings with the SEC;</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26"/>
        </w:numPr>
        <w:rPr>
          <w:rFonts w:ascii="Arial" w:cs="Arial" w:eastAsia="Arial" w:hAnsi="Arial"/>
          <w:sz w:val="14"/>
          <w:szCs w:val="14"/>
          <w:color w:val="131E29"/>
        </w:rPr>
      </w:pPr>
      <w:r>
        <w:rPr>
          <w:rFonts w:ascii="Arial" w:cs="Arial" w:eastAsia="Arial" w:hAnsi="Arial"/>
          <w:sz w:val="14"/>
          <w:szCs w:val="14"/>
          <w:color w:val="131E29"/>
        </w:rPr>
        <w:t>rumors and market speculation involving us or other companies in our industry;</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50" w:name="page51"/>
    <w:bookmarkEnd w:id="50"/>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60" w:hanging="255"/>
        <w:spacing w:after="0"/>
        <w:tabs>
          <w:tab w:leader="none" w:pos="260" w:val="left"/>
        </w:tabs>
        <w:numPr>
          <w:ilvl w:val="0"/>
          <w:numId w:val="27"/>
        </w:numPr>
        <w:rPr>
          <w:rFonts w:ascii="Arial" w:cs="Arial" w:eastAsia="Arial" w:hAnsi="Arial"/>
          <w:sz w:val="14"/>
          <w:szCs w:val="14"/>
          <w:color w:val="131E29"/>
        </w:rPr>
      </w:pPr>
      <w:r>
        <w:rPr>
          <w:rFonts w:ascii="Arial" w:cs="Arial" w:eastAsia="Arial" w:hAnsi="Arial"/>
          <w:sz w:val="14"/>
          <w:szCs w:val="14"/>
          <w:color w:val="131E29"/>
        </w:rPr>
        <w:t>actual or anticipated changes in our results of operations or fluctuations in our results of operations;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27"/>
        </w:numPr>
        <w:rPr>
          <w:rFonts w:ascii="Arial" w:cs="Arial" w:eastAsia="Arial" w:hAnsi="Arial"/>
          <w:sz w:val="14"/>
          <w:szCs w:val="14"/>
          <w:color w:val="131E29"/>
        </w:rPr>
      </w:pPr>
      <w:r>
        <w:rPr>
          <w:rFonts w:ascii="Arial" w:cs="Arial" w:eastAsia="Arial" w:hAnsi="Arial"/>
          <w:sz w:val="14"/>
          <w:szCs w:val="14"/>
          <w:color w:val="131E29"/>
        </w:rPr>
        <w:t>actual or anticipated developments in our business, our competitors’ businesses, or the competitive landscape generally;</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27"/>
        </w:numPr>
        <w:rPr>
          <w:rFonts w:ascii="Arial" w:cs="Arial" w:eastAsia="Arial" w:hAnsi="Arial"/>
          <w:sz w:val="14"/>
          <w:szCs w:val="14"/>
          <w:color w:val="131E29"/>
        </w:rPr>
      </w:pPr>
      <w:r>
        <w:rPr>
          <w:rFonts w:ascii="Arial" w:cs="Arial" w:eastAsia="Arial" w:hAnsi="Arial"/>
          <w:sz w:val="14"/>
          <w:szCs w:val="14"/>
          <w:color w:val="131E29"/>
        </w:rPr>
        <w:t>litigation involving us, our industry or both, or investigations by regulators into our operations or those of our competitors;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27"/>
        </w:numPr>
        <w:rPr>
          <w:rFonts w:ascii="Arial" w:cs="Arial" w:eastAsia="Arial" w:hAnsi="Arial"/>
          <w:sz w:val="14"/>
          <w:szCs w:val="14"/>
          <w:color w:val="131E29"/>
        </w:rPr>
      </w:pPr>
      <w:r>
        <w:rPr>
          <w:rFonts w:ascii="Arial" w:cs="Arial" w:eastAsia="Arial" w:hAnsi="Arial"/>
          <w:sz w:val="14"/>
          <w:szCs w:val="14"/>
          <w:color w:val="131E29"/>
        </w:rPr>
        <w:t>actual or perceived privacy or data security incidents;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27"/>
        </w:numPr>
        <w:rPr>
          <w:rFonts w:ascii="Arial" w:cs="Arial" w:eastAsia="Arial" w:hAnsi="Arial"/>
          <w:sz w:val="14"/>
          <w:szCs w:val="14"/>
          <w:color w:val="131E29"/>
        </w:rPr>
      </w:pPr>
      <w:r>
        <w:rPr>
          <w:rFonts w:ascii="Arial" w:cs="Arial" w:eastAsia="Arial" w:hAnsi="Arial"/>
          <w:sz w:val="14"/>
          <w:szCs w:val="14"/>
          <w:color w:val="131E29"/>
        </w:rPr>
        <w:t>developments or disputes concerning our intellectual property or other proprietary rights;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27"/>
        </w:numPr>
        <w:rPr>
          <w:rFonts w:ascii="Arial" w:cs="Arial" w:eastAsia="Arial" w:hAnsi="Arial"/>
          <w:sz w:val="14"/>
          <w:szCs w:val="14"/>
          <w:color w:val="131E29"/>
        </w:rPr>
      </w:pPr>
      <w:r>
        <w:rPr>
          <w:rFonts w:ascii="Arial" w:cs="Arial" w:eastAsia="Arial" w:hAnsi="Arial"/>
          <w:sz w:val="14"/>
          <w:szCs w:val="14"/>
          <w:color w:val="131E29"/>
        </w:rPr>
        <w:t>announced or completed acquisitions of businesses, franchises or other assets by us or our competitors;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27"/>
        </w:numPr>
        <w:rPr>
          <w:rFonts w:ascii="Arial" w:cs="Arial" w:eastAsia="Arial" w:hAnsi="Arial"/>
          <w:sz w:val="14"/>
          <w:szCs w:val="14"/>
          <w:color w:val="131E29"/>
        </w:rPr>
      </w:pPr>
      <w:r>
        <w:rPr>
          <w:rFonts w:ascii="Arial" w:cs="Arial" w:eastAsia="Arial" w:hAnsi="Arial"/>
          <w:sz w:val="14"/>
          <w:szCs w:val="14"/>
          <w:color w:val="131E29"/>
        </w:rPr>
        <w:t>new laws or regulations or new interpretations of existing laws or regulations applicable to our business;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27"/>
        </w:numPr>
        <w:rPr>
          <w:rFonts w:ascii="Arial" w:cs="Arial" w:eastAsia="Arial" w:hAnsi="Arial"/>
          <w:sz w:val="14"/>
          <w:szCs w:val="14"/>
          <w:color w:val="131E29"/>
        </w:rPr>
      </w:pPr>
      <w:r>
        <w:rPr>
          <w:rFonts w:ascii="Arial" w:cs="Arial" w:eastAsia="Arial" w:hAnsi="Arial"/>
          <w:sz w:val="14"/>
          <w:szCs w:val="14"/>
          <w:color w:val="131E29"/>
        </w:rPr>
        <w:t>changes in accounting standards, policies, guidelines, interpretations or principles;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27"/>
        </w:numPr>
        <w:rPr>
          <w:rFonts w:ascii="Arial" w:cs="Arial" w:eastAsia="Arial" w:hAnsi="Arial"/>
          <w:sz w:val="14"/>
          <w:szCs w:val="14"/>
          <w:color w:val="131E29"/>
        </w:rPr>
      </w:pPr>
      <w:r>
        <w:rPr>
          <w:rFonts w:ascii="Arial" w:cs="Arial" w:eastAsia="Arial" w:hAnsi="Arial"/>
          <w:sz w:val="14"/>
          <w:szCs w:val="14"/>
          <w:color w:val="131E29"/>
        </w:rPr>
        <w:t>any significant change in our management; and</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27"/>
        </w:numPr>
        <w:rPr>
          <w:rFonts w:ascii="Arial" w:cs="Arial" w:eastAsia="Arial" w:hAnsi="Arial"/>
          <w:sz w:val="14"/>
          <w:szCs w:val="14"/>
          <w:color w:val="131E29"/>
        </w:rPr>
      </w:pPr>
      <w:r>
        <w:rPr>
          <w:rFonts w:ascii="Arial" w:cs="Arial" w:eastAsia="Arial" w:hAnsi="Arial"/>
          <w:sz w:val="14"/>
          <w:szCs w:val="14"/>
          <w:color w:val="131E29"/>
        </w:rPr>
        <w:t>general political and economic conditions and slow or negative growth of our markets.</w:t>
      </w:r>
    </w:p>
    <w:p>
      <w:pPr>
        <w:spacing w:after="0" w:line="136"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In addition, in the past, following periods of volatility in the overall market and in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9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006098"/>
        </w:rPr>
        <w:t>The multi-class structure of our common stock has the effect of concentrating voting control with Continuing Members, limiting your ability to influence corporate matters.</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131E29"/>
        </w:rPr>
        <w:t>Each share of our Class A common stock entitles its holder to one vote on all matters on which stockholders are entitled to vote generally. Our shares of Class B common stock have no economic rights but each share will entitle its holder to ten votes (or such lower number as required to prevent the holders of Class B common stock from holding, in the aggregate, 80% or more of the aggregate voting power of Dutch Bros Inc. at any time) for so long as the aggregate number of outstanding shares of our Class B common stock represents at least 5% of the total outstanding shares of common stock, and thereafter, one vote per share on all matters on which stockholders are entitled to vote generally. All of our Class B common stock are held by certain Continuing Members affiliated with our Co-Founder. Our shares of Class C common stock and Class D common stock entitle its holder to three votes for each share (for so long as the aggregate number of outstanding shares of our Class C common stock and Class D common stock represents at least 5% of the total outstanding shares of common stock, and thereafter, one vote per share) on all matters on which stockholders are entitled to vote generally. Our shares of Class C common stock have no economic rights but Class D common stock have the same economic rights as shares of Class A common stock. All of our Class C common stock are held by certain Continuing Members affiliated with our Sponsor and all our Class D common stock are held by the Pre-IPO Blocker Holders.</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The difference in voting rights could adversely affect the value of our Class A common stock by, for example, delaying or deferring a change of control or if investors view, or any potential future purchaser of our company views, the superior voting rights of the Class B common stock, Class C common stock and Class D common stock to have value. Because of the ten-to-one voting ratio between our Class B common stock and our Class A common stock, and the three-to-one voting ratio between our Class C common stock and Class D common stock, on the one hand, and our Class A common stock on the other hand, the holders of our Class B common stock, Class C common stock and Class D common stock collectively will continue to control a majority of the combined voting power of our common stock and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51" w:name="page52"/>
    <w:bookmarkEnd w:id="51"/>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therefore be able to control all matters submitted to our stockholders so long as they collectively represent at least a majority of the total voting power. This concentrated control will limit or preclude the ability of holders of Class A common stock to influence corporate matters for the foreseeable future.</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As a public company utilizing a multi-class capital structure, FTSE Russell and Standard &amp; Poor’s will not include our stock in their indices. Affected indices include the Russell 2000 and the S&amp;P 500, S&amp;P MidCap 400 and S&amp;P SmallCap 600, which together make up the S&amp;P Composite 1500. Our multi-class capital structure makes us ineligible for inclusion in certain indices, and as a result, mutual funds, exchange-traded funds and other investment vehicles that attempt to passively track these indices will not be investing in our Class A common stock. In addition, we cannot assure you that other stock indices will not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and volume of our Class A common stock could be adversely affected.</w:t>
      </w:r>
    </w:p>
    <w:p>
      <w:pPr>
        <w:spacing w:after="0" w:line="10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b w:val="1"/>
          <w:bCs w:val="1"/>
          <w:i w:val="1"/>
          <w:iCs w:val="1"/>
          <w:color w:val="006098"/>
        </w:rPr>
        <w:t>Our Co-Founder and Sponsor have significant influence over us, which could limit your ability to influence the outcome of matters submitted to stockholders for a vote.</w:t>
      </w:r>
    </w:p>
    <w:p>
      <w:pPr>
        <w:spacing w:after="0" w:line="305"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131E29"/>
        </w:rPr>
        <w:t>Certain affiliates of our Co-Founder beneficially own approximately 75.9% of the combined voting power of our Class A common stock, Class B common stock, Class C common stock and Class D common stock, and our Sponsor, directly and through affiliated investment funds, beneficially owns approximately 18.8% of the combined voting power of our Class A common stock, Class B common stock, Class C common stock and Class D common stock. Each share of Class A common stock entitles the holder to one vote, each share of Class B common stock entitles the holder to ten votes (for so long as the aggregate number of outstanding shares of our Class B common stock represents at least 5% of the total outstanding common stock, and thereafter, one vote per share, provided that the number of votes per share may be adjusted from time to time in accordance with our amended and restated certificate of incorporation, as required to prevent the holders of Class B common stock from holding, in the aggregate, 80% or more of the aggregate voting power of Dutch Bros Inc. at any time) and each share of Class C common stock and Class D common stock entitles the holder to three votes (for so long as the aggregate number of outstanding shares of our Class C common stock and Class D common stock represents at least 5% of the total outstanding common stock, and thereafter, one vote per share) on all matters on which stockholders are entitled to vote generally. Thus our Co-Founder and our Sponsor exercise control over all corporate actions requiring stockholder approval, irrespective of how our other stockholders may vote, including the election and removal of directors and the size of our board of directors, any amendment of our certificate of incorporation or bylaws or the approval of any merger or other significant corporate transaction, including a sale of substantially all our assets.</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In addition, our amended and restated certificate of incorporation provides that the holders of Class C common stock, which our Sponsor and its affiliates hold all of, are entitled to elect up to two members of our board of directors, voting as a separate class. The Stockholders Agreement similarly provides that we will agree to nominate to our board of directors individuals designated by our Sponsor, which will retain the right to designate up to two members of the board of directors for so long as the holders of shares of Class C common stock are entitled to elect one or more members to the board of directors pursuant to our amended and restated certificate of incorporation. Our Sponsor may therefore have influence over management and substantial control over matters requiring stockholder approval, including the annual election of directors and significant corporate transactions, such as a merger or other sale of our company or its assets, for the foreseeable future. It is possible that our Co-Founder’s and our Sponsor’s interests may not align with the interests of our other stockholders.</w:t>
      </w:r>
    </w:p>
    <w:p>
      <w:pPr>
        <w:spacing w:after="0" w:line="118"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131E29"/>
        </w:rPr>
        <w:t>Our Co-Founder and Sponsor own approximately 64.6% of the Dutch Bros OpCo Class A common units. Because they hold their ownership interest in our business directly in Dutch Bros OpCo, rather than through Dutch Bros Inc., the Continuing Members may have conflicting interests with holders of shares of our Class A common stock. For example, if Dutch Bros OpCo makes distributions to us, the non-managing members of Dutch Bros OpCo will also be entitled to receive such distributions pro rata in</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52" w:name="page53"/>
    <w:bookmarkEnd w:id="52"/>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131E29"/>
        </w:rPr>
        <w:t>accordance with their ownership of Dutch Bros OpCo Class A common units and their preferences as to the timing and amount of any such distributions may differ from those of our public stockholders. The Continuing Members may also have different tax positions from Dutch Bros Inc. that could influence their decisions regarding whether and when to dispose of assets, especially in light of the existence of the Tax Receivable Agreements, whether and when to incur new or refinance existing indebtedness and whether and when Dutch Bros Inc. should terminate the Tax Receivable Agreements and accelerate its obligations thereunder. In addition, the structuring of future transactions may take into consideration our pre-IPO owners’ (pre-IPO Dutch Bros OpCo unitholders and Pre-IPO Blocker Holders) tax or other considerations even where no similar benefit would accrue to us.</w:t>
      </w:r>
    </w:p>
    <w:p>
      <w:pPr>
        <w:spacing w:after="0" w:line="10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006098"/>
        </w:rPr>
        <w:t>We are a “controlled company” within the meaning of the New York Stock Exchange rules and, as a result, qualify for, and rely on, exemptions and relief from certain corporate governance requirements. You do not have the same protections afforded to stockholders of companies that are subject to such requirements.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Certain affiliates of our Co-Founder beneficially own approximately 75.9% of the combined voting power of our Class A common stock, Class B common stock, Class C common stock and Class D common stock. As a result, we are a “controlled company” within the meaning of the New York Stock Exchange corporate governance standards. Under these corporate governance standards, a company of which more than 50% of the voting power in the election of directors is held by an individual, group or another company is a “controlled company” and may elect not to comply with certain corporate governance requirements. For example, controlled companies are not required to have:</w:t>
      </w:r>
    </w:p>
    <w:p>
      <w:pPr>
        <w:spacing w:after="0" w:line="117" w:lineRule="exact"/>
        <w:rPr>
          <w:sz w:val="20"/>
          <w:szCs w:val="20"/>
          <w:color w:val="auto"/>
        </w:rPr>
      </w:pPr>
    </w:p>
    <w:p>
      <w:pPr>
        <w:ind w:left="260" w:hanging="255"/>
        <w:spacing w:after="0"/>
        <w:tabs>
          <w:tab w:leader="none" w:pos="260" w:val="left"/>
        </w:tabs>
        <w:numPr>
          <w:ilvl w:val="0"/>
          <w:numId w:val="28"/>
        </w:numPr>
        <w:rPr>
          <w:rFonts w:ascii="Arial" w:cs="Arial" w:eastAsia="Arial" w:hAnsi="Arial"/>
          <w:sz w:val="14"/>
          <w:szCs w:val="14"/>
          <w:color w:val="131E29"/>
        </w:rPr>
      </w:pPr>
      <w:r>
        <w:rPr>
          <w:rFonts w:ascii="Arial" w:cs="Arial" w:eastAsia="Arial" w:hAnsi="Arial"/>
          <w:sz w:val="14"/>
          <w:szCs w:val="14"/>
          <w:color w:val="131E29"/>
        </w:rPr>
        <w:t>a board that is composed of a majority of “independent directors,” as defined under the New York Stock Exchange rules;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28"/>
        </w:numPr>
        <w:rPr>
          <w:rFonts w:ascii="Arial" w:cs="Arial" w:eastAsia="Arial" w:hAnsi="Arial"/>
          <w:sz w:val="14"/>
          <w:szCs w:val="14"/>
          <w:color w:val="131E29"/>
        </w:rPr>
      </w:pPr>
      <w:r>
        <w:rPr>
          <w:rFonts w:ascii="Arial" w:cs="Arial" w:eastAsia="Arial" w:hAnsi="Arial"/>
          <w:sz w:val="14"/>
          <w:szCs w:val="14"/>
          <w:color w:val="131E29"/>
        </w:rPr>
        <w:t>a compensation committee that is composed entirely of independent directors; and</w:t>
      </w:r>
    </w:p>
    <w:p>
      <w:pPr>
        <w:spacing w:after="0" w:line="136" w:lineRule="exact"/>
        <w:rPr>
          <w:rFonts w:ascii="Arial" w:cs="Arial" w:eastAsia="Arial" w:hAnsi="Arial"/>
          <w:sz w:val="14"/>
          <w:szCs w:val="14"/>
          <w:color w:val="131E29"/>
        </w:rPr>
      </w:pPr>
    </w:p>
    <w:p>
      <w:pPr>
        <w:ind w:left="260" w:hanging="255"/>
        <w:spacing w:after="0" w:line="266" w:lineRule="auto"/>
        <w:tabs>
          <w:tab w:leader="none" w:pos="256" w:val="left"/>
        </w:tabs>
        <w:numPr>
          <w:ilvl w:val="0"/>
          <w:numId w:val="28"/>
        </w:numPr>
        <w:rPr>
          <w:rFonts w:ascii="Arial" w:cs="Arial" w:eastAsia="Arial" w:hAnsi="Arial"/>
          <w:sz w:val="14"/>
          <w:szCs w:val="14"/>
          <w:color w:val="131E29"/>
        </w:rPr>
      </w:pPr>
      <w:r>
        <w:rPr>
          <w:rFonts w:ascii="Arial" w:cs="Arial" w:eastAsia="Arial" w:hAnsi="Arial"/>
          <w:sz w:val="14"/>
          <w:szCs w:val="14"/>
          <w:color w:val="131E29"/>
        </w:rPr>
        <w:t>director nominations be made, or recommended to the full board of directors, by its independent directors, or by a nominations/governance committee that is composed entirely of independent directors.</w:t>
      </w:r>
    </w:p>
    <w:p>
      <w:pPr>
        <w:spacing w:after="0" w:line="11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We intend to continue to utilize these exemptions until we are no longer eligible for them. Accordingly, you do not have the same protections afforded to stockholders of companies that are subject to all the corporate governance requirements of the New York Stock Exchange.</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Certain of our directors have relationships with our Sponsor, which may cause conflicts of interest with respect to our business.</w:t>
      </w:r>
    </w:p>
    <w:p>
      <w:pPr>
        <w:spacing w:after="0" w:line="15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One of our directors is affiliated with our Sponsor. Our Sponsor-affiliated director has fiduciary duties to us and, in addition, has duties to our Sponsor. As a result, this director may face real or apparent conflicts of interest with respect to matters affecting both us and our Sponsor, whose interests may be adverse to ours in some circumstances.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Additionally, our amended and restated certificate of incorporation provides that we renounce any interest or expectancy in, or in being offered an opportunity to participate in, business opportunities that are from time to time available to Sponsor and of its officers, directors, agents, stockholders, members, partners, affiliates and subsidiaries and each such party shall not have any obligation to offer us those opportunities unless presented to one of our directors or officers in his or her capacity as a director or officer.</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Future sales of shares of our Class A or Class D common stock cause the market price of our Class A common stock to decline.</w:t>
      </w:r>
    </w:p>
    <w:p>
      <w:pPr>
        <w:spacing w:after="0" w:line="15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Sales of a substantial number of shares of our Class A or Class D common stock (after converting to Class A common stock) in the public market, or the perception that these redemptions, exchanges or sales might occur, could depress the market price of our Class A common stock and could impair our</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53" w:name="page54"/>
    <w:bookmarkEnd w:id="53"/>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ability to raise capital through the sale of additional equity securities. Many of our existing equity holders have substantial unrecognized gains on the value of the equity they hold based upon the price per share of the IPO, and therefore they may take steps to sell their shares or otherwise secure the unrecognized gains on those shares.</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Subject to the terms of the Amended and Restated Limited Liability Company Agreement of Dutch Bros OpCo, an aggregate of 105,755,565 Dutch Bros OpCo Class A common units may be redeemed in exchange for shares of our Class A common stock and an aggregate of 12,411,419 shares of Class D common stock may be converted into shares of our Class A common stock. Any shares we issue upon redemption or exchange of Dutch Bros OpCo Class A common units or upon the conversion of shares of Class D common stock, as applicable, will be “restricted securities” as defined in Rule 144 and may not be sold in the absence of registration under the Securities Act of 1933, as amended (Securities Act) unless an exemption from registration is available, including the exemptions contained in Rule 144.</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However, all such shares are now eligible for resale in the public market, subject, in the case of shares held by our affiliates, to volume, manner of sale, and other limitations under Rule 144.</w:t>
      </w:r>
    </w:p>
    <w:p>
      <w:pPr>
        <w:spacing w:after="0" w:line="9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b w:val="1"/>
          <w:bCs w:val="1"/>
          <w:i w:val="1"/>
          <w:iCs w:val="1"/>
          <w:color w:val="006098"/>
        </w:rPr>
        <w:t>Our trading price and trading volume could decline if securities or industry analysts do not publish research about our business, or if they publish unfavorable research.</w:t>
      </w:r>
    </w:p>
    <w:p>
      <w:pPr>
        <w:spacing w:after="0" w:line="30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The trading market for our Class A common stock relies in part on the research and reports that equity research analysts publish about us or our business. A lack of adequate research coverage may harm the liquidity and trading price of our Class A common stock. We do not have any control over the content and opinions included in their reports. The trading price of our Class A common stock could decline if one or more equity research analysts downgrade our stock or publish other unfavorable commentary or research. If one or more equity research analysts cease coverage of our company, or fail to regularly publish reports on us, the demand for our Class A common stock could decrease, which in turn could cause our trading price or trading volume to decline.</w:t>
      </w:r>
    </w:p>
    <w:p>
      <w:pPr>
        <w:spacing w:after="0" w:line="10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006098"/>
        </w:rPr>
        <w:t>We are no longer qualified as an “emerging growth company” as of December 31, 2022, and, as a result, we will no longer be able to avail ourselves of certain reduced reporting and disclosure requirements.</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Based on the market value of our Class A common stock held by non-affiliates as of June 30, 2022, we ceased to qualify, effective as of December 31, 2022, as an “emerging growth company,” as defined in the Jumpstart Our Business Startups Act (the JOBS Act). We previously have taken advantage of certain exemptions from various reporting requirements that are applicable to other public companies that are not “emerging growth companies,” including the auditor attestation requirements of Section 404 of the Sarbanes-Oxley Act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We are no longer able to take advantage of any of the exemptions from various reporting requirements that are applicable to other public companies that are not “emerging growth companies” as described above, and we are no longer able to use the extended transition period for complying with new or revised accounting standards. We expect that the loss of our “emerging growth company” status and compliance with these additional requirements will substantially increase our legal and financial compliance costs. In addition, any failure to comply with these additional requirements in a timely manner, or at all, could have an adverse effect on our business and results of operations and could cause a decline in the price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54" w:name="page55"/>
    <w:bookmarkEnd w:id="54"/>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General Risks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Our results may fluctuate significantly and may not meet our expectations or those of investors or securities analysts.</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Our results of operations, including the levels of our revenue, deferred revenue, working capital, and cash flows, may vary significantly in the future, such that period-to-period comparisons of our results of operations may not be meaningful. Our financial results may fluctuate due to a variety of factors, many of which are outside of our control and may be difficult to predict, including, but not limited to:</w:t>
      </w:r>
    </w:p>
    <w:p>
      <w:pPr>
        <w:spacing w:after="0" w:line="115" w:lineRule="exact"/>
        <w:rPr>
          <w:sz w:val="20"/>
          <w:szCs w:val="20"/>
          <w:color w:val="auto"/>
        </w:rPr>
      </w:pPr>
    </w:p>
    <w:p>
      <w:pPr>
        <w:ind w:left="260" w:hanging="255"/>
        <w:spacing w:after="0"/>
        <w:tabs>
          <w:tab w:leader="none" w:pos="260" w:val="left"/>
        </w:tabs>
        <w:numPr>
          <w:ilvl w:val="0"/>
          <w:numId w:val="29"/>
        </w:numPr>
        <w:rPr>
          <w:rFonts w:ascii="Arial" w:cs="Arial" w:eastAsia="Arial" w:hAnsi="Arial"/>
          <w:sz w:val="14"/>
          <w:szCs w:val="14"/>
          <w:color w:val="131E29"/>
        </w:rPr>
      </w:pPr>
      <w:r>
        <w:rPr>
          <w:rFonts w:ascii="Arial" w:cs="Arial" w:eastAsia="Arial" w:hAnsi="Arial"/>
          <w:sz w:val="14"/>
          <w:szCs w:val="14"/>
          <w:color w:val="131E29"/>
        </w:rPr>
        <w:t>changes in consumer tastes and nutritional and dietary trends;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29"/>
        </w:numPr>
        <w:rPr>
          <w:rFonts w:ascii="Arial" w:cs="Arial" w:eastAsia="Arial" w:hAnsi="Arial"/>
          <w:sz w:val="14"/>
          <w:szCs w:val="14"/>
          <w:color w:val="131E29"/>
        </w:rPr>
      </w:pPr>
      <w:r>
        <w:rPr>
          <w:rFonts w:ascii="Arial" w:cs="Arial" w:eastAsia="Arial" w:hAnsi="Arial"/>
          <w:sz w:val="14"/>
          <w:szCs w:val="14"/>
          <w:color w:val="131E29"/>
        </w:rPr>
        <w:t>successful identification and acquisition of appropriate sites to timely develop and expand our number of profitable shops;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29"/>
        </w:numPr>
        <w:rPr>
          <w:rFonts w:ascii="Arial" w:cs="Arial" w:eastAsia="Arial" w:hAnsi="Arial"/>
          <w:sz w:val="14"/>
          <w:szCs w:val="14"/>
          <w:color w:val="131E29"/>
        </w:rPr>
      </w:pPr>
      <w:r>
        <w:rPr>
          <w:rFonts w:ascii="Arial" w:cs="Arial" w:eastAsia="Arial" w:hAnsi="Arial"/>
          <w:sz w:val="14"/>
          <w:szCs w:val="14"/>
          <w:color w:val="131E29"/>
        </w:rPr>
        <w:t>protection of our brand and reputation;</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29"/>
        </w:numPr>
        <w:rPr>
          <w:rFonts w:ascii="Arial" w:cs="Arial" w:eastAsia="Arial" w:hAnsi="Arial"/>
          <w:sz w:val="14"/>
          <w:szCs w:val="14"/>
          <w:color w:val="131E29"/>
        </w:rPr>
      </w:pPr>
      <w:r>
        <w:rPr>
          <w:rFonts w:ascii="Arial" w:cs="Arial" w:eastAsia="Arial" w:hAnsi="Arial"/>
          <w:sz w:val="14"/>
          <w:szCs w:val="14"/>
          <w:color w:val="131E29"/>
        </w:rPr>
        <w:t>dependence on a small number of suppliers, including for roasting;</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29"/>
        </w:numPr>
        <w:rPr>
          <w:rFonts w:ascii="Arial" w:cs="Arial" w:eastAsia="Arial" w:hAnsi="Arial"/>
          <w:sz w:val="14"/>
          <w:szCs w:val="14"/>
          <w:color w:val="131E29"/>
        </w:rPr>
      </w:pPr>
      <w:r>
        <w:rPr>
          <w:rFonts w:ascii="Arial" w:cs="Arial" w:eastAsia="Arial" w:hAnsi="Arial"/>
          <w:sz w:val="14"/>
          <w:szCs w:val="14"/>
          <w:color w:val="131E29"/>
        </w:rPr>
        <w:t>expectations regarding our future operating and financial performance;</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29"/>
        </w:numPr>
        <w:rPr>
          <w:rFonts w:ascii="Arial" w:cs="Arial" w:eastAsia="Arial" w:hAnsi="Arial"/>
          <w:sz w:val="14"/>
          <w:szCs w:val="14"/>
          <w:color w:val="131E29"/>
        </w:rPr>
      </w:pPr>
      <w:r>
        <w:rPr>
          <w:rFonts w:ascii="Arial" w:cs="Arial" w:eastAsia="Arial" w:hAnsi="Arial"/>
          <w:sz w:val="14"/>
          <w:szCs w:val="14"/>
          <w:color w:val="131E29"/>
        </w:rPr>
        <w:t>the size of our addressable markets, market share, and market trends;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29"/>
        </w:numPr>
        <w:rPr>
          <w:rFonts w:ascii="Arial" w:cs="Arial" w:eastAsia="Arial" w:hAnsi="Arial"/>
          <w:sz w:val="14"/>
          <w:szCs w:val="14"/>
          <w:color w:val="131E29"/>
        </w:rPr>
      </w:pPr>
      <w:r>
        <w:rPr>
          <w:rFonts w:ascii="Arial" w:cs="Arial" w:eastAsia="Arial" w:hAnsi="Arial"/>
          <w:sz w:val="14"/>
          <w:szCs w:val="14"/>
          <w:color w:val="131E29"/>
        </w:rPr>
        <w:t>effective management and continued growth of our workforce and operations;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29"/>
        </w:numPr>
        <w:rPr>
          <w:rFonts w:ascii="Arial" w:cs="Arial" w:eastAsia="Arial" w:hAnsi="Arial"/>
          <w:sz w:val="14"/>
          <w:szCs w:val="14"/>
          <w:color w:val="131E29"/>
        </w:rPr>
      </w:pPr>
      <w:r>
        <w:rPr>
          <w:rFonts w:ascii="Arial" w:cs="Arial" w:eastAsia="Arial" w:hAnsi="Arial"/>
          <w:sz w:val="14"/>
          <w:szCs w:val="14"/>
          <w:color w:val="131E29"/>
        </w:rPr>
        <w:t>our ability to attract, retain, and motivate skilled personnel, including key members of our senior management;</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29"/>
        </w:numPr>
        <w:rPr>
          <w:rFonts w:ascii="Arial" w:cs="Arial" w:eastAsia="Arial" w:hAnsi="Arial"/>
          <w:sz w:val="14"/>
          <w:szCs w:val="14"/>
          <w:color w:val="131E29"/>
        </w:rPr>
      </w:pPr>
      <w:r>
        <w:rPr>
          <w:rFonts w:ascii="Arial" w:cs="Arial" w:eastAsia="Arial" w:hAnsi="Arial"/>
          <w:sz w:val="14"/>
          <w:szCs w:val="14"/>
          <w:color w:val="131E29"/>
        </w:rPr>
        <w:t>generation of projected same shop sales growth;</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29"/>
        </w:numPr>
        <w:rPr>
          <w:rFonts w:ascii="Arial" w:cs="Arial" w:eastAsia="Arial" w:hAnsi="Arial"/>
          <w:sz w:val="14"/>
          <w:szCs w:val="14"/>
          <w:color w:val="131E29"/>
        </w:rPr>
      </w:pPr>
      <w:r>
        <w:rPr>
          <w:rFonts w:ascii="Arial" w:cs="Arial" w:eastAsia="Arial" w:hAnsi="Arial"/>
          <w:sz w:val="14"/>
          <w:szCs w:val="14"/>
          <w:color w:val="131E29"/>
        </w:rPr>
        <w:t>the sufficiency of our cash, cash equivalents, and investments to meet our liquidity needs;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29"/>
        </w:numPr>
        <w:rPr>
          <w:rFonts w:ascii="Arial" w:cs="Arial" w:eastAsia="Arial" w:hAnsi="Arial"/>
          <w:sz w:val="14"/>
          <w:szCs w:val="14"/>
          <w:color w:val="131E29"/>
        </w:rPr>
      </w:pPr>
      <w:r>
        <w:rPr>
          <w:rFonts w:ascii="Arial" w:cs="Arial" w:eastAsia="Arial" w:hAnsi="Arial"/>
          <w:sz w:val="14"/>
          <w:szCs w:val="14"/>
          <w:color w:val="131E29"/>
        </w:rPr>
        <w:t>dependence on long-term non-cancelable leases;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29"/>
        </w:numPr>
        <w:rPr>
          <w:rFonts w:ascii="Arial" w:cs="Arial" w:eastAsia="Arial" w:hAnsi="Arial"/>
          <w:sz w:val="14"/>
          <w:szCs w:val="14"/>
          <w:color w:val="131E29"/>
        </w:rPr>
      </w:pPr>
      <w:r>
        <w:rPr>
          <w:rFonts w:ascii="Arial" w:cs="Arial" w:eastAsia="Arial" w:hAnsi="Arial"/>
          <w:sz w:val="14"/>
          <w:szCs w:val="14"/>
          <w:color w:val="131E29"/>
        </w:rPr>
        <w:t>our employees and the status of our workers;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29"/>
        </w:numPr>
        <w:rPr>
          <w:rFonts w:ascii="Arial" w:cs="Arial" w:eastAsia="Arial" w:hAnsi="Arial"/>
          <w:sz w:val="14"/>
          <w:szCs w:val="14"/>
          <w:color w:val="131E29"/>
        </w:rPr>
      </w:pPr>
      <w:r>
        <w:rPr>
          <w:rFonts w:ascii="Arial" w:cs="Arial" w:eastAsia="Arial" w:hAnsi="Arial"/>
          <w:sz w:val="14"/>
          <w:szCs w:val="14"/>
          <w:color w:val="131E29"/>
        </w:rPr>
        <w:t>our inability to maintain good relationships with our franchising partners;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29"/>
        </w:numPr>
        <w:rPr>
          <w:rFonts w:ascii="Arial" w:cs="Arial" w:eastAsia="Arial" w:hAnsi="Arial"/>
          <w:sz w:val="14"/>
          <w:szCs w:val="14"/>
          <w:color w:val="131E29"/>
        </w:rPr>
      </w:pPr>
      <w:r>
        <w:rPr>
          <w:rFonts w:ascii="Arial" w:cs="Arial" w:eastAsia="Arial" w:hAnsi="Arial"/>
          <w:sz w:val="14"/>
          <w:szCs w:val="14"/>
          <w:color w:val="131E29"/>
        </w:rPr>
        <w:t>the timing and amount of deferred expenses related to the maintenance of company-operated shops;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29"/>
        </w:numPr>
        <w:rPr>
          <w:rFonts w:ascii="Arial" w:cs="Arial" w:eastAsia="Arial" w:hAnsi="Arial"/>
          <w:sz w:val="14"/>
          <w:szCs w:val="14"/>
          <w:color w:val="131E29"/>
        </w:rPr>
      </w:pPr>
      <w:r>
        <w:rPr>
          <w:rFonts w:ascii="Arial" w:cs="Arial" w:eastAsia="Arial" w:hAnsi="Arial"/>
          <w:sz w:val="14"/>
          <w:szCs w:val="14"/>
          <w:color w:val="131E29"/>
        </w:rPr>
        <w:t>the effects of seasonal trends on our results of operations;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29"/>
        </w:numPr>
        <w:rPr>
          <w:rFonts w:ascii="Arial" w:cs="Arial" w:eastAsia="Arial" w:hAnsi="Arial"/>
          <w:sz w:val="14"/>
          <w:szCs w:val="14"/>
          <w:color w:val="131E29"/>
        </w:rPr>
      </w:pPr>
      <w:r>
        <w:rPr>
          <w:rFonts w:ascii="Arial" w:cs="Arial" w:eastAsia="Arial" w:hAnsi="Arial"/>
          <w:sz w:val="14"/>
          <w:szCs w:val="14"/>
          <w:color w:val="131E29"/>
        </w:rPr>
        <w:t>our vulnerability to global financial market conditions, including the continuing effects from the recent recession;</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29"/>
        </w:numPr>
        <w:rPr>
          <w:rFonts w:ascii="Arial" w:cs="Arial" w:eastAsia="Arial" w:hAnsi="Arial"/>
          <w:sz w:val="14"/>
          <w:szCs w:val="14"/>
          <w:color w:val="131E29"/>
        </w:rPr>
      </w:pPr>
      <w:r>
        <w:rPr>
          <w:rFonts w:ascii="Arial" w:cs="Arial" w:eastAsia="Arial" w:hAnsi="Arial"/>
          <w:sz w:val="14"/>
          <w:szCs w:val="14"/>
          <w:color w:val="131E29"/>
        </w:rPr>
        <w:t>adverse weather conditions in local or regional areas where our shops are located; and</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29"/>
        </w:numPr>
        <w:rPr>
          <w:rFonts w:ascii="Arial" w:cs="Arial" w:eastAsia="Arial" w:hAnsi="Arial"/>
          <w:sz w:val="14"/>
          <w:szCs w:val="14"/>
          <w:color w:val="131E29"/>
        </w:rPr>
      </w:pPr>
      <w:r>
        <w:rPr>
          <w:rFonts w:ascii="Arial" w:cs="Arial" w:eastAsia="Arial" w:hAnsi="Arial"/>
          <w:sz w:val="14"/>
          <w:szCs w:val="14"/>
          <w:color w:val="131E29"/>
        </w:rPr>
        <w:t>our realization of any benefit from our organizational structure net of expenses associated with the same (including our obligations under the Tax Receivable Agreements).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131E29"/>
        </w:rPr>
        <w:t>Any one or more of the factors above may result in significant fluctuations in our results of operations, which may negatively impact the trading price of our Class A common stock.</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131E29"/>
        </w:rPr>
        <w:t>You should not rely on our past results as an indicator of our future performance.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55" w:name="page56"/>
    <w:bookmarkEnd w:id="55"/>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90" w:lineRule="auto"/>
        <w:rPr>
          <w:sz w:val="20"/>
          <w:szCs w:val="20"/>
          <w:color w:val="auto"/>
        </w:rPr>
      </w:pPr>
      <w:r>
        <w:rPr>
          <w:rFonts w:ascii="Arial" w:cs="Arial" w:eastAsia="Arial" w:hAnsi="Arial"/>
          <w:sz w:val="14"/>
          <w:szCs w:val="14"/>
          <w:b w:val="1"/>
          <w:bCs w:val="1"/>
          <w:i w:val="1"/>
          <w:iCs w:val="1"/>
          <w:color w:val="006098"/>
        </w:rPr>
        <w:t>Our outstanding indebtedness could materially adversely affect our financial condition and our ability to operate our business, pursue our growth strategy, and react to changes in the economy or industry.</w:t>
      </w:r>
    </w:p>
    <w:p>
      <w:pPr>
        <w:spacing w:after="0" w:line="94" w:lineRule="exact"/>
        <w:rPr>
          <w:sz w:val="20"/>
          <w:szCs w:val="20"/>
          <w:color w:val="auto"/>
        </w:rPr>
      </w:pPr>
    </w:p>
    <w:p>
      <w:pPr>
        <w:spacing w:after="0" w:line="266" w:lineRule="auto"/>
        <w:rPr>
          <w:sz w:val="20"/>
          <w:szCs w:val="20"/>
          <w:color w:val="auto"/>
        </w:rPr>
      </w:pPr>
      <w:r>
        <w:rPr>
          <w:rFonts w:ascii="Arial" w:cs="Arial" w:eastAsia="Arial" w:hAnsi="Arial"/>
          <w:sz w:val="14"/>
          <w:szCs w:val="14"/>
          <w:color w:val="131E29"/>
        </w:rPr>
        <w:t>As of December 31, 2022, we had $98.1 million and $112.7 million in term loan and revolving loans outstanding, respectively. In addition, subject to certain restrictions under the 2022 Credit Facility (as defined in NOTE 9 — Debt to the consolidated financial statements included elsewhere in this Form 10-K), we may incur additional debt.</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131E29"/>
        </w:rPr>
        <w:t>Our debt could have important consequences to you, including the following:</w:t>
      </w:r>
    </w:p>
    <w:p>
      <w:pPr>
        <w:spacing w:after="0" w:line="136" w:lineRule="exact"/>
        <w:rPr>
          <w:sz w:val="20"/>
          <w:szCs w:val="20"/>
          <w:color w:val="auto"/>
        </w:rPr>
      </w:pPr>
    </w:p>
    <w:p>
      <w:pPr>
        <w:ind w:left="260" w:hanging="255"/>
        <w:spacing w:after="0" w:line="266" w:lineRule="auto"/>
        <w:tabs>
          <w:tab w:leader="none" w:pos="256" w:val="left"/>
        </w:tabs>
        <w:numPr>
          <w:ilvl w:val="0"/>
          <w:numId w:val="30"/>
        </w:numPr>
        <w:rPr>
          <w:rFonts w:ascii="Arial" w:cs="Arial" w:eastAsia="Arial" w:hAnsi="Arial"/>
          <w:sz w:val="14"/>
          <w:szCs w:val="14"/>
          <w:color w:val="131E29"/>
        </w:rPr>
      </w:pPr>
      <w:r>
        <w:rPr>
          <w:rFonts w:ascii="Arial" w:cs="Arial" w:eastAsia="Arial" w:hAnsi="Arial"/>
          <w:sz w:val="14"/>
          <w:szCs w:val="14"/>
          <w:color w:val="131E29"/>
        </w:rPr>
        <w:t>it may be difficult for us to satisfy our obligations, including debt service requirements under our outstanding debt, resulting in possible defaults on and acceleration of such indebtedness;</w:t>
      </w:r>
    </w:p>
    <w:p>
      <w:pPr>
        <w:spacing w:after="0" w:line="109" w:lineRule="exact"/>
        <w:rPr>
          <w:rFonts w:ascii="Arial" w:cs="Arial" w:eastAsia="Arial" w:hAnsi="Arial"/>
          <w:sz w:val="14"/>
          <w:szCs w:val="14"/>
          <w:color w:val="131E29"/>
        </w:rPr>
      </w:pPr>
    </w:p>
    <w:p>
      <w:pPr>
        <w:ind w:left="260" w:hanging="255"/>
        <w:spacing w:after="0"/>
        <w:tabs>
          <w:tab w:leader="none" w:pos="260" w:val="left"/>
        </w:tabs>
        <w:numPr>
          <w:ilvl w:val="0"/>
          <w:numId w:val="30"/>
        </w:numPr>
        <w:rPr>
          <w:rFonts w:ascii="Arial" w:cs="Arial" w:eastAsia="Arial" w:hAnsi="Arial"/>
          <w:sz w:val="14"/>
          <w:szCs w:val="14"/>
          <w:color w:val="131E29"/>
        </w:rPr>
      </w:pPr>
      <w:r>
        <w:rPr>
          <w:rFonts w:ascii="Arial" w:cs="Arial" w:eastAsia="Arial" w:hAnsi="Arial"/>
          <w:sz w:val="14"/>
          <w:szCs w:val="14"/>
          <w:color w:val="131E29"/>
        </w:rPr>
        <w:t>our ability to obtain additional financing for working capital, capital expenditures, debt service requirements, or other general corporate purposes may be impaired;</w:t>
      </w:r>
    </w:p>
    <w:p>
      <w:pPr>
        <w:spacing w:after="0" w:line="136" w:lineRule="exact"/>
        <w:rPr>
          <w:rFonts w:ascii="Arial" w:cs="Arial" w:eastAsia="Arial" w:hAnsi="Arial"/>
          <w:sz w:val="14"/>
          <w:szCs w:val="14"/>
          <w:color w:val="131E29"/>
        </w:rPr>
      </w:pPr>
    </w:p>
    <w:p>
      <w:pPr>
        <w:ind w:left="260" w:hanging="255"/>
        <w:spacing w:after="0" w:line="266" w:lineRule="auto"/>
        <w:tabs>
          <w:tab w:leader="none" w:pos="256" w:val="left"/>
        </w:tabs>
        <w:numPr>
          <w:ilvl w:val="0"/>
          <w:numId w:val="30"/>
        </w:numPr>
        <w:rPr>
          <w:rFonts w:ascii="Arial" w:cs="Arial" w:eastAsia="Arial" w:hAnsi="Arial"/>
          <w:sz w:val="14"/>
          <w:szCs w:val="14"/>
          <w:color w:val="131E29"/>
        </w:rPr>
      </w:pPr>
      <w:r>
        <w:rPr>
          <w:rFonts w:ascii="Arial" w:cs="Arial" w:eastAsia="Arial" w:hAnsi="Arial"/>
          <w:sz w:val="14"/>
          <w:szCs w:val="14"/>
          <w:color w:val="131E29"/>
        </w:rPr>
        <w:t>a substantial portion of cash flow from operations may be dedicated to the payment of principal and interest on our debt, therefore reducing our ability to use our cash flow to fund our operations, capital expenditures, future business opportunities, acquisitions, and other general corporate purposes;</w:t>
      </w:r>
    </w:p>
    <w:p>
      <w:pPr>
        <w:spacing w:after="0" w:line="109" w:lineRule="exact"/>
        <w:rPr>
          <w:rFonts w:ascii="Arial" w:cs="Arial" w:eastAsia="Arial" w:hAnsi="Arial"/>
          <w:sz w:val="14"/>
          <w:szCs w:val="14"/>
          <w:color w:val="131E29"/>
        </w:rPr>
      </w:pPr>
    </w:p>
    <w:p>
      <w:pPr>
        <w:ind w:left="260" w:hanging="255"/>
        <w:spacing w:after="0"/>
        <w:tabs>
          <w:tab w:leader="none" w:pos="260" w:val="left"/>
        </w:tabs>
        <w:numPr>
          <w:ilvl w:val="0"/>
          <w:numId w:val="30"/>
        </w:numPr>
        <w:rPr>
          <w:rFonts w:ascii="Arial" w:cs="Arial" w:eastAsia="Arial" w:hAnsi="Arial"/>
          <w:sz w:val="14"/>
          <w:szCs w:val="14"/>
          <w:color w:val="131E29"/>
        </w:rPr>
      </w:pPr>
      <w:r>
        <w:rPr>
          <w:rFonts w:ascii="Arial" w:cs="Arial" w:eastAsia="Arial" w:hAnsi="Arial"/>
          <w:sz w:val="14"/>
          <w:szCs w:val="14"/>
          <w:color w:val="131E29"/>
        </w:rPr>
        <w:t>we are more vulnerable to economic downturns and adverse industry conditions and our flexibility to plan for, or react to, changes in our business or industry is more limited;</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30"/>
        </w:numPr>
        <w:rPr>
          <w:rFonts w:ascii="Arial" w:cs="Arial" w:eastAsia="Arial" w:hAnsi="Arial"/>
          <w:sz w:val="14"/>
          <w:szCs w:val="14"/>
          <w:color w:val="131E29"/>
        </w:rPr>
      </w:pPr>
      <w:r>
        <w:rPr>
          <w:rFonts w:ascii="Arial" w:cs="Arial" w:eastAsia="Arial" w:hAnsi="Arial"/>
          <w:sz w:val="14"/>
          <w:szCs w:val="14"/>
          <w:color w:val="131E29"/>
        </w:rPr>
        <w:t>our ability to capitalize on business opportunities and to react to competitive pressures, as compared to our competitors, may be compromised due to our level of debt; and</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30"/>
        </w:numPr>
        <w:rPr>
          <w:rFonts w:ascii="Arial" w:cs="Arial" w:eastAsia="Arial" w:hAnsi="Arial"/>
          <w:sz w:val="14"/>
          <w:szCs w:val="14"/>
          <w:color w:val="131E29"/>
        </w:rPr>
      </w:pPr>
      <w:r>
        <w:rPr>
          <w:rFonts w:ascii="Arial" w:cs="Arial" w:eastAsia="Arial" w:hAnsi="Arial"/>
          <w:sz w:val="14"/>
          <w:szCs w:val="14"/>
          <w:color w:val="131E29"/>
        </w:rPr>
        <w:t>our ability to borrow additional funds or to refinance debt may be limited.</w:t>
      </w:r>
    </w:p>
    <w:p>
      <w:pPr>
        <w:spacing w:after="0" w:line="136" w:lineRule="exact"/>
        <w:rPr>
          <w:sz w:val="20"/>
          <w:szCs w:val="20"/>
          <w:color w:val="auto"/>
        </w:rPr>
      </w:pPr>
    </w:p>
    <w:p>
      <w:pPr>
        <w:spacing w:after="0" w:line="266" w:lineRule="auto"/>
        <w:rPr>
          <w:sz w:val="20"/>
          <w:szCs w:val="20"/>
          <w:color w:val="auto"/>
        </w:rPr>
      </w:pPr>
      <w:r>
        <w:rPr>
          <w:rFonts w:ascii="Arial" w:cs="Arial" w:eastAsia="Arial" w:hAnsi="Arial"/>
          <w:sz w:val="14"/>
          <w:szCs w:val="14"/>
          <w:color w:val="131E29"/>
        </w:rPr>
        <w:t>Furthermore, all of our debt under our 2022 Credit Facility bears interest at variable rates. If these rates were to increase significantly, whether because of an increase in market interest rates or a decrease in our creditworthiness, our ability to borrow additional funds may be reduced and the risks related to our substantial debt would intensify.</w:t>
      </w:r>
    </w:p>
    <w:p>
      <w:pPr>
        <w:spacing w:after="0" w:line="94" w:lineRule="exact"/>
        <w:rPr>
          <w:sz w:val="20"/>
          <w:szCs w:val="20"/>
          <w:color w:val="auto"/>
        </w:rPr>
      </w:pPr>
    </w:p>
    <w:p>
      <w:pPr>
        <w:spacing w:after="0" w:line="290" w:lineRule="auto"/>
        <w:rPr>
          <w:sz w:val="20"/>
          <w:szCs w:val="20"/>
          <w:color w:val="auto"/>
        </w:rPr>
      </w:pPr>
      <w:r>
        <w:rPr>
          <w:rFonts w:ascii="Arial" w:cs="Arial" w:eastAsia="Arial" w:hAnsi="Arial"/>
          <w:sz w:val="14"/>
          <w:szCs w:val="14"/>
          <w:b w:val="1"/>
          <w:bCs w:val="1"/>
          <w:i w:val="1"/>
          <w:iCs w:val="1"/>
          <w:color w:val="006098"/>
        </w:rPr>
        <w:t>Restrictions imposed by our outstanding indebtedness and any future indebtedness may limit our ability to operate our business, execute our growth strategy, and finance our future operations or capital needs or engage in other business activities.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131E29"/>
        </w:rPr>
        <w:t>The covenants under our 2022 Credit Facility restrict our ability, among other things, to:</w:t>
      </w:r>
    </w:p>
    <w:p>
      <w:pPr>
        <w:spacing w:after="0" w:line="136" w:lineRule="exact"/>
        <w:rPr>
          <w:sz w:val="20"/>
          <w:szCs w:val="20"/>
          <w:color w:val="auto"/>
        </w:rPr>
      </w:pPr>
    </w:p>
    <w:p>
      <w:pPr>
        <w:ind w:left="260" w:hanging="255"/>
        <w:spacing w:after="0"/>
        <w:tabs>
          <w:tab w:leader="none" w:pos="260" w:val="left"/>
        </w:tabs>
        <w:numPr>
          <w:ilvl w:val="0"/>
          <w:numId w:val="31"/>
        </w:numPr>
        <w:rPr>
          <w:rFonts w:ascii="Arial" w:cs="Arial" w:eastAsia="Arial" w:hAnsi="Arial"/>
          <w:sz w:val="14"/>
          <w:szCs w:val="14"/>
          <w:color w:val="131E29"/>
        </w:rPr>
      </w:pPr>
      <w:r>
        <w:rPr>
          <w:rFonts w:ascii="Arial" w:cs="Arial" w:eastAsia="Arial" w:hAnsi="Arial"/>
          <w:sz w:val="14"/>
          <w:szCs w:val="14"/>
          <w:color w:val="131E29"/>
        </w:rPr>
        <w:t>incur additional debt;</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31"/>
        </w:numPr>
        <w:rPr>
          <w:rFonts w:ascii="Arial" w:cs="Arial" w:eastAsia="Arial" w:hAnsi="Arial"/>
          <w:sz w:val="14"/>
          <w:szCs w:val="14"/>
          <w:color w:val="131E29"/>
        </w:rPr>
      </w:pPr>
      <w:r>
        <w:rPr>
          <w:rFonts w:ascii="Arial" w:cs="Arial" w:eastAsia="Arial" w:hAnsi="Arial"/>
          <w:sz w:val="14"/>
          <w:szCs w:val="14"/>
          <w:color w:val="131E29"/>
        </w:rPr>
        <w:t>grant liens on assets;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31"/>
        </w:numPr>
        <w:rPr>
          <w:rFonts w:ascii="Arial" w:cs="Arial" w:eastAsia="Arial" w:hAnsi="Arial"/>
          <w:sz w:val="14"/>
          <w:szCs w:val="14"/>
          <w:color w:val="131E29"/>
        </w:rPr>
      </w:pPr>
      <w:r>
        <w:rPr>
          <w:rFonts w:ascii="Arial" w:cs="Arial" w:eastAsia="Arial" w:hAnsi="Arial"/>
          <w:sz w:val="14"/>
          <w:szCs w:val="14"/>
          <w:color w:val="131E29"/>
        </w:rPr>
        <w:t>sell or dispose of assets;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31"/>
        </w:numPr>
        <w:rPr>
          <w:rFonts w:ascii="Arial" w:cs="Arial" w:eastAsia="Arial" w:hAnsi="Arial"/>
          <w:sz w:val="14"/>
          <w:szCs w:val="14"/>
          <w:color w:val="131E29"/>
        </w:rPr>
      </w:pPr>
      <w:r>
        <w:rPr>
          <w:rFonts w:ascii="Arial" w:cs="Arial" w:eastAsia="Arial" w:hAnsi="Arial"/>
          <w:sz w:val="14"/>
          <w:szCs w:val="14"/>
          <w:color w:val="131E29"/>
        </w:rPr>
        <w:t>merge with or acquire other companies, or make other investments;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31"/>
        </w:numPr>
        <w:rPr>
          <w:rFonts w:ascii="Arial" w:cs="Arial" w:eastAsia="Arial" w:hAnsi="Arial"/>
          <w:sz w:val="14"/>
          <w:szCs w:val="14"/>
          <w:color w:val="131E29"/>
        </w:rPr>
      </w:pPr>
      <w:r>
        <w:rPr>
          <w:rFonts w:ascii="Arial" w:cs="Arial" w:eastAsia="Arial" w:hAnsi="Arial"/>
          <w:sz w:val="14"/>
          <w:szCs w:val="14"/>
          <w:color w:val="131E29"/>
        </w:rPr>
        <w:t>enter into sale and leaseback transactions and swap agreements;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31"/>
        </w:numPr>
        <w:rPr>
          <w:rFonts w:ascii="Arial" w:cs="Arial" w:eastAsia="Arial" w:hAnsi="Arial"/>
          <w:sz w:val="14"/>
          <w:szCs w:val="14"/>
          <w:color w:val="131E29"/>
        </w:rPr>
      </w:pPr>
      <w:r>
        <w:rPr>
          <w:rFonts w:ascii="Arial" w:cs="Arial" w:eastAsia="Arial" w:hAnsi="Arial"/>
          <w:sz w:val="14"/>
          <w:szCs w:val="14"/>
          <w:color w:val="131E29"/>
        </w:rPr>
        <w:t>liquidate or dissolve ourselves;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31"/>
        </w:numPr>
        <w:rPr>
          <w:rFonts w:ascii="Arial" w:cs="Arial" w:eastAsia="Arial" w:hAnsi="Arial"/>
          <w:sz w:val="14"/>
          <w:szCs w:val="14"/>
          <w:color w:val="131E29"/>
        </w:rPr>
      </w:pPr>
      <w:r>
        <w:rPr>
          <w:rFonts w:ascii="Arial" w:cs="Arial" w:eastAsia="Arial" w:hAnsi="Arial"/>
          <w:sz w:val="14"/>
          <w:szCs w:val="14"/>
          <w:color w:val="131E29"/>
        </w:rPr>
        <w:t>engage in businesses that are not in a related line of business; or</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31"/>
        </w:numPr>
        <w:rPr>
          <w:rFonts w:ascii="Arial" w:cs="Arial" w:eastAsia="Arial" w:hAnsi="Arial"/>
          <w:sz w:val="14"/>
          <w:szCs w:val="14"/>
          <w:color w:val="131E29"/>
        </w:rPr>
      </w:pPr>
      <w:r>
        <w:rPr>
          <w:rFonts w:ascii="Arial" w:cs="Arial" w:eastAsia="Arial" w:hAnsi="Arial"/>
          <w:sz w:val="14"/>
          <w:szCs w:val="14"/>
          <w:color w:val="131E29"/>
        </w:rPr>
        <w:t>pay dividends or make other distributions.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56" w:name="page57"/>
    <w:bookmarkEnd w:id="56"/>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In addition, our 2022 Credit Facility contains financial covenants that require us not to exceed a maximum net lease-adjusted total leverage ratio and maintain a minimum fixed charge coverage ratio. Our ability to comply with these financial covenants can be affected by events beyond our control, and we may not be able to satisfy them.</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A breach of any of the covenants in the 2022 Credit Facility could result in an event of default, which could trigger acceleration of our indebtedness and may result in the acceleration of or default under other debt we may incur in the future, which could have a material adverse effect on our business, results of operations, and financial condition. In the event of such event of default under our 2022 Credit Facility, the applicable lenders could elect to terminate their commitments and declare all outstanding loans, together with accrued and unpaid interest and any fees and other obligations, to be due and payable, and/or exercise their rights and remedies under the loan documents governing our 2022 Credit Facility or any applicable law. Our obligations under the 2022 Credit Facility are guaranteed by our subsidiaries and secured by substantially all of our and such subsidiary guarantors’ assets.</w:t>
      </w:r>
    </w:p>
    <w:p>
      <w:pPr>
        <w:spacing w:after="0" w:line="28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If we were unable to repay or otherwise refinance these loans when due, the applicable lenders could proceed against the collateral granted to them to secure such indebtedness, which could force us into bankruptcy or liquidation. In the event the applicable lenders accelerate the repayment of our loans, we and our subsidiaries may not have sufficient assets to repay such indebtedness. Any acceleration of amounts due under our 2022 Credit Facility or the exercise by the applicable lenders of their rights and remedies would likely have a material adverse effect on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131E29"/>
        </w:rPr>
        <w:t>As a result of these restrictions, we may be:</w:t>
      </w:r>
    </w:p>
    <w:p>
      <w:pPr>
        <w:spacing w:after="0" w:line="136" w:lineRule="exact"/>
        <w:rPr>
          <w:sz w:val="20"/>
          <w:szCs w:val="20"/>
          <w:color w:val="auto"/>
        </w:rPr>
      </w:pPr>
    </w:p>
    <w:p>
      <w:pPr>
        <w:ind w:left="260" w:hanging="255"/>
        <w:spacing w:after="0"/>
        <w:tabs>
          <w:tab w:leader="none" w:pos="260" w:val="left"/>
        </w:tabs>
        <w:numPr>
          <w:ilvl w:val="0"/>
          <w:numId w:val="32"/>
        </w:numPr>
        <w:rPr>
          <w:rFonts w:ascii="Arial" w:cs="Arial" w:eastAsia="Arial" w:hAnsi="Arial"/>
          <w:sz w:val="14"/>
          <w:szCs w:val="14"/>
          <w:color w:val="131E29"/>
        </w:rPr>
      </w:pPr>
      <w:r>
        <w:rPr>
          <w:rFonts w:ascii="Arial" w:cs="Arial" w:eastAsia="Arial" w:hAnsi="Arial"/>
          <w:sz w:val="14"/>
          <w:szCs w:val="14"/>
          <w:color w:val="131E29"/>
        </w:rPr>
        <w:t>limited in how we conduct our business;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32"/>
        </w:numPr>
        <w:rPr>
          <w:rFonts w:ascii="Arial" w:cs="Arial" w:eastAsia="Arial" w:hAnsi="Arial"/>
          <w:sz w:val="14"/>
          <w:szCs w:val="14"/>
          <w:color w:val="131E29"/>
        </w:rPr>
      </w:pPr>
      <w:r>
        <w:rPr>
          <w:rFonts w:ascii="Arial" w:cs="Arial" w:eastAsia="Arial" w:hAnsi="Arial"/>
          <w:sz w:val="14"/>
          <w:szCs w:val="14"/>
          <w:color w:val="131E29"/>
        </w:rPr>
        <w:t>unable to raise additional debt or equity financing to operate during general economic or business downturns; or</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32"/>
        </w:numPr>
        <w:rPr>
          <w:rFonts w:ascii="Arial" w:cs="Arial" w:eastAsia="Arial" w:hAnsi="Arial"/>
          <w:sz w:val="14"/>
          <w:szCs w:val="14"/>
          <w:color w:val="131E29"/>
        </w:rPr>
      </w:pPr>
      <w:r>
        <w:rPr>
          <w:rFonts w:ascii="Arial" w:cs="Arial" w:eastAsia="Arial" w:hAnsi="Arial"/>
          <w:sz w:val="14"/>
          <w:szCs w:val="14"/>
          <w:color w:val="131E29"/>
        </w:rPr>
        <w:t>unable to compete effectively or to take advantage of new business opportunities.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131E29"/>
        </w:rPr>
        <w:t>These restrictions may affect our ability to grow in accordance with our strategy.</w:t>
      </w:r>
    </w:p>
    <w:p>
      <w:pPr>
        <w:spacing w:after="0" w:line="136"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Furthermore, the terms of any future indebtedness we may incur could have further additional restrictive covenants. We may not be able to maintain compliance with these covenants in the future, and in such event, we cannot assure you that we will be able to obtain waivers from the lenders or amend the covenants.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We are vulnerable to interest rate risk with respect to our debt, and swap agreements entered into to manage such risk may not effectively limit our exposure.</w:t>
      </w:r>
    </w:p>
    <w:p>
      <w:pPr>
        <w:spacing w:after="0" w:line="14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We are subject to interest rate risk in connection with our 2022 Credit Facility, which carries interest at a floating rate. We have, and may in the future, use interest rate swap agreements to fix all or a portion of our variable rate debt in order to manage interest rate risk. We may not be successful in structuring such agreements to manage our risks effectively in the future, which could adversely affect our business, financial condition, and results of operations. There can be no assurance that we can develop and implement a strategy that can effectively insulate us from risks associated with interest rate fluctuations, or that our swap agreements will have the desired beneficial impact. We might be subject to additional costs, such as transaction or termination fees, if we terminate these arrangements.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57" w:name="page58"/>
    <w:bookmarkEnd w:id="57"/>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b w:val="1"/>
          <w:bCs w:val="1"/>
          <w:i w:val="1"/>
          <w:iCs w:val="1"/>
          <w:color w:val="006098"/>
        </w:rPr>
        <w:t>We have identified material weaknesses in our internal control over financial reporting. If we are unable to remedy our material weaknesses,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Class A common stock price.</w:t>
      </w:r>
    </w:p>
    <w:p>
      <w:pPr>
        <w:spacing w:after="0" w:line="107"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In connection with the audit of our consolidated financial statements as of and for the year ended December 31, 2022, our management and auditors determined that material weaknesses existed in the internal control over financial reporting because we do not have effective controls over (1) change management of system configurations in two IT environments, and (2) the accounting for breakage estimates related to our Dutch Rewards loyalty program.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 We are in the process of implementing measures designed to improve our internal control over financial reporting to remediate these material weaknesses.</w:t>
      </w:r>
    </w:p>
    <w:p>
      <w:pPr>
        <w:spacing w:after="0" w:line="12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We cannot assure you that the measures we have taken to date, and are continuing to implement, will be sufficient to remediate the material weaknesses we have identified or avoid potential future material weaknesses. If the steps we take do not correct the material weaknesses in a timely manner, we will be unable to conclude that we maintain effective internal control over financial reporting. Accordingly, there could continue to be a reasonable possibility that a material misstatement of our financial statements would not be prevented or detected on a timely basis.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If we fail to remediate our existing material weaknesses or identify new material weaknesses in our internal control over financial reporting, if we are unable to comply with the requirements of Section 404 of the Sarbanes-Oxley Act in a timely manner, if we are unable to conclude that our internal control over financial reporting is effective, or if our independent registered public accounting firm is unable to express an opinion as to the effectiveness of our internal control over financial reporting, investors may lose confidence in the accuracy and completeness of our financial reports and the market price of our common stock could be negatively affected. As a result of such failures, we could also become subject to investigations by the New York Stock Exchange, the SEC or other regulatory authorities, and become subject to litigation from investors and stockholders, which could harm our reputation and financial condition or divert financial and management resources from our regular business activities.</w:t>
      </w:r>
    </w:p>
    <w:p>
      <w:pPr>
        <w:spacing w:after="0" w:line="10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006098"/>
        </w:rPr>
        <w:t>A failure to establish and maintain an effective system of disclosure controls and internal control over financial reporting, could adversely affect our ability to produce timely and accurate financial statements or comply with applicable regulations.</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131E29"/>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For example, as we prepared to become a public company, we worked to improve the controls around our key accounting processes and our quarterly close process, and we have hired additional accounting and finance personnel to help us implement these processes and controls. In order to maintain and improve the effectiveness of our disclosure controls and procedures and internal control over financial reporting, we have expended, and anticipate that we will continue to expend, significant resources, including accounting-related costs and investments to strengthen our accounting systems.</w:t>
      </w:r>
    </w:p>
    <w:p>
      <w:pPr>
        <w:spacing w:after="0" w:line="12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58" w:name="page59"/>
    <w:bookmarkEnd w:id="58"/>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controls to accommodate such changes. We have limited experience with implementing the systems and controls that are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131E29"/>
        </w:rPr>
        <w:t>Further, deficiencies in our disclosure controls and internal control over financial reporting have been and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New York Stock Exchange. As a public company, we are required to provide an annual management report on the effectiveness of our internal control over financial reporting, and make a formal assessment of the effectiveness of our internal control over financial reporting in compliance with the SEC rules that implement Section 404 of the Sarbanes-Oxley Act.</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Our independent registered public accounting firm is required to formally attest to the effectiveness of our internal control over financial reporting. Our independent registered public accounting firm has issued and may in the future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results of operations, and financial condition and could cause a decline in the trading price of our common stock.</w:t>
      </w:r>
    </w:p>
    <w:p>
      <w:pPr>
        <w:spacing w:after="0" w:line="10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006098"/>
        </w:rPr>
        <w:t>We may engage in merger and acquisition activities or strategic partnerships, which could require significant management attention, disrupt our business, dilute stockholder value, and adversely affect our business, results of operations, and financial condition.</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As part of our business strategy to grow our business, we have in the past and may in the future make investments or acquisitions in, or enter into strategic partnerships with, other companies, including acquisitions of franchises from our franchise partners. The identification of suitable acquisition or partnership candidates can be difficult, time-consuming, and costly, and we may not be able to complete acquisitions or partnerships on favorable terms, if at all. These acquisitions or partnerships may not ultimately strengthen our competitive position or achieve the intended goals of such acquisition or partnership, and any acquisitions or partnerships we complete could be viewed negatively by customers or investors. We may encounter difficult or unforeseen expenditures in integrating an acquisition or partnership. In addition, if we fail to successfully integrate such acquisitions, assets, technologies, or personnel associated with such acquisitions or partnerships into our company, the business and results of operations of the combined company would be adversely affected.</w:t>
      </w:r>
    </w:p>
    <w:p>
      <w:pPr>
        <w:spacing w:after="0" w:line="28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These transactions may disrupt our ongoing operations, divert management from their primary responsibilities, subject us to additional liabilities, increase our expenses, subject us to increased regulatory requirements, cause adverse tax consequences or unfavorable accounting treatment, expose us to claims and disputes by stockholders and third parties, and adversely impact our business, financial condition, and results of operations. We may not successfully evaluate or utilize the acquired assets and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59" w:name="page60"/>
    <w:bookmarkEnd w:id="59"/>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accurately forecast the financial impact of an acquisition or partnership transaction, including accounting charges. We may have to pay cash for any such acquisition or partnership which would limit other potential uses for our cash. If we incur debt to fund any such acquisition or partnership, such debt may subject us to material restrictions in our ability to conduct our business, result in increased fixed obligations, and subject us to covenants or other restrictions that would decrease our operational flexibility and impede our ability to manage our operations. If we issue a significant amount of equity securities in connection with future acquisitions or partnerships, existing stockholders’ ownership would be diluted.</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We may need additional capital, and we cannot be sure that additional financing will be available.</w:t>
      </w:r>
    </w:p>
    <w:p>
      <w:pPr>
        <w:spacing w:after="0" w:line="152"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131E29"/>
        </w:rPr>
        <w:t>Historically, we have financed our operations and capital expenditures primarily through sales of OpCo Units that are convertible into our capital stock and debt financing. In the future, we may raise additional capital through additional equity or debt financings to support our business growth, to respond to business opportunities, challenges, or unforeseen circumstances, or for other reasons. On an ongoing basis, we are evaluating sources of financing and may raise additional capital in the future. Our ability to obtain additional capital will depend on our development efforts, business plans, investor demand, operating performance, the condition of the capital markets, and other factors. We cannot assure you that additional financing will be available to us on favorable terms when required, or at all. If we raise additional funds through the issuance of equity, equity-linked or debt securities, those securities may have rights, preferences or privileges senior to the rights of existing stockholders, and existing stockholders may experience dilution. Further, if we are unable to obtain additional capital when required, or are unable to obtain additional capital on satisfactory terms, our ability to continue to support our business growth or to respond to business opportunities, challenges, or unforeseen circumstances would be adversely affected.</w:t>
      </w:r>
    </w:p>
    <w:p>
      <w:pPr>
        <w:spacing w:after="0" w:line="10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b w:val="1"/>
          <w:bCs w:val="1"/>
          <w:i w:val="1"/>
          <w:iCs w:val="1"/>
          <w:color w:val="006098"/>
        </w:rPr>
        <w:t>Our amended and restated certificate of incorporation provides that the Court of Chancery of the State of Delaware and, to the extent enforceable,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131E29"/>
        </w:rPr>
        <w:t>Our amended and restated certificate of incorporation provides that, unless we consent in writing to the selection of an alternative forum, the Court of Chancery of the State of</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131E29"/>
        </w:rPr>
        <w:t>Delaware is the exclusive forum for the following types of actions or proceedings under Delaware statutory or common law:</w:t>
      </w:r>
    </w:p>
    <w:p>
      <w:pPr>
        <w:spacing w:after="0" w:line="136" w:lineRule="exact"/>
        <w:rPr>
          <w:sz w:val="20"/>
          <w:szCs w:val="20"/>
          <w:color w:val="auto"/>
        </w:rPr>
      </w:pPr>
    </w:p>
    <w:p>
      <w:pPr>
        <w:ind w:left="260" w:hanging="255"/>
        <w:spacing w:after="0"/>
        <w:tabs>
          <w:tab w:leader="none" w:pos="260" w:val="left"/>
        </w:tabs>
        <w:numPr>
          <w:ilvl w:val="0"/>
          <w:numId w:val="33"/>
        </w:numPr>
        <w:rPr>
          <w:rFonts w:ascii="Arial" w:cs="Arial" w:eastAsia="Arial" w:hAnsi="Arial"/>
          <w:sz w:val="14"/>
          <w:szCs w:val="14"/>
          <w:color w:val="131E29"/>
        </w:rPr>
      </w:pPr>
      <w:r>
        <w:rPr>
          <w:rFonts w:ascii="Arial" w:cs="Arial" w:eastAsia="Arial" w:hAnsi="Arial"/>
          <w:sz w:val="14"/>
          <w:szCs w:val="14"/>
          <w:color w:val="131E29"/>
        </w:rPr>
        <w:t>any derivative claim or cause of action brought on our behalf;</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33"/>
        </w:numPr>
        <w:rPr>
          <w:rFonts w:ascii="Arial" w:cs="Arial" w:eastAsia="Arial" w:hAnsi="Arial"/>
          <w:sz w:val="14"/>
          <w:szCs w:val="14"/>
          <w:color w:val="131E29"/>
        </w:rPr>
      </w:pPr>
      <w:r>
        <w:rPr>
          <w:rFonts w:ascii="Arial" w:cs="Arial" w:eastAsia="Arial" w:hAnsi="Arial"/>
          <w:sz w:val="14"/>
          <w:szCs w:val="14"/>
          <w:color w:val="131E29"/>
        </w:rPr>
        <w:t>any claim or cause of action for a breach of fiduciary duty owed by any of our current or former directors, officers, or other employees to us or our stockholders;</w:t>
      </w:r>
    </w:p>
    <w:p>
      <w:pPr>
        <w:spacing w:after="0" w:line="136" w:lineRule="exact"/>
        <w:rPr>
          <w:rFonts w:ascii="Arial" w:cs="Arial" w:eastAsia="Arial" w:hAnsi="Arial"/>
          <w:sz w:val="14"/>
          <w:szCs w:val="14"/>
          <w:color w:val="131E29"/>
        </w:rPr>
      </w:pPr>
    </w:p>
    <w:p>
      <w:pPr>
        <w:ind w:left="260" w:hanging="255"/>
        <w:spacing w:after="0" w:line="266" w:lineRule="auto"/>
        <w:tabs>
          <w:tab w:leader="none" w:pos="256" w:val="left"/>
        </w:tabs>
        <w:numPr>
          <w:ilvl w:val="0"/>
          <w:numId w:val="33"/>
        </w:numPr>
        <w:rPr>
          <w:rFonts w:ascii="Arial" w:cs="Arial" w:eastAsia="Arial" w:hAnsi="Arial"/>
          <w:sz w:val="14"/>
          <w:szCs w:val="14"/>
          <w:color w:val="131E29"/>
        </w:rPr>
      </w:pPr>
      <w:r>
        <w:rPr>
          <w:rFonts w:ascii="Arial" w:cs="Arial" w:eastAsia="Arial" w:hAnsi="Arial"/>
          <w:sz w:val="14"/>
          <w:szCs w:val="14"/>
          <w:color w:val="131E29"/>
        </w:rPr>
        <w:t>any claim or cause of action against us or any of our current or former directors, officers, or other employees arising out of or pursuant to any provision of the Delaware General Corporation Law, our amended and restated certificate of incorporation or our amended and restated bylaws (as each may be amended from time to time);</w:t>
      </w:r>
    </w:p>
    <w:p>
      <w:pPr>
        <w:spacing w:after="0" w:line="109" w:lineRule="exact"/>
        <w:rPr>
          <w:rFonts w:ascii="Arial" w:cs="Arial" w:eastAsia="Arial" w:hAnsi="Arial"/>
          <w:sz w:val="14"/>
          <w:szCs w:val="14"/>
          <w:color w:val="131E29"/>
        </w:rPr>
      </w:pPr>
    </w:p>
    <w:p>
      <w:pPr>
        <w:ind w:left="260" w:hanging="255"/>
        <w:spacing w:after="0" w:line="266" w:lineRule="auto"/>
        <w:tabs>
          <w:tab w:leader="none" w:pos="256" w:val="left"/>
        </w:tabs>
        <w:numPr>
          <w:ilvl w:val="0"/>
          <w:numId w:val="33"/>
        </w:numPr>
        <w:rPr>
          <w:rFonts w:ascii="Arial" w:cs="Arial" w:eastAsia="Arial" w:hAnsi="Arial"/>
          <w:sz w:val="14"/>
          <w:szCs w:val="14"/>
          <w:color w:val="131E29"/>
        </w:rPr>
      </w:pPr>
      <w:r>
        <w:rPr>
          <w:rFonts w:ascii="Arial" w:cs="Arial" w:eastAsia="Arial" w:hAnsi="Arial"/>
          <w:sz w:val="14"/>
          <w:szCs w:val="14"/>
          <w:color w:val="131E29"/>
        </w:rPr>
        <w:t>any claim or cause of action seeking to interpret, apply, enforce or determine the validity of our amended and restated certificate of incorporation or our amended and restated bylaws (as each may be amended from time to time, including any right, obligation, or remedy thereunder);</w:t>
      </w:r>
    </w:p>
    <w:p>
      <w:pPr>
        <w:spacing w:after="0" w:line="109" w:lineRule="exact"/>
        <w:rPr>
          <w:rFonts w:ascii="Arial" w:cs="Arial" w:eastAsia="Arial" w:hAnsi="Arial"/>
          <w:sz w:val="14"/>
          <w:szCs w:val="14"/>
          <w:color w:val="131E29"/>
        </w:rPr>
      </w:pPr>
    </w:p>
    <w:p>
      <w:pPr>
        <w:ind w:left="260" w:hanging="255"/>
        <w:spacing w:after="0"/>
        <w:tabs>
          <w:tab w:leader="none" w:pos="260" w:val="left"/>
        </w:tabs>
        <w:numPr>
          <w:ilvl w:val="0"/>
          <w:numId w:val="33"/>
        </w:numPr>
        <w:rPr>
          <w:rFonts w:ascii="Arial" w:cs="Arial" w:eastAsia="Arial" w:hAnsi="Arial"/>
          <w:sz w:val="14"/>
          <w:szCs w:val="14"/>
          <w:color w:val="131E29"/>
        </w:rPr>
      </w:pPr>
      <w:r>
        <w:rPr>
          <w:rFonts w:ascii="Arial" w:cs="Arial" w:eastAsia="Arial" w:hAnsi="Arial"/>
          <w:sz w:val="14"/>
          <w:szCs w:val="14"/>
          <w:color w:val="131E29"/>
        </w:rPr>
        <w:t>any claim or cause of action as to which the Delaware General Corporation Law confers jurisdiction to the Court of Chancery of the State of Delaware; and</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33"/>
        </w:numPr>
        <w:rPr>
          <w:rFonts w:ascii="Arial" w:cs="Arial" w:eastAsia="Arial" w:hAnsi="Arial"/>
          <w:sz w:val="14"/>
          <w:szCs w:val="14"/>
          <w:color w:val="131E29"/>
        </w:rPr>
      </w:pPr>
      <w:r>
        <w:rPr>
          <w:rFonts w:ascii="Arial" w:cs="Arial" w:eastAsia="Arial" w:hAnsi="Arial"/>
          <w:sz w:val="14"/>
          <w:szCs w:val="14"/>
          <w:color w:val="131E29"/>
        </w:rPr>
        <w:t>any claim or cause of action against us or any of our current or former directors, officers, or other employees governed by the internal-affairs doctrine.</w:t>
      </w:r>
    </w:p>
    <w:p>
      <w:pPr>
        <w:spacing w:after="0" w:line="136" w:lineRule="exact"/>
        <w:rPr>
          <w:sz w:val="20"/>
          <w:szCs w:val="20"/>
          <w:color w:val="auto"/>
        </w:rPr>
      </w:pPr>
    </w:p>
    <w:p>
      <w:pPr>
        <w:spacing w:after="0" w:line="266" w:lineRule="auto"/>
        <w:rPr>
          <w:sz w:val="20"/>
          <w:szCs w:val="20"/>
          <w:color w:val="auto"/>
        </w:rPr>
      </w:pPr>
      <w:r>
        <w:rPr>
          <w:rFonts w:ascii="Arial" w:cs="Arial" w:eastAsia="Arial" w:hAnsi="Arial"/>
          <w:sz w:val="14"/>
          <w:szCs w:val="14"/>
          <w:color w:val="131E29"/>
        </w:rPr>
        <w:t>This provision would not apply to suits brought to enforce a duty or liability created by the Exchange Act or any other claim for which the U.S. federal courts have exclusive jurisdiction. In addition, our amended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60" w:name="page61"/>
    <w:bookmarkEnd w:id="60"/>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131E29"/>
        </w:rPr>
        <w:t>and restated certificate of incorporation provides that, unless we consent in writing to the selection of an alternative forum, to the fullest extent permitted by law, the federal district courts of the United States of America shall be the exclusive forum for the resolution of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such offering. If a court were to find either choice of forum provision contained in our amended and restated certificate of incorporation to be inapplicable or unenforceable in an action, we may incur additional costs associated with resolving such action in other jurisdictions. For example, the Court of Chancery of the State of Delaware recently determined that the exclusive forum provisions of federal district courts of the United States of America for resolving any complaint asserting a cause of action arising under the Securities Act is not enforceable.</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We note that investors cannot waive compliance with the federal securities laws and the rules and regulations thereunder.</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Additionally, our amended and restated certificate of incorporation provides that any person or entity holding, owning, or otherwise acquiring any interest in any of our securities shall be deemed to have notice of and consented to these provisions.</w:t>
      </w:r>
    </w:p>
    <w:p>
      <w:pPr>
        <w:spacing w:after="0" w:line="9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006098"/>
        </w:rPr>
        <w:t>Provisions in our corporate charter documents and under Delaware law may prevent or frustrate attempts by our stockholders to change our management or hinder efforts to acquire a controlling interest in us, and the market price of our Class A common stock may be lower as a result.</w:t>
      </w:r>
    </w:p>
    <w:p>
      <w:pPr>
        <w:spacing w:after="0" w:line="9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There are provisions in our amended and restated certificate of incorporation and amended and restated bylaws that may make it difficult for a third party to acquire, or attempt to acquire, control of our company, even if a change in control was considered favorable by our stockholders.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131E29"/>
        </w:rPr>
        <w:t>Our charter documents also contain other provisions that could have an anti-takeover effect, such as:</w:t>
      </w:r>
    </w:p>
    <w:p>
      <w:pPr>
        <w:spacing w:after="0" w:line="136" w:lineRule="exact"/>
        <w:rPr>
          <w:sz w:val="20"/>
          <w:szCs w:val="20"/>
          <w:color w:val="auto"/>
        </w:rPr>
      </w:pPr>
    </w:p>
    <w:p>
      <w:pPr>
        <w:ind w:left="260" w:hanging="255"/>
        <w:spacing w:after="0"/>
        <w:tabs>
          <w:tab w:leader="none" w:pos="260" w:val="left"/>
        </w:tabs>
        <w:numPr>
          <w:ilvl w:val="0"/>
          <w:numId w:val="34"/>
        </w:numPr>
        <w:rPr>
          <w:rFonts w:ascii="Arial" w:cs="Arial" w:eastAsia="Arial" w:hAnsi="Arial"/>
          <w:sz w:val="14"/>
          <w:szCs w:val="14"/>
          <w:color w:val="131E29"/>
        </w:rPr>
      </w:pPr>
      <w:r>
        <w:rPr>
          <w:rFonts w:ascii="Arial" w:cs="Arial" w:eastAsia="Arial" w:hAnsi="Arial"/>
          <w:sz w:val="14"/>
          <w:szCs w:val="14"/>
          <w:color w:val="131E29"/>
        </w:rPr>
        <w:t>permitting the board of directors to establish the number of directors and fill any vacancies and newly created directorships;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34"/>
        </w:numPr>
        <w:rPr>
          <w:rFonts w:ascii="Arial" w:cs="Arial" w:eastAsia="Arial" w:hAnsi="Arial"/>
          <w:sz w:val="14"/>
          <w:szCs w:val="14"/>
          <w:color w:val="131E29"/>
        </w:rPr>
      </w:pPr>
      <w:r>
        <w:rPr>
          <w:rFonts w:ascii="Arial" w:cs="Arial" w:eastAsia="Arial" w:hAnsi="Arial"/>
          <w:sz w:val="14"/>
          <w:szCs w:val="14"/>
          <w:color w:val="131E29"/>
        </w:rPr>
        <w:t>providing that directors may only be removed pursuant to the provisions of Section 141(k) of the Delaware General Corporation Law;</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34"/>
        </w:numPr>
        <w:rPr>
          <w:rFonts w:ascii="Arial" w:cs="Arial" w:eastAsia="Arial" w:hAnsi="Arial"/>
          <w:sz w:val="14"/>
          <w:szCs w:val="14"/>
          <w:color w:val="131E29"/>
        </w:rPr>
      </w:pPr>
      <w:r>
        <w:rPr>
          <w:rFonts w:ascii="Arial" w:cs="Arial" w:eastAsia="Arial" w:hAnsi="Arial"/>
          <w:sz w:val="14"/>
          <w:szCs w:val="14"/>
          <w:color w:val="131E29"/>
        </w:rPr>
        <w:t>prohibiting cumulative voting for directors;</w:t>
      </w:r>
    </w:p>
    <w:p>
      <w:pPr>
        <w:spacing w:after="0" w:line="136" w:lineRule="exact"/>
        <w:rPr>
          <w:rFonts w:ascii="Arial" w:cs="Arial" w:eastAsia="Arial" w:hAnsi="Arial"/>
          <w:sz w:val="14"/>
          <w:szCs w:val="14"/>
          <w:color w:val="131E29"/>
        </w:rPr>
      </w:pPr>
    </w:p>
    <w:p>
      <w:pPr>
        <w:ind w:left="260" w:hanging="255"/>
        <w:spacing w:after="0" w:line="266" w:lineRule="auto"/>
        <w:tabs>
          <w:tab w:leader="none" w:pos="256" w:val="left"/>
        </w:tabs>
        <w:numPr>
          <w:ilvl w:val="0"/>
          <w:numId w:val="34"/>
        </w:numPr>
        <w:rPr>
          <w:rFonts w:ascii="Arial" w:cs="Arial" w:eastAsia="Arial" w:hAnsi="Arial"/>
          <w:sz w:val="14"/>
          <w:szCs w:val="14"/>
          <w:color w:val="131E29"/>
        </w:rPr>
      </w:pPr>
      <w:r>
        <w:rPr>
          <w:rFonts w:ascii="Arial" w:cs="Arial" w:eastAsia="Arial" w:hAnsi="Arial"/>
          <w:sz w:val="14"/>
          <w:szCs w:val="14"/>
          <w:color w:val="131E29"/>
        </w:rPr>
        <w:t>the ability of the holders of our Class C common stock, voting as a separate class, to elect up to two directors, subject to the limitations set forth in our amended and restated certificate;</w:t>
      </w:r>
    </w:p>
    <w:p>
      <w:pPr>
        <w:spacing w:after="0" w:line="109" w:lineRule="exact"/>
        <w:rPr>
          <w:rFonts w:ascii="Arial" w:cs="Arial" w:eastAsia="Arial" w:hAnsi="Arial"/>
          <w:sz w:val="14"/>
          <w:szCs w:val="14"/>
          <w:color w:val="131E29"/>
        </w:rPr>
      </w:pPr>
    </w:p>
    <w:p>
      <w:pPr>
        <w:ind w:left="260" w:hanging="255"/>
        <w:spacing w:after="0"/>
        <w:tabs>
          <w:tab w:leader="none" w:pos="260" w:val="left"/>
        </w:tabs>
        <w:numPr>
          <w:ilvl w:val="0"/>
          <w:numId w:val="34"/>
        </w:numPr>
        <w:rPr>
          <w:rFonts w:ascii="Arial" w:cs="Arial" w:eastAsia="Arial" w:hAnsi="Arial"/>
          <w:sz w:val="14"/>
          <w:szCs w:val="14"/>
          <w:color w:val="131E29"/>
        </w:rPr>
      </w:pPr>
      <w:r>
        <w:rPr>
          <w:rFonts w:ascii="Arial" w:cs="Arial" w:eastAsia="Arial" w:hAnsi="Arial"/>
          <w:sz w:val="14"/>
          <w:szCs w:val="14"/>
          <w:color w:val="131E29"/>
        </w:rPr>
        <w:t>requiring super-majority voting to amend some provisions in our amended and restated bylaws;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34"/>
        </w:numPr>
        <w:rPr>
          <w:rFonts w:ascii="Arial" w:cs="Arial" w:eastAsia="Arial" w:hAnsi="Arial"/>
          <w:sz w:val="14"/>
          <w:szCs w:val="14"/>
          <w:color w:val="131E29"/>
        </w:rPr>
      </w:pPr>
      <w:r>
        <w:rPr>
          <w:rFonts w:ascii="Arial" w:cs="Arial" w:eastAsia="Arial" w:hAnsi="Arial"/>
          <w:sz w:val="14"/>
          <w:szCs w:val="14"/>
          <w:color w:val="131E29"/>
        </w:rPr>
        <w:t>authorizing the issuance of “blank check” preferred stock that our board of directors could use to implement a stockholder rights plan;</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34"/>
        </w:numPr>
        <w:rPr>
          <w:rFonts w:ascii="Arial" w:cs="Arial" w:eastAsia="Arial" w:hAnsi="Arial"/>
          <w:sz w:val="14"/>
          <w:szCs w:val="14"/>
          <w:color w:val="131E29"/>
        </w:rPr>
      </w:pPr>
      <w:r>
        <w:rPr>
          <w:rFonts w:ascii="Arial" w:cs="Arial" w:eastAsia="Arial" w:hAnsi="Arial"/>
          <w:sz w:val="14"/>
          <w:szCs w:val="14"/>
          <w:color w:val="131E29"/>
        </w:rPr>
        <w:t>eliminating the ability of stockholders to call special meetings of stockholders; and</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34"/>
        </w:numPr>
        <w:rPr>
          <w:rFonts w:ascii="Arial" w:cs="Arial" w:eastAsia="Arial" w:hAnsi="Arial"/>
          <w:sz w:val="14"/>
          <w:szCs w:val="14"/>
          <w:color w:val="131E29"/>
        </w:rPr>
      </w:pPr>
      <w:r>
        <w:rPr>
          <w:rFonts w:ascii="Arial" w:cs="Arial" w:eastAsia="Arial" w:hAnsi="Arial"/>
          <w:sz w:val="14"/>
          <w:szCs w:val="14"/>
          <w:color w:val="131E29"/>
        </w:rPr>
        <w:t>our multi-class common stock structure as described above.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61" w:name="page62"/>
    <w:bookmarkEnd w:id="61"/>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amended and restated certificate of incorporation or our amended and restated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Catastrophic events may disrupt our business.</w:t>
      </w:r>
    </w:p>
    <w:p>
      <w:pPr>
        <w:spacing w:after="0" w:line="152"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131E29"/>
        </w:rPr>
        <w:t>Labor discord or disruption, geopolitical events, social unrest, war, including repercussions of the recent war between Russia and Ukraine, terrorism, political instability, acts of public violence, boycotts, hostilities and social unrest, and other health pandemics that lead to avoidance of public places or cause people to stay at home could harm our business. Additionally, natural disasters or other catastrophic events may cause damage or disruption to our operations, international commerce, and the global economy, and thus could harm our business. In particular, the west coast wildfires and extreme weather conditions in other areas in which we operate, such as hurricanes and flooding in Texas, water scarcity or drought in California and other states, and the COVID-19 pandemic, including the reactions of governments, markets, and the general public, may result in a number of adverse consequences for our business, operations, and results of operations, many of which are beyond our control. We rely on the stable provision of utilities such as power and water that are subject to disruption or increased costs due to such events, which may cause significant operational disruptions or our operating costs to increase significantly. In the event of a major earthquake, hurricane, or catastrophic event such as drought, fire, power loss, telecommunications failure, cyber-attack, war, or terrorist attack, we may be unable to continue our operations and may endure system interruptions, reputational harm, breaches of data security, and loss of critical data, all of which would harm our business, results of operations, and financial condition. In addition, the insurance we maintain would likely not be adequate to cover our losses resulting from disasters or other business interruptions.</w:t>
      </w: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Economic and business factors that are largely beyond our control may adversely affect consumer behavior and the results of our operations.</w:t>
      </w:r>
    </w:p>
    <w:p>
      <w:pPr>
        <w:spacing w:after="0" w:line="15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Our business is dependent upon consumer discretionary spending, which may be affected by general economic conditions that are beyond our control. For example, increasing inflation, international, domestic and regional economic conditions, consumer income levels, financial market volatility, a slow or stagnant pace of economic growth, rising energy costs, rising interest rates, social unrest, and governmental, political, and budget concerns or divisions may have a negative effect on consumer confidence and discretionary spending. A significant decrease in our customer traffic or average value per transaction without a corresponding decrease in costs would put downward pressure on margins and would negatively impact our financial results.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There is also a risk that if negative economic conditions or uncertainty persist for a long period of time or worsen, consumers may make long-lasting changes to their discretionary purchasing behavior, including less frequent discretionary purchases on a more permanent basis or there may be a general downturn in our industry. These and other macroeconomic factors could have an adverse effect on our sales, profitability, or shop development and expansion plans, which could harm our results of operations and financial condition. These factors also could cause us to, among other things, reduce the number and frequency of new shop openings or close shops.</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1B. UNRESOLVED STAFF COMMENTS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131E29"/>
        </w:rPr>
        <w:t>None.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62" w:name="page63"/>
    <w:bookmarkEnd w:id="62"/>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2. PROPERTIES</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As of December 31, 2022, we had 396 company-operated and 275 franchise shops with 671 total shops in 14 states. The chart below shows our properties by state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1518920</wp:posOffset>
            </wp:positionH>
            <wp:positionV relativeFrom="paragraph">
              <wp:posOffset>70485</wp:posOffset>
            </wp:positionV>
            <wp:extent cx="4130040" cy="24257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13004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color w:val="131E29"/>
        </w:rPr>
        <w:t>In addition to our company-operated shops, we own and lease the following facilities: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40" w:type="dxa"/>
            <w:vAlign w:val="bottom"/>
            <w:gridSpan w:val="2"/>
          </w:tcPr>
          <w:p>
            <w:pPr>
              <w:ind w:left="1040"/>
              <w:spacing w:after="0"/>
              <w:rPr>
                <w:sz w:val="20"/>
                <w:szCs w:val="20"/>
                <w:color w:val="auto"/>
              </w:rPr>
            </w:pPr>
            <w:r>
              <w:rPr>
                <w:rFonts w:ascii="Arial" w:cs="Arial" w:eastAsia="Arial" w:hAnsi="Arial"/>
                <w:sz w:val="14"/>
                <w:szCs w:val="14"/>
                <w:b w:val="1"/>
                <w:bCs w:val="1"/>
                <w:color w:val="131E29"/>
              </w:rPr>
              <w:t>Location</w:t>
            </w:r>
          </w:p>
        </w:tc>
        <w:tc>
          <w:tcPr>
            <w:tcW w:w="5020" w:type="dxa"/>
            <w:vAlign w:val="bottom"/>
            <w:gridSpan w:val="2"/>
          </w:tcPr>
          <w:p>
            <w:pPr>
              <w:ind w:left="1800"/>
              <w:spacing w:after="0"/>
              <w:rPr>
                <w:sz w:val="20"/>
                <w:szCs w:val="20"/>
                <w:color w:val="auto"/>
              </w:rPr>
            </w:pPr>
            <w:r>
              <w:rPr>
                <w:rFonts w:ascii="Arial" w:cs="Arial" w:eastAsia="Arial" w:hAnsi="Arial"/>
                <w:sz w:val="14"/>
                <w:szCs w:val="14"/>
                <w:b w:val="1"/>
                <w:bCs w:val="1"/>
                <w:color w:val="131E29"/>
              </w:rPr>
              <w:t>Primary Function(s)</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131E29"/>
              </w:rPr>
              <w:t>Square Feet</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131E29"/>
              </w:rPr>
              <w:t>Owned or Leased</w:t>
            </w:r>
          </w:p>
        </w:tc>
      </w:tr>
      <w:tr>
        <w:trPr>
          <w:trHeight w:val="22"/>
        </w:trPr>
        <w:tc>
          <w:tcPr>
            <w:tcW w:w="2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4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83"/>
        </w:trPr>
        <w:tc>
          <w:tcPr>
            <w:tcW w:w="27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Grants Pass, Oregon</w:t>
            </w:r>
          </w:p>
        </w:tc>
        <w:tc>
          <w:tcPr>
            <w:tcW w:w="50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Corporate headquarters</w:t>
            </w:r>
          </w:p>
        </w:tc>
        <w:tc>
          <w:tcPr>
            <w:tcW w:w="170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4"/>
                <w:szCs w:val="14"/>
                <w:color w:val="131E29"/>
                <w:w w:val="97"/>
              </w:rPr>
              <w:t>16,000</w:t>
            </w:r>
          </w:p>
        </w:tc>
        <w:tc>
          <w:tcPr>
            <w:tcW w:w="100" w:type="dxa"/>
            <w:vAlign w:val="bottom"/>
            <w:tcBorders>
              <w:bottom w:val="single" w:sz="8" w:color="D2DCE5"/>
            </w:tcBorders>
            <w:shd w:val="clear" w:color="auto" w:fill="D2DCE5"/>
          </w:tcPr>
          <w:p>
            <w:pPr>
              <w:spacing w:after="0"/>
              <w:rPr>
                <w:sz w:val="15"/>
                <w:szCs w:val="15"/>
                <w:color w:val="auto"/>
              </w:rPr>
            </w:pPr>
          </w:p>
        </w:tc>
        <w:tc>
          <w:tcPr>
            <w:tcW w:w="172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4"/>
                <w:szCs w:val="14"/>
                <w:color w:val="131E29"/>
                <w:w w:val="99"/>
              </w:rPr>
              <w:t>Owned</w:t>
            </w:r>
          </w:p>
        </w:tc>
      </w:tr>
      <w:tr>
        <w:trPr>
          <w:trHeight w:val="191"/>
        </w:trPr>
        <w:tc>
          <w:tcPr>
            <w:tcW w:w="2740" w:type="dxa"/>
            <w:vAlign w:val="bottom"/>
            <w:gridSpan w:val="2"/>
          </w:tcPr>
          <w:p>
            <w:pPr>
              <w:ind w:left="20"/>
              <w:spacing w:after="0"/>
              <w:rPr>
                <w:sz w:val="20"/>
                <w:szCs w:val="20"/>
                <w:color w:val="auto"/>
              </w:rPr>
            </w:pPr>
            <w:r>
              <w:rPr>
                <w:rFonts w:ascii="Arial" w:cs="Arial" w:eastAsia="Arial" w:hAnsi="Arial"/>
                <w:sz w:val="14"/>
                <w:szCs w:val="14"/>
                <w:color w:val="131E29"/>
              </w:rPr>
              <w:t>Grants Pass, Oregon</w:t>
            </w:r>
          </w:p>
        </w:tc>
        <w:tc>
          <w:tcPr>
            <w:tcW w:w="5020" w:type="dxa"/>
            <w:vAlign w:val="bottom"/>
            <w:gridSpan w:val="2"/>
          </w:tcPr>
          <w:p>
            <w:pPr>
              <w:ind w:left="20"/>
              <w:spacing w:after="0"/>
              <w:rPr>
                <w:sz w:val="20"/>
                <w:szCs w:val="20"/>
                <w:color w:val="auto"/>
              </w:rPr>
            </w:pPr>
            <w:r>
              <w:rPr>
                <w:rFonts w:ascii="Arial" w:cs="Arial" w:eastAsia="Arial" w:hAnsi="Arial"/>
                <w:sz w:val="14"/>
                <w:szCs w:val="14"/>
                <w:color w:val="131E29"/>
              </w:rPr>
              <w:t>Headquarters office space</w:t>
            </w:r>
          </w:p>
        </w:tc>
        <w:tc>
          <w:tcPr>
            <w:tcW w:w="1700" w:type="dxa"/>
            <w:vAlign w:val="bottom"/>
          </w:tcPr>
          <w:p>
            <w:pPr>
              <w:jc w:val="center"/>
              <w:spacing w:after="0"/>
              <w:rPr>
                <w:sz w:val="20"/>
                <w:szCs w:val="20"/>
                <w:color w:val="auto"/>
              </w:rPr>
            </w:pPr>
            <w:r>
              <w:rPr>
                <w:rFonts w:ascii="Arial" w:cs="Arial" w:eastAsia="Arial" w:hAnsi="Arial"/>
                <w:sz w:val="14"/>
                <w:szCs w:val="14"/>
                <w:color w:val="131E29"/>
                <w:w w:val="97"/>
              </w:rPr>
              <w:t>26,000</w:t>
            </w:r>
          </w:p>
        </w:tc>
        <w:tc>
          <w:tcPr>
            <w:tcW w:w="10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131E29"/>
              </w:rPr>
              <w:t>Leased</w:t>
            </w:r>
          </w:p>
        </w:tc>
      </w:tr>
      <w:tr>
        <w:trPr>
          <w:trHeight w:val="22"/>
        </w:trPr>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2"/>
        </w:trPr>
        <w:tc>
          <w:tcPr>
            <w:tcW w:w="27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Grants Pass, Oregon</w:t>
            </w:r>
          </w:p>
        </w:tc>
        <w:tc>
          <w:tcPr>
            <w:tcW w:w="50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Roasting and packing facility</w:t>
            </w:r>
          </w:p>
        </w:tc>
        <w:tc>
          <w:tcPr>
            <w:tcW w:w="170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4"/>
                <w:szCs w:val="14"/>
                <w:color w:val="131E29"/>
                <w:w w:val="97"/>
              </w:rPr>
              <w:t>36,000</w:t>
            </w:r>
          </w:p>
        </w:tc>
        <w:tc>
          <w:tcPr>
            <w:tcW w:w="100" w:type="dxa"/>
            <w:vAlign w:val="bottom"/>
            <w:tcBorders>
              <w:bottom w:val="single" w:sz="8" w:color="D2DCE5"/>
            </w:tcBorders>
            <w:shd w:val="clear" w:color="auto" w:fill="D2DCE5"/>
          </w:tcPr>
          <w:p>
            <w:pPr>
              <w:spacing w:after="0"/>
              <w:rPr>
                <w:sz w:val="16"/>
                <w:szCs w:val="16"/>
                <w:color w:val="auto"/>
              </w:rPr>
            </w:pPr>
          </w:p>
        </w:tc>
        <w:tc>
          <w:tcPr>
            <w:tcW w:w="172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4"/>
                <w:szCs w:val="14"/>
                <w:color w:val="131E29"/>
                <w:w w:val="99"/>
              </w:rPr>
              <w:t>Owned</w:t>
            </w:r>
          </w:p>
        </w:tc>
      </w:tr>
      <w:tr>
        <w:trPr>
          <w:trHeight w:val="191"/>
        </w:trPr>
        <w:tc>
          <w:tcPr>
            <w:tcW w:w="2740" w:type="dxa"/>
            <w:vAlign w:val="bottom"/>
            <w:gridSpan w:val="2"/>
          </w:tcPr>
          <w:p>
            <w:pPr>
              <w:ind w:left="20"/>
              <w:spacing w:after="0"/>
              <w:rPr>
                <w:sz w:val="20"/>
                <w:szCs w:val="20"/>
                <w:color w:val="auto"/>
              </w:rPr>
            </w:pPr>
            <w:r>
              <w:rPr>
                <w:rFonts w:ascii="Arial" w:cs="Arial" w:eastAsia="Arial" w:hAnsi="Arial"/>
                <w:sz w:val="14"/>
                <w:szCs w:val="14"/>
                <w:color w:val="131E29"/>
              </w:rPr>
              <w:t>Grants Pass, Oregon</w:t>
            </w:r>
          </w:p>
        </w:tc>
        <w:tc>
          <w:tcPr>
            <w:tcW w:w="5020" w:type="dxa"/>
            <w:vAlign w:val="bottom"/>
            <w:gridSpan w:val="2"/>
          </w:tcPr>
          <w:p>
            <w:pPr>
              <w:ind w:left="20"/>
              <w:spacing w:after="0"/>
              <w:rPr>
                <w:sz w:val="20"/>
                <w:szCs w:val="20"/>
                <w:color w:val="auto"/>
              </w:rPr>
            </w:pPr>
            <w:r>
              <w:rPr>
                <w:rFonts w:ascii="Arial" w:cs="Arial" w:eastAsia="Arial" w:hAnsi="Arial"/>
                <w:sz w:val="14"/>
                <w:szCs w:val="14"/>
                <w:color w:val="131E29"/>
              </w:rPr>
              <w:t>Roasting and warehouse facility</w:t>
            </w:r>
          </w:p>
        </w:tc>
        <w:tc>
          <w:tcPr>
            <w:tcW w:w="1700" w:type="dxa"/>
            <w:vAlign w:val="bottom"/>
          </w:tcPr>
          <w:p>
            <w:pPr>
              <w:jc w:val="center"/>
              <w:spacing w:after="0"/>
              <w:rPr>
                <w:sz w:val="20"/>
                <w:szCs w:val="20"/>
                <w:color w:val="auto"/>
              </w:rPr>
            </w:pPr>
            <w:r>
              <w:rPr>
                <w:rFonts w:ascii="Arial" w:cs="Arial" w:eastAsia="Arial" w:hAnsi="Arial"/>
                <w:sz w:val="14"/>
                <w:szCs w:val="14"/>
                <w:color w:val="131E29"/>
                <w:w w:val="97"/>
              </w:rPr>
              <w:t>21,000</w:t>
            </w:r>
          </w:p>
        </w:tc>
        <w:tc>
          <w:tcPr>
            <w:tcW w:w="10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131E29"/>
              </w:rPr>
              <w:t>Leased</w:t>
            </w:r>
          </w:p>
        </w:tc>
      </w:tr>
      <w:tr>
        <w:trPr>
          <w:trHeight w:val="22"/>
        </w:trPr>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1"/>
        </w:trPr>
        <w:tc>
          <w:tcPr>
            <w:tcW w:w="27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Grants Pass, Oregon</w:t>
            </w:r>
          </w:p>
        </w:tc>
        <w:tc>
          <w:tcPr>
            <w:tcW w:w="50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Aircraft hangar and transportation operations</w:t>
            </w:r>
          </w:p>
        </w:tc>
        <w:tc>
          <w:tcPr>
            <w:tcW w:w="1700" w:type="dxa"/>
            <w:vAlign w:val="bottom"/>
            <w:shd w:val="clear" w:color="auto" w:fill="D2DCE5"/>
          </w:tcPr>
          <w:p>
            <w:pPr>
              <w:jc w:val="center"/>
              <w:spacing w:after="0"/>
              <w:rPr>
                <w:sz w:val="20"/>
                <w:szCs w:val="20"/>
                <w:color w:val="auto"/>
              </w:rPr>
            </w:pPr>
            <w:r>
              <w:rPr>
                <w:rFonts w:ascii="Arial" w:cs="Arial" w:eastAsia="Arial" w:hAnsi="Arial"/>
                <w:sz w:val="14"/>
                <w:szCs w:val="14"/>
                <w:color w:val="131E29"/>
                <w:w w:val="97"/>
              </w:rPr>
              <w:t>84,000</w:t>
            </w:r>
          </w:p>
        </w:tc>
        <w:tc>
          <w:tcPr>
            <w:tcW w:w="100" w:type="dxa"/>
            <w:vAlign w:val="bottom"/>
            <w:shd w:val="clear" w:color="auto" w:fill="D2DCE5"/>
          </w:tcPr>
          <w:p>
            <w:pPr>
              <w:spacing w:after="0"/>
              <w:rPr>
                <w:sz w:val="16"/>
                <w:szCs w:val="16"/>
                <w:color w:val="auto"/>
              </w:rPr>
            </w:pPr>
          </w:p>
        </w:tc>
        <w:tc>
          <w:tcPr>
            <w:tcW w:w="172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Leased</w:t>
            </w:r>
          </w:p>
        </w:tc>
      </w:tr>
      <w:tr>
        <w:trPr>
          <w:trHeight w:val="22"/>
        </w:trPr>
        <w:tc>
          <w:tcPr>
            <w:tcW w:w="2660" w:type="dxa"/>
            <w:vAlign w:val="bottom"/>
            <w:shd w:val="clear" w:color="auto" w:fill="D2DCE5"/>
          </w:tcPr>
          <w:p>
            <w:pPr>
              <w:spacing w:after="0" w:line="20" w:lineRule="exact"/>
              <w:rPr>
                <w:sz w:val="1"/>
                <w:szCs w:val="1"/>
                <w:color w:val="auto"/>
              </w:rPr>
            </w:pPr>
          </w:p>
        </w:tc>
        <w:tc>
          <w:tcPr>
            <w:tcW w:w="80" w:type="dxa"/>
            <w:vAlign w:val="bottom"/>
            <w:shd w:val="clear" w:color="auto" w:fill="D2DCE5"/>
          </w:tcPr>
          <w:p>
            <w:pPr>
              <w:spacing w:after="0" w:line="20" w:lineRule="exact"/>
              <w:rPr>
                <w:sz w:val="1"/>
                <w:szCs w:val="1"/>
                <w:color w:val="auto"/>
              </w:rPr>
            </w:pPr>
          </w:p>
        </w:tc>
        <w:tc>
          <w:tcPr>
            <w:tcW w:w="4920" w:type="dxa"/>
            <w:vAlign w:val="bottom"/>
            <w:shd w:val="clear" w:color="auto" w:fill="D2DCE5"/>
          </w:tcPr>
          <w:p>
            <w:pPr>
              <w:spacing w:after="0" w:line="20" w:lineRule="exact"/>
              <w:rPr>
                <w:sz w:val="1"/>
                <w:szCs w:val="1"/>
                <w:color w:val="auto"/>
              </w:rPr>
            </w:pPr>
          </w:p>
        </w:tc>
        <w:tc>
          <w:tcPr>
            <w:tcW w:w="100" w:type="dxa"/>
            <w:vAlign w:val="bottom"/>
            <w:shd w:val="clear" w:color="auto" w:fill="D2DCE5"/>
          </w:tcPr>
          <w:p>
            <w:pPr>
              <w:spacing w:after="0" w:line="20" w:lineRule="exact"/>
              <w:rPr>
                <w:sz w:val="1"/>
                <w:szCs w:val="1"/>
                <w:color w:val="auto"/>
              </w:rPr>
            </w:pPr>
          </w:p>
        </w:tc>
        <w:tc>
          <w:tcPr>
            <w:tcW w:w="1700" w:type="dxa"/>
            <w:vAlign w:val="bottom"/>
            <w:shd w:val="clear" w:color="auto" w:fill="D2DCE5"/>
          </w:tcPr>
          <w:p>
            <w:pPr>
              <w:spacing w:after="0" w:line="20" w:lineRule="exact"/>
              <w:rPr>
                <w:sz w:val="1"/>
                <w:szCs w:val="1"/>
                <w:color w:val="auto"/>
              </w:rPr>
            </w:pPr>
          </w:p>
        </w:tc>
        <w:tc>
          <w:tcPr>
            <w:tcW w:w="100" w:type="dxa"/>
            <w:vAlign w:val="bottom"/>
            <w:shd w:val="clear" w:color="auto" w:fill="D2DCE5"/>
          </w:tcPr>
          <w:p>
            <w:pPr>
              <w:spacing w:after="0" w:line="20" w:lineRule="exact"/>
              <w:rPr>
                <w:sz w:val="1"/>
                <w:szCs w:val="1"/>
                <w:color w:val="auto"/>
              </w:rPr>
            </w:pPr>
          </w:p>
        </w:tc>
        <w:tc>
          <w:tcPr>
            <w:tcW w:w="1720" w:type="dxa"/>
            <w:vAlign w:val="bottom"/>
            <w:shd w:val="clear" w:color="auto" w:fill="D2DCE5"/>
          </w:tcPr>
          <w:p>
            <w:pPr>
              <w:spacing w:after="0" w:line="20" w:lineRule="exact"/>
              <w:rPr>
                <w:sz w:val="1"/>
                <w:szCs w:val="1"/>
                <w:color w:val="auto"/>
              </w:rPr>
            </w:pPr>
          </w:p>
        </w:tc>
      </w:tr>
    </w:tbl>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Our principal executive offices are located at 110 SW 4th Street, Grants Pass, Oregon, 97526. We believe our current facilities are suitable for our near-term expansion plans, and expect to continue to add additional capacity on an as-needed basis. We are in the process of constructing another roasting facility in Texas to service our shops in new markets as we expand eastward, in line with our growth strategy.</w:t>
      </w:r>
    </w:p>
    <w:p>
      <w:pPr>
        <w:spacing w:after="0" w:line="11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For additional information regarding leases, see NOTE 2 — Basis of Presentation and Summary of Significant Accounting Policies and NOTE 8 — Leases in our consolidated financial statements, included elsewhere in this Form 10-K.</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63" w:name="page64"/>
    <w:bookmarkEnd w:id="63"/>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3. LEGAL PROCEEDINGS</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We may, from time to time, be party to litigation and subject to claims incident to the ordinary course of business. As our company matures, we may become party to an increasing number of litigation matters and claims. The outcome of litigation and claims cannot be predicted with certainty, and the resolution of these matters could materially adversely affect our business, financial condition, results of operations and growth prospects.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131E29"/>
        </w:rPr>
        <w:t>We are not currently involved in any material legal proceedings.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4. MINE SAFETY DISCLOSURES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131E29"/>
        </w:rPr>
        <w:t>Not applicable.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64" w:name="page65"/>
    <w:bookmarkEnd w:id="64"/>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006098"/>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61530" cy="806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1530" cy="8064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right="1040"/>
        <w:spacing w:after="0" w:line="287" w:lineRule="auto"/>
        <w:rPr>
          <w:sz w:val="20"/>
          <w:szCs w:val="20"/>
          <w:color w:val="auto"/>
        </w:rPr>
      </w:pPr>
      <w:r>
        <w:rPr>
          <w:rFonts w:ascii="Arial" w:cs="Arial" w:eastAsia="Arial" w:hAnsi="Arial"/>
          <w:sz w:val="20"/>
          <w:szCs w:val="20"/>
          <w:b w:val="1"/>
          <w:bCs w:val="1"/>
          <w:color w:val="D7282F"/>
        </w:rPr>
        <w:t>ITEM 5. MARKET FOR REGISTRANT’S COMMON EQUITY, RELATED STOCKHOLDER MATTERS AND ISSUER PURCHASES OF EQUITY SECURITIES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Market Information for Common Stock</w:t>
      </w:r>
    </w:p>
    <w:p>
      <w:pPr>
        <w:spacing w:after="0" w:line="14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Our Class A common stock is traded on the New York Stock Exchange under the symbol “BROS”. There is no established public trading market for our Class B common stock, Class C common stock, or Class D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Stockholders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As of December 31, 2022, our Class A common stock was held by 82 holders of record. The actual number of stockholders of Class A common stock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 As of December 31, 2022, we also had three holders of record of our Class B common stock, two holders of record of our Class C common stock, and two holders of record of our Class D common stock.</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Dividend Policy</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131E29"/>
        </w:rPr>
        <w:t>We have not paid dividends on our common stock, and we do not anticipate paying dividends in the foreseeable future.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Stock Performance Graph</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The graph below compares the cumulative total stockholder return on our Class A common stock (BROS) with the cumulative total return on the S&amp;P 500 Index (SPX) and the S&amp;P 500 Consumer Discretionary Index (SP500.25), assuming an initial investment of $100 at the market close on September 15, 2021, the date our stock commenced trading on the New York Stock Exchange. Data for the S&amp;P 500 Index and the S&amp;P 500 Consumer Discretionary Index assume reinvestment of dividends. As noted above, no dividends have been declared on our Class A common stock to date.</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131E29"/>
        </w:rPr>
        <w:t>The comparisons in the graph below are based upon historical data and are not indicative of, nor intend to forecast, future performance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65" w:name="page66"/>
    <w:bookmarkEnd w:id="65"/>
    <w:p>
      <w:pPr>
        <w:spacing w:after="0"/>
        <w:rPr>
          <w:sz w:val="20"/>
          <w:szCs w:val="20"/>
          <w:color w:val="auto"/>
        </w:rPr>
      </w:pPr>
      <w:r>
        <w:rPr>
          <w:rFonts w:ascii="Arial" w:cs="Arial" w:eastAsia="Arial" w:hAnsi="Arial"/>
          <w:sz w:val="11"/>
          <w:szCs w:val="11"/>
          <w:u w:val="single" w:color="auto"/>
          <w:color w:val="006098"/>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645160</wp:posOffset>
            </wp:positionV>
            <wp:extent cx="4352290" cy="23577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352290"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1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tcPr>
          <w:p>
            <w:pPr>
              <w:ind w:left="120"/>
              <w:spacing w:after="0"/>
              <w:rPr>
                <w:sz w:val="20"/>
                <w:szCs w:val="20"/>
                <w:color w:val="auto"/>
              </w:rPr>
            </w:pPr>
            <w:r>
              <w:rPr>
                <w:rFonts w:ascii="Arial" w:cs="Arial" w:eastAsia="Arial" w:hAnsi="Arial"/>
                <w:sz w:val="11"/>
                <w:szCs w:val="11"/>
                <w:b w:val="1"/>
                <w:bCs w:val="1"/>
                <w:color w:val="131E29"/>
              </w:rPr>
              <w:t>September 15,</w:t>
            </w:r>
          </w:p>
        </w:tc>
        <w:tc>
          <w:tcPr>
            <w:tcW w:w="180" w:type="dxa"/>
            <w:vAlign w:val="bottom"/>
          </w:tcPr>
          <w:p>
            <w:pPr>
              <w:spacing w:after="0"/>
              <w:rPr>
                <w:sz w:val="11"/>
                <w:szCs w:val="11"/>
                <w:color w:val="auto"/>
              </w:rPr>
            </w:pPr>
          </w:p>
        </w:tc>
        <w:tc>
          <w:tcPr>
            <w:tcW w:w="1280" w:type="dxa"/>
            <w:vAlign w:val="bottom"/>
            <w:gridSpan w:val="2"/>
          </w:tcPr>
          <w:p>
            <w:pPr>
              <w:ind w:left="120"/>
              <w:spacing w:after="0"/>
              <w:rPr>
                <w:sz w:val="20"/>
                <w:szCs w:val="20"/>
                <w:color w:val="auto"/>
              </w:rPr>
            </w:pPr>
            <w:r>
              <w:rPr>
                <w:rFonts w:ascii="Arial" w:cs="Arial" w:eastAsia="Arial" w:hAnsi="Arial"/>
                <w:sz w:val="11"/>
                <w:szCs w:val="11"/>
                <w:b w:val="1"/>
                <w:bCs w:val="1"/>
                <w:color w:val="131E29"/>
              </w:rPr>
              <w:t>September 30,</w:t>
            </w:r>
          </w:p>
        </w:tc>
        <w:tc>
          <w:tcPr>
            <w:tcW w:w="180" w:type="dxa"/>
            <w:vAlign w:val="bottom"/>
          </w:tcPr>
          <w:p>
            <w:pPr>
              <w:spacing w:after="0"/>
              <w:rPr>
                <w:sz w:val="11"/>
                <w:szCs w:val="11"/>
                <w:color w:val="auto"/>
              </w:rPr>
            </w:pPr>
          </w:p>
        </w:tc>
        <w:tc>
          <w:tcPr>
            <w:tcW w:w="1220" w:type="dxa"/>
            <w:vAlign w:val="bottom"/>
            <w:gridSpan w:val="2"/>
          </w:tcPr>
          <w:p>
            <w:pPr>
              <w:ind w:left="120"/>
              <w:spacing w:after="0"/>
              <w:rPr>
                <w:sz w:val="20"/>
                <w:szCs w:val="20"/>
                <w:color w:val="auto"/>
              </w:rPr>
            </w:pPr>
            <w:r>
              <w:rPr>
                <w:rFonts w:ascii="Arial" w:cs="Arial" w:eastAsia="Arial" w:hAnsi="Arial"/>
                <w:sz w:val="11"/>
                <w:szCs w:val="11"/>
                <w:b w:val="1"/>
                <w:bCs w:val="1"/>
                <w:color w:val="131E29"/>
              </w:rPr>
              <w:t>December 31,</w:t>
            </w:r>
          </w:p>
        </w:tc>
        <w:tc>
          <w:tcPr>
            <w:tcW w:w="20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131E29"/>
              </w:rPr>
              <w:t>March 31,</w:t>
            </w:r>
          </w:p>
        </w:tc>
        <w:tc>
          <w:tcPr>
            <w:tcW w:w="200" w:type="dxa"/>
            <w:vAlign w:val="bottom"/>
          </w:tcPr>
          <w:p>
            <w:pPr>
              <w:spacing w:after="0"/>
              <w:rPr>
                <w:sz w:val="11"/>
                <w:szCs w:val="11"/>
                <w:color w:val="auto"/>
              </w:rPr>
            </w:pPr>
          </w:p>
        </w:tc>
        <w:tc>
          <w:tcPr>
            <w:tcW w:w="1040" w:type="dxa"/>
            <w:vAlign w:val="bottom"/>
            <w:gridSpan w:val="2"/>
          </w:tcPr>
          <w:p>
            <w:pPr>
              <w:ind w:left="140"/>
              <w:spacing w:after="0"/>
              <w:rPr>
                <w:sz w:val="20"/>
                <w:szCs w:val="20"/>
                <w:color w:val="auto"/>
              </w:rPr>
            </w:pPr>
            <w:r>
              <w:rPr>
                <w:rFonts w:ascii="Arial" w:cs="Arial" w:eastAsia="Arial" w:hAnsi="Arial"/>
                <w:sz w:val="11"/>
                <w:szCs w:val="11"/>
                <w:b w:val="1"/>
                <w:bCs w:val="1"/>
                <w:color w:val="131E29"/>
              </w:rPr>
              <w:t>June 30,</w:t>
            </w:r>
          </w:p>
        </w:tc>
        <w:tc>
          <w:tcPr>
            <w:tcW w:w="180" w:type="dxa"/>
            <w:vAlign w:val="bottom"/>
          </w:tcPr>
          <w:p>
            <w:pPr>
              <w:spacing w:after="0"/>
              <w:rPr>
                <w:sz w:val="11"/>
                <w:szCs w:val="11"/>
                <w:color w:val="auto"/>
              </w:rPr>
            </w:pPr>
          </w:p>
        </w:tc>
        <w:tc>
          <w:tcPr>
            <w:tcW w:w="1280" w:type="dxa"/>
            <w:vAlign w:val="bottom"/>
            <w:gridSpan w:val="2"/>
          </w:tcPr>
          <w:p>
            <w:pPr>
              <w:ind w:left="120"/>
              <w:spacing w:after="0"/>
              <w:rPr>
                <w:sz w:val="20"/>
                <w:szCs w:val="20"/>
                <w:color w:val="auto"/>
              </w:rPr>
            </w:pPr>
            <w:r>
              <w:rPr>
                <w:rFonts w:ascii="Arial" w:cs="Arial" w:eastAsia="Arial" w:hAnsi="Arial"/>
                <w:sz w:val="11"/>
                <w:szCs w:val="11"/>
                <w:b w:val="1"/>
                <w:bCs w:val="1"/>
                <w:color w:val="131E29"/>
              </w:rPr>
              <w:t>September 30,</w:t>
            </w:r>
          </w:p>
        </w:tc>
        <w:tc>
          <w:tcPr>
            <w:tcW w:w="200" w:type="dxa"/>
            <w:vAlign w:val="bottom"/>
          </w:tcPr>
          <w:p>
            <w:pPr>
              <w:spacing w:after="0"/>
              <w:rPr>
                <w:sz w:val="11"/>
                <w:szCs w:val="11"/>
                <w:color w:val="auto"/>
              </w:rPr>
            </w:pPr>
          </w:p>
        </w:tc>
        <w:tc>
          <w:tcPr>
            <w:tcW w:w="1140" w:type="dxa"/>
            <w:vAlign w:val="bottom"/>
          </w:tcPr>
          <w:p>
            <w:pPr>
              <w:jc w:val="right"/>
              <w:ind w:right="243"/>
              <w:spacing w:after="0"/>
              <w:rPr>
                <w:sz w:val="20"/>
                <w:szCs w:val="20"/>
                <w:color w:val="auto"/>
              </w:rPr>
            </w:pPr>
            <w:r>
              <w:rPr>
                <w:rFonts w:ascii="Arial" w:cs="Arial" w:eastAsia="Arial" w:hAnsi="Arial"/>
                <w:sz w:val="11"/>
                <w:szCs w:val="11"/>
                <w:b w:val="1"/>
                <w:bCs w:val="1"/>
                <w:color w:val="131E29"/>
              </w:rPr>
              <w:t>December 30,</w:t>
            </w:r>
          </w:p>
        </w:tc>
      </w:tr>
      <w:tr>
        <w:trPr>
          <w:trHeight w:val="150"/>
        </w:trPr>
        <w:tc>
          <w:tcPr>
            <w:tcW w:w="1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ind w:right="503"/>
              <w:spacing w:after="0"/>
              <w:rPr>
                <w:sz w:val="20"/>
                <w:szCs w:val="20"/>
                <w:color w:val="auto"/>
              </w:rPr>
            </w:pPr>
            <w:r>
              <w:rPr>
                <w:rFonts w:ascii="Arial" w:cs="Arial" w:eastAsia="Arial" w:hAnsi="Arial"/>
                <w:sz w:val="11"/>
                <w:szCs w:val="11"/>
                <w:b w:val="1"/>
                <w:bCs w:val="1"/>
                <w:color w:val="131E29"/>
              </w:rPr>
              <w:t>2021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ind w:right="523"/>
              <w:spacing w:after="0"/>
              <w:rPr>
                <w:sz w:val="20"/>
                <w:szCs w:val="20"/>
                <w:color w:val="auto"/>
              </w:rPr>
            </w:pPr>
            <w:r>
              <w:rPr>
                <w:rFonts w:ascii="Arial" w:cs="Arial" w:eastAsia="Arial" w:hAnsi="Arial"/>
                <w:sz w:val="11"/>
                <w:szCs w:val="11"/>
                <w:b w:val="1"/>
                <w:bCs w:val="1"/>
                <w:color w:val="131E29"/>
              </w:rPr>
              <w:t>2021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ind w:right="483"/>
              <w:spacing w:after="0"/>
              <w:rPr>
                <w:sz w:val="20"/>
                <w:szCs w:val="20"/>
                <w:color w:val="auto"/>
              </w:rPr>
            </w:pPr>
            <w:r>
              <w:rPr>
                <w:rFonts w:ascii="Arial" w:cs="Arial" w:eastAsia="Arial" w:hAnsi="Arial"/>
                <w:sz w:val="11"/>
                <w:szCs w:val="11"/>
                <w:b w:val="1"/>
                <w:bCs w:val="1"/>
                <w:color w:val="131E29"/>
              </w:rPr>
              <w:t>2021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ind w:right="383"/>
              <w:spacing w:after="0"/>
              <w:rPr>
                <w:sz w:val="20"/>
                <w:szCs w:val="20"/>
                <w:color w:val="auto"/>
              </w:rPr>
            </w:pPr>
            <w:r>
              <w:rPr>
                <w:rFonts w:ascii="Arial" w:cs="Arial" w:eastAsia="Arial" w:hAnsi="Arial"/>
                <w:sz w:val="11"/>
                <w:szCs w:val="11"/>
                <w:b w:val="1"/>
                <w:bCs w:val="1"/>
                <w:color w:val="131E29"/>
              </w:rPr>
              <w:t>2022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383"/>
              <w:spacing w:after="0"/>
              <w:rPr>
                <w:sz w:val="20"/>
                <w:szCs w:val="20"/>
                <w:color w:val="auto"/>
              </w:rPr>
            </w:pPr>
            <w:r>
              <w:rPr>
                <w:rFonts w:ascii="Arial" w:cs="Arial" w:eastAsia="Arial" w:hAnsi="Arial"/>
                <w:sz w:val="11"/>
                <w:szCs w:val="11"/>
                <w:b w:val="1"/>
                <w:bCs w:val="1"/>
                <w:color w:val="131E29"/>
              </w:rPr>
              <w:t>2022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ind w:right="503"/>
              <w:spacing w:after="0"/>
              <w:rPr>
                <w:sz w:val="20"/>
                <w:szCs w:val="20"/>
                <w:color w:val="auto"/>
              </w:rPr>
            </w:pPr>
            <w:r>
              <w:rPr>
                <w:rFonts w:ascii="Arial" w:cs="Arial" w:eastAsia="Arial" w:hAnsi="Arial"/>
                <w:sz w:val="11"/>
                <w:szCs w:val="11"/>
                <w:b w:val="1"/>
                <w:bCs w:val="1"/>
                <w:color w:val="131E29"/>
              </w:rPr>
              <w:t>2022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ind w:right="483"/>
              <w:spacing w:after="0"/>
              <w:rPr>
                <w:sz w:val="20"/>
                <w:szCs w:val="20"/>
                <w:color w:val="auto"/>
              </w:rPr>
            </w:pPr>
            <w:r>
              <w:rPr>
                <w:rFonts w:ascii="Arial" w:cs="Arial" w:eastAsia="Arial" w:hAnsi="Arial"/>
                <w:sz w:val="11"/>
                <w:szCs w:val="11"/>
                <w:b w:val="1"/>
                <w:bCs w:val="1"/>
                <w:color w:val="131E29"/>
              </w:rPr>
              <w:t>2022</w:t>
            </w:r>
          </w:p>
        </w:tc>
      </w:tr>
      <w:tr>
        <w:trPr>
          <w:trHeight w:val="30"/>
        </w:trPr>
        <w:tc>
          <w:tcPr>
            <w:tcW w:w="1640" w:type="dxa"/>
            <w:vAlign w:val="bottom"/>
            <w:tcBorders>
              <w:bottom w:val="single" w:sz="8" w:color="D2DCE5"/>
            </w:tcBorders>
          </w:tcPr>
          <w:p>
            <w:pPr>
              <w:spacing w:after="0"/>
              <w:rPr>
                <w:sz w:val="2"/>
                <w:szCs w:val="2"/>
                <w:color w:val="auto"/>
              </w:rPr>
            </w:pPr>
          </w:p>
        </w:tc>
        <w:tc>
          <w:tcPr>
            <w:tcW w:w="200" w:type="dxa"/>
            <w:vAlign w:val="bottom"/>
            <w:tcBorders>
              <w:bottom w:val="single" w:sz="8" w:color="131E29"/>
            </w:tcBorders>
          </w:tcPr>
          <w:p>
            <w:pPr>
              <w:spacing w:after="0"/>
              <w:rPr>
                <w:sz w:val="2"/>
                <w:szCs w:val="2"/>
                <w:color w:val="auto"/>
              </w:rPr>
            </w:pPr>
          </w:p>
        </w:tc>
        <w:tc>
          <w:tcPr>
            <w:tcW w:w="118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80" w:type="dxa"/>
            <w:vAlign w:val="bottom"/>
            <w:tcBorders>
              <w:bottom w:val="single" w:sz="8" w:color="131E29"/>
            </w:tcBorders>
          </w:tcPr>
          <w:p>
            <w:pPr>
              <w:spacing w:after="0"/>
              <w:rPr>
                <w:sz w:val="2"/>
                <w:szCs w:val="2"/>
                <w:color w:val="auto"/>
              </w:rPr>
            </w:pPr>
          </w:p>
        </w:tc>
        <w:tc>
          <w:tcPr>
            <w:tcW w:w="1200" w:type="dxa"/>
            <w:vAlign w:val="bottom"/>
            <w:tcBorders>
              <w:bottom w:val="single" w:sz="8" w:color="131E29"/>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80" w:type="dxa"/>
            <w:vAlign w:val="bottom"/>
            <w:tcBorders>
              <w:bottom w:val="single" w:sz="8" w:color="131E29"/>
            </w:tcBorders>
          </w:tcPr>
          <w:p>
            <w:pPr>
              <w:spacing w:after="0"/>
              <w:rPr>
                <w:sz w:val="2"/>
                <w:szCs w:val="2"/>
                <w:color w:val="auto"/>
              </w:rPr>
            </w:pPr>
          </w:p>
        </w:tc>
        <w:tc>
          <w:tcPr>
            <w:tcW w:w="1140" w:type="dxa"/>
            <w:vAlign w:val="bottom"/>
            <w:tcBorders>
              <w:bottom w:val="single" w:sz="8" w:color="131E29"/>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00" w:type="dxa"/>
            <w:vAlign w:val="bottom"/>
            <w:tcBorders>
              <w:bottom w:val="single" w:sz="8" w:color="131E29"/>
            </w:tcBorders>
          </w:tcPr>
          <w:p>
            <w:pPr>
              <w:spacing w:after="0"/>
              <w:rPr>
                <w:sz w:val="2"/>
                <w:szCs w:val="2"/>
                <w:color w:val="auto"/>
              </w:rPr>
            </w:pPr>
          </w:p>
        </w:tc>
        <w:tc>
          <w:tcPr>
            <w:tcW w:w="96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00" w:type="dxa"/>
            <w:vAlign w:val="bottom"/>
            <w:tcBorders>
              <w:bottom w:val="single" w:sz="8" w:color="131E29"/>
            </w:tcBorders>
          </w:tcPr>
          <w:p>
            <w:pPr>
              <w:spacing w:after="0"/>
              <w:rPr>
                <w:sz w:val="2"/>
                <w:szCs w:val="2"/>
                <w:color w:val="auto"/>
              </w:rPr>
            </w:pPr>
          </w:p>
        </w:tc>
        <w:tc>
          <w:tcPr>
            <w:tcW w:w="94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80" w:type="dxa"/>
            <w:vAlign w:val="bottom"/>
            <w:tcBorders>
              <w:bottom w:val="single" w:sz="8" w:color="131E29"/>
            </w:tcBorders>
          </w:tcPr>
          <w:p>
            <w:pPr>
              <w:spacing w:after="0"/>
              <w:rPr>
                <w:sz w:val="2"/>
                <w:szCs w:val="2"/>
                <w:color w:val="auto"/>
              </w:rPr>
            </w:pPr>
          </w:p>
        </w:tc>
        <w:tc>
          <w:tcPr>
            <w:tcW w:w="1200" w:type="dxa"/>
            <w:vAlign w:val="bottom"/>
            <w:tcBorders>
              <w:bottom w:val="single" w:sz="8" w:color="131E29"/>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00" w:type="dxa"/>
            <w:vAlign w:val="bottom"/>
            <w:tcBorders>
              <w:bottom w:val="single" w:sz="8" w:color="131E29"/>
            </w:tcBorders>
          </w:tcPr>
          <w:p>
            <w:pPr>
              <w:spacing w:after="0"/>
              <w:rPr>
                <w:sz w:val="2"/>
                <w:szCs w:val="2"/>
                <w:color w:val="auto"/>
              </w:rPr>
            </w:pPr>
          </w:p>
        </w:tc>
        <w:tc>
          <w:tcPr>
            <w:tcW w:w="1140" w:type="dxa"/>
            <w:vAlign w:val="bottom"/>
            <w:tcBorders>
              <w:bottom w:val="single" w:sz="8" w:color="131E29"/>
            </w:tcBorders>
          </w:tcPr>
          <w:p>
            <w:pPr>
              <w:spacing w:after="0"/>
              <w:rPr>
                <w:sz w:val="2"/>
                <w:szCs w:val="2"/>
                <w:color w:val="auto"/>
              </w:rPr>
            </w:pPr>
          </w:p>
        </w:tc>
      </w:tr>
      <w:tr>
        <w:trPr>
          <w:trHeight w:val="171"/>
        </w:trPr>
        <w:tc>
          <w:tcPr>
            <w:tcW w:w="1640" w:type="dxa"/>
            <w:vAlign w:val="bottom"/>
            <w:shd w:val="clear" w:color="auto" w:fill="D2DCE5"/>
          </w:tcPr>
          <w:p>
            <w:pPr>
              <w:ind w:left="20"/>
              <w:spacing w:after="0"/>
              <w:rPr>
                <w:sz w:val="20"/>
                <w:szCs w:val="20"/>
                <w:color w:val="auto"/>
              </w:rPr>
            </w:pPr>
            <w:r>
              <w:rPr>
                <w:rFonts w:ascii="Arial" w:cs="Arial" w:eastAsia="Arial" w:hAnsi="Arial"/>
                <w:sz w:val="11"/>
                <w:szCs w:val="11"/>
                <w:color w:val="131E29"/>
              </w:rPr>
              <w:t>Dutch Bros Inc.</w:t>
            </w:r>
          </w:p>
        </w:tc>
        <w:tc>
          <w:tcPr>
            <w:tcW w:w="200" w:type="dxa"/>
            <w:vAlign w:val="bottom"/>
            <w:shd w:val="clear" w:color="auto" w:fill="D2DCE5"/>
          </w:tcPr>
          <w:p>
            <w:pPr>
              <w:jc w:val="right"/>
              <w:ind w:right="63"/>
              <w:spacing w:after="0"/>
              <w:rPr>
                <w:sz w:val="20"/>
                <w:szCs w:val="20"/>
                <w:color w:val="auto"/>
              </w:rPr>
            </w:pPr>
            <w:r>
              <w:rPr>
                <w:rFonts w:ascii="Arial" w:cs="Arial" w:eastAsia="Arial" w:hAnsi="Arial"/>
                <w:sz w:val="11"/>
                <w:szCs w:val="11"/>
                <w:color w:val="131E29"/>
                <w:w w:val="97"/>
              </w:rPr>
              <w:t>$</w:t>
            </w:r>
          </w:p>
        </w:tc>
        <w:tc>
          <w:tcPr>
            <w:tcW w:w="118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100.00</w:t>
            </w:r>
          </w:p>
        </w:tc>
        <w:tc>
          <w:tcPr>
            <w:tcW w:w="100" w:type="dxa"/>
            <w:vAlign w:val="bottom"/>
            <w:shd w:val="clear" w:color="auto" w:fill="D2DCE5"/>
          </w:tcPr>
          <w:p>
            <w:pPr>
              <w:spacing w:after="0"/>
              <w:rPr>
                <w:sz w:val="14"/>
                <w:szCs w:val="14"/>
                <w:color w:val="auto"/>
              </w:rPr>
            </w:pPr>
          </w:p>
        </w:tc>
        <w:tc>
          <w:tcPr>
            <w:tcW w:w="180" w:type="dxa"/>
            <w:vAlign w:val="bottom"/>
            <w:shd w:val="clear" w:color="auto" w:fill="D2DCE5"/>
          </w:tcPr>
          <w:p>
            <w:pPr>
              <w:jc w:val="right"/>
              <w:ind w:right="43"/>
              <w:spacing w:after="0"/>
              <w:rPr>
                <w:sz w:val="20"/>
                <w:szCs w:val="20"/>
                <w:color w:val="auto"/>
              </w:rPr>
            </w:pPr>
            <w:r>
              <w:rPr>
                <w:rFonts w:ascii="Arial" w:cs="Arial" w:eastAsia="Arial" w:hAnsi="Arial"/>
                <w:sz w:val="11"/>
                <w:szCs w:val="11"/>
                <w:color w:val="131E29"/>
                <w:w w:val="97"/>
              </w:rPr>
              <w:t>$</w:t>
            </w:r>
          </w:p>
        </w:tc>
        <w:tc>
          <w:tcPr>
            <w:tcW w:w="120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118.10</w:t>
            </w:r>
          </w:p>
        </w:tc>
        <w:tc>
          <w:tcPr>
            <w:tcW w:w="80" w:type="dxa"/>
            <w:vAlign w:val="bottom"/>
            <w:shd w:val="clear" w:color="auto" w:fill="D2DCE5"/>
          </w:tcPr>
          <w:p>
            <w:pPr>
              <w:spacing w:after="0"/>
              <w:rPr>
                <w:sz w:val="14"/>
                <w:szCs w:val="14"/>
                <w:color w:val="auto"/>
              </w:rPr>
            </w:pPr>
          </w:p>
        </w:tc>
        <w:tc>
          <w:tcPr>
            <w:tcW w:w="180" w:type="dxa"/>
            <w:vAlign w:val="bottom"/>
            <w:shd w:val="clear" w:color="auto" w:fill="D2DCE5"/>
          </w:tcPr>
          <w:p>
            <w:pPr>
              <w:jc w:val="right"/>
              <w:ind w:right="43"/>
              <w:spacing w:after="0"/>
              <w:rPr>
                <w:sz w:val="20"/>
                <w:szCs w:val="20"/>
                <w:color w:val="auto"/>
              </w:rPr>
            </w:pPr>
            <w:r>
              <w:rPr>
                <w:rFonts w:ascii="Arial" w:cs="Arial" w:eastAsia="Arial" w:hAnsi="Arial"/>
                <w:sz w:val="11"/>
                <w:szCs w:val="11"/>
                <w:color w:val="131E29"/>
                <w:w w:val="97"/>
              </w:rPr>
              <w:t>$</w:t>
            </w:r>
          </w:p>
        </w:tc>
        <w:tc>
          <w:tcPr>
            <w:tcW w:w="114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138.79</w:t>
            </w:r>
          </w:p>
        </w:tc>
        <w:tc>
          <w:tcPr>
            <w:tcW w:w="80" w:type="dxa"/>
            <w:vAlign w:val="bottom"/>
            <w:shd w:val="clear" w:color="auto" w:fill="D2DCE5"/>
          </w:tcPr>
          <w:p>
            <w:pPr>
              <w:spacing w:after="0"/>
              <w:rPr>
                <w:sz w:val="14"/>
                <w:szCs w:val="14"/>
                <w:color w:val="auto"/>
              </w:rPr>
            </w:pPr>
          </w:p>
        </w:tc>
        <w:tc>
          <w:tcPr>
            <w:tcW w:w="200" w:type="dxa"/>
            <w:vAlign w:val="bottom"/>
            <w:shd w:val="clear" w:color="auto" w:fill="D2DCE5"/>
          </w:tcPr>
          <w:p>
            <w:pPr>
              <w:jc w:val="right"/>
              <w:ind w:right="63"/>
              <w:spacing w:after="0"/>
              <w:rPr>
                <w:sz w:val="20"/>
                <w:szCs w:val="20"/>
                <w:color w:val="auto"/>
              </w:rPr>
            </w:pPr>
            <w:r>
              <w:rPr>
                <w:rFonts w:ascii="Arial" w:cs="Arial" w:eastAsia="Arial" w:hAnsi="Arial"/>
                <w:sz w:val="11"/>
                <w:szCs w:val="11"/>
                <w:color w:val="131E29"/>
                <w:w w:val="97"/>
              </w:rPr>
              <w:t>$</w:t>
            </w:r>
          </w:p>
        </w:tc>
        <w:tc>
          <w:tcPr>
            <w:tcW w:w="96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150.68</w:t>
            </w:r>
          </w:p>
        </w:tc>
        <w:tc>
          <w:tcPr>
            <w:tcW w:w="100" w:type="dxa"/>
            <w:vAlign w:val="bottom"/>
            <w:shd w:val="clear" w:color="auto" w:fill="D2DCE5"/>
          </w:tcPr>
          <w:p>
            <w:pPr>
              <w:spacing w:after="0"/>
              <w:rPr>
                <w:sz w:val="14"/>
                <w:szCs w:val="14"/>
                <w:color w:val="auto"/>
              </w:rPr>
            </w:pPr>
          </w:p>
        </w:tc>
        <w:tc>
          <w:tcPr>
            <w:tcW w:w="200" w:type="dxa"/>
            <w:vAlign w:val="bottom"/>
            <w:shd w:val="clear" w:color="auto" w:fill="D2DCE5"/>
          </w:tcPr>
          <w:p>
            <w:pPr>
              <w:jc w:val="right"/>
              <w:ind w:right="89"/>
              <w:spacing w:after="0"/>
              <w:rPr>
                <w:sz w:val="20"/>
                <w:szCs w:val="20"/>
                <w:color w:val="auto"/>
              </w:rPr>
            </w:pPr>
            <w:r>
              <w:rPr>
                <w:rFonts w:ascii="Arial" w:cs="Arial" w:eastAsia="Arial" w:hAnsi="Arial"/>
                <w:sz w:val="10"/>
                <w:szCs w:val="10"/>
                <w:color w:val="131E29"/>
                <w:w w:val="71"/>
              </w:rPr>
              <w:t>$</w:t>
            </w:r>
          </w:p>
        </w:tc>
        <w:tc>
          <w:tcPr>
            <w:tcW w:w="94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86.29</w:t>
            </w:r>
          </w:p>
        </w:tc>
        <w:tc>
          <w:tcPr>
            <w:tcW w:w="100" w:type="dxa"/>
            <w:vAlign w:val="bottom"/>
            <w:shd w:val="clear" w:color="auto" w:fill="D2DCE5"/>
          </w:tcPr>
          <w:p>
            <w:pPr>
              <w:spacing w:after="0"/>
              <w:rPr>
                <w:sz w:val="14"/>
                <w:szCs w:val="14"/>
                <w:color w:val="auto"/>
              </w:rPr>
            </w:pPr>
          </w:p>
        </w:tc>
        <w:tc>
          <w:tcPr>
            <w:tcW w:w="180" w:type="dxa"/>
            <w:vAlign w:val="bottom"/>
            <w:shd w:val="clear" w:color="auto" w:fill="D2DCE5"/>
          </w:tcPr>
          <w:p>
            <w:pPr>
              <w:jc w:val="right"/>
              <w:ind w:right="69"/>
              <w:spacing w:after="0"/>
              <w:rPr>
                <w:sz w:val="20"/>
                <w:szCs w:val="20"/>
                <w:color w:val="auto"/>
              </w:rPr>
            </w:pPr>
            <w:r>
              <w:rPr>
                <w:rFonts w:ascii="Arial" w:cs="Arial" w:eastAsia="Arial" w:hAnsi="Arial"/>
                <w:sz w:val="10"/>
                <w:szCs w:val="10"/>
                <w:color w:val="131E29"/>
                <w:w w:val="71"/>
              </w:rPr>
              <w:t>$</w:t>
            </w:r>
          </w:p>
        </w:tc>
        <w:tc>
          <w:tcPr>
            <w:tcW w:w="120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84.92</w:t>
            </w:r>
          </w:p>
        </w:tc>
        <w:tc>
          <w:tcPr>
            <w:tcW w:w="80" w:type="dxa"/>
            <w:vAlign w:val="bottom"/>
            <w:shd w:val="clear" w:color="auto" w:fill="D2DCE5"/>
          </w:tcPr>
          <w:p>
            <w:pPr>
              <w:spacing w:after="0"/>
              <w:rPr>
                <w:sz w:val="14"/>
                <w:szCs w:val="14"/>
                <w:color w:val="auto"/>
              </w:rPr>
            </w:pPr>
          </w:p>
        </w:tc>
        <w:tc>
          <w:tcPr>
            <w:tcW w:w="200" w:type="dxa"/>
            <w:vAlign w:val="bottom"/>
            <w:shd w:val="clear" w:color="auto" w:fill="D2DCE5"/>
          </w:tcPr>
          <w:p>
            <w:pPr>
              <w:jc w:val="right"/>
              <w:ind w:right="63"/>
              <w:spacing w:after="0"/>
              <w:rPr>
                <w:sz w:val="20"/>
                <w:szCs w:val="20"/>
                <w:color w:val="auto"/>
              </w:rPr>
            </w:pPr>
            <w:r>
              <w:rPr>
                <w:rFonts w:ascii="Arial" w:cs="Arial" w:eastAsia="Arial" w:hAnsi="Arial"/>
                <w:sz w:val="11"/>
                <w:szCs w:val="11"/>
                <w:color w:val="131E29"/>
                <w:w w:val="97"/>
              </w:rPr>
              <w:t>$</w:t>
            </w:r>
          </w:p>
        </w:tc>
        <w:tc>
          <w:tcPr>
            <w:tcW w:w="114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76.85</w:t>
            </w:r>
          </w:p>
        </w:tc>
      </w:tr>
      <w:tr>
        <w:trPr>
          <w:trHeight w:val="171"/>
        </w:trPr>
        <w:tc>
          <w:tcPr>
            <w:tcW w:w="1640" w:type="dxa"/>
            <w:vAlign w:val="bottom"/>
          </w:tcPr>
          <w:p>
            <w:pPr>
              <w:ind w:left="20"/>
              <w:spacing w:after="0"/>
              <w:rPr>
                <w:sz w:val="20"/>
                <w:szCs w:val="20"/>
                <w:color w:val="auto"/>
              </w:rPr>
            </w:pPr>
            <w:r>
              <w:rPr>
                <w:rFonts w:ascii="Arial" w:cs="Arial" w:eastAsia="Arial" w:hAnsi="Arial"/>
                <w:sz w:val="11"/>
                <w:szCs w:val="11"/>
                <w:color w:val="131E29"/>
              </w:rPr>
              <w:t>S&amp;P 500 Index</w:t>
            </w:r>
          </w:p>
        </w:tc>
        <w:tc>
          <w:tcPr>
            <w:tcW w:w="200" w:type="dxa"/>
            <w:vAlign w:val="bottom"/>
          </w:tcPr>
          <w:p>
            <w:pPr>
              <w:jc w:val="right"/>
              <w:ind w:right="63"/>
              <w:spacing w:after="0"/>
              <w:rPr>
                <w:sz w:val="20"/>
                <w:szCs w:val="20"/>
                <w:color w:val="auto"/>
              </w:rPr>
            </w:pPr>
            <w:r>
              <w:rPr>
                <w:rFonts w:ascii="Arial" w:cs="Arial" w:eastAsia="Arial" w:hAnsi="Arial"/>
                <w:sz w:val="11"/>
                <w:szCs w:val="11"/>
                <w:color w:val="131E29"/>
                <w:w w:val="97"/>
              </w:rPr>
              <w:t>$</w:t>
            </w:r>
          </w:p>
        </w:tc>
        <w:tc>
          <w:tcPr>
            <w:tcW w:w="1180" w:type="dxa"/>
            <w:vAlign w:val="bottom"/>
          </w:tcPr>
          <w:p>
            <w:pPr>
              <w:jc w:val="right"/>
              <w:spacing w:after="0"/>
              <w:rPr>
                <w:sz w:val="20"/>
                <w:szCs w:val="20"/>
                <w:color w:val="auto"/>
              </w:rPr>
            </w:pPr>
            <w:r>
              <w:rPr>
                <w:rFonts w:ascii="Arial" w:cs="Arial" w:eastAsia="Arial" w:hAnsi="Arial"/>
                <w:sz w:val="11"/>
                <w:szCs w:val="11"/>
                <w:color w:val="131E29"/>
              </w:rPr>
              <w:t>100.00</w:t>
            </w:r>
          </w:p>
        </w:tc>
        <w:tc>
          <w:tcPr>
            <w:tcW w:w="100" w:type="dxa"/>
            <w:vAlign w:val="bottom"/>
          </w:tcPr>
          <w:p>
            <w:pPr>
              <w:spacing w:after="0"/>
              <w:rPr>
                <w:sz w:val="14"/>
                <w:szCs w:val="14"/>
                <w:color w:val="auto"/>
              </w:rPr>
            </w:pPr>
          </w:p>
        </w:tc>
        <w:tc>
          <w:tcPr>
            <w:tcW w:w="180" w:type="dxa"/>
            <w:vAlign w:val="bottom"/>
          </w:tcPr>
          <w:p>
            <w:pPr>
              <w:jc w:val="right"/>
              <w:ind w:right="43"/>
              <w:spacing w:after="0"/>
              <w:rPr>
                <w:sz w:val="20"/>
                <w:szCs w:val="20"/>
                <w:color w:val="auto"/>
              </w:rPr>
            </w:pPr>
            <w:r>
              <w:rPr>
                <w:rFonts w:ascii="Arial" w:cs="Arial" w:eastAsia="Arial" w:hAnsi="Arial"/>
                <w:sz w:val="11"/>
                <w:szCs w:val="11"/>
                <w:color w:val="131E29"/>
                <w:w w:val="97"/>
              </w:rPr>
              <w:t>$</w:t>
            </w:r>
          </w:p>
        </w:tc>
        <w:tc>
          <w:tcPr>
            <w:tcW w:w="1200" w:type="dxa"/>
            <w:vAlign w:val="bottom"/>
          </w:tcPr>
          <w:p>
            <w:pPr>
              <w:jc w:val="right"/>
              <w:ind w:right="3"/>
              <w:spacing w:after="0"/>
              <w:rPr>
                <w:sz w:val="20"/>
                <w:szCs w:val="20"/>
                <w:color w:val="auto"/>
              </w:rPr>
            </w:pPr>
            <w:r>
              <w:rPr>
                <w:rFonts w:ascii="Arial" w:cs="Arial" w:eastAsia="Arial" w:hAnsi="Arial"/>
                <w:sz w:val="11"/>
                <w:szCs w:val="11"/>
                <w:color w:val="131E29"/>
              </w:rPr>
              <w:t>96.14</w:t>
            </w:r>
          </w:p>
        </w:tc>
        <w:tc>
          <w:tcPr>
            <w:tcW w:w="80" w:type="dxa"/>
            <w:vAlign w:val="bottom"/>
          </w:tcPr>
          <w:p>
            <w:pPr>
              <w:spacing w:after="0"/>
              <w:rPr>
                <w:sz w:val="14"/>
                <w:szCs w:val="14"/>
                <w:color w:val="auto"/>
              </w:rPr>
            </w:pPr>
          </w:p>
        </w:tc>
        <w:tc>
          <w:tcPr>
            <w:tcW w:w="180" w:type="dxa"/>
            <w:vAlign w:val="bottom"/>
          </w:tcPr>
          <w:p>
            <w:pPr>
              <w:jc w:val="right"/>
              <w:ind w:right="43"/>
              <w:spacing w:after="0"/>
              <w:rPr>
                <w:sz w:val="20"/>
                <w:szCs w:val="20"/>
                <w:color w:val="auto"/>
              </w:rPr>
            </w:pPr>
            <w:r>
              <w:rPr>
                <w:rFonts w:ascii="Arial" w:cs="Arial" w:eastAsia="Arial" w:hAnsi="Arial"/>
                <w:sz w:val="11"/>
                <w:szCs w:val="11"/>
                <w:color w:val="131E29"/>
                <w:w w:val="97"/>
              </w:rPr>
              <w:t>$</w:t>
            </w:r>
          </w:p>
        </w:tc>
        <w:tc>
          <w:tcPr>
            <w:tcW w:w="1140" w:type="dxa"/>
            <w:vAlign w:val="bottom"/>
          </w:tcPr>
          <w:p>
            <w:pPr>
              <w:jc w:val="right"/>
              <w:spacing w:after="0"/>
              <w:rPr>
                <w:sz w:val="20"/>
                <w:szCs w:val="20"/>
                <w:color w:val="auto"/>
              </w:rPr>
            </w:pPr>
            <w:r>
              <w:rPr>
                <w:rFonts w:ascii="Arial" w:cs="Arial" w:eastAsia="Arial" w:hAnsi="Arial"/>
                <w:sz w:val="11"/>
                <w:szCs w:val="11"/>
                <w:color w:val="131E29"/>
              </w:rPr>
              <w:t>106.37</w:t>
            </w:r>
          </w:p>
        </w:tc>
        <w:tc>
          <w:tcPr>
            <w:tcW w:w="80" w:type="dxa"/>
            <w:vAlign w:val="bottom"/>
          </w:tcPr>
          <w:p>
            <w:pPr>
              <w:spacing w:after="0"/>
              <w:rPr>
                <w:sz w:val="14"/>
                <w:szCs w:val="14"/>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color w:val="131E29"/>
                <w:w w:val="97"/>
              </w:rPr>
              <w:t>$</w:t>
            </w:r>
          </w:p>
        </w:tc>
        <w:tc>
          <w:tcPr>
            <w:tcW w:w="960" w:type="dxa"/>
            <w:vAlign w:val="bottom"/>
          </w:tcPr>
          <w:p>
            <w:pPr>
              <w:jc w:val="right"/>
              <w:spacing w:after="0"/>
              <w:rPr>
                <w:sz w:val="20"/>
                <w:szCs w:val="20"/>
                <w:color w:val="auto"/>
              </w:rPr>
            </w:pPr>
            <w:r>
              <w:rPr>
                <w:rFonts w:ascii="Arial" w:cs="Arial" w:eastAsia="Arial" w:hAnsi="Arial"/>
                <w:sz w:val="11"/>
                <w:szCs w:val="11"/>
                <w:color w:val="131E29"/>
              </w:rPr>
              <w:t>101.11</w:t>
            </w:r>
          </w:p>
        </w:tc>
        <w:tc>
          <w:tcPr>
            <w:tcW w:w="100" w:type="dxa"/>
            <w:vAlign w:val="bottom"/>
          </w:tcPr>
          <w:p>
            <w:pPr>
              <w:spacing w:after="0"/>
              <w:rPr>
                <w:sz w:val="14"/>
                <w:szCs w:val="14"/>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131E29"/>
                <w:w w:val="71"/>
              </w:rPr>
              <w:t>$</w:t>
            </w:r>
          </w:p>
        </w:tc>
        <w:tc>
          <w:tcPr>
            <w:tcW w:w="940" w:type="dxa"/>
            <w:vAlign w:val="bottom"/>
          </w:tcPr>
          <w:p>
            <w:pPr>
              <w:jc w:val="right"/>
              <w:spacing w:after="0"/>
              <w:rPr>
                <w:sz w:val="20"/>
                <w:szCs w:val="20"/>
                <w:color w:val="auto"/>
              </w:rPr>
            </w:pPr>
            <w:r>
              <w:rPr>
                <w:rFonts w:ascii="Arial" w:cs="Arial" w:eastAsia="Arial" w:hAnsi="Arial"/>
                <w:sz w:val="11"/>
                <w:szCs w:val="11"/>
                <w:color w:val="131E29"/>
              </w:rPr>
              <w:t>84.48</w:t>
            </w:r>
          </w:p>
        </w:tc>
        <w:tc>
          <w:tcPr>
            <w:tcW w:w="100" w:type="dxa"/>
            <w:vAlign w:val="bottom"/>
          </w:tcPr>
          <w:p>
            <w:pPr>
              <w:spacing w:after="0"/>
              <w:rPr>
                <w:sz w:val="14"/>
                <w:szCs w:val="14"/>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131E29"/>
                <w:w w:val="71"/>
              </w:rPr>
              <w:t>$</w:t>
            </w:r>
          </w:p>
        </w:tc>
        <w:tc>
          <w:tcPr>
            <w:tcW w:w="1200" w:type="dxa"/>
            <w:vAlign w:val="bottom"/>
          </w:tcPr>
          <w:p>
            <w:pPr>
              <w:jc w:val="right"/>
              <w:ind w:right="3"/>
              <w:spacing w:after="0"/>
              <w:rPr>
                <w:sz w:val="20"/>
                <w:szCs w:val="20"/>
                <w:color w:val="auto"/>
              </w:rPr>
            </w:pPr>
            <w:r>
              <w:rPr>
                <w:rFonts w:ascii="Arial" w:cs="Arial" w:eastAsia="Arial" w:hAnsi="Arial"/>
                <w:sz w:val="11"/>
                <w:szCs w:val="11"/>
                <w:color w:val="131E29"/>
              </w:rPr>
              <w:t>80.02</w:t>
            </w:r>
          </w:p>
        </w:tc>
        <w:tc>
          <w:tcPr>
            <w:tcW w:w="80" w:type="dxa"/>
            <w:vAlign w:val="bottom"/>
          </w:tcPr>
          <w:p>
            <w:pPr>
              <w:spacing w:after="0"/>
              <w:rPr>
                <w:sz w:val="14"/>
                <w:szCs w:val="14"/>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color w:val="131E29"/>
                <w:w w:val="97"/>
              </w:rPr>
              <w:t>$</w:t>
            </w:r>
          </w:p>
        </w:tc>
        <w:tc>
          <w:tcPr>
            <w:tcW w:w="1140" w:type="dxa"/>
            <w:vAlign w:val="bottom"/>
          </w:tcPr>
          <w:p>
            <w:pPr>
              <w:jc w:val="right"/>
              <w:spacing w:after="0"/>
              <w:rPr>
                <w:sz w:val="20"/>
                <w:szCs w:val="20"/>
                <w:color w:val="auto"/>
              </w:rPr>
            </w:pPr>
            <w:r>
              <w:rPr>
                <w:rFonts w:ascii="Arial" w:cs="Arial" w:eastAsia="Arial" w:hAnsi="Arial"/>
                <w:sz w:val="11"/>
                <w:szCs w:val="11"/>
                <w:color w:val="131E29"/>
              </w:rPr>
              <w:t>85.69</w:t>
            </w:r>
          </w:p>
        </w:tc>
      </w:tr>
      <w:tr>
        <w:trPr>
          <w:trHeight w:val="162"/>
        </w:trPr>
        <w:tc>
          <w:tcPr>
            <w:tcW w:w="1640" w:type="dxa"/>
            <w:vAlign w:val="bottom"/>
            <w:shd w:val="clear" w:color="auto" w:fill="D2DCE5"/>
          </w:tcPr>
          <w:p>
            <w:pPr>
              <w:ind w:left="20"/>
              <w:spacing w:after="0"/>
              <w:rPr>
                <w:sz w:val="20"/>
                <w:szCs w:val="20"/>
                <w:color w:val="auto"/>
              </w:rPr>
            </w:pPr>
            <w:r>
              <w:rPr>
                <w:rFonts w:ascii="Arial" w:cs="Arial" w:eastAsia="Arial" w:hAnsi="Arial"/>
                <w:sz w:val="11"/>
                <w:szCs w:val="11"/>
                <w:color w:val="131E29"/>
              </w:rPr>
              <w:t>S&amp;P 500 Consumer</w:t>
            </w:r>
          </w:p>
        </w:tc>
        <w:tc>
          <w:tcPr>
            <w:tcW w:w="200" w:type="dxa"/>
            <w:vAlign w:val="bottom"/>
            <w:shd w:val="clear" w:color="auto" w:fill="D2DCE5"/>
          </w:tcPr>
          <w:p>
            <w:pPr>
              <w:spacing w:after="0"/>
              <w:rPr>
                <w:sz w:val="14"/>
                <w:szCs w:val="14"/>
                <w:color w:val="auto"/>
              </w:rPr>
            </w:pPr>
          </w:p>
        </w:tc>
        <w:tc>
          <w:tcPr>
            <w:tcW w:w="11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180" w:type="dxa"/>
            <w:vAlign w:val="bottom"/>
            <w:shd w:val="clear" w:color="auto" w:fill="D2DCE5"/>
          </w:tcPr>
          <w:p>
            <w:pPr>
              <w:spacing w:after="0"/>
              <w:rPr>
                <w:sz w:val="14"/>
                <w:szCs w:val="14"/>
                <w:color w:val="auto"/>
              </w:rPr>
            </w:pPr>
          </w:p>
        </w:tc>
        <w:tc>
          <w:tcPr>
            <w:tcW w:w="12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80" w:type="dxa"/>
            <w:vAlign w:val="bottom"/>
            <w:shd w:val="clear" w:color="auto" w:fill="D2DCE5"/>
          </w:tcPr>
          <w:p>
            <w:pPr>
              <w:spacing w:after="0"/>
              <w:rPr>
                <w:sz w:val="14"/>
                <w:szCs w:val="14"/>
                <w:color w:val="auto"/>
              </w:rPr>
            </w:pPr>
          </w:p>
        </w:tc>
        <w:tc>
          <w:tcPr>
            <w:tcW w:w="11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200" w:type="dxa"/>
            <w:vAlign w:val="bottom"/>
            <w:shd w:val="clear" w:color="auto" w:fill="D2DCE5"/>
          </w:tcPr>
          <w:p>
            <w:pPr>
              <w:spacing w:after="0"/>
              <w:rPr>
                <w:sz w:val="14"/>
                <w:szCs w:val="14"/>
                <w:color w:val="auto"/>
              </w:rPr>
            </w:pPr>
          </w:p>
        </w:tc>
        <w:tc>
          <w:tcPr>
            <w:tcW w:w="9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200" w:type="dxa"/>
            <w:vAlign w:val="bottom"/>
            <w:shd w:val="clear" w:color="auto" w:fill="D2DCE5"/>
          </w:tcPr>
          <w:p>
            <w:pPr>
              <w:spacing w:after="0"/>
              <w:rPr>
                <w:sz w:val="14"/>
                <w:szCs w:val="14"/>
                <w:color w:val="auto"/>
              </w:rPr>
            </w:pPr>
          </w:p>
        </w:tc>
        <w:tc>
          <w:tcPr>
            <w:tcW w:w="94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180" w:type="dxa"/>
            <w:vAlign w:val="bottom"/>
            <w:shd w:val="clear" w:color="auto" w:fill="D2DCE5"/>
          </w:tcPr>
          <w:p>
            <w:pPr>
              <w:spacing w:after="0"/>
              <w:rPr>
                <w:sz w:val="14"/>
                <w:szCs w:val="14"/>
                <w:color w:val="auto"/>
              </w:rPr>
            </w:pPr>
          </w:p>
        </w:tc>
        <w:tc>
          <w:tcPr>
            <w:tcW w:w="12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200" w:type="dxa"/>
            <w:vAlign w:val="bottom"/>
            <w:shd w:val="clear" w:color="auto" w:fill="D2DCE5"/>
          </w:tcPr>
          <w:p>
            <w:pPr>
              <w:spacing w:after="0"/>
              <w:rPr>
                <w:sz w:val="14"/>
                <w:szCs w:val="14"/>
                <w:color w:val="auto"/>
              </w:rPr>
            </w:pPr>
          </w:p>
        </w:tc>
        <w:tc>
          <w:tcPr>
            <w:tcW w:w="1140" w:type="dxa"/>
            <w:vAlign w:val="bottom"/>
            <w:shd w:val="clear" w:color="auto" w:fill="D2DCE5"/>
          </w:tcPr>
          <w:p>
            <w:pPr>
              <w:spacing w:after="0"/>
              <w:rPr>
                <w:sz w:val="14"/>
                <w:szCs w:val="14"/>
                <w:color w:val="auto"/>
              </w:rPr>
            </w:pPr>
          </w:p>
        </w:tc>
      </w:tr>
      <w:tr>
        <w:trPr>
          <w:trHeight w:val="166"/>
        </w:trPr>
        <w:tc>
          <w:tcPr>
            <w:tcW w:w="1640" w:type="dxa"/>
            <w:vAlign w:val="bottom"/>
            <w:shd w:val="clear" w:color="auto" w:fill="D2DCE5"/>
          </w:tcPr>
          <w:p>
            <w:pPr>
              <w:ind w:left="20"/>
              <w:spacing w:after="0"/>
              <w:rPr>
                <w:sz w:val="20"/>
                <w:szCs w:val="20"/>
                <w:color w:val="auto"/>
              </w:rPr>
            </w:pPr>
            <w:r>
              <w:rPr>
                <w:rFonts w:ascii="Arial" w:cs="Arial" w:eastAsia="Arial" w:hAnsi="Arial"/>
                <w:sz w:val="11"/>
                <w:szCs w:val="11"/>
                <w:color w:val="131E29"/>
              </w:rPr>
              <w:t>Discretionary Index</w:t>
            </w:r>
          </w:p>
        </w:tc>
        <w:tc>
          <w:tcPr>
            <w:tcW w:w="200" w:type="dxa"/>
            <w:vAlign w:val="bottom"/>
            <w:shd w:val="clear" w:color="auto" w:fill="D2DCE5"/>
          </w:tcPr>
          <w:p>
            <w:pPr>
              <w:jc w:val="right"/>
              <w:ind w:right="63"/>
              <w:spacing w:after="0"/>
              <w:rPr>
                <w:sz w:val="20"/>
                <w:szCs w:val="20"/>
                <w:color w:val="auto"/>
              </w:rPr>
            </w:pPr>
            <w:r>
              <w:rPr>
                <w:rFonts w:ascii="Arial" w:cs="Arial" w:eastAsia="Arial" w:hAnsi="Arial"/>
                <w:sz w:val="11"/>
                <w:szCs w:val="11"/>
                <w:color w:val="131E29"/>
                <w:w w:val="97"/>
              </w:rPr>
              <w:t>$</w:t>
            </w:r>
          </w:p>
        </w:tc>
        <w:tc>
          <w:tcPr>
            <w:tcW w:w="118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100.00</w:t>
            </w:r>
          </w:p>
        </w:tc>
        <w:tc>
          <w:tcPr>
            <w:tcW w:w="100" w:type="dxa"/>
            <w:vAlign w:val="bottom"/>
            <w:shd w:val="clear" w:color="auto" w:fill="D2DCE5"/>
          </w:tcPr>
          <w:p>
            <w:pPr>
              <w:spacing w:after="0"/>
              <w:rPr>
                <w:sz w:val="14"/>
                <w:szCs w:val="14"/>
                <w:color w:val="auto"/>
              </w:rPr>
            </w:pPr>
          </w:p>
        </w:tc>
        <w:tc>
          <w:tcPr>
            <w:tcW w:w="180" w:type="dxa"/>
            <w:vAlign w:val="bottom"/>
            <w:shd w:val="clear" w:color="auto" w:fill="D2DCE5"/>
          </w:tcPr>
          <w:p>
            <w:pPr>
              <w:jc w:val="right"/>
              <w:ind w:right="43"/>
              <w:spacing w:after="0"/>
              <w:rPr>
                <w:sz w:val="20"/>
                <w:szCs w:val="20"/>
                <w:color w:val="auto"/>
              </w:rPr>
            </w:pPr>
            <w:r>
              <w:rPr>
                <w:rFonts w:ascii="Arial" w:cs="Arial" w:eastAsia="Arial" w:hAnsi="Arial"/>
                <w:sz w:val="11"/>
                <w:szCs w:val="11"/>
                <w:color w:val="131E29"/>
                <w:w w:val="97"/>
              </w:rPr>
              <w:t>$</w:t>
            </w:r>
          </w:p>
        </w:tc>
        <w:tc>
          <w:tcPr>
            <w:tcW w:w="120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97.34</w:t>
            </w:r>
          </w:p>
        </w:tc>
        <w:tc>
          <w:tcPr>
            <w:tcW w:w="80" w:type="dxa"/>
            <w:vAlign w:val="bottom"/>
            <w:shd w:val="clear" w:color="auto" w:fill="D2DCE5"/>
          </w:tcPr>
          <w:p>
            <w:pPr>
              <w:spacing w:after="0"/>
              <w:rPr>
                <w:sz w:val="14"/>
                <w:szCs w:val="14"/>
                <w:color w:val="auto"/>
              </w:rPr>
            </w:pPr>
          </w:p>
        </w:tc>
        <w:tc>
          <w:tcPr>
            <w:tcW w:w="180" w:type="dxa"/>
            <w:vAlign w:val="bottom"/>
            <w:shd w:val="clear" w:color="auto" w:fill="D2DCE5"/>
          </w:tcPr>
          <w:p>
            <w:pPr>
              <w:jc w:val="right"/>
              <w:ind w:right="43"/>
              <w:spacing w:after="0"/>
              <w:rPr>
                <w:sz w:val="20"/>
                <w:szCs w:val="20"/>
                <w:color w:val="auto"/>
              </w:rPr>
            </w:pPr>
            <w:r>
              <w:rPr>
                <w:rFonts w:ascii="Arial" w:cs="Arial" w:eastAsia="Arial" w:hAnsi="Arial"/>
                <w:sz w:val="11"/>
                <w:szCs w:val="11"/>
                <w:color w:val="131E29"/>
                <w:w w:val="97"/>
              </w:rPr>
              <w:t>$</w:t>
            </w:r>
          </w:p>
        </w:tc>
        <w:tc>
          <w:tcPr>
            <w:tcW w:w="114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109.67</w:t>
            </w:r>
          </w:p>
        </w:tc>
        <w:tc>
          <w:tcPr>
            <w:tcW w:w="80" w:type="dxa"/>
            <w:vAlign w:val="bottom"/>
            <w:shd w:val="clear" w:color="auto" w:fill="D2DCE5"/>
          </w:tcPr>
          <w:p>
            <w:pPr>
              <w:spacing w:after="0"/>
              <w:rPr>
                <w:sz w:val="14"/>
                <w:szCs w:val="14"/>
                <w:color w:val="auto"/>
              </w:rPr>
            </w:pPr>
          </w:p>
        </w:tc>
        <w:tc>
          <w:tcPr>
            <w:tcW w:w="200" w:type="dxa"/>
            <w:vAlign w:val="bottom"/>
            <w:shd w:val="clear" w:color="auto" w:fill="D2DCE5"/>
          </w:tcPr>
          <w:p>
            <w:pPr>
              <w:jc w:val="right"/>
              <w:ind w:right="63"/>
              <w:spacing w:after="0"/>
              <w:rPr>
                <w:sz w:val="20"/>
                <w:szCs w:val="20"/>
                <w:color w:val="auto"/>
              </w:rPr>
            </w:pPr>
            <w:r>
              <w:rPr>
                <w:rFonts w:ascii="Arial" w:cs="Arial" w:eastAsia="Arial" w:hAnsi="Arial"/>
                <w:sz w:val="11"/>
                <w:szCs w:val="11"/>
                <w:color w:val="131E29"/>
                <w:w w:val="97"/>
              </w:rPr>
              <w:t>$</w:t>
            </w:r>
          </w:p>
        </w:tc>
        <w:tc>
          <w:tcPr>
            <w:tcW w:w="96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99.59</w:t>
            </w:r>
          </w:p>
        </w:tc>
        <w:tc>
          <w:tcPr>
            <w:tcW w:w="100" w:type="dxa"/>
            <w:vAlign w:val="bottom"/>
            <w:shd w:val="clear" w:color="auto" w:fill="D2DCE5"/>
          </w:tcPr>
          <w:p>
            <w:pPr>
              <w:spacing w:after="0"/>
              <w:rPr>
                <w:sz w:val="14"/>
                <w:szCs w:val="14"/>
                <w:color w:val="auto"/>
              </w:rPr>
            </w:pPr>
          </w:p>
        </w:tc>
        <w:tc>
          <w:tcPr>
            <w:tcW w:w="200" w:type="dxa"/>
            <w:vAlign w:val="bottom"/>
            <w:shd w:val="clear" w:color="auto" w:fill="D2DCE5"/>
          </w:tcPr>
          <w:p>
            <w:pPr>
              <w:jc w:val="right"/>
              <w:ind w:right="89"/>
              <w:spacing w:after="0"/>
              <w:rPr>
                <w:sz w:val="20"/>
                <w:szCs w:val="20"/>
                <w:color w:val="auto"/>
              </w:rPr>
            </w:pPr>
            <w:r>
              <w:rPr>
                <w:rFonts w:ascii="Arial" w:cs="Arial" w:eastAsia="Arial" w:hAnsi="Arial"/>
                <w:sz w:val="10"/>
                <w:szCs w:val="10"/>
                <w:color w:val="131E29"/>
                <w:w w:val="71"/>
              </w:rPr>
              <w:t>$</w:t>
            </w:r>
          </w:p>
        </w:tc>
        <w:tc>
          <w:tcPr>
            <w:tcW w:w="94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73.38</w:t>
            </w:r>
          </w:p>
        </w:tc>
        <w:tc>
          <w:tcPr>
            <w:tcW w:w="100" w:type="dxa"/>
            <w:vAlign w:val="bottom"/>
            <w:shd w:val="clear" w:color="auto" w:fill="D2DCE5"/>
          </w:tcPr>
          <w:p>
            <w:pPr>
              <w:spacing w:after="0"/>
              <w:rPr>
                <w:sz w:val="14"/>
                <w:szCs w:val="14"/>
                <w:color w:val="auto"/>
              </w:rPr>
            </w:pPr>
          </w:p>
        </w:tc>
        <w:tc>
          <w:tcPr>
            <w:tcW w:w="180" w:type="dxa"/>
            <w:vAlign w:val="bottom"/>
            <w:shd w:val="clear" w:color="auto" w:fill="D2DCE5"/>
          </w:tcPr>
          <w:p>
            <w:pPr>
              <w:jc w:val="right"/>
              <w:ind w:right="69"/>
              <w:spacing w:after="0"/>
              <w:rPr>
                <w:sz w:val="20"/>
                <w:szCs w:val="20"/>
                <w:color w:val="auto"/>
              </w:rPr>
            </w:pPr>
            <w:r>
              <w:rPr>
                <w:rFonts w:ascii="Arial" w:cs="Arial" w:eastAsia="Arial" w:hAnsi="Arial"/>
                <w:sz w:val="10"/>
                <w:szCs w:val="10"/>
                <w:color w:val="131E29"/>
                <w:w w:val="71"/>
              </w:rPr>
              <w:t>$</w:t>
            </w:r>
          </w:p>
        </w:tc>
        <w:tc>
          <w:tcPr>
            <w:tcW w:w="120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76.41</w:t>
            </w:r>
          </w:p>
        </w:tc>
        <w:tc>
          <w:tcPr>
            <w:tcW w:w="80" w:type="dxa"/>
            <w:vAlign w:val="bottom"/>
            <w:shd w:val="clear" w:color="auto" w:fill="D2DCE5"/>
          </w:tcPr>
          <w:p>
            <w:pPr>
              <w:spacing w:after="0"/>
              <w:rPr>
                <w:sz w:val="14"/>
                <w:szCs w:val="14"/>
                <w:color w:val="auto"/>
              </w:rPr>
            </w:pPr>
          </w:p>
        </w:tc>
        <w:tc>
          <w:tcPr>
            <w:tcW w:w="200" w:type="dxa"/>
            <w:vAlign w:val="bottom"/>
            <w:shd w:val="clear" w:color="auto" w:fill="D2DCE5"/>
          </w:tcPr>
          <w:p>
            <w:pPr>
              <w:jc w:val="right"/>
              <w:ind w:right="63"/>
              <w:spacing w:after="0"/>
              <w:rPr>
                <w:sz w:val="20"/>
                <w:szCs w:val="20"/>
                <w:color w:val="auto"/>
              </w:rPr>
            </w:pPr>
            <w:r>
              <w:rPr>
                <w:rFonts w:ascii="Arial" w:cs="Arial" w:eastAsia="Arial" w:hAnsi="Arial"/>
                <w:sz w:val="11"/>
                <w:szCs w:val="11"/>
                <w:color w:val="131E29"/>
                <w:w w:val="97"/>
              </w:rPr>
              <w:t>$</w:t>
            </w:r>
          </w:p>
        </w:tc>
        <w:tc>
          <w:tcPr>
            <w:tcW w:w="114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68.46</w:t>
            </w:r>
          </w:p>
        </w:tc>
      </w:tr>
    </w:tbl>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The above Stock Performance Graph and related information shall not be deemed “soliciting material” or to be “filed” with the SEC nor shall such information be incorporated by reference into any future filing under the Securities Act or the Exchange Act, each as amended, except to the extent that we specifically incorporate it by reference into such filing.</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6. [RESERVED]</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7. MANAGEMENT’S DISCUSSION AND ANALYSIS OF FINANCIAL CONDITION AND RESULTS OF OPERATIONS</w:t>
      </w:r>
    </w:p>
    <w:p>
      <w:pPr>
        <w:spacing w:after="0" w:line="143" w:lineRule="exact"/>
        <w:rPr>
          <w:sz w:val="20"/>
          <w:szCs w:val="20"/>
          <w:color w:val="auto"/>
        </w:rPr>
      </w:pPr>
    </w:p>
    <w:p>
      <w:pPr>
        <w:jc w:val="both"/>
        <w:spacing w:after="0" w:line="252" w:lineRule="auto"/>
        <w:rPr>
          <w:sz w:val="20"/>
          <w:szCs w:val="20"/>
          <w:color w:val="auto"/>
        </w:rPr>
      </w:pPr>
      <w:r>
        <w:rPr>
          <w:rFonts w:ascii="Arial" w:cs="Arial" w:eastAsia="Arial" w:hAnsi="Arial"/>
          <w:sz w:val="13"/>
          <w:szCs w:val="13"/>
          <w:i w:val="1"/>
          <w:iCs w:val="1"/>
          <w:color w:val="131E29"/>
        </w:rPr>
        <w:t>You should read the following discussion and analysis of our financial condition and results of operations together with our audited consolidated financial statements and the related notes included elsewhere in this Form 10-K. Some of the information contained in this discussion and analysis or set forth elsewhere in this document, includes forward looking statements that involve risks, uncertainties, and assumptions. You should carefully read the “Forward-Looking Statements” and “Risk Factors” sections of this Form 10-K for a discussion of important factors that could cause actual results to differ materially from the results described in or implied by the forward-looking statements contained in the following discussion and analysis.</w:t>
      </w:r>
    </w:p>
    <w:p>
      <w:pPr>
        <w:spacing w:after="0" w:line="115" w:lineRule="exact"/>
        <w:rPr>
          <w:sz w:val="20"/>
          <w:szCs w:val="20"/>
          <w:color w:val="auto"/>
        </w:rPr>
      </w:pPr>
    </w:p>
    <w:p>
      <w:pPr>
        <w:jc w:val="both"/>
        <w:spacing w:after="0" w:line="252" w:lineRule="auto"/>
        <w:rPr>
          <w:sz w:val="20"/>
          <w:szCs w:val="20"/>
          <w:color w:val="auto"/>
        </w:rPr>
      </w:pPr>
      <w:r>
        <w:rPr>
          <w:rFonts w:ascii="Arial" w:cs="Arial" w:eastAsia="Arial" w:hAnsi="Arial"/>
          <w:sz w:val="13"/>
          <w:szCs w:val="13"/>
          <w:i w:val="1"/>
          <w:iCs w:val="1"/>
          <w:color w:val="131E29"/>
        </w:rPr>
        <w:t>In addition, statements that “we believe” and similar statements reflect our beliefs and opinions on the relevant subject. These statements are based on information available to us as of the date of this Form 10-K.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In addition, the section of this “Management’s Discussion and Analysis of Financial Condition and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66" w:name="page67"/>
    <w:bookmarkEnd w:id="66"/>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3"/>
          <w:szCs w:val="13"/>
          <w:i w:val="1"/>
          <w:iCs w:val="1"/>
          <w:color w:val="131E29"/>
        </w:rPr>
        <w:t>Results of Operations” generally discusses 2022 and 2021 items and year-to-year comparisons between 2022 and 2021. Discussions of 2020 items and year-to-year comparisons between 2021 and 2020 are not included in this Annual Report on Form 10-K and can be found in “Management’s Discussion and Analysis of Financial Condition and Results of Operations” in Part II, Item 7 of our Annual Report on Form 10-K for the fiscal year ended December 31, 2021, filed with the SEC on March 11, 2022.</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Overview and Highlights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Dutch Bros is a high growth operator and franchisor of drive-thru shops that focus on serving high QUALITY, hand-crafted beverages with unparalleled SPEED and superior SERVICE. Founded in 1992 by brothers Dane and Travis Boersma, Dutch Bros began with a double-head espresso machine and a pushcart in Grants Pass, Oregon. Today, we believe that Dutch Bros is one of the fastest-growing brands in the food service and restaurant industry in the United States by location count.</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As of December 31, 2022, we had 671 company-operated and franchised shops in 14 states, an increase of approximately 24.7% from the same period in the prior year. For the year ended December 31, 2022, we generated $739.0 million of revenue, $(19.3) million net loss, and $(0.09) loss per diluted share. We have two reportable operating segments: Company-operated shops and Franchising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4170045" cy="17519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170045" cy="1751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color w:val="131E29"/>
        </w:rPr>
        <w:t>_________________</w:t>
      </w:r>
    </w:p>
    <w:p>
      <w:pPr>
        <w:spacing w:after="0" w:line="104" w:lineRule="exact"/>
        <w:rPr>
          <w:sz w:val="20"/>
          <w:szCs w:val="20"/>
          <w:color w:val="auto"/>
        </w:rPr>
      </w:pPr>
    </w:p>
    <w:p>
      <w:pPr>
        <w:ind w:left="180" w:hanging="175"/>
        <w:spacing w:after="0"/>
        <w:tabs>
          <w:tab w:leader="none" w:pos="180" w:val="left"/>
        </w:tabs>
        <w:numPr>
          <w:ilvl w:val="0"/>
          <w:numId w:val="35"/>
        </w:numPr>
        <w:rPr>
          <w:rFonts w:ascii="Arial" w:cs="Arial" w:eastAsia="Arial" w:hAnsi="Arial"/>
          <w:sz w:val="15"/>
          <w:szCs w:val="15"/>
          <w:color w:val="auto"/>
          <w:vertAlign w:val="superscript"/>
        </w:rPr>
      </w:pPr>
      <w:r>
        <w:rPr>
          <w:rFonts w:ascii="Arial" w:cs="Arial" w:eastAsia="Arial" w:hAnsi="Arial"/>
          <w:sz w:val="11"/>
          <w:szCs w:val="11"/>
          <w:color w:val="131E29"/>
        </w:rPr>
        <w:t>Reconciliation of GAAP to non-GAAP results is provided in the section “Non-GAAP Financial Measures” in Part II, Item 7 “Management’s Discussion and Analysis of Financial Condition and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Key Highlights</w:t>
      </w:r>
    </w:p>
    <w:p>
      <w:pPr>
        <w:spacing w:after="0" w:line="152" w:lineRule="exact"/>
        <w:rPr>
          <w:sz w:val="20"/>
          <w:szCs w:val="20"/>
          <w:color w:val="auto"/>
        </w:rPr>
      </w:pPr>
    </w:p>
    <w:p>
      <w:pPr>
        <w:ind w:left="260" w:hanging="255"/>
        <w:spacing w:after="0" w:line="266" w:lineRule="auto"/>
        <w:tabs>
          <w:tab w:leader="none" w:pos="256" w:val="left"/>
        </w:tabs>
        <w:numPr>
          <w:ilvl w:val="0"/>
          <w:numId w:val="36"/>
        </w:numPr>
        <w:rPr>
          <w:rFonts w:ascii="Arial" w:cs="Arial" w:eastAsia="Arial" w:hAnsi="Arial"/>
          <w:sz w:val="14"/>
          <w:szCs w:val="14"/>
          <w:color w:val="131E29"/>
        </w:rPr>
      </w:pPr>
      <w:r>
        <w:rPr>
          <w:rFonts w:ascii="Arial" w:cs="Arial" w:eastAsia="Arial" w:hAnsi="Arial"/>
          <w:sz w:val="14"/>
          <w:szCs w:val="14"/>
          <w:color w:val="131E29"/>
        </w:rPr>
        <w:t>Opened 120 company-operated shops across multiple new operating areas in the year ended December 31, 2022, bringing total company-operated shops to 59.0% of our total shops, an increase of 46.1% over 2021.</w:t>
      </w:r>
    </w:p>
    <w:p>
      <w:pPr>
        <w:spacing w:after="0" w:line="109" w:lineRule="exact"/>
        <w:rPr>
          <w:rFonts w:ascii="Arial" w:cs="Arial" w:eastAsia="Arial" w:hAnsi="Arial"/>
          <w:sz w:val="14"/>
          <w:szCs w:val="14"/>
          <w:color w:val="131E29"/>
        </w:rPr>
      </w:pPr>
    </w:p>
    <w:p>
      <w:pPr>
        <w:ind w:left="260" w:hanging="255"/>
        <w:spacing w:after="0"/>
        <w:tabs>
          <w:tab w:leader="none" w:pos="260" w:val="left"/>
        </w:tabs>
        <w:numPr>
          <w:ilvl w:val="0"/>
          <w:numId w:val="36"/>
        </w:numPr>
        <w:rPr>
          <w:rFonts w:ascii="Arial" w:cs="Arial" w:eastAsia="Arial" w:hAnsi="Arial"/>
          <w:sz w:val="14"/>
          <w:szCs w:val="14"/>
          <w:color w:val="131E29"/>
        </w:rPr>
      </w:pPr>
      <w:r>
        <w:rPr>
          <w:rFonts w:ascii="Arial" w:cs="Arial" w:eastAsia="Arial" w:hAnsi="Arial"/>
          <w:sz w:val="14"/>
          <w:szCs w:val="14"/>
          <w:color w:val="131E29"/>
        </w:rPr>
        <w:t>Celebrated 30 years of serving high QUALITY, hand-crafted beverages with unparalleled SPEED and superior SERVICE to our customers in 2022.</w:t>
      </w:r>
    </w:p>
    <w:p>
      <w:pPr>
        <w:spacing w:after="0" w:line="136" w:lineRule="exact"/>
        <w:rPr>
          <w:rFonts w:ascii="Arial" w:cs="Arial" w:eastAsia="Arial" w:hAnsi="Arial"/>
          <w:sz w:val="14"/>
          <w:szCs w:val="14"/>
          <w:color w:val="131E29"/>
        </w:rPr>
      </w:pPr>
    </w:p>
    <w:p>
      <w:pPr>
        <w:ind w:left="260" w:hanging="255"/>
        <w:spacing w:after="0" w:line="266" w:lineRule="auto"/>
        <w:tabs>
          <w:tab w:leader="none" w:pos="256" w:val="left"/>
        </w:tabs>
        <w:numPr>
          <w:ilvl w:val="0"/>
          <w:numId w:val="36"/>
        </w:numPr>
        <w:rPr>
          <w:rFonts w:ascii="Arial" w:cs="Arial" w:eastAsia="Arial" w:hAnsi="Arial"/>
          <w:sz w:val="14"/>
          <w:szCs w:val="14"/>
          <w:color w:val="131E29"/>
        </w:rPr>
      </w:pPr>
      <w:r>
        <w:rPr>
          <w:rFonts w:ascii="Arial" w:cs="Arial" w:eastAsia="Arial" w:hAnsi="Arial"/>
          <w:sz w:val="14"/>
          <w:szCs w:val="14"/>
          <w:color w:val="131E29"/>
        </w:rPr>
        <w:t>Surpassed 5.2 million registered users on our Dutch Rewards mobile app, and enhanced the customer experience by providing the opportunity for customers to share their rewards with friends and family.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67" w:name="page68"/>
    <w:bookmarkEnd w:id="67"/>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Impact of Global Events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Inflation and Minimum Wage Increases</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Similar to many of our peers in our industry, we encountered current commodities inflation, including dairy, coffee, fuel, and packaging, and experienced continuing legislated minimum wage increases that took effect this year in certain states. We expect these inflationary pressures to continue to affect our operating results in the foreseeable future. While these cost increases have impacted our operating results, we have taken measures to gradually increase our menu prices to help offset these pressures. Such price increases may lead to decreases in consumer demand. We will continue to evaluate further pricing actions to protect our operating results.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COVID-19</w:t>
      </w:r>
    </w:p>
    <w:p>
      <w:pPr>
        <w:spacing w:after="0" w:line="15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The effects from the COVID-19 pandemic continue to evolve, and we cannot easily predict the future potential impacts of the pandemic on our business and operations, or on the United States and global economy in general. This also may include any recurrence of the disease, actions taken by governmental authorities in response to the evolving pandemic, any ongoing effects on consumer demand and spending patterns or other direct and indirect impacts of the pandemic, such as supply chain disruptions. Whether these or other currently unanticipated consequences of the pandemic are reasonably likely to materially affect the continued and future impacts on our results of operations, cash flows or financial condition is yet to be determined.</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Due to our drive-thru shops model, we have not experienced materially negative impacts to the same degree as others in our industry. Nevertheless, we have been affected by global shipping delays that have impacted deliveries of supplies to our shops.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Russia and Ukraine War</w:t>
      </w:r>
    </w:p>
    <w:p>
      <w:pPr>
        <w:spacing w:after="0" w:line="15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To date, the war between Russia and Ukraine has not had a material direct impact on our business, financial condition, or results of operations. Indirectly, this conflict and resulting sanctions may have caused or contributed to increases in oil and gas prices. Because of our drive-thru shops model, we are monitoring closely the impact of recent volatility in oil and gas prices on our customers’ behavior and believe such increases may contribute to decreased demand, which we believe is likely to continue. We are also monitoring any broader economic impact of the current war, including its effect on commodities (including oil and gas), transportation costs, liquidity and credit availability, declines in consumer confidence, declines in global economic growth, inflation, uncertainty about economic stability, and increases in unemployment rates.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68" w:name="page69"/>
    <w:bookmarkEnd w:id="68"/>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Results of Operations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Our historical results have been retroactively revised to reflect an immaterial error correction related to the accrual of employee sick leave. These revisions ensure comparability across all periods reflected herein. For additional information, refer to NOTE 2 — Basis of Presentation and Summary of Significant Accounting Policies and NOTE 20 — Segment Reporting in our consolidated financial statements, included elsewhere in this Form 10-K.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131E29"/>
        </w:rPr>
        <w:t>The following tables provide our operating results and explanation of changes for the periods presented.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0416B"/>
        </w:rPr>
        <w:t>Consolidated Statements of Operations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20" w:type="dxa"/>
            <w:vAlign w:val="bottom"/>
            <w:gridSpan w:val="6"/>
          </w:tcPr>
          <w:p>
            <w:pPr>
              <w:jc w:val="right"/>
              <w:ind w:right="129"/>
              <w:spacing w:after="0"/>
              <w:rPr>
                <w:sz w:val="20"/>
                <w:szCs w:val="20"/>
                <w:color w:val="auto"/>
              </w:rPr>
            </w:pPr>
            <w:r>
              <w:rPr>
                <w:rFonts w:ascii="Arial" w:cs="Arial" w:eastAsia="Arial" w:hAnsi="Arial"/>
                <w:sz w:val="14"/>
                <w:szCs w:val="14"/>
                <w:b w:val="1"/>
                <w:bCs w:val="1"/>
                <w:color w:val="131E29"/>
              </w:rPr>
              <w:t>Year Ended December 31,</w:t>
            </w:r>
          </w:p>
        </w:tc>
        <w:tc>
          <w:tcPr>
            <w:tcW w:w="1000" w:type="dxa"/>
            <w:vAlign w:val="bottom"/>
          </w:tcPr>
          <w:p>
            <w:pPr>
              <w:spacing w:after="0"/>
              <w:rPr>
                <w:sz w:val="16"/>
                <w:szCs w:val="16"/>
                <w:color w:val="auto"/>
              </w:rPr>
            </w:pPr>
          </w:p>
        </w:tc>
      </w:tr>
      <w:tr>
        <w:trPr>
          <w:trHeight w:val="22"/>
        </w:trPr>
        <w:tc>
          <w:tcPr>
            <w:tcW w:w="716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3"/>
        </w:trPr>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2022</w:t>
            </w:r>
          </w:p>
        </w:tc>
        <w:tc>
          <w:tcPr>
            <w:tcW w:w="80" w:type="dxa"/>
            <w:vAlign w:val="bottom"/>
            <w:tcBorders>
              <w:bottom w:val="single" w:sz="8" w:color="D2DCE5"/>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2021</w:t>
            </w:r>
          </w:p>
        </w:tc>
        <w:tc>
          <w:tcPr>
            <w:tcW w:w="80" w:type="dxa"/>
            <w:vAlign w:val="bottom"/>
            <w:tcBorders>
              <w:bottom w:val="single" w:sz="8" w:color="D2DCE5"/>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2020</w:t>
            </w:r>
          </w:p>
        </w:tc>
      </w:tr>
      <w:tr>
        <w:trPr>
          <w:trHeight w:val="192"/>
        </w:trPr>
        <w:tc>
          <w:tcPr>
            <w:tcW w:w="71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REVENUES</w:t>
            </w:r>
          </w:p>
        </w:tc>
        <w:tc>
          <w:tcPr>
            <w:tcW w:w="300" w:type="dxa"/>
            <w:vAlign w:val="bottom"/>
            <w:tcBorders>
              <w:bottom w:val="single" w:sz="8" w:color="D2DCE5"/>
            </w:tcBorders>
            <w:shd w:val="clear" w:color="auto" w:fill="D2DCE5"/>
          </w:tcPr>
          <w:p>
            <w:pPr>
              <w:spacing w:after="0"/>
              <w:rPr>
                <w:sz w:val="16"/>
                <w:szCs w:val="16"/>
                <w:color w:val="auto"/>
              </w:rPr>
            </w:pPr>
          </w:p>
        </w:tc>
        <w:tc>
          <w:tcPr>
            <w:tcW w:w="102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102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320" w:type="dxa"/>
            <w:vAlign w:val="bottom"/>
            <w:tcBorders>
              <w:bottom w:val="single" w:sz="8" w:color="D2DCE5"/>
            </w:tcBorders>
            <w:shd w:val="clear" w:color="auto" w:fill="D2DCE5"/>
          </w:tcPr>
          <w:p>
            <w:pPr>
              <w:spacing w:after="0"/>
              <w:rPr>
                <w:sz w:val="16"/>
                <w:szCs w:val="16"/>
                <w:color w:val="auto"/>
              </w:rPr>
            </w:pPr>
          </w:p>
        </w:tc>
        <w:tc>
          <w:tcPr>
            <w:tcW w:w="1000" w:type="dxa"/>
            <w:vAlign w:val="bottom"/>
            <w:tcBorders>
              <w:bottom w:val="single" w:sz="8" w:color="D2DCE5"/>
            </w:tcBorders>
            <w:shd w:val="clear" w:color="auto" w:fill="D2DCE5"/>
          </w:tcPr>
          <w:p>
            <w:pPr>
              <w:spacing w:after="0"/>
              <w:rPr>
                <w:sz w:val="16"/>
                <w:szCs w:val="16"/>
                <w:color w:val="auto"/>
              </w:rPr>
            </w:pPr>
          </w:p>
        </w:tc>
      </w:tr>
      <w:tr>
        <w:trPr>
          <w:trHeight w:val="191"/>
        </w:trPr>
        <w:tc>
          <w:tcPr>
            <w:tcW w:w="7160" w:type="dxa"/>
            <w:vAlign w:val="bottom"/>
            <w:gridSpan w:val="2"/>
          </w:tcPr>
          <w:p>
            <w:pPr>
              <w:ind w:left="140"/>
              <w:spacing w:after="0"/>
              <w:rPr>
                <w:sz w:val="20"/>
                <w:szCs w:val="20"/>
                <w:color w:val="auto"/>
              </w:rPr>
            </w:pPr>
            <w:r>
              <w:rPr>
                <w:rFonts w:ascii="Arial" w:cs="Arial" w:eastAsia="Arial" w:hAnsi="Arial"/>
                <w:sz w:val="14"/>
                <w:szCs w:val="14"/>
                <w:color w:val="131E29"/>
              </w:rPr>
              <w:t>Company-operated shops</w:t>
            </w:r>
          </w:p>
        </w:tc>
        <w:tc>
          <w:tcPr>
            <w:tcW w:w="300" w:type="dxa"/>
            <w:vAlign w:val="bottom"/>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Pr>
          <w:p>
            <w:pPr>
              <w:jc w:val="right"/>
              <w:spacing w:after="0"/>
              <w:rPr>
                <w:sz w:val="20"/>
                <w:szCs w:val="20"/>
                <w:color w:val="auto"/>
              </w:rPr>
            </w:pPr>
            <w:r>
              <w:rPr>
                <w:rFonts w:ascii="Arial" w:cs="Arial" w:eastAsia="Arial" w:hAnsi="Arial"/>
                <w:sz w:val="14"/>
                <w:szCs w:val="14"/>
                <w:color w:val="131E29"/>
              </w:rPr>
              <w:t>639,710</w:t>
            </w:r>
          </w:p>
        </w:tc>
        <w:tc>
          <w:tcPr>
            <w:tcW w:w="8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Pr>
          <w:p>
            <w:pPr>
              <w:jc w:val="right"/>
              <w:spacing w:after="0"/>
              <w:rPr>
                <w:sz w:val="20"/>
                <w:szCs w:val="20"/>
                <w:color w:val="auto"/>
              </w:rPr>
            </w:pPr>
            <w:r>
              <w:rPr>
                <w:rFonts w:ascii="Arial" w:cs="Arial" w:eastAsia="Arial" w:hAnsi="Arial"/>
                <w:sz w:val="14"/>
                <w:szCs w:val="14"/>
                <w:color w:val="131E29"/>
              </w:rPr>
              <w:t>403,746</w:t>
            </w:r>
          </w:p>
        </w:tc>
        <w:tc>
          <w:tcPr>
            <w:tcW w:w="80" w:type="dxa"/>
            <w:vAlign w:val="bottom"/>
          </w:tcPr>
          <w:p>
            <w:pPr>
              <w:spacing w:after="0"/>
              <w:rPr>
                <w:sz w:val="16"/>
                <w:szCs w:val="16"/>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131E29"/>
              </w:rPr>
              <w:t>$</w:t>
            </w:r>
          </w:p>
        </w:tc>
        <w:tc>
          <w:tcPr>
            <w:tcW w:w="1000" w:type="dxa"/>
            <w:vAlign w:val="bottom"/>
          </w:tcPr>
          <w:p>
            <w:pPr>
              <w:jc w:val="right"/>
              <w:spacing w:after="0"/>
              <w:rPr>
                <w:sz w:val="20"/>
                <w:szCs w:val="20"/>
                <w:color w:val="auto"/>
              </w:rPr>
            </w:pPr>
            <w:r>
              <w:rPr>
                <w:rFonts w:ascii="Arial" w:cs="Arial" w:eastAsia="Arial" w:hAnsi="Arial"/>
                <w:sz w:val="14"/>
                <w:szCs w:val="14"/>
                <w:color w:val="131E29"/>
              </w:rPr>
              <w:t>244,514</w:t>
            </w:r>
          </w:p>
        </w:tc>
      </w:tr>
      <w:tr>
        <w:trPr>
          <w:trHeight w:val="22"/>
        </w:trPr>
        <w:tc>
          <w:tcPr>
            <w:tcW w:w="7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2"/>
        </w:trPr>
        <w:tc>
          <w:tcPr>
            <w:tcW w:w="716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Franchising and other</w:t>
            </w:r>
          </w:p>
        </w:tc>
        <w:tc>
          <w:tcPr>
            <w:tcW w:w="300" w:type="dxa"/>
            <w:vAlign w:val="bottom"/>
            <w:tcBorders>
              <w:bottom w:val="single" w:sz="8" w:color="D2DCE5"/>
            </w:tcBorders>
            <w:shd w:val="clear" w:color="auto" w:fill="D2DCE5"/>
          </w:tcPr>
          <w:p>
            <w:pPr>
              <w:spacing w:after="0"/>
              <w:rPr>
                <w:sz w:val="18"/>
                <w:szCs w:val="18"/>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99,302</w:t>
            </w:r>
          </w:p>
        </w:tc>
        <w:tc>
          <w:tcPr>
            <w:tcW w:w="80" w:type="dxa"/>
            <w:vAlign w:val="bottom"/>
            <w:tcBorders>
              <w:bottom w:val="single" w:sz="8" w:color="D2DCE5"/>
            </w:tcBorders>
            <w:shd w:val="clear" w:color="auto" w:fill="D2DCE5"/>
          </w:tcPr>
          <w:p>
            <w:pPr>
              <w:spacing w:after="0"/>
              <w:rPr>
                <w:sz w:val="18"/>
                <w:szCs w:val="18"/>
                <w:color w:val="auto"/>
              </w:rPr>
            </w:pPr>
          </w:p>
        </w:tc>
        <w:tc>
          <w:tcPr>
            <w:tcW w:w="300" w:type="dxa"/>
            <w:vAlign w:val="bottom"/>
            <w:tcBorders>
              <w:bottom w:val="single" w:sz="8" w:color="D2DCE5"/>
            </w:tcBorders>
            <w:shd w:val="clear" w:color="auto" w:fill="D2DCE5"/>
          </w:tcPr>
          <w:p>
            <w:pPr>
              <w:spacing w:after="0"/>
              <w:rPr>
                <w:sz w:val="18"/>
                <w:szCs w:val="18"/>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94,130</w:t>
            </w:r>
          </w:p>
        </w:tc>
        <w:tc>
          <w:tcPr>
            <w:tcW w:w="80" w:type="dxa"/>
            <w:vAlign w:val="bottom"/>
            <w:tcBorders>
              <w:bottom w:val="single" w:sz="8" w:color="D2DCE5"/>
            </w:tcBorders>
            <w:shd w:val="clear" w:color="auto" w:fill="D2DCE5"/>
          </w:tcPr>
          <w:p>
            <w:pPr>
              <w:spacing w:after="0"/>
              <w:rPr>
                <w:sz w:val="18"/>
                <w:szCs w:val="18"/>
                <w:color w:val="auto"/>
              </w:rPr>
            </w:pPr>
          </w:p>
        </w:tc>
        <w:tc>
          <w:tcPr>
            <w:tcW w:w="320" w:type="dxa"/>
            <w:vAlign w:val="bottom"/>
            <w:tcBorders>
              <w:bottom w:val="single" w:sz="8" w:color="D2DCE5"/>
            </w:tcBorders>
            <w:shd w:val="clear" w:color="auto" w:fill="D2DCE5"/>
          </w:tcPr>
          <w:p>
            <w:pPr>
              <w:spacing w:after="0"/>
              <w:rPr>
                <w:sz w:val="18"/>
                <w:szCs w:val="18"/>
                <w:color w:val="auto"/>
              </w:rPr>
            </w:pPr>
          </w:p>
        </w:tc>
        <w:tc>
          <w:tcPr>
            <w:tcW w:w="10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82,899</w:t>
            </w:r>
          </w:p>
        </w:tc>
      </w:tr>
      <w:tr>
        <w:trPr>
          <w:trHeight w:val="181"/>
        </w:trPr>
        <w:tc>
          <w:tcPr>
            <w:tcW w:w="7160" w:type="dxa"/>
            <w:vAlign w:val="bottom"/>
            <w:gridSpan w:val="2"/>
          </w:tcPr>
          <w:p>
            <w:pPr>
              <w:ind w:left="280"/>
              <w:spacing w:after="0"/>
              <w:rPr>
                <w:sz w:val="20"/>
                <w:szCs w:val="20"/>
                <w:color w:val="auto"/>
              </w:rPr>
            </w:pPr>
            <w:r>
              <w:rPr>
                <w:rFonts w:ascii="Arial" w:cs="Arial" w:eastAsia="Arial" w:hAnsi="Arial"/>
                <w:sz w:val="14"/>
                <w:szCs w:val="14"/>
                <w:color w:val="131E29"/>
              </w:rPr>
              <w:t>Total revenues</w:t>
            </w: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739,012</w:t>
            </w: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497,876</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327,413</w:t>
            </w:r>
          </w:p>
        </w:tc>
      </w:tr>
      <w:tr>
        <w:trPr>
          <w:trHeight w:val="22"/>
        </w:trPr>
        <w:tc>
          <w:tcPr>
            <w:tcW w:w="708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2"/>
        </w:trPr>
        <w:tc>
          <w:tcPr>
            <w:tcW w:w="70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102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102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20" w:type="dxa"/>
            <w:vAlign w:val="bottom"/>
            <w:shd w:val="clear" w:color="auto" w:fill="D2DCE5"/>
          </w:tcPr>
          <w:p>
            <w:pPr>
              <w:spacing w:after="0"/>
              <w:rPr>
                <w:sz w:val="15"/>
                <w:szCs w:val="15"/>
                <w:color w:val="auto"/>
              </w:rPr>
            </w:pPr>
          </w:p>
        </w:tc>
        <w:tc>
          <w:tcPr>
            <w:tcW w:w="1000" w:type="dxa"/>
            <w:vAlign w:val="bottom"/>
            <w:shd w:val="clear" w:color="auto" w:fill="D2DCE5"/>
          </w:tcPr>
          <w:p>
            <w:pPr>
              <w:spacing w:after="0"/>
              <w:rPr>
                <w:sz w:val="15"/>
                <w:szCs w:val="15"/>
                <w:color w:val="auto"/>
              </w:rPr>
            </w:pPr>
          </w:p>
        </w:tc>
      </w:tr>
      <w:tr>
        <w:trPr>
          <w:trHeight w:val="191"/>
        </w:trPr>
        <w:tc>
          <w:tcPr>
            <w:tcW w:w="7160" w:type="dxa"/>
            <w:vAlign w:val="bottom"/>
            <w:gridSpan w:val="2"/>
          </w:tcPr>
          <w:p>
            <w:pPr>
              <w:ind w:left="20"/>
              <w:spacing w:after="0"/>
              <w:rPr>
                <w:sz w:val="20"/>
                <w:szCs w:val="20"/>
                <w:color w:val="auto"/>
              </w:rPr>
            </w:pPr>
            <w:r>
              <w:rPr>
                <w:rFonts w:ascii="Arial" w:cs="Arial" w:eastAsia="Arial" w:hAnsi="Arial"/>
                <w:sz w:val="14"/>
                <w:szCs w:val="14"/>
                <w:color w:val="131E29"/>
              </w:rPr>
              <w:t>COSTS AND EXPENSES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
        </w:trPr>
        <w:tc>
          <w:tcPr>
            <w:tcW w:w="7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716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Cost of sales</w:t>
            </w:r>
          </w:p>
        </w:tc>
        <w:tc>
          <w:tcPr>
            <w:tcW w:w="300" w:type="dxa"/>
            <w:vAlign w:val="bottom"/>
            <w:tcBorders>
              <w:bottom w:val="single" w:sz="8" w:color="D2DCE5"/>
            </w:tcBorders>
            <w:shd w:val="clear" w:color="auto" w:fill="D2DCE5"/>
          </w:tcPr>
          <w:p>
            <w:pPr>
              <w:spacing w:after="0"/>
              <w:rPr>
                <w:sz w:val="16"/>
                <w:szCs w:val="16"/>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558,096</w:t>
            </w: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344,573</w:t>
            </w:r>
          </w:p>
        </w:tc>
        <w:tc>
          <w:tcPr>
            <w:tcW w:w="80" w:type="dxa"/>
            <w:vAlign w:val="bottom"/>
            <w:tcBorders>
              <w:bottom w:val="single" w:sz="8" w:color="D2DCE5"/>
            </w:tcBorders>
            <w:shd w:val="clear" w:color="auto" w:fill="D2DCE5"/>
          </w:tcPr>
          <w:p>
            <w:pPr>
              <w:spacing w:after="0"/>
              <w:rPr>
                <w:sz w:val="16"/>
                <w:szCs w:val="16"/>
                <w:color w:val="auto"/>
              </w:rPr>
            </w:pPr>
          </w:p>
        </w:tc>
        <w:tc>
          <w:tcPr>
            <w:tcW w:w="320" w:type="dxa"/>
            <w:vAlign w:val="bottom"/>
            <w:tcBorders>
              <w:bottom w:val="single" w:sz="8" w:color="D2DCE5"/>
            </w:tcBorders>
            <w:shd w:val="clear" w:color="auto" w:fill="D2DCE5"/>
          </w:tcPr>
          <w:p>
            <w:pPr>
              <w:spacing w:after="0"/>
              <w:rPr>
                <w:sz w:val="16"/>
                <w:szCs w:val="16"/>
                <w:color w:val="auto"/>
              </w:rPr>
            </w:pPr>
          </w:p>
        </w:tc>
        <w:tc>
          <w:tcPr>
            <w:tcW w:w="10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211,478</w:t>
            </w:r>
          </w:p>
        </w:tc>
      </w:tr>
      <w:tr>
        <w:trPr>
          <w:trHeight w:val="191"/>
        </w:trPr>
        <w:tc>
          <w:tcPr>
            <w:tcW w:w="7160" w:type="dxa"/>
            <w:vAlign w:val="bottom"/>
            <w:gridSpan w:val="2"/>
          </w:tcPr>
          <w:p>
            <w:pPr>
              <w:ind w:left="140"/>
              <w:spacing w:after="0"/>
              <w:rPr>
                <w:sz w:val="20"/>
                <w:szCs w:val="20"/>
                <w:color w:val="auto"/>
              </w:rPr>
            </w:pPr>
            <w:r>
              <w:rPr>
                <w:rFonts w:ascii="Arial" w:cs="Arial" w:eastAsia="Arial" w:hAnsi="Arial"/>
                <w:sz w:val="14"/>
                <w:szCs w:val="14"/>
                <w:color w:val="131E29"/>
              </w:rPr>
              <w:t>Selling, general and administrative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183,528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264,529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131E29"/>
              </w:rPr>
              <w:t>104,935</w:t>
            </w:r>
          </w:p>
        </w:tc>
      </w:tr>
      <w:tr>
        <w:trPr>
          <w:trHeight w:val="22"/>
        </w:trPr>
        <w:tc>
          <w:tcPr>
            <w:tcW w:w="708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03"/>
        </w:trPr>
        <w:tc>
          <w:tcPr>
            <w:tcW w:w="7160" w:type="dxa"/>
            <w:vAlign w:val="bottom"/>
            <w:tcBorders>
              <w:bottom w:val="single" w:sz="8" w:color="D2DCE5"/>
            </w:tcBorders>
            <w:gridSpan w:val="2"/>
            <w:shd w:val="clear" w:color="auto" w:fill="D2DCE5"/>
          </w:tcPr>
          <w:p>
            <w:pPr>
              <w:ind w:left="280"/>
              <w:spacing w:after="0"/>
              <w:rPr>
                <w:sz w:val="20"/>
                <w:szCs w:val="20"/>
                <w:color w:val="auto"/>
              </w:rPr>
            </w:pPr>
            <w:r>
              <w:rPr>
                <w:rFonts w:ascii="Arial" w:cs="Arial" w:eastAsia="Arial" w:hAnsi="Arial"/>
                <w:sz w:val="14"/>
                <w:szCs w:val="14"/>
                <w:color w:val="131E29"/>
              </w:rPr>
              <w:t>Total costs and expenses</w:t>
            </w:r>
          </w:p>
        </w:tc>
        <w:tc>
          <w:tcPr>
            <w:tcW w:w="300" w:type="dxa"/>
            <w:vAlign w:val="bottom"/>
            <w:tcBorders>
              <w:bottom w:val="single" w:sz="8" w:color="D2DCE5"/>
            </w:tcBorders>
            <w:shd w:val="clear" w:color="auto" w:fill="D2DCE5"/>
          </w:tcPr>
          <w:p>
            <w:pPr>
              <w:spacing w:after="0"/>
              <w:rPr>
                <w:sz w:val="17"/>
                <w:szCs w:val="17"/>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741,624</w:t>
            </w:r>
          </w:p>
        </w:tc>
        <w:tc>
          <w:tcPr>
            <w:tcW w:w="80" w:type="dxa"/>
            <w:vAlign w:val="bottom"/>
            <w:tcBorders>
              <w:bottom w:val="single" w:sz="8" w:color="D2DCE5"/>
            </w:tcBorders>
            <w:shd w:val="clear" w:color="auto" w:fill="D2DCE5"/>
          </w:tcPr>
          <w:p>
            <w:pPr>
              <w:spacing w:after="0"/>
              <w:rPr>
                <w:sz w:val="17"/>
                <w:szCs w:val="17"/>
                <w:color w:val="auto"/>
              </w:rPr>
            </w:pPr>
          </w:p>
        </w:tc>
        <w:tc>
          <w:tcPr>
            <w:tcW w:w="300" w:type="dxa"/>
            <w:vAlign w:val="bottom"/>
            <w:tcBorders>
              <w:bottom w:val="single" w:sz="8" w:color="D2DCE5"/>
            </w:tcBorders>
            <w:shd w:val="clear" w:color="auto" w:fill="D2DCE5"/>
          </w:tcPr>
          <w:p>
            <w:pPr>
              <w:spacing w:after="0"/>
              <w:rPr>
                <w:sz w:val="17"/>
                <w:szCs w:val="17"/>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609,102</w:t>
            </w:r>
          </w:p>
        </w:tc>
        <w:tc>
          <w:tcPr>
            <w:tcW w:w="80" w:type="dxa"/>
            <w:vAlign w:val="bottom"/>
            <w:tcBorders>
              <w:bottom w:val="single" w:sz="8" w:color="D2DCE5"/>
            </w:tcBorders>
            <w:shd w:val="clear" w:color="auto" w:fill="D2DCE5"/>
          </w:tcPr>
          <w:p>
            <w:pPr>
              <w:spacing w:after="0"/>
              <w:rPr>
                <w:sz w:val="17"/>
                <w:szCs w:val="17"/>
                <w:color w:val="auto"/>
              </w:rPr>
            </w:pPr>
          </w:p>
        </w:tc>
        <w:tc>
          <w:tcPr>
            <w:tcW w:w="320" w:type="dxa"/>
            <w:vAlign w:val="bottom"/>
            <w:tcBorders>
              <w:bottom w:val="single" w:sz="8" w:color="D2DCE5"/>
            </w:tcBorders>
            <w:shd w:val="clear" w:color="auto" w:fill="D2DCE5"/>
          </w:tcPr>
          <w:p>
            <w:pPr>
              <w:spacing w:after="0"/>
              <w:rPr>
                <w:sz w:val="17"/>
                <w:szCs w:val="17"/>
                <w:color w:val="auto"/>
              </w:rPr>
            </w:pPr>
          </w:p>
        </w:tc>
        <w:tc>
          <w:tcPr>
            <w:tcW w:w="10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316,413</w:t>
            </w:r>
          </w:p>
        </w:tc>
      </w:tr>
      <w:tr>
        <w:trPr>
          <w:trHeight w:val="182"/>
        </w:trPr>
        <w:tc>
          <w:tcPr>
            <w:tcW w:w="7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r>
      <w:tr>
        <w:trPr>
          <w:trHeight w:val="192"/>
        </w:trPr>
        <w:tc>
          <w:tcPr>
            <w:tcW w:w="71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INCOME (LOSS) FROM OPERATIONS</w:t>
            </w:r>
          </w:p>
        </w:tc>
        <w:tc>
          <w:tcPr>
            <w:tcW w:w="300" w:type="dxa"/>
            <w:vAlign w:val="bottom"/>
            <w:tcBorders>
              <w:bottom w:val="single" w:sz="8" w:color="D2DCE5"/>
            </w:tcBorders>
            <w:shd w:val="clear" w:color="auto" w:fill="D2DCE5"/>
          </w:tcPr>
          <w:p>
            <w:pPr>
              <w:spacing w:after="0"/>
              <w:rPr>
                <w:sz w:val="16"/>
                <w:szCs w:val="16"/>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(2,612)</w:t>
            </w: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(111,226)</w:t>
            </w:r>
          </w:p>
        </w:tc>
        <w:tc>
          <w:tcPr>
            <w:tcW w:w="80" w:type="dxa"/>
            <w:vAlign w:val="bottom"/>
            <w:tcBorders>
              <w:bottom w:val="single" w:sz="8" w:color="D2DCE5"/>
            </w:tcBorders>
            <w:shd w:val="clear" w:color="auto" w:fill="D2DCE5"/>
          </w:tcPr>
          <w:p>
            <w:pPr>
              <w:spacing w:after="0"/>
              <w:rPr>
                <w:sz w:val="16"/>
                <w:szCs w:val="16"/>
                <w:color w:val="auto"/>
              </w:rPr>
            </w:pPr>
          </w:p>
        </w:tc>
        <w:tc>
          <w:tcPr>
            <w:tcW w:w="320" w:type="dxa"/>
            <w:vAlign w:val="bottom"/>
            <w:tcBorders>
              <w:bottom w:val="single" w:sz="8" w:color="D2DCE5"/>
            </w:tcBorders>
            <w:shd w:val="clear" w:color="auto" w:fill="D2DCE5"/>
          </w:tcPr>
          <w:p>
            <w:pPr>
              <w:spacing w:after="0"/>
              <w:rPr>
                <w:sz w:val="16"/>
                <w:szCs w:val="16"/>
                <w:color w:val="auto"/>
              </w:rPr>
            </w:pPr>
          </w:p>
        </w:tc>
        <w:tc>
          <w:tcPr>
            <w:tcW w:w="10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11,000</w:t>
            </w:r>
          </w:p>
        </w:tc>
      </w:tr>
      <w:tr>
        <w:trPr>
          <w:trHeight w:val="202"/>
        </w:trPr>
        <w:tc>
          <w:tcPr>
            <w:tcW w:w="7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2"/>
        </w:trPr>
        <w:tc>
          <w:tcPr>
            <w:tcW w:w="71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OTHER EXPENSE</w:t>
            </w:r>
          </w:p>
        </w:tc>
        <w:tc>
          <w:tcPr>
            <w:tcW w:w="300" w:type="dxa"/>
            <w:vAlign w:val="bottom"/>
            <w:tcBorders>
              <w:bottom w:val="single" w:sz="8" w:color="D2DCE5"/>
            </w:tcBorders>
            <w:shd w:val="clear" w:color="auto" w:fill="D2DCE5"/>
          </w:tcPr>
          <w:p>
            <w:pPr>
              <w:spacing w:after="0"/>
              <w:rPr>
                <w:sz w:val="16"/>
                <w:szCs w:val="16"/>
                <w:color w:val="auto"/>
              </w:rPr>
            </w:pPr>
          </w:p>
        </w:tc>
        <w:tc>
          <w:tcPr>
            <w:tcW w:w="102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102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320" w:type="dxa"/>
            <w:vAlign w:val="bottom"/>
            <w:tcBorders>
              <w:bottom w:val="single" w:sz="8" w:color="D2DCE5"/>
            </w:tcBorders>
            <w:shd w:val="clear" w:color="auto" w:fill="D2DCE5"/>
          </w:tcPr>
          <w:p>
            <w:pPr>
              <w:spacing w:after="0"/>
              <w:rPr>
                <w:sz w:val="16"/>
                <w:szCs w:val="16"/>
                <w:color w:val="auto"/>
              </w:rPr>
            </w:pPr>
          </w:p>
        </w:tc>
        <w:tc>
          <w:tcPr>
            <w:tcW w:w="1000" w:type="dxa"/>
            <w:vAlign w:val="bottom"/>
            <w:tcBorders>
              <w:bottom w:val="single" w:sz="8" w:color="D2DCE5"/>
            </w:tcBorders>
            <w:shd w:val="clear" w:color="auto" w:fill="D2DCE5"/>
          </w:tcPr>
          <w:p>
            <w:pPr>
              <w:spacing w:after="0"/>
              <w:rPr>
                <w:sz w:val="16"/>
                <w:szCs w:val="16"/>
                <w:color w:val="auto"/>
              </w:rPr>
            </w:pPr>
          </w:p>
        </w:tc>
      </w:tr>
      <w:tr>
        <w:trPr>
          <w:trHeight w:val="191"/>
        </w:trPr>
        <w:tc>
          <w:tcPr>
            <w:tcW w:w="7160" w:type="dxa"/>
            <w:vAlign w:val="bottom"/>
            <w:gridSpan w:val="2"/>
          </w:tcPr>
          <w:p>
            <w:pPr>
              <w:ind w:left="140"/>
              <w:spacing w:after="0"/>
              <w:rPr>
                <w:sz w:val="20"/>
                <w:szCs w:val="20"/>
                <w:color w:val="auto"/>
              </w:rPr>
            </w:pPr>
            <w:r>
              <w:rPr>
                <w:rFonts w:ascii="Arial" w:cs="Arial" w:eastAsia="Arial" w:hAnsi="Arial"/>
                <w:sz w:val="14"/>
                <w:szCs w:val="14"/>
                <w:color w:val="131E29"/>
              </w:rPr>
              <w:t>Interest expense, net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(18,018)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(7,093)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131E29"/>
              </w:rPr>
              <w:t>(3,736)</w:t>
            </w:r>
          </w:p>
        </w:tc>
      </w:tr>
      <w:tr>
        <w:trPr>
          <w:trHeight w:val="22"/>
        </w:trPr>
        <w:tc>
          <w:tcPr>
            <w:tcW w:w="7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2"/>
        </w:trPr>
        <w:tc>
          <w:tcPr>
            <w:tcW w:w="716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Other income (expense)</w:t>
            </w:r>
          </w:p>
        </w:tc>
        <w:tc>
          <w:tcPr>
            <w:tcW w:w="300" w:type="dxa"/>
            <w:vAlign w:val="bottom"/>
            <w:tcBorders>
              <w:bottom w:val="single" w:sz="8" w:color="D2DCE5"/>
            </w:tcBorders>
            <w:shd w:val="clear" w:color="auto" w:fill="D2DCE5"/>
          </w:tcPr>
          <w:p>
            <w:pPr>
              <w:spacing w:after="0"/>
              <w:rPr>
                <w:sz w:val="18"/>
                <w:szCs w:val="18"/>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3,976</w:t>
            </w:r>
          </w:p>
        </w:tc>
        <w:tc>
          <w:tcPr>
            <w:tcW w:w="80" w:type="dxa"/>
            <w:vAlign w:val="bottom"/>
            <w:tcBorders>
              <w:bottom w:val="single" w:sz="8" w:color="D2DCE5"/>
            </w:tcBorders>
            <w:shd w:val="clear" w:color="auto" w:fill="D2DCE5"/>
          </w:tcPr>
          <w:p>
            <w:pPr>
              <w:spacing w:after="0"/>
              <w:rPr>
                <w:sz w:val="18"/>
                <w:szCs w:val="18"/>
                <w:color w:val="auto"/>
              </w:rPr>
            </w:pPr>
          </w:p>
        </w:tc>
        <w:tc>
          <w:tcPr>
            <w:tcW w:w="300" w:type="dxa"/>
            <w:vAlign w:val="bottom"/>
            <w:tcBorders>
              <w:bottom w:val="single" w:sz="8" w:color="D2DCE5"/>
            </w:tcBorders>
            <w:shd w:val="clear" w:color="auto" w:fill="D2DCE5"/>
          </w:tcPr>
          <w:p>
            <w:pPr>
              <w:spacing w:after="0"/>
              <w:rPr>
                <w:sz w:val="18"/>
                <w:szCs w:val="18"/>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(1,240)</w:t>
            </w:r>
          </w:p>
        </w:tc>
        <w:tc>
          <w:tcPr>
            <w:tcW w:w="80" w:type="dxa"/>
            <w:vAlign w:val="bottom"/>
            <w:tcBorders>
              <w:bottom w:val="single" w:sz="8" w:color="D2DCE5"/>
            </w:tcBorders>
            <w:shd w:val="clear" w:color="auto" w:fill="D2DCE5"/>
          </w:tcPr>
          <w:p>
            <w:pPr>
              <w:spacing w:after="0"/>
              <w:rPr>
                <w:sz w:val="18"/>
                <w:szCs w:val="18"/>
                <w:color w:val="auto"/>
              </w:rPr>
            </w:pPr>
          </w:p>
        </w:tc>
        <w:tc>
          <w:tcPr>
            <w:tcW w:w="320" w:type="dxa"/>
            <w:vAlign w:val="bottom"/>
            <w:tcBorders>
              <w:bottom w:val="single" w:sz="8" w:color="D2DCE5"/>
            </w:tcBorders>
            <w:shd w:val="clear" w:color="auto" w:fill="D2DCE5"/>
          </w:tcPr>
          <w:p>
            <w:pPr>
              <w:spacing w:after="0"/>
              <w:rPr>
                <w:sz w:val="18"/>
                <w:szCs w:val="18"/>
                <w:color w:val="auto"/>
              </w:rPr>
            </w:pPr>
          </w:p>
        </w:tc>
        <w:tc>
          <w:tcPr>
            <w:tcW w:w="10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(363)</w:t>
            </w:r>
          </w:p>
        </w:tc>
      </w:tr>
      <w:tr>
        <w:trPr>
          <w:trHeight w:val="181"/>
        </w:trPr>
        <w:tc>
          <w:tcPr>
            <w:tcW w:w="7160" w:type="dxa"/>
            <w:vAlign w:val="bottom"/>
            <w:gridSpan w:val="2"/>
          </w:tcPr>
          <w:p>
            <w:pPr>
              <w:ind w:left="280"/>
              <w:spacing w:after="0"/>
              <w:rPr>
                <w:sz w:val="20"/>
                <w:szCs w:val="20"/>
                <w:color w:val="auto"/>
              </w:rPr>
            </w:pPr>
            <w:r>
              <w:rPr>
                <w:rFonts w:ascii="Arial" w:cs="Arial" w:eastAsia="Arial" w:hAnsi="Arial"/>
                <w:sz w:val="14"/>
                <w:szCs w:val="14"/>
                <w:color w:val="131E29"/>
              </w:rPr>
              <w:t>Total other expense</w:t>
            </w: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(14,042)</w:t>
            </w: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(8,333)</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(4,099)</w:t>
            </w:r>
          </w:p>
        </w:tc>
      </w:tr>
      <w:tr>
        <w:trPr>
          <w:trHeight w:val="22"/>
        </w:trPr>
        <w:tc>
          <w:tcPr>
            <w:tcW w:w="708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2"/>
        </w:trPr>
        <w:tc>
          <w:tcPr>
            <w:tcW w:w="70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102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102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20" w:type="dxa"/>
            <w:vAlign w:val="bottom"/>
            <w:shd w:val="clear" w:color="auto" w:fill="D2DCE5"/>
          </w:tcPr>
          <w:p>
            <w:pPr>
              <w:spacing w:after="0"/>
              <w:rPr>
                <w:sz w:val="15"/>
                <w:szCs w:val="15"/>
                <w:color w:val="auto"/>
              </w:rPr>
            </w:pPr>
          </w:p>
        </w:tc>
        <w:tc>
          <w:tcPr>
            <w:tcW w:w="1000" w:type="dxa"/>
            <w:vAlign w:val="bottom"/>
            <w:shd w:val="clear" w:color="auto" w:fill="D2DCE5"/>
          </w:tcPr>
          <w:p>
            <w:pPr>
              <w:spacing w:after="0"/>
              <w:rPr>
                <w:sz w:val="15"/>
                <w:szCs w:val="15"/>
                <w:color w:val="auto"/>
              </w:rPr>
            </w:pPr>
          </w:p>
        </w:tc>
      </w:tr>
      <w:tr>
        <w:trPr>
          <w:trHeight w:val="191"/>
        </w:trPr>
        <w:tc>
          <w:tcPr>
            <w:tcW w:w="7160" w:type="dxa"/>
            <w:vAlign w:val="bottom"/>
            <w:gridSpan w:val="2"/>
          </w:tcPr>
          <w:p>
            <w:pPr>
              <w:ind w:left="20"/>
              <w:spacing w:after="0"/>
              <w:rPr>
                <w:sz w:val="20"/>
                <w:szCs w:val="20"/>
                <w:color w:val="auto"/>
              </w:rPr>
            </w:pPr>
            <w:r>
              <w:rPr>
                <w:rFonts w:ascii="Arial" w:cs="Arial" w:eastAsia="Arial" w:hAnsi="Arial"/>
                <w:sz w:val="14"/>
                <w:szCs w:val="14"/>
                <w:color w:val="131E29"/>
              </w:rPr>
              <w:t>INCOME (LOSS) BEFORE INCOME TAXES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(16,654)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(119,559)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131E29"/>
              </w:rPr>
              <w:t>6,901</w:t>
            </w:r>
          </w:p>
        </w:tc>
      </w:tr>
      <w:tr>
        <w:trPr>
          <w:trHeight w:val="22"/>
        </w:trPr>
        <w:tc>
          <w:tcPr>
            <w:tcW w:w="7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2"/>
        </w:trPr>
        <w:tc>
          <w:tcPr>
            <w:tcW w:w="71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Income tax expense (benefit)</w:t>
            </w:r>
          </w:p>
        </w:tc>
        <w:tc>
          <w:tcPr>
            <w:tcW w:w="300" w:type="dxa"/>
            <w:vAlign w:val="bottom"/>
            <w:tcBorders>
              <w:bottom w:val="single" w:sz="8" w:color="D2DCE5"/>
            </w:tcBorders>
            <w:shd w:val="clear" w:color="auto" w:fill="D2DCE5"/>
          </w:tcPr>
          <w:p>
            <w:pPr>
              <w:spacing w:after="0"/>
              <w:rPr>
                <w:sz w:val="18"/>
                <w:szCs w:val="18"/>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2,599</w:t>
            </w:r>
          </w:p>
        </w:tc>
        <w:tc>
          <w:tcPr>
            <w:tcW w:w="80" w:type="dxa"/>
            <w:vAlign w:val="bottom"/>
            <w:tcBorders>
              <w:bottom w:val="single" w:sz="8" w:color="D2DCE5"/>
            </w:tcBorders>
            <w:shd w:val="clear" w:color="auto" w:fill="D2DCE5"/>
          </w:tcPr>
          <w:p>
            <w:pPr>
              <w:spacing w:after="0"/>
              <w:rPr>
                <w:sz w:val="18"/>
                <w:szCs w:val="18"/>
                <w:color w:val="auto"/>
              </w:rPr>
            </w:pPr>
          </w:p>
        </w:tc>
        <w:tc>
          <w:tcPr>
            <w:tcW w:w="300" w:type="dxa"/>
            <w:vAlign w:val="bottom"/>
            <w:tcBorders>
              <w:bottom w:val="single" w:sz="8" w:color="D2DCE5"/>
            </w:tcBorders>
            <w:shd w:val="clear" w:color="auto" w:fill="D2DCE5"/>
          </w:tcPr>
          <w:p>
            <w:pPr>
              <w:spacing w:after="0"/>
              <w:rPr>
                <w:sz w:val="18"/>
                <w:szCs w:val="18"/>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(1,628)</w:t>
            </w:r>
          </w:p>
        </w:tc>
        <w:tc>
          <w:tcPr>
            <w:tcW w:w="80" w:type="dxa"/>
            <w:vAlign w:val="bottom"/>
            <w:tcBorders>
              <w:bottom w:val="single" w:sz="8" w:color="D2DCE5"/>
            </w:tcBorders>
            <w:shd w:val="clear" w:color="auto" w:fill="D2DCE5"/>
          </w:tcPr>
          <w:p>
            <w:pPr>
              <w:spacing w:after="0"/>
              <w:rPr>
                <w:sz w:val="18"/>
                <w:szCs w:val="18"/>
                <w:color w:val="auto"/>
              </w:rPr>
            </w:pPr>
          </w:p>
        </w:tc>
        <w:tc>
          <w:tcPr>
            <w:tcW w:w="320" w:type="dxa"/>
            <w:vAlign w:val="bottom"/>
            <w:tcBorders>
              <w:bottom w:val="single" w:sz="8" w:color="D2DCE5"/>
            </w:tcBorders>
            <w:shd w:val="clear" w:color="auto" w:fill="D2DCE5"/>
          </w:tcPr>
          <w:p>
            <w:pPr>
              <w:spacing w:after="0"/>
              <w:rPr>
                <w:sz w:val="18"/>
                <w:szCs w:val="18"/>
                <w:color w:val="auto"/>
              </w:rPr>
            </w:pPr>
          </w:p>
        </w:tc>
        <w:tc>
          <w:tcPr>
            <w:tcW w:w="10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843</w:t>
            </w:r>
          </w:p>
        </w:tc>
      </w:tr>
      <w:tr>
        <w:trPr>
          <w:trHeight w:val="181"/>
        </w:trPr>
        <w:tc>
          <w:tcPr>
            <w:tcW w:w="7160" w:type="dxa"/>
            <w:vAlign w:val="bottom"/>
            <w:gridSpan w:val="2"/>
          </w:tcPr>
          <w:p>
            <w:pPr>
              <w:ind w:left="20"/>
              <w:spacing w:after="0"/>
              <w:rPr>
                <w:sz w:val="20"/>
                <w:szCs w:val="20"/>
                <w:color w:val="auto"/>
              </w:rPr>
            </w:pPr>
            <w:r>
              <w:rPr>
                <w:rFonts w:ascii="Arial" w:cs="Arial" w:eastAsia="Arial" w:hAnsi="Arial"/>
                <w:sz w:val="14"/>
                <w:szCs w:val="14"/>
                <w:color w:val="131E29"/>
              </w:rPr>
              <w:t>NET INCOME (LOSS)</w:t>
            </w: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(19,253)</w:t>
            </w: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(117,931)</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6,058</w:t>
            </w:r>
          </w:p>
        </w:tc>
      </w:tr>
      <w:tr>
        <w:trPr>
          <w:trHeight w:val="22"/>
        </w:trPr>
        <w:tc>
          <w:tcPr>
            <w:tcW w:w="7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716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Less: Net income (loss) attributable to Dutch Bros OpCo prior to the Reorganization Transactions</w:t>
            </w:r>
          </w:p>
        </w:tc>
        <w:tc>
          <w:tcPr>
            <w:tcW w:w="300" w:type="dxa"/>
            <w:vAlign w:val="bottom"/>
            <w:tcBorders>
              <w:bottom w:val="single" w:sz="8" w:color="D2DCE5"/>
            </w:tcBorders>
            <w:shd w:val="clear" w:color="auto" w:fill="D2DCE5"/>
          </w:tcPr>
          <w:p>
            <w:pPr>
              <w:spacing w:after="0"/>
              <w:rPr>
                <w:sz w:val="16"/>
                <w:szCs w:val="16"/>
                <w:color w:val="auto"/>
              </w:rPr>
            </w:pPr>
          </w:p>
        </w:tc>
        <w:tc>
          <w:tcPr>
            <w:tcW w:w="110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6"/>
                <w:szCs w:val="16"/>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(67,374)</w:t>
            </w:r>
          </w:p>
        </w:tc>
        <w:tc>
          <w:tcPr>
            <w:tcW w:w="80" w:type="dxa"/>
            <w:vAlign w:val="bottom"/>
            <w:tcBorders>
              <w:bottom w:val="single" w:sz="8" w:color="D2DCE5"/>
            </w:tcBorders>
            <w:shd w:val="clear" w:color="auto" w:fill="D2DCE5"/>
          </w:tcPr>
          <w:p>
            <w:pPr>
              <w:spacing w:after="0"/>
              <w:rPr>
                <w:sz w:val="16"/>
                <w:szCs w:val="16"/>
                <w:color w:val="auto"/>
              </w:rPr>
            </w:pPr>
          </w:p>
        </w:tc>
        <w:tc>
          <w:tcPr>
            <w:tcW w:w="320" w:type="dxa"/>
            <w:vAlign w:val="bottom"/>
            <w:tcBorders>
              <w:bottom w:val="single" w:sz="8" w:color="D2DCE5"/>
            </w:tcBorders>
            <w:shd w:val="clear" w:color="auto" w:fill="D2DCE5"/>
          </w:tcPr>
          <w:p>
            <w:pPr>
              <w:spacing w:after="0"/>
              <w:rPr>
                <w:sz w:val="16"/>
                <w:szCs w:val="16"/>
                <w:color w:val="auto"/>
              </w:rPr>
            </w:pPr>
          </w:p>
        </w:tc>
        <w:tc>
          <w:tcPr>
            <w:tcW w:w="10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6,058</w:t>
            </w:r>
          </w:p>
        </w:tc>
      </w:tr>
      <w:tr>
        <w:trPr>
          <w:trHeight w:val="191"/>
        </w:trPr>
        <w:tc>
          <w:tcPr>
            <w:tcW w:w="7160" w:type="dxa"/>
            <w:vAlign w:val="bottom"/>
            <w:gridSpan w:val="2"/>
          </w:tcPr>
          <w:p>
            <w:pPr>
              <w:ind w:left="140"/>
              <w:spacing w:after="0"/>
              <w:rPr>
                <w:sz w:val="20"/>
                <w:szCs w:val="20"/>
                <w:color w:val="auto"/>
              </w:rPr>
            </w:pPr>
            <w:r>
              <w:rPr>
                <w:rFonts w:ascii="Arial" w:cs="Arial" w:eastAsia="Arial" w:hAnsi="Arial"/>
                <w:sz w:val="14"/>
                <w:szCs w:val="14"/>
                <w:color w:val="131E29"/>
              </w:rPr>
              <w:t>Less: Net loss attributable to non-controlling interests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(14,500)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(37,878)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131E29"/>
              </w:rPr>
              <w:t>—</w:t>
            </w:r>
          </w:p>
        </w:tc>
      </w:tr>
      <w:tr>
        <w:trPr>
          <w:trHeight w:val="22"/>
        </w:trPr>
        <w:tc>
          <w:tcPr>
            <w:tcW w:w="708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8"/>
        </w:trPr>
        <w:tc>
          <w:tcPr>
            <w:tcW w:w="71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NET LOSS ATTRIBUTABLE TO DUTCH BROS INC.</w:t>
            </w:r>
          </w:p>
        </w:tc>
        <w:tc>
          <w:tcPr>
            <w:tcW w:w="300" w:type="dxa"/>
            <w:vAlign w:val="bottom"/>
            <w:tcBorders>
              <w:bottom w:val="single" w:sz="8" w:color="auto"/>
            </w:tcBorders>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(4,753)</w:t>
            </w:r>
          </w:p>
        </w:tc>
        <w:tc>
          <w:tcPr>
            <w:tcW w:w="80" w:type="dxa"/>
            <w:vAlign w:val="bottom"/>
            <w:tcBorders>
              <w:bottom w:val="single" w:sz="8" w:color="D2DCE5"/>
            </w:tcBorders>
            <w:shd w:val="clear" w:color="auto" w:fill="D2DCE5"/>
          </w:tcPr>
          <w:p>
            <w:pPr>
              <w:spacing w:after="0"/>
              <w:rPr>
                <w:sz w:val="19"/>
                <w:szCs w:val="19"/>
                <w:color w:val="auto"/>
              </w:rPr>
            </w:pPr>
          </w:p>
        </w:tc>
        <w:tc>
          <w:tcPr>
            <w:tcW w:w="300" w:type="dxa"/>
            <w:vAlign w:val="bottom"/>
            <w:tcBorders>
              <w:bottom w:val="single" w:sz="8" w:color="auto"/>
            </w:tcBorders>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(12,679)</w:t>
            </w:r>
          </w:p>
        </w:tc>
        <w:tc>
          <w:tcPr>
            <w:tcW w:w="80" w:type="dxa"/>
            <w:vAlign w:val="bottom"/>
            <w:tcBorders>
              <w:bottom w:val="single" w:sz="8" w:color="D2DCE5"/>
            </w:tcBorders>
            <w:shd w:val="clear" w:color="auto" w:fill="D2DCE5"/>
          </w:tcPr>
          <w:p>
            <w:pPr>
              <w:spacing w:after="0"/>
              <w:rPr>
                <w:sz w:val="19"/>
                <w:szCs w:val="19"/>
                <w:color w:val="auto"/>
              </w:rPr>
            </w:pPr>
          </w:p>
        </w:tc>
        <w:tc>
          <w:tcPr>
            <w:tcW w:w="320" w:type="dxa"/>
            <w:vAlign w:val="bottom"/>
            <w:tcBorders>
              <w:bottom w:val="single" w:sz="8" w:color="auto"/>
            </w:tcBorders>
            <w:shd w:val="clear" w:color="auto" w:fill="D2DCE5"/>
          </w:tcPr>
          <w:p>
            <w:pPr>
              <w:jc w:val="right"/>
              <w:ind w:right="149"/>
              <w:spacing w:after="0"/>
              <w:rPr>
                <w:sz w:val="20"/>
                <w:szCs w:val="20"/>
                <w:color w:val="auto"/>
              </w:rPr>
            </w:pPr>
            <w:r>
              <w:rPr>
                <w:rFonts w:ascii="Arial" w:cs="Arial" w:eastAsia="Arial" w:hAnsi="Arial"/>
                <w:sz w:val="14"/>
                <w:szCs w:val="14"/>
                <w:color w:val="131E29"/>
              </w:rPr>
              <w:t>$</w:t>
            </w:r>
          </w:p>
        </w:tc>
        <w:tc>
          <w:tcPr>
            <w:tcW w:w="10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r>
      <w:tr>
        <w:trPr>
          <w:trHeight w:val="20"/>
        </w:trPr>
        <w:tc>
          <w:tcPr>
            <w:tcW w:w="708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20" w:type="dxa"/>
            <w:vAlign w:val="bottom"/>
            <w:tcBorders>
              <w:top w:val="single" w:sz="8" w:color="D2DCE5"/>
              <w:bottom w:val="single" w:sz="8" w:color="auto"/>
            </w:tcBorders>
          </w:tcPr>
          <w:p>
            <w:pPr>
              <w:spacing w:after="0" w:line="20" w:lineRule="exact"/>
              <w:rPr>
                <w:sz w:val="1"/>
                <w:szCs w:val="1"/>
                <w:color w:val="auto"/>
              </w:rPr>
            </w:pPr>
          </w:p>
        </w:tc>
        <w:tc>
          <w:tcPr>
            <w:tcW w:w="1000" w:type="dxa"/>
            <w:vAlign w:val="bottom"/>
            <w:tcBorders>
              <w:top w:val="single" w:sz="8" w:color="D2DC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69" w:name="page70"/>
    <w:bookmarkEnd w:id="69"/>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0416B"/>
        </w:rPr>
        <w:t>Segment Financials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20" w:type="dxa"/>
            <w:vAlign w:val="bottom"/>
            <w:gridSpan w:val="6"/>
          </w:tcPr>
          <w:p>
            <w:pPr>
              <w:jc w:val="right"/>
              <w:ind w:right="129"/>
              <w:spacing w:after="0"/>
              <w:rPr>
                <w:sz w:val="20"/>
                <w:szCs w:val="20"/>
                <w:color w:val="auto"/>
              </w:rPr>
            </w:pPr>
            <w:r>
              <w:rPr>
                <w:rFonts w:ascii="Arial" w:cs="Arial" w:eastAsia="Arial" w:hAnsi="Arial"/>
                <w:sz w:val="14"/>
                <w:szCs w:val="14"/>
                <w:b w:val="1"/>
                <w:bCs w:val="1"/>
                <w:color w:val="131E29"/>
              </w:rPr>
              <w:t>Year Ended 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160" w:type="dxa"/>
            <w:vAlign w:val="bottom"/>
            <w:gridSpan w:val="2"/>
          </w:tcPr>
          <w:p>
            <w:pPr>
              <w:spacing w:after="0" w:line="20" w:lineRule="exact"/>
              <w:rPr>
                <w:sz w:val="1"/>
                <w:szCs w:val="1"/>
                <w:color w:val="auto"/>
              </w:rPr>
            </w:pPr>
          </w:p>
        </w:tc>
        <w:tc>
          <w:tcPr>
            <w:tcW w:w="300" w:type="dxa"/>
            <w:vAlign w:val="bottom"/>
            <w:tcBorders>
              <w:bottom w:val="single" w:sz="8" w:color="131E29"/>
            </w:tcBorders>
          </w:tcPr>
          <w:p>
            <w:pPr>
              <w:spacing w:after="0" w:line="20" w:lineRule="exact"/>
              <w:rPr>
                <w:sz w:val="1"/>
                <w:szCs w:val="1"/>
                <w:color w:val="auto"/>
              </w:rPr>
            </w:pPr>
          </w:p>
        </w:tc>
        <w:tc>
          <w:tcPr>
            <w:tcW w:w="1020" w:type="dxa"/>
            <w:vAlign w:val="bottom"/>
            <w:tcBorders>
              <w:bottom w:val="single" w:sz="8" w:color="131E29"/>
            </w:tcBorders>
          </w:tcPr>
          <w:p>
            <w:pPr>
              <w:spacing w:after="0" w:line="20" w:lineRule="exact"/>
              <w:rPr>
                <w:sz w:val="1"/>
                <w:szCs w:val="1"/>
                <w:color w:val="auto"/>
              </w:rPr>
            </w:pPr>
          </w:p>
        </w:tc>
        <w:tc>
          <w:tcPr>
            <w:tcW w:w="80" w:type="dxa"/>
            <w:vAlign w:val="bottom"/>
            <w:tcBorders>
              <w:bottom w:val="single" w:sz="8" w:color="131E29"/>
            </w:tcBorders>
          </w:tcPr>
          <w:p>
            <w:pPr>
              <w:spacing w:after="0" w:line="20" w:lineRule="exact"/>
              <w:rPr>
                <w:sz w:val="1"/>
                <w:szCs w:val="1"/>
                <w:color w:val="auto"/>
              </w:rPr>
            </w:pPr>
          </w:p>
        </w:tc>
        <w:tc>
          <w:tcPr>
            <w:tcW w:w="300" w:type="dxa"/>
            <w:vAlign w:val="bottom"/>
            <w:tcBorders>
              <w:bottom w:val="single" w:sz="8" w:color="131E29"/>
            </w:tcBorders>
          </w:tcPr>
          <w:p>
            <w:pPr>
              <w:spacing w:after="0" w:line="20" w:lineRule="exact"/>
              <w:rPr>
                <w:sz w:val="1"/>
                <w:szCs w:val="1"/>
                <w:color w:val="auto"/>
              </w:rPr>
            </w:pPr>
          </w:p>
        </w:tc>
        <w:tc>
          <w:tcPr>
            <w:tcW w:w="1020" w:type="dxa"/>
            <w:vAlign w:val="bottom"/>
            <w:tcBorders>
              <w:bottom w:val="single" w:sz="8" w:color="131E29"/>
            </w:tcBorders>
          </w:tcPr>
          <w:p>
            <w:pPr>
              <w:spacing w:after="0" w:line="20" w:lineRule="exact"/>
              <w:rPr>
                <w:sz w:val="1"/>
                <w:szCs w:val="1"/>
                <w:color w:val="auto"/>
              </w:rPr>
            </w:pPr>
          </w:p>
        </w:tc>
        <w:tc>
          <w:tcPr>
            <w:tcW w:w="80" w:type="dxa"/>
            <w:vAlign w:val="bottom"/>
            <w:tcBorders>
              <w:bottom w:val="single" w:sz="8" w:color="131E29"/>
            </w:tcBorders>
          </w:tcPr>
          <w:p>
            <w:pPr>
              <w:spacing w:after="0" w:line="20" w:lineRule="exact"/>
              <w:rPr>
                <w:sz w:val="1"/>
                <w:szCs w:val="1"/>
                <w:color w:val="auto"/>
              </w:rPr>
            </w:pPr>
          </w:p>
        </w:tc>
        <w:tc>
          <w:tcPr>
            <w:tcW w:w="320" w:type="dxa"/>
            <w:vAlign w:val="bottom"/>
            <w:tcBorders>
              <w:bottom w:val="single" w:sz="8" w:color="131E29"/>
            </w:tcBorders>
          </w:tcPr>
          <w:p>
            <w:pPr>
              <w:spacing w:after="0" w:line="20" w:lineRule="exact"/>
              <w:rPr>
                <w:sz w:val="1"/>
                <w:szCs w:val="1"/>
                <w:color w:val="auto"/>
              </w:rPr>
            </w:pPr>
          </w:p>
        </w:tc>
        <w:tc>
          <w:tcPr>
            <w:tcW w:w="1000" w:type="dxa"/>
            <w:vAlign w:val="bottom"/>
            <w:tcBorders>
              <w:bottom w:val="single" w:sz="8" w:color="131E2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2022</w:t>
            </w:r>
          </w:p>
        </w:tc>
        <w:tc>
          <w:tcPr>
            <w:tcW w:w="80" w:type="dxa"/>
            <w:vAlign w:val="bottom"/>
            <w:tcBorders>
              <w:bottom w:val="single" w:sz="8" w:color="D2DCE5"/>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2021</w:t>
            </w:r>
          </w:p>
        </w:tc>
        <w:tc>
          <w:tcPr>
            <w:tcW w:w="80" w:type="dxa"/>
            <w:vAlign w:val="bottom"/>
            <w:tcBorders>
              <w:bottom w:val="single" w:sz="8" w:color="D2DCE5"/>
            </w:tcBorders>
          </w:tcPr>
          <w:p>
            <w:pPr>
              <w:spacing w:after="0"/>
              <w:rPr>
                <w:sz w:val="16"/>
                <w:szCs w:val="16"/>
                <w:color w:val="auto"/>
              </w:rPr>
            </w:pPr>
          </w:p>
        </w:tc>
        <w:tc>
          <w:tcPr>
            <w:tcW w:w="320" w:type="dxa"/>
            <w:vAlign w:val="bottom"/>
            <w:tcBorders>
              <w:bottom w:val="single" w:sz="8" w:color="131E29"/>
            </w:tcBorders>
          </w:tcPr>
          <w:p>
            <w:pPr>
              <w:spacing w:after="0"/>
              <w:rPr>
                <w:sz w:val="16"/>
                <w:szCs w:val="16"/>
                <w:color w:val="auto"/>
              </w:rPr>
            </w:pPr>
          </w:p>
        </w:tc>
        <w:tc>
          <w:tcPr>
            <w:tcW w:w="1000" w:type="dxa"/>
            <w:vAlign w:val="bottom"/>
            <w:tcBorders>
              <w:bottom w:val="single" w:sz="8" w:color="131E29"/>
            </w:tcBorders>
          </w:tcPr>
          <w:p>
            <w:pPr>
              <w:jc w:val="right"/>
              <w:ind w:right="429"/>
              <w:spacing w:after="0"/>
              <w:rPr>
                <w:sz w:val="20"/>
                <w:szCs w:val="20"/>
                <w:color w:val="auto"/>
              </w:rPr>
            </w:pPr>
            <w:r>
              <w:rPr>
                <w:rFonts w:ascii="Arial" w:cs="Arial" w:eastAsia="Arial" w:hAnsi="Arial"/>
                <w:sz w:val="14"/>
                <w:szCs w:val="14"/>
                <w:b w:val="1"/>
                <w:bCs w:val="1"/>
                <w:color w:val="131E29"/>
              </w:rPr>
              <w:t>2020</w:t>
            </w:r>
          </w:p>
        </w:tc>
        <w:tc>
          <w:tcPr>
            <w:tcW w:w="0" w:type="dxa"/>
            <w:vAlign w:val="bottom"/>
          </w:tcPr>
          <w:p>
            <w:pPr>
              <w:spacing w:after="0"/>
              <w:rPr>
                <w:sz w:val="1"/>
                <w:szCs w:val="1"/>
                <w:color w:val="auto"/>
              </w:rPr>
            </w:pPr>
          </w:p>
        </w:tc>
      </w:tr>
      <w:tr>
        <w:trPr>
          <w:trHeight w:val="192"/>
        </w:trPr>
        <w:tc>
          <w:tcPr>
            <w:tcW w:w="71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Revenues:</w:t>
            </w:r>
          </w:p>
        </w:tc>
        <w:tc>
          <w:tcPr>
            <w:tcW w:w="300" w:type="dxa"/>
            <w:vAlign w:val="bottom"/>
            <w:tcBorders>
              <w:bottom w:val="single" w:sz="8" w:color="D2DCE5"/>
            </w:tcBorders>
            <w:shd w:val="clear" w:color="auto" w:fill="D2DCE5"/>
          </w:tcPr>
          <w:p>
            <w:pPr>
              <w:spacing w:after="0"/>
              <w:rPr>
                <w:sz w:val="16"/>
                <w:szCs w:val="16"/>
                <w:color w:val="auto"/>
              </w:rPr>
            </w:pPr>
          </w:p>
        </w:tc>
        <w:tc>
          <w:tcPr>
            <w:tcW w:w="102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102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320" w:type="dxa"/>
            <w:vAlign w:val="bottom"/>
            <w:tcBorders>
              <w:bottom w:val="single" w:sz="8" w:color="D2DCE5"/>
            </w:tcBorders>
            <w:shd w:val="clear" w:color="auto" w:fill="D2DCE5"/>
          </w:tcPr>
          <w:p>
            <w:pPr>
              <w:spacing w:after="0"/>
              <w:rPr>
                <w:sz w:val="16"/>
                <w:szCs w:val="16"/>
                <w:color w:val="auto"/>
              </w:rPr>
            </w:pPr>
          </w:p>
        </w:tc>
        <w:tc>
          <w:tcPr>
            <w:tcW w:w="1000" w:type="dxa"/>
            <w:vAlign w:val="bottom"/>
            <w:tcBorders>
              <w:bottom w:val="single" w:sz="8" w:color="D2DCE5"/>
            </w:tcBorders>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160" w:type="dxa"/>
            <w:vAlign w:val="bottom"/>
            <w:gridSpan w:val="2"/>
          </w:tcPr>
          <w:p>
            <w:pPr>
              <w:ind w:left="140"/>
              <w:spacing w:after="0"/>
              <w:rPr>
                <w:sz w:val="20"/>
                <w:szCs w:val="20"/>
                <w:color w:val="auto"/>
              </w:rPr>
            </w:pPr>
            <w:r>
              <w:rPr>
                <w:rFonts w:ascii="Arial" w:cs="Arial" w:eastAsia="Arial" w:hAnsi="Arial"/>
                <w:sz w:val="14"/>
                <w:szCs w:val="14"/>
                <w:color w:val="131E29"/>
              </w:rPr>
              <w:t>Company-operated shops</w:t>
            </w:r>
          </w:p>
        </w:tc>
        <w:tc>
          <w:tcPr>
            <w:tcW w:w="300" w:type="dxa"/>
            <w:vAlign w:val="bottom"/>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Pr>
          <w:p>
            <w:pPr>
              <w:jc w:val="right"/>
              <w:spacing w:after="0"/>
              <w:rPr>
                <w:sz w:val="20"/>
                <w:szCs w:val="20"/>
                <w:color w:val="auto"/>
              </w:rPr>
            </w:pPr>
            <w:r>
              <w:rPr>
                <w:rFonts w:ascii="Arial" w:cs="Arial" w:eastAsia="Arial" w:hAnsi="Arial"/>
                <w:sz w:val="14"/>
                <w:szCs w:val="14"/>
                <w:color w:val="131E29"/>
              </w:rPr>
              <w:t>639,710</w:t>
            </w:r>
          </w:p>
        </w:tc>
        <w:tc>
          <w:tcPr>
            <w:tcW w:w="8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Pr>
          <w:p>
            <w:pPr>
              <w:jc w:val="right"/>
              <w:spacing w:after="0"/>
              <w:rPr>
                <w:sz w:val="20"/>
                <w:szCs w:val="20"/>
                <w:color w:val="auto"/>
              </w:rPr>
            </w:pPr>
            <w:r>
              <w:rPr>
                <w:rFonts w:ascii="Arial" w:cs="Arial" w:eastAsia="Arial" w:hAnsi="Arial"/>
                <w:sz w:val="14"/>
                <w:szCs w:val="14"/>
                <w:color w:val="131E29"/>
              </w:rPr>
              <w:t>403,746</w:t>
            </w:r>
          </w:p>
        </w:tc>
        <w:tc>
          <w:tcPr>
            <w:tcW w:w="80" w:type="dxa"/>
            <w:vAlign w:val="bottom"/>
          </w:tcPr>
          <w:p>
            <w:pPr>
              <w:spacing w:after="0"/>
              <w:rPr>
                <w:sz w:val="16"/>
                <w:szCs w:val="16"/>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131E29"/>
              </w:rPr>
              <w:t>$</w:t>
            </w:r>
          </w:p>
        </w:tc>
        <w:tc>
          <w:tcPr>
            <w:tcW w:w="1000" w:type="dxa"/>
            <w:vAlign w:val="bottom"/>
          </w:tcPr>
          <w:p>
            <w:pPr>
              <w:jc w:val="right"/>
              <w:spacing w:after="0"/>
              <w:rPr>
                <w:sz w:val="20"/>
                <w:szCs w:val="20"/>
                <w:color w:val="auto"/>
              </w:rPr>
            </w:pPr>
            <w:r>
              <w:rPr>
                <w:rFonts w:ascii="Arial" w:cs="Arial" w:eastAsia="Arial" w:hAnsi="Arial"/>
                <w:sz w:val="14"/>
                <w:szCs w:val="14"/>
                <w:color w:val="131E29"/>
              </w:rPr>
              <w:t>244,514</w:t>
            </w:r>
          </w:p>
        </w:tc>
        <w:tc>
          <w:tcPr>
            <w:tcW w:w="0" w:type="dxa"/>
            <w:vAlign w:val="bottom"/>
          </w:tcPr>
          <w:p>
            <w:pPr>
              <w:spacing w:after="0"/>
              <w:rPr>
                <w:sz w:val="1"/>
                <w:szCs w:val="1"/>
                <w:color w:val="auto"/>
              </w:rPr>
            </w:pPr>
          </w:p>
        </w:tc>
      </w:tr>
      <w:tr>
        <w:trPr>
          <w:trHeight w:val="22"/>
        </w:trPr>
        <w:tc>
          <w:tcPr>
            <w:tcW w:w="7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16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Franchising and other</w:t>
            </w:r>
          </w:p>
        </w:tc>
        <w:tc>
          <w:tcPr>
            <w:tcW w:w="300" w:type="dxa"/>
            <w:vAlign w:val="bottom"/>
            <w:tcBorders>
              <w:bottom w:val="single" w:sz="8" w:color="D2DCE5"/>
            </w:tcBorders>
            <w:shd w:val="clear" w:color="auto" w:fill="D2DCE5"/>
          </w:tcPr>
          <w:p>
            <w:pPr>
              <w:spacing w:after="0"/>
              <w:rPr>
                <w:sz w:val="18"/>
                <w:szCs w:val="18"/>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99,302</w:t>
            </w:r>
          </w:p>
        </w:tc>
        <w:tc>
          <w:tcPr>
            <w:tcW w:w="80" w:type="dxa"/>
            <w:vAlign w:val="bottom"/>
            <w:tcBorders>
              <w:bottom w:val="single" w:sz="8" w:color="D2DCE5"/>
            </w:tcBorders>
            <w:shd w:val="clear" w:color="auto" w:fill="D2DCE5"/>
          </w:tcPr>
          <w:p>
            <w:pPr>
              <w:spacing w:after="0"/>
              <w:rPr>
                <w:sz w:val="18"/>
                <w:szCs w:val="18"/>
                <w:color w:val="auto"/>
              </w:rPr>
            </w:pPr>
          </w:p>
        </w:tc>
        <w:tc>
          <w:tcPr>
            <w:tcW w:w="300" w:type="dxa"/>
            <w:vAlign w:val="bottom"/>
            <w:tcBorders>
              <w:bottom w:val="single" w:sz="8" w:color="D2DCE5"/>
            </w:tcBorders>
            <w:shd w:val="clear" w:color="auto" w:fill="D2DCE5"/>
          </w:tcPr>
          <w:p>
            <w:pPr>
              <w:spacing w:after="0"/>
              <w:rPr>
                <w:sz w:val="18"/>
                <w:szCs w:val="18"/>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94,130</w:t>
            </w:r>
          </w:p>
        </w:tc>
        <w:tc>
          <w:tcPr>
            <w:tcW w:w="80" w:type="dxa"/>
            <w:vAlign w:val="bottom"/>
            <w:tcBorders>
              <w:bottom w:val="single" w:sz="8" w:color="D2DCE5"/>
            </w:tcBorders>
            <w:shd w:val="clear" w:color="auto" w:fill="D2DCE5"/>
          </w:tcPr>
          <w:p>
            <w:pPr>
              <w:spacing w:after="0"/>
              <w:rPr>
                <w:sz w:val="18"/>
                <w:szCs w:val="18"/>
                <w:color w:val="auto"/>
              </w:rPr>
            </w:pPr>
          </w:p>
        </w:tc>
        <w:tc>
          <w:tcPr>
            <w:tcW w:w="320" w:type="dxa"/>
            <w:vAlign w:val="bottom"/>
            <w:tcBorders>
              <w:bottom w:val="single" w:sz="8" w:color="D2DCE5"/>
            </w:tcBorders>
            <w:shd w:val="clear" w:color="auto" w:fill="D2DCE5"/>
          </w:tcPr>
          <w:p>
            <w:pPr>
              <w:spacing w:after="0"/>
              <w:rPr>
                <w:sz w:val="18"/>
                <w:szCs w:val="18"/>
                <w:color w:val="auto"/>
              </w:rPr>
            </w:pPr>
          </w:p>
        </w:tc>
        <w:tc>
          <w:tcPr>
            <w:tcW w:w="10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82,899</w:t>
            </w:r>
          </w:p>
        </w:tc>
        <w:tc>
          <w:tcPr>
            <w:tcW w:w="0" w:type="dxa"/>
            <w:vAlign w:val="bottom"/>
          </w:tcPr>
          <w:p>
            <w:pPr>
              <w:spacing w:after="0"/>
              <w:rPr>
                <w:sz w:val="1"/>
                <w:szCs w:val="1"/>
                <w:color w:val="auto"/>
              </w:rPr>
            </w:pPr>
          </w:p>
        </w:tc>
      </w:tr>
      <w:tr>
        <w:trPr>
          <w:trHeight w:val="181"/>
        </w:trPr>
        <w:tc>
          <w:tcPr>
            <w:tcW w:w="7160" w:type="dxa"/>
            <w:vAlign w:val="bottom"/>
            <w:gridSpan w:val="2"/>
          </w:tcPr>
          <w:p>
            <w:pPr>
              <w:ind w:left="280"/>
              <w:spacing w:after="0"/>
              <w:rPr>
                <w:sz w:val="20"/>
                <w:szCs w:val="20"/>
                <w:color w:val="auto"/>
              </w:rPr>
            </w:pPr>
            <w:r>
              <w:rPr>
                <w:rFonts w:ascii="Arial" w:cs="Arial" w:eastAsia="Arial" w:hAnsi="Arial"/>
                <w:sz w:val="14"/>
                <w:szCs w:val="14"/>
                <w:color w:val="131E29"/>
              </w:rPr>
              <w:t>Total revenues</w:t>
            </w: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739,012</w:t>
            </w: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497,876</w:t>
            </w:r>
          </w:p>
        </w:tc>
        <w:tc>
          <w:tcPr>
            <w:tcW w:w="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327,413</w:t>
            </w:r>
          </w:p>
        </w:tc>
        <w:tc>
          <w:tcPr>
            <w:tcW w:w="0" w:type="dxa"/>
            <w:vAlign w:val="bottom"/>
          </w:tcPr>
          <w:p>
            <w:pPr>
              <w:spacing w:after="0"/>
              <w:rPr>
                <w:sz w:val="1"/>
                <w:szCs w:val="1"/>
                <w:color w:val="auto"/>
              </w:rPr>
            </w:pPr>
          </w:p>
        </w:tc>
      </w:tr>
      <w:tr>
        <w:trPr>
          <w:trHeight w:val="22"/>
        </w:trPr>
        <w:tc>
          <w:tcPr>
            <w:tcW w:w="708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71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Cost of sales:</w:t>
            </w:r>
          </w:p>
        </w:tc>
        <w:tc>
          <w:tcPr>
            <w:tcW w:w="300" w:type="dxa"/>
            <w:vAlign w:val="bottom"/>
            <w:tcBorders>
              <w:bottom w:val="single" w:sz="8" w:color="D2DCE5"/>
            </w:tcBorders>
            <w:shd w:val="clear" w:color="auto" w:fill="D2DCE5"/>
          </w:tcPr>
          <w:p>
            <w:pPr>
              <w:spacing w:after="0"/>
              <w:rPr>
                <w:sz w:val="14"/>
                <w:szCs w:val="14"/>
                <w:color w:val="auto"/>
              </w:rPr>
            </w:pPr>
          </w:p>
        </w:tc>
        <w:tc>
          <w:tcPr>
            <w:tcW w:w="1020" w:type="dxa"/>
            <w:vAlign w:val="bottom"/>
            <w:tcBorders>
              <w:bottom w:val="single" w:sz="8" w:color="D2DCE5"/>
            </w:tcBorders>
            <w:shd w:val="clear" w:color="auto" w:fill="D2DCE5"/>
          </w:tcPr>
          <w:p>
            <w:pPr>
              <w:spacing w:after="0"/>
              <w:rPr>
                <w:sz w:val="14"/>
                <w:szCs w:val="14"/>
                <w:color w:val="auto"/>
              </w:rPr>
            </w:pPr>
          </w:p>
        </w:tc>
        <w:tc>
          <w:tcPr>
            <w:tcW w:w="80" w:type="dxa"/>
            <w:vAlign w:val="bottom"/>
            <w:tcBorders>
              <w:bottom w:val="single" w:sz="8" w:color="D2DCE5"/>
            </w:tcBorders>
            <w:shd w:val="clear" w:color="auto" w:fill="D2DCE5"/>
          </w:tcPr>
          <w:p>
            <w:pPr>
              <w:spacing w:after="0"/>
              <w:rPr>
                <w:sz w:val="14"/>
                <w:szCs w:val="14"/>
                <w:color w:val="auto"/>
              </w:rPr>
            </w:pPr>
          </w:p>
        </w:tc>
        <w:tc>
          <w:tcPr>
            <w:tcW w:w="300" w:type="dxa"/>
            <w:vAlign w:val="bottom"/>
            <w:tcBorders>
              <w:bottom w:val="single" w:sz="8" w:color="D2DCE5"/>
            </w:tcBorders>
            <w:shd w:val="clear" w:color="auto" w:fill="D2DCE5"/>
          </w:tcPr>
          <w:p>
            <w:pPr>
              <w:spacing w:after="0"/>
              <w:rPr>
                <w:sz w:val="14"/>
                <w:szCs w:val="14"/>
                <w:color w:val="auto"/>
              </w:rPr>
            </w:pPr>
          </w:p>
        </w:tc>
        <w:tc>
          <w:tcPr>
            <w:tcW w:w="1020" w:type="dxa"/>
            <w:vAlign w:val="bottom"/>
            <w:tcBorders>
              <w:bottom w:val="single" w:sz="8" w:color="D2DCE5"/>
            </w:tcBorders>
            <w:shd w:val="clear" w:color="auto" w:fill="D2DCE5"/>
          </w:tcPr>
          <w:p>
            <w:pPr>
              <w:spacing w:after="0"/>
              <w:rPr>
                <w:sz w:val="14"/>
                <w:szCs w:val="14"/>
                <w:color w:val="auto"/>
              </w:rPr>
            </w:pPr>
          </w:p>
        </w:tc>
        <w:tc>
          <w:tcPr>
            <w:tcW w:w="80" w:type="dxa"/>
            <w:vAlign w:val="bottom"/>
            <w:tcBorders>
              <w:bottom w:val="single" w:sz="8" w:color="D2DCE5"/>
            </w:tcBorders>
            <w:shd w:val="clear" w:color="auto" w:fill="D2DCE5"/>
          </w:tcPr>
          <w:p>
            <w:pPr>
              <w:spacing w:after="0"/>
              <w:rPr>
                <w:sz w:val="14"/>
                <w:szCs w:val="14"/>
                <w:color w:val="auto"/>
              </w:rPr>
            </w:pPr>
          </w:p>
        </w:tc>
        <w:tc>
          <w:tcPr>
            <w:tcW w:w="320" w:type="dxa"/>
            <w:vAlign w:val="bottom"/>
            <w:tcBorders>
              <w:bottom w:val="single" w:sz="8" w:color="D2DCE5"/>
            </w:tcBorders>
            <w:shd w:val="clear" w:color="auto" w:fill="D2DCE5"/>
          </w:tcPr>
          <w:p>
            <w:pPr>
              <w:spacing w:after="0"/>
              <w:rPr>
                <w:sz w:val="14"/>
                <w:szCs w:val="14"/>
                <w:color w:val="auto"/>
              </w:rPr>
            </w:pPr>
          </w:p>
        </w:tc>
        <w:tc>
          <w:tcPr>
            <w:tcW w:w="1000" w:type="dxa"/>
            <w:vAlign w:val="bottom"/>
            <w:tcBorders>
              <w:bottom w:val="single" w:sz="8" w:color="D2DCE5"/>
            </w:tcBorders>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7160" w:type="dxa"/>
            <w:vAlign w:val="bottom"/>
            <w:gridSpan w:val="2"/>
          </w:tcPr>
          <w:p>
            <w:pPr>
              <w:ind w:left="140"/>
              <w:spacing w:after="0"/>
              <w:rPr>
                <w:sz w:val="20"/>
                <w:szCs w:val="20"/>
                <w:color w:val="auto"/>
              </w:rPr>
            </w:pPr>
            <w:r>
              <w:rPr>
                <w:rFonts w:ascii="Arial" w:cs="Arial" w:eastAsia="Arial" w:hAnsi="Arial"/>
                <w:sz w:val="14"/>
                <w:szCs w:val="14"/>
                <w:color w:val="131E29"/>
              </w:rPr>
              <w:t>Company-operated shops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518,383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317,045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131E29"/>
              </w:rPr>
              <w:t>183,968</w:t>
            </w:r>
          </w:p>
        </w:tc>
        <w:tc>
          <w:tcPr>
            <w:tcW w:w="0" w:type="dxa"/>
            <w:vAlign w:val="bottom"/>
          </w:tcPr>
          <w:p>
            <w:pPr>
              <w:spacing w:after="0"/>
              <w:rPr>
                <w:sz w:val="1"/>
                <w:szCs w:val="1"/>
                <w:color w:val="auto"/>
              </w:rPr>
            </w:pPr>
          </w:p>
        </w:tc>
      </w:tr>
      <w:tr>
        <w:trPr>
          <w:trHeight w:val="22"/>
        </w:trPr>
        <w:tc>
          <w:tcPr>
            <w:tcW w:w="7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16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Franchising and other</w:t>
            </w:r>
          </w:p>
        </w:tc>
        <w:tc>
          <w:tcPr>
            <w:tcW w:w="300" w:type="dxa"/>
            <w:vAlign w:val="bottom"/>
            <w:tcBorders>
              <w:bottom w:val="single" w:sz="8" w:color="D2DCE5"/>
            </w:tcBorders>
            <w:shd w:val="clear" w:color="auto" w:fill="D2DCE5"/>
          </w:tcPr>
          <w:p>
            <w:pPr>
              <w:spacing w:after="0"/>
              <w:rPr>
                <w:sz w:val="18"/>
                <w:szCs w:val="18"/>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39,713</w:t>
            </w:r>
          </w:p>
        </w:tc>
        <w:tc>
          <w:tcPr>
            <w:tcW w:w="80" w:type="dxa"/>
            <w:vAlign w:val="bottom"/>
            <w:tcBorders>
              <w:bottom w:val="single" w:sz="8" w:color="D2DCE5"/>
            </w:tcBorders>
            <w:shd w:val="clear" w:color="auto" w:fill="D2DCE5"/>
          </w:tcPr>
          <w:p>
            <w:pPr>
              <w:spacing w:after="0"/>
              <w:rPr>
                <w:sz w:val="18"/>
                <w:szCs w:val="18"/>
                <w:color w:val="auto"/>
              </w:rPr>
            </w:pPr>
          </w:p>
        </w:tc>
        <w:tc>
          <w:tcPr>
            <w:tcW w:w="300" w:type="dxa"/>
            <w:vAlign w:val="bottom"/>
            <w:tcBorders>
              <w:bottom w:val="single" w:sz="8" w:color="D2DCE5"/>
            </w:tcBorders>
            <w:shd w:val="clear" w:color="auto" w:fill="D2DCE5"/>
          </w:tcPr>
          <w:p>
            <w:pPr>
              <w:spacing w:after="0"/>
              <w:rPr>
                <w:sz w:val="18"/>
                <w:szCs w:val="18"/>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27,528</w:t>
            </w:r>
          </w:p>
        </w:tc>
        <w:tc>
          <w:tcPr>
            <w:tcW w:w="80" w:type="dxa"/>
            <w:vAlign w:val="bottom"/>
            <w:tcBorders>
              <w:bottom w:val="single" w:sz="8" w:color="D2DCE5"/>
            </w:tcBorders>
            <w:shd w:val="clear" w:color="auto" w:fill="D2DCE5"/>
          </w:tcPr>
          <w:p>
            <w:pPr>
              <w:spacing w:after="0"/>
              <w:rPr>
                <w:sz w:val="18"/>
                <w:szCs w:val="18"/>
                <w:color w:val="auto"/>
              </w:rPr>
            </w:pPr>
          </w:p>
        </w:tc>
        <w:tc>
          <w:tcPr>
            <w:tcW w:w="320" w:type="dxa"/>
            <w:vAlign w:val="bottom"/>
            <w:tcBorders>
              <w:bottom w:val="single" w:sz="8" w:color="D2DCE5"/>
            </w:tcBorders>
            <w:shd w:val="clear" w:color="auto" w:fill="D2DCE5"/>
          </w:tcPr>
          <w:p>
            <w:pPr>
              <w:spacing w:after="0"/>
              <w:rPr>
                <w:sz w:val="18"/>
                <w:szCs w:val="18"/>
                <w:color w:val="auto"/>
              </w:rPr>
            </w:pPr>
          </w:p>
        </w:tc>
        <w:tc>
          <w:tcPr>
            <w:tcW w:w="10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27,510</w:t>
            </w:r>
          </w:p>
        </w:tc>
        <w:tc>
          <w:tcPr>
            <w:tcW w:w="0" w:type="dxa"/>
            <w:vAlign w:val="bottom"/>
          </w:tcPr>
          <w:p>
            <w:pPr>
              <w:spacing w:after="0"/>
              <w:rPr>
                <w:sz w:val="1"/>
                <w:szCs w:val="1"/>
                <w:color w:val="auto"/>
              </w:rPr>
            </w:pPr>
          </w:p>
        </w:tc>
      </w:tr>
      <w:tr>
        <w:trPr>
          <w:trHeight w:val="181"/>
        </w:trPr>
        <w:tc>
          <w:tcPr>
            <w:tcW w:w="7160" w:type="dxa"/>
            <w:vAlign w:val="bottom"/>
            <w:gridSpan w:val="2"/>
          </w:tcPr>
          <w:p>
            <w:pPr>
              <w:ind w:left="280"/>
              <w:spacing w:after="0"/>
              <w:rPr>
                <w:sz w:val="20"/>
                <w:szCs w:val="20"/>
                <w:color w:val="auto"/>
              </w:rPr>
            </w:pPr>
            <w:r>
              <w:rPr>
                <w:rFonts w:ascii="Arial" w:cs="Arial" w:eastAsia="Arial" w:hAnsi="Arial"/>
                <w:sz w:val="14"/>
                <w:szCs w:val="14"/>
                <w:color w:val="131E29"/>
              </w:rPr>
              <w:t>Total cost of sales</w:t>
            </w: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558,096</w:t>
            </w: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344,573</w:t>
            </w:r>
          </w:p>
        </w:tc>
        <w:tc>
          <w:tcPr>
            <w:tcW w:w="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211,478</w:t>
            </w:r>
          </w:p>
        </w:tc>
        <w:tc>
          <w:tcPr>
            <w:tcW w:w="0" w:type="dxa"/>
            <w:vAlign w:val="bottom"/>
          </w:tcPr>
          <w:p>
            <w:pPr>
              <w:spacing w:after="0"/>
              <w:rPr>
                <w:sz w:val="1"/>
                <w:szCs w:val="1"/>
                <w:color w:val="auto"/>
              </w:rPr>
            </w:pPr>
          </w:p>
        </w:tc>
      </w:tr>
      <w:tr>
        <w:trPr>
          <w:trHeight w:val="22"/>
        </w:trPr>
        <w:tc>
          <w:tcPr>
            <w:tcW w:w="708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71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Segment gross profit:</w:t>
            </w:r>
          </w:p>
        </w:tc>
        <w:tc>
          <w:tcPr>
            <w:tcW w:w="300" w:type="dxa"/>
            <w:vAlign w:val="bottom"/>
            <w:tcBorders>
              <w:bottom w:val="single" w:sz="8" w:color="D2DCE5"/>
            </w:tcBorders>
            <w:shd w:val="clear" w:color="auto" w:fill="D2DCE5"/>
          </w:tcPr>
          <w:p>
            <w:pPr>
              <w:spacing w:after="0"/>
              <w:rPr>
                <w:sz w:val="14"/>
                <w:szCs w:val="14"/>
                <w:color w:val="auto"/>
              </w:rPr>
            </w:pPr>
          </w:p>
        </w:tc>
        <w:tc>
          <w:tcPr>
            <w:tcW w:w="1020" w:type="dxa"/>
            <w:vAlign w:val="bottom"/>
            <w:tcBorders>
              <w:bottom w:val="single" w:sz="8" w:color="D2DCE5"/>
            </w:tcBorders>
            <w:shd w:val="clear" w:color="auto" w:fill="D2DCE5"/>
          </w:tcPr>
          <w:p>
            <w:pPr>
              <w:spacing w:after="0"/>
              <w:rPr>
                <w:sz w:val="14"/>
                <w:szCs w:val="14"/>
                <w:color w:val="auto"/>
              </w:rPr>
            </w:pPr>
          </w:p>
        </w:tc>
        <w:tc>
          <w:tcPr>
            <w:tcW w:w="80" w:type="dxa"/>
            <w:vAlign w:val="bottom"/>
            <w:tcBorders>
              <w:bottom w:val="single" w:sz="8" w:color="D2DCE5"/>
            </w:tcBorders>
            <w:shd w:val="clear" w:color="auto" w:fill="D2DCE5"/>
          </w:tcPr>
          <w:p>
            <w:pPr>
              <w:spacing w:after="0"/>
              <w:rPr>
                <w:sz w:val="14"/>
                <w:szCs w:val="14"/>
                <w:color w:val="auto"/>
              </w:rPr>
            </w:pPr>
          </w:p>
        </w:tc>
        <w:tc>
          <w:tcPr>
            <w:tcW w:w="300" w:type="dxa"/>
            <w:vAlign w:val="bottom"/>
            <w:tcBorders>
              <w:bottom w:val="single" w:sz="8" w:color="D2DCE5"/>
            </w:tcBorders>
            <w:shd w:val="clear" w:color="auto" w:fill="D2DCE5"/>
          </w:tcPr>
          <w:p>
            <w:pPr>
              <w:spacing w:after="0"/>
              <w:rPr>
                <w:sz w:val="14"/>
                <w:szCs w:val="14"/>
                <w:color w:val="auto"/>
              </w:rPr>
            </w:pPr>
          </w:p>
        </w:tc>
        <w:tc>
          <w:tcPr>
            <w:tcW w:w="1020" w:type="dxa"/>
            <w:vAlign w:val="bottom"/>
            <w:tcBorders>
              <w:bottom w:val="single" w:sz="8" w:color="D2DCE5"/>
            </w:tcBorders>
            <w:shd w:val="clear" w:color="auto" w:fill="D2DCE5"/>
          </w:tcPr>
          <w:p>
            <w:pPr>
              <w:spacing w:after="0"/>
              <w:rPr>
                <w:sz w:val="14"/>
                <w:szCs w:val="14"/>
                <w:color w:val="auto"/>
              </w:rPr>
            </w:pPr>
          </w:p>
        </w:tc>
        <w:tc>
          <w:tcPr>
            <w:tcW w:w="80" w:type="dxa"/>
            <w:vAlign w:val="bottom"/>
            <w:tcBorders>
              <w:bottom w:val="single" w:sz="8" w:color="D2DCE5"/>
            </w:tcBorders>
            <w:shd w:val="clear" w:color="auto" w:fill="D2DCE5"/>
          </w:tcPr>
          <w:p>
            <w:pPr>
              <w:spacing w:after="0"/>
              <w:rPr>
                <w:sz w:val="14"/>
                <w:szCs w:val="14"/>
                <w:color w:val="auto"/>
              </w:rPr>
            </w:pPr>
          </w:p>
        </w:tc>
        <w:tc>
          <w:tcPr>
            <w:tcW w:w="320" w:type="dxa"/>
            <w:vAlign w:val="bottom"/>
            <w:tcBorders>
              <w:bottom w:val="single" w:sz="8" w:color="D2DCE5"/>
            </w:tcBorders>
            <w:shd w:val="clear" w:color="auto" w:fill="D2DCE5"/>
          </w:tcPr>
          <w:p>
            <w:pPr>
              <w:spacing w:after="0"/>
              <w:rPr>
                <w:sz w:val="14"/>
                <w:szCs w:val="14"/>
                <w:color w:val="auto"/>
              </w:rPr>
            </w:pPr>
          </w:p>
        </w:tc>
        <w:tc>
          <w:tcPr>
            <w:tcW w:w="1000" w:type="dxa"/>
            <w:vAlign w:val="bottom"/>
            <w:tcBorders>
              <w:bottom w:val="single" w:sz="8" w:color="D2DCE5"/>
            </w:tcBorders>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7160" w:type="dxa"/>
            <w:vAlign w:val="bottom"/>
            <w:gridSpan w:val="2"/>
          </w:tcPr>
          <w:p>
            <w:pPr>
              <w:ind w:left="140"/>
              <w:spacing w:after="0"/>
              <w:rPr>
                <w:sz w:val="20"/>
                <w:szCs w:val="20"/>
                <w:color w:val="auto"/>
              </w:rPr>
            </w:pPr>
            <w:r>
              <w:rPr>
                <w:rFonts w:ascii="Arial" w:cs="Arial" w:eastAsia="Arial" w:hAnsi="Arial"/>
                <w:sz w:val="14"/>
                <w:szCs w:val="14"/>
                <w:color w:val="131E29"/>
              </w:rPr>
              <w:t>Company-operated shops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121,327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86,701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131E29"/>
              </w:rPr>
              <w:t>60,546</w:t>
            </w:r>
          </w:p>
        </w:tc>
        <w:tc>
          <w:tcPr>
            <w:tcW w:w="0" w:type="dxa"/>
            <w:vAlign w:val="bottom"/>
          </w:tcPr>
          <w:p>
            <w:pPr>
              <w:spacing w:after="0"/>
              <w:rPr>
                <w:sz w:val="1"/>
                <w:szCs w:val="1"/>
                <w:color w:val="auto"/>
              </w:rPr>
            </w:pPr>
          </w:p>
        </w:tc>
      </w:tr>
      <w:tr>
        <w:trPr>
          <w:trHeight w:val="22"/>
        </w:trPr>
        <w:tc>
          <w:tcPr>
            <w:tcW w:w="7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16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Franchising and other</w:t>
            </w:r>
          </w:p>
        </w:tc>
        <w:tc>
          <w:tcPr>
            <w:tcW w:w="300" w:type="dxa"/>
            <w:vAlign w:val="bottom"/>
            <w:tcBorders>
              <w:bottom w:val="single" w:sz="8" w:color="D2DCE5"/>
            </w:tcBorders>
            <w:shd w:val="clear" w:color="auto" w:fill="D2DCE5"/>
          </w:tcPr>
          <w:p>
            <w:pPr>
              <w:spacing w:after="0"/>
              <w:rPr>
                <w:sz w:val="18"/>
                <w:szCs w:val="18"/>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59,589</w:t>
            </w:r>
          </w:p>
        </w:tc>
        <w:tc>
          <w:tcPr>
            <w:tcW w:w="80" w:type="dxa"/>
            <w:vAlign w:val="bottom"/>
            <w:tcBorders>
              <w:bottom w:val="single" w:sz="8" w:color="D2DCE5"/>
            </w:tcBorders>
            <w:shd w:val="clear" w:color="auto" w:fill="D2DCE5"/>
          </w:tcPr>
          <w:p>
            <w:pPr>
              <w:spacing w:after="0"/>
              <w:rPr>
                <w:sz w:val="18"/>
                <w:szCs w:val="18"/>
                <w:color w:val="auto"/>
              </w:rPr>
            </w:pPr>
          </w:p>
        </w:tc>
        <w:tc>
          <w:tcPr>
            <w:tcW w:w="300" w:type="dxa"/>
            <w:vAlign w:val="bottom"/>
            <w:tcBorders>
              <w:bottom w:val="single" w:sz="8" w:color="D2DCE5"/>
            </w:tcBorders>
            <w:shd w:val="clear" w:color="auto" w:fill="D2DCE5"/>
          </w:tcPr>
          <w:p>
            <w:pPr>
              <w:spacing w:after="0"/>
              <w:rPr>
                <w:sz w:val="18"/>
                <w:szCs w:val="18"/>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66,602</w:t>
            </w:r>
          </w:p>
        </w:tc>
        <w:tc>
          <w:tcPr>
            <w:tcW w:w="80" w:type="dxa"/>
            <w:vAlign w:val="bottom"/>
            <w:tcBorders>
              <w:bottom w:val="single" w:sz="8" w:color="D2DCE5"/>
            </w:tcBorders>
            <w:shd w:val="clear" w:color="auto" w:fill="D2DCE5"/>
          </w:tcPr>
          <w:p>
            <w:pPr>
              <w:spacing w:after="0"/>
              <w:rPr>
                <w:sz w:val="18"/>
                <w:szCs w:val="18"/>
                <w:color w:val="auto"/>
              </w:rPr>
            </w:pPr>
          </w:p>
        </w:tc>
        <w:tc>
          <w:tcPr>
            <w:tcW w:w="320" w:type="dxa"/>
            <w:vAlign w:val="bottom"/>
            <w:tcBorders>
              <w:bottom w:val="single" w:sz="8" w:color="D2DCE5"/>
            </w:tcBorders>
            <w:shd w:val="clear" w:color="auto" w:fill="D2DCE5"/>
          </w:tcPr>
          <w:p>
            <w:pPr>
              <w:spacing w:after="0"/>
              <w:rPr>
                <w:sz w:val="18"/>
                <w:szCs w:val="18"/>
                <w:color w:val="auto"/>
              </w:rPr>
            </w:pPr>
          </w:p>
        </w:tc>
        <w:tc>
          <w:tcPr>
            <w:tcW w:w="10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55,389</w:t>
            </w:r>
          </w:p>
        </w:tc>
        <w:tc>
          <w:tcPr>
            <w:tcW w:w="0" w:type="dxa"/>
            <w:vAlign w:val="bottom"/>
          </w:tcPr>
          <w:p>
            <w:pPr>
              <w:spacing w:after="0"/>
              <w:rPr>
                <w:sz w:val="1"/>
                <w:szCs w:val="1"/>
                <w:color w:val="auto"/>
              </w:rPr>
            </w:pPr>
          </w:p>
        </w:tc>
      </w:tr>
      <w:tr>
        <w:trPr>
          <w:trHeight w:val="203"/>
        </w:trPr>
        <w:tc>
          <w:tcPr>
            <w:tcW w:w="7160" w:type="dxa"/>
            <w:vAlign w:val="bottom"/>
            <w:gridSpan w:val="2"/>
          </w:tcPr>
          <w:p>
            <w:pPr>
              <w:ind w:left="280"/>
              <w:spacing w:after="0"/>
              <w:rPr>
                <w:sz w:val="20"/>
                <w:szCs w:val="20"/>
                <w:color w:val="auto"/>
              </w:rPr>
            </w:pPr>
            <w:r>
              <w:rPr>
                <w:rFonts w:ascii="Arial" w:cs="Arial" w:eastAsia="Arial" w:hAnsi="Arial"/>
                <w:sz w:val="14"/>
                <w:szCs w:val="14"/>
                <w:color w:val="131E29"/>
              </w:rPr>
              <w:t>Total gross profit</w:t>
            </w: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rPr>
              <w:t>180,916</w:t>
            </w: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rPr>
              <w:t>153,303</w:t>
            </w:r>
          </w:p>
        </w:tc>
        <w:tc>
          <w:tcPr>
            <w:tcW w:w="8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rPr>
              <w:t>115,935</w:t>
            </w:r>
          </w:p>
        </w:tc>
        <w:tc>
          <w:tcPr>
            <w:tcW w:w="0" w:type="dxa"/>
            <w:vAlign w:val="bottom"/>
          </w:tcPr>
          <w:p>
            <w:pPr>
              <w:spacing w:after="0"/>
              <w:rPr>
                <w:sz w:val="1"/>
                <w:szCs w:val="1"/>
                <w:color w:val="auto"/>
              </w:rPr>
            </w:pPr>
          </w:p>
        </w:tc>
      </w:tr>
      <w:tr>
        <w:trPr>
          <w:trHeight w:val="20"/>
        </w:trPr>
        <w:tc>
          <w:tcPr>
            <w:tcW w:w="708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7160" w:type="dxa"/>
            <w:vAlign w:val="bottom"/>
            <w:tcBorders>
              <w:bottom w:val="single" w:sz="8" w:color="D2DCE5"/>
            </w:tcBorders>
            <w:gridSpan w:val="2"/>
            <w:shd w:val="clear" w:color="auto" w:fill="D2DCE5"/>
          </w:tcPr>
          <w:p>
            <w:pPr>
              <w:ind w:left="20"/>
              <w:spacing w:after="0" w:line="152" w:lineRule="exact"/>
              <w:rPr>
                <w:sz w:val="20"/>
                <w:szCs w:val="20"/>
                <w:color w:val="auto"/>
              </w:rPr>
            </w:pPr>
            <w:r>
              <w:rPr>
                <w:rFonts w:ascii="Arial" w:cs="Arial" w:eastAsia="Arial" w:hAnsi="Arial"/>
                <w:sz w:val="14"/>
                <w:szCs w:val="14"/>
                <w:color w:val="131E29"/>
              </w:rPr>
              <w:t>Depreciation and amortization:</w:t>
            </w:r>
          </w:p>
        </w:tc>
        <w:tc>
          <w:tcPr>
            <w:tcW w:w="300" w:type="dxa"/>
            <w:vAlign w:val="bottom"/>
            <w:tcBorders>
              <w:bottom w:val="single" w:sz="8" w:color="D2DCE5"/>
            </w:tcBorders>
            <w:shd w:val="clear" w:color="auto" w:fill="D2DCE5"/>
          </w:tcPr>
          <w:p>
            <w:pPr>
              <w:spacing w:after="0"/>
              <w:rPr>
                <w:sz w:val="13"/>
                <w:szCs w:val="13"/>
                <w:color w:val="auto"/>
              </w:rPr>
            </w:pPr>
          </w:p>
        </w:tc>
        <w:tc>
          <w:tcPr>
            <w:tcW w:w="1020" w:type="dxa"/>
            <w:vAlign w:val="bottom"/>
            <w:tcBorders>
              <w:bottom w:val="single" w:sz="8" w:color="D2DCE5"/>
            </w:tcBorders>
            <w:shd w:val="clear" w:color="auto" w:fill="D2DCE5"/>
          </w:tcPr>
          <w:p>
            <w:pPr>
              <w:spacing w:after="0"/>
              <w:rPr>
                <w:sz w:val="13"/>
                <w:szCs w:val="13"/>
                <w:color w:val="auto"/>
              </w:rPr>
            </w:pPr>
          </w:p>
        </w:tc>
        <w:tc>
          <w:tcPr>
            <w:tcW w:w="80" w:type="dxa"/>
            <w:vAlign w:val="bottom"/>
            <w:tcBorders>
              <w:bottom w:val="single" w:sz="8" w:color="D2DCE5"/>
            </w:tcBorders>
            <w:shd w:val="clear" w:color="auto" w:fill="D2DCE5"/>
          </w:tcPr>
          <w:p>
            <w:pPr>
              <w:spacing w:after="0"/>
              <w:rPr>
                <w:sz w:val="13"/>
                <w:szCs w:val="13"/>
                <w:color w:val="auto"/>
              </w:rPr>
            </w:pPr>
          </w:p>
        </w:tc>
        <w:tc>
          <w:tcPr>
            <w:tcW w:w="300" w:type="dxa"/>
            <w:vAlign w:val="bottom"/>
            <w:tcBorders>
              <w:bottom w:val="single" w:sz="8" w:color="D2DCE5"/>
            </w:tcBorders>
            <w:shd w:val="clear" w:color="auto" w:fill="D2DCE5"/>
          </w:tcPr>
          <w:p>
            <w:pPr>
              <w:spacing w:after="0"/>
              <w:rPr>
                <w:sz w:val="13"/>
                <w:szCs w:val="13"/>
                <w:color w:val="auto"/>
              </w:rPr>
            </w:pPr>
          </w:p>
        </w:tc>
        <w:tc>
          <w:tcPr>
            <w:tcW w:w="1020" w:type="dxa"/>
            <w:vAlign w:val="bottom"/>
            <w:tcBorders>
              <w:bottom w:val="single" w:sz="8" w:color="D2DCE5"/>
            </w:tcBorders>
            <w:shd w:val="clear" w:color="auto" w:fill="D2DCE5"/>
          </w:tcPr>
          <w:p>
            <w:pPr>
              <w:spacing w:after="0"/>
              <w:rPr>
                <w:sz w:val="13"/>
                <w:szCs w:val="13"/>
                <w:color w:val="auto"/>
              </w:rPr>
            </w:pPr>
          </w:p>
        </w:tc>
        <w:tc>
          <w:tcPr>
            <w:tcW w:w="80" w:type="dxa"/>
            <w:vAlign w:val="bottom"/>
            <w:tcBorders>
              <w:bottom w:val="single" w:sz="8" w:color="D2DCE5"/>
            </w:tcBorders>
            <w:shd w:val="clear" w:color="auto" w:fill="D2DCE5"/>
          </w:tcPr>
          <w:p>
            <w:pPr>
              <w:spacing w:after="0"/>
              <w:rPr>
                <w:sz w:val="13"/>
                <w:szCs w:val="13"/>
                <w:color w:val="auto"/>
              </w:rPr>
            </w:pPr>
          </w:p>
        </w:tc>
        <w:tc>
          <w:tcPr>
            <w:tcW w:w="320" w:type="dxa"/>
            <w:vAlign w:val="bottom"/>
            <w:tcBorders>
              <w:bottom w:val="single" w:sz="8" w:color="D2DCE5"/>
            </w:tcBorders>
            <w:shd w:val="clear" w:color="auto" w:fill="D2DCE5"/>
          </w:tcPr>
          <w:p>
            <w:pPr>
              <w:spacing w:after="0"/>
              <w:rPr>
                <w:sz w:val="13"/>
                <w:szCs w:val="13"/>
                <w:color w:val="auto"/>
              </w:rPr>
            </w:pPr>
          </w:p>
        </w:tc>
        <w:tc>
          <w:tcPr>
            <w:tcW w:w="1000" w:type="dxa"/>
            <w:vAlign w:val="bottom"/>
            <w:tcBorders>
              <w:bottom w:val="single" w:sz="8" w:color="D2DCE5"/>
            </w:tcBorders>
            <w:shd w:val="clear" w:color="auto" w:fill="D2DCE5"/>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7160" w:type="dxa"/>
            <w:vAlign w:val="bottom"/>
            <w:gridSpan w:val="2"/>
          </w:tcPr>
          <w:p>
            <w:pPr>
              <w:ind w:left="140"/>
              <w:spacing w:after="0"/>
              <w:rPr>
                <w:sz w:val="20"/>
                <w:szCs w:val="20"/>
                <w:color w:val="auto"/>
              </w:rPr>
            </w:pPr>
            <w:r>
              <w:rPr>
                <w:rFonts w:ascii="Arial" w:cs="Arial" w:eastAsia="Arial" w:hAnsi="Arial"/>
                <w:sz w:val="14"/>
                <w:szCs w:val="14"/>
                <w:color w:val="131E29"/>
              </w:rPr>
              <w:t>Company-operated shops</w:t>
            </w:r>
          </w:p>
        </w:tc>
        <w:tc>
          <w:tcPr>
            <w:tcW w:w="300" w:type="dxa"/>
            <w:vAlign w:val="bottom"/>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Pr>
          <w:p>
            <w:pPr>
              <w:jc w:val="right"/>
              <w:spacing w:after="0"/>
              <w:rPr>
                <w:sz w:val="20"/>
                <w:szCs w:val="20"/>
                <w:color w:val="auto"/>
              </w:rPr>
            </w:pPr>
            <w:r>
              <w:rPr>
                <w:rFonts w:ascii="Arial" w:cs="Arial" w:eastAsia="Arial" w:hAnsi="Arial"/>
                <w:sz w:val="14"/>
                <w:szCs w:val="14"/>
                <w:color w:val="131E29"/>
              </w:rPr>
              <w:t>36,306</w:t>
            </w:r>
          </w:p>
        </w:tc>
        <w:tc>
          <w:tcPr>
            <w:tcW w:w="8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Pr>
          <w:p>
            <w:pPr>
              <w:jc w:val="right"/>
              <w:spacing w:after="0"/>
              <w:rPr>
                <w:sz w:val="20"/>
                <w:szCs w:val="20"/>
                <w:color w:val="auto"/>
              </w:rPr>
            </w:pPr>
            <w:r>
              <w:rPr>
                <w:rFonts w:ascii="Arial" w:cs="Arial" w:eastAsia="Arial" w:hAnsi="Arial"/>
                <w:sz w:val="14"/>
                <w:szCs w:val="14"/>
                <w:color w:val="131E29"/>
              </w:rPr>
              <w:t>16,291</w:t>
            </w:r>
          </w:p>
        </w:tc>
        <w:tc>
          <w:tcPr>
            <w:tcW w:w="80" w:type="dxa"/>
            <w:vAlign w:val="bottom"/>
          </w:tcPr>
          <w:p>
            <w:pPr>
              <w:spacing w:after="0"/>
              <w:rPr>
                <w:sz w:val="16"/>
                <w:szCs w:val="16"/>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131E29"/>
              </w:rPr>
              <w:t>$</w:t>
            </w:r>
          </w:p>
        </w:tc>
        <w:tc>
          <w:tcPr>
            <w:tcW w:w="1000" w:type="dxa"/>
            <w:vAlign w:val="bottom"/>
          </w:tcPr>
          <w:p>
            <w:pPr>
              <w:jc w:val="right"/>
              <w:spacing w:after="0"/>
              <w:rPr>
                <w:sz w:val="20"/>
                <w:szCs w:val="20"/>
                <w:color w:val="auto"/>
              </w:rPr>
            </w:pPr>
            <w:r>
              <w:rPr>
                <w:rFonts w:ascii="Arial" w:cs="Arial" w:eastAsia="Arial" w:hAnsi="Arial"/>
                <w:sz w:val="14"/>
                <w:szCs w:val="14"/>
                <w:color w:val="131E29"/>
              </w:rPr>
              <w:t>9,737</w:t>
            </w:r>
          </w:p>
        </w:tc>
        <w:tc>
          <w:tcPr>
            <w:tcW w:w="0" w:type="dxa"/>
            <w:vAlign w:val="bottom"/>
          </w:tcPr>
          <w:p>
            <w:pPr>
              <w:spacing w:after="0"/>
              <w:rPr>
                <w:sz w:val="1"/>
                <w:szCs w:val="1"/>
                <w:color w:val="auto"/>
              </w:rPr>
            </w:pPr>
          </w:p>
        </w:tc>
      </w:tr>
      <w:tr>
        <w:trPr>
          <w:trHeight w:val="22"/>
        </w:trPr>
        <w:tc>
          <w:tcPr>
            <w:tcW w:w="7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16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Franchising and other</w:t>
            </w:r>
          </w:p>
        </w:tc>
        <w:tc>
          <w:tcPr>
            <w:tcW w:w="300" w:type="dxa"/>
            <w:vAlign w:val="bottom"/>
            <w:tcBorders>
              <w:bottom w:val="single" w:sz="8" w:color="D2DCE5"/>
            </w:tcBorders>
            <w:shd w:val="clear" w:color="auto" w:fill="D2DCE5"/>
          </w:tcPr>
          <w:p>
            <w:pPr>
              <w:spacing w:after="0"/>
              <w:rPr>
                <w:sz w:val="16"/>
                <w:szCs w:val="16"/>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5,706</w:t>
            </w: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6,263</w:t>
            </w:r>
          </w:p>
        </w:tc>
        <w:tc>
          <w:tcPr>
            <w:tcW w:w="80" w:type="dxa"/>
            <w:vAlign w:val="bottom"/>
            <w:tcBorders>
              <w:bottom w:val="single" w:sz="8" w:color="D2DCE5"/>
            </w:tcBorders>
            <w:shd w:val="clear" w:color="auto" w:fill="D2DCE5"/>
          </w:tcPr>
          <w:p>
            <w:pPr>
              <w:spacing w:after="0"/>
              <w:rPr>
                <w:sz w:val="16"/>
                <w:szCs w:val="16"/>
                <w:color w:val="auto"/>
              </w:rPr>
            </w:pPr>
          </w:p>
        </w:tc>
        <w:tc>
          <w:tcPr>
            <w:tcW w:w="320" w:type="dxa"/>
            <w:vAlign w:val="bottom"/>
            <w:tcBorders>
              <w:bottom w:val="single" w:sz="8" w:color="D2DCE5"/>
            </w:tcBorders>
            <w:shd w:val="clear" w:color="auto" w:fill="D2DCE5"/>
          </w:tcPr>
          <w:p>
            <w:pPr>
              <w:spacing w:after="0"/>
              <w:rPr>
                <w:sz w:val="16"/>
                <w:szCs w:val="16"/>
                <w:color w:val="auto"/>
              </w:rPr>
            </w:pPr>
          </w:p>
        </w:tc>
        <w:tc>
          <w:tcPr>
            <w:tcW w:w="10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4,349</w:t>
            </w:r>
          </w:p>
        </w:tc>
        <w:tc>
          <w:tcPr>
            <w:tcW w:w="0" w:type="dxa"/>
            <w:vAlign w:val="bottom"/>
          </w:tcPr>
          <w:p>
            <w:pPr>
              <w:spacing w:after="0"/>
              <w:rPr>
                <w:sz w:val="1"/>
                <w:szCs w:val="1"/>
                <w:color w:val="auto"/>
              </w:rPr>
            </w:pPr>
          </w:p>
        </w:tc>
      </w:tr>
      <w:tr>
        <w:trPr>
          <w:trHeight w:val="191"/>
        </w:trPr>
        <w:tc>
          <w:tcPr>
            <w:tcW w:w="7160" w:type="dxa"/>
            <w:vAlign w:val="bottom"/>
            <w:gridSpan w:val="2"/>
          </w:tcPr>
          <w:p>
            <w:pPr>
              <w:ind w:left="140"/>
              <w:spacing w:after="0"/>
              <w:rPr>
                <w:sz w:val="20"/>
                <w:szCs w:val="20"/>
                <w:color w:val="auto"/>
              </w:rPr>
            </w:pPr>
            <w:r>
              <w:rPr>
                <w:rFonts w:ascii="Arial" w:cs="Arial" w:eastAsia="Arial" w:hAnsi="Arial"/>
                <w:sz w:val="14"/>
                <w:szCs w:val="14"/>
                <w:color w:val="131E29"/>
              </w:rPr>
              <w:t>All other</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2,716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2,663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131E29"/>
              </w:rPr>
              <w:t>1,451</w:t>
            </w:r>
          </w:p>
        </w:tc>
        <w:tc>
          <w:tcPr>
            <w:tcW w:w="0" w:type="dxa"/>
            <w:vAlign w:val="bottom"/>
          </w:tcPr>
          <w:p>
            <w:pPr>
              <w:spacing w:after="0"/>
              <w:rPr>
                <w:sz w:val="1"/>
                <w:szCs w:val="1"/>
                <w:color w:val="auto"/>
              </w:rPr>
            </w:pPr>
          </w:p>
        </w:tc>
      </w:tr>
      <w:tr>
        <w:trPr>
          <w:trHeight w:val="22"/>
        </w:trPr>
        <w:tc>
          <w:tcPr>
            <w:tcW w:w="708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7160" w:type="dxa"/>
            <w:vAlign w:val="bottom"/>
            <w:tcBorders>
              <w:bottom w:val="single" w:sz="8" w:color="D2DCE5"/>
            </w:tcBorders>
            <w:gridSpan w:val="2"/>
            <w:shd w:val="clear" w:color="auto" w:fill="D2DCE5"/>
          </w:tcPr>
          <w:p>
            <w:pPr>
              <w:ind w:left="280"/>
              <w:spacing w:after="0"/>
              <w:rPr>
                <w:sz w:val="20"/>
                <w:szCs w:val="20"/>
                <w:color w:val="auto"/>
              </w:rPr>
            </w:pPr>
            <w:r>
              <w:rPr>
                <w:rFonts w:ascii="Arial" w:cs="Arial" w:eastAsia="Arial" w:hAnsi="Arial"/>
                <w:sz w:val="14"/>
                <w:szCs w:val="14"/>
                <w:color w:val="131E29"/>
              </w:rPr>
              <w:t>Total depreciation and amortization</w:t>
            </w:r>
          </w:p>
        </w:tc>
        <w:tc>
          <w:tcPr>
            <w:tcW w:w="300" w:type="dxa"/>
            <w:vAlign w:val="bottom"/>
            <w:tcBorders>
              <w:bottom w:val="single" w:sz="8" w:color="auto"/>
            </w:tcBorders>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44,728</w:t>
            </w:r>
          </w:p>
        </w:tc>
        <w:tc>
          <w:tcPr>
            <w:tcW w:w="80" w:type="dxa"/>
            <w:vAlign w:val="bottom"/>
            <w:tcBorders>
              <w:bottom w:val="single" w:sz="8" w:color="D2DCE5"/>
            </w:tcBorders>
            <w:shd w:val="clear" w:color="auto" w:fill="D2DCE5"/>
          </w:tcPr>
          <w:p>
            <w:pPr>
              <w:spacing w:after="0"/>
              <w:rPr>
                <w:sz w:val="19"/>
                <w:szCs w:val="19"/>
                <w:color w:val="auto"/>
              </w:rPr>
            </w:pPr>
          </w:p>
        </w:tc>
        <w:tc>
          <w:tcPr>
            <w:tcW w:w="300" w:type="dxa"/>
            <w:vAlign w:val="bottom"/>
            <w:tcBorders>
              <w:bottom w:val="single" w:sz="8" w:color="auto"/>
            </w:tcBorders>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25,217</w:t>
            </w:r>
          </w:p>
        </w:tc>
        <w:tc>
          <w:tcPr>
            <w:tcW w:w="80" w:type="dxa"/>
            <w:vAlign w:val="bottom"/>
            <w:tcBorders>
              <w:bottom w:val="single" w:sz="8" w:color="auto"/>
            </w:tcBorders>
            <w:shd w:val="clear" w:color="auto" w:fill="D2DCE5"/>
          </w:tcPr>
          <w:p>
            <w:pPr>
              <w:spacing w:after="0"/>
              <w:rPr>
                <w:sz w:val="19"/>
                <w:szCs w:val="19"/>
                <w:color w:val="auto"/>
              </w:rPr>
            </w:pPr>
          </w:p>
        </w:tc>
        <w:tc>
          <w:tcPr>
            <w:tcW w:w="320" w:type="dxa"/>
            <w:vAlign w:val="bottom"/>
            <w:tcBorders>
              <w:bottom w:val="single" w:sz="8" w:color="auto"/>
            </w:tcBorders>
            <w:shd w:val="clear" w:color="auto" w:fill="D2DCE5"/>
          </w:tcPr>
          <w:p>
            <w:pPr>
              <w:jc w:val="right"/>
              <w:ind w:right="149"/>
              <w:spacing w:after="0"/>
              <w:rPr>
                <w:sz w:val="20"/>
                <w:szCs w:val="20"/>
                <w:color w:val="auto"/>
              </w:rPr>
            </w:pPr>
            <w:r>
              <w:rPr>
                <w:rFonts w:ascii="Arial" w:cs="Arial" w:eastAsia="Arial" w:hAnsi="Arial"/>
                <w:sz w:val="14"/>
                <w:szCs w:val="14"/>
                <w:color w:val="131E29"/>
              </w:rPr>
              <w:t>$</w:t>
            </w:r>
          </w:p>
        </w:tc>
        <w:tc>
          <w:tcPr>
            <w:tcW w:w="10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15,537</w:t>
            </w:r>
          </w:p>
        </w:tc>
        <w:tc>
          <w:tcPr>
            <w:tcW w:w="0" w:type="dxa"/>
            <w:vAlign w:val="bottom"/>
          </w:tcPr>
          <w:p>
            <w:pPr>
              <w:spacing w:after="0"/>
              <w:rPr>
                <w:sz w:val="1"/>
                <w:szCs w:val="1"/>
                <w:color w:val="auto"/>
              </w:rPr>
            </w:pPr>
          </w:p>
        </w:tc>
      </w:tr>
      <w:tr>
        <w:trPr>
          <w:trHeight w:val="20"/>
        </w:trPr>
        <w:tc>
          <w:tcPr>
            <w:tcW w:w="7160" w:type="dxa"/>
            <w:vAlign w:val="bottom"/>
            <w:tcBorders>
              <w:top w:val="single" w:sz="8" w:color="D2DCE5"/>
              <w:bottom w:val="single" w:sz="8" w:color="D2DCE5"/>
            </w:tcBorders>
            <w:gridSpan w:val="2"/>
            <w:vMerge w:val="restart"/>
          </w:tcPr>
          <w:p>
            <w:pPr>
              <w:ind w:left="20"/>
              <w:spacing w:after="0"/>
              <w:rPr>
                <w:sz w:val="20"/>
                <w:szCs w:val="20"/>
                <w:color w:val="auto"/>
              </w:rPr>
            </w:pPr>
            <w:r>
              <w:rPr>
                <w:rFonts w:ascii="Arial" w:cs="Arial" w:eastAsia="Arial" w:hAnsi="Arial"/>
                <w:sz w:val="14"/>
                <w:szCs w:val="14"/>
                <w:color w:val="131E29"/>
              </w:rPr>
              <w:t>Segment contribution:</w:t>
            </w: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bottom w:val="single" w:sz="8" w:color="auto"/>
            </w:tcBorders>
          </w:tcPr>
          <w:p>
            <w:pPr>
              <w:spacing w:after="0" w:line="20" w:lineRule="exact"/>
              <w:rPr>
                <w:sz w:val="1"/>
                <w:szCs w:val="1"/>
                <w:color w:val="auto"/>
              </w:rPr>
            </w:pPr>
          </w:p>
        </w:tc>
        <w:tc>
          <w:tcPr>
            <w:tcW w:w="320" w:type="dxa"/>
            <w:vAlign w:val="bottom"/>
            <w:tcBorders>
              <w:top w:val="single" w:sz="8" w:color="D2DCE5"/>
              <w:bottom w:val="single" w:sz="8" w:color="auto"/>
            </w:tcBorders>
          </w:tcPr>
          <w:p>
            <w:pPr>
              <w:spacing w:after="0" w:line="20" w:lineRule="exact"/>
              <w:rPr>
                <w:sz w:val="1"/>
                <w:szCs w:val="1"/>
                <w:color w:val="auto"/>
              </w:rPr>
            </w:pPr>
          </w:p>
        </w:tc>
        <w:tc>
          <w:tcPr>
            <w:tcW w:w="100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16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7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16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Company-operated shops</w:t>
            </w:r>
          </w:p>
        </w:tc>
        <w:tc>
          <w:tcPr>
            <w:tcW w:w="300" w:type="dxa"/>
            <w:vAlign w:val="bottom"/>
            <w:tcBorders>
              <w:bottom w:val="single" w:sz="8" w:color="D2DCE5"/>
            </w:tcBorders>
            <w:shd w:val="clear" w:color="auto" w:fill="D2DCE5"/>
          </w:tcPr>
          <w:p>
            <w:pPr>
              <w:spacing w:after="0"/>
              <w:rPr>
                <w:sz w:val="16"/>
                <w:szCs w:val="16"/>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157,633</w:t>
            </w: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102,992</w:t>
            </w:r>
          </w:p>
        </w:tc>
        <w:tc>
          <w:tcPr>
            <w:tcW w:w="80" w:type="dxa"/>
            <w:vAlign w:val="bottom"/>
            <w:tcBorders>
              <w:bottom w:val="single" w:sz="8" w:color="D2DCE5"/>
            </w:tcBorders>
            <w:shd w:val="clear" w:color="auto" w:fill="D2DCE5"/>
          </w:tcPr>
          <w:p>
            <w:pPr>
              <w:spacing w:after="0"/>
              <w:rPr>
                <w:sz w:val="16"/>
                <w:szCs w:val="16"/>
                <w:color w:val="auto"/>
              </w:rPr>
            </w:pPr>
          </w:p>
        </w:tc>
        <w:tc>
          <w:tcPr>
            <w:tcW w:w="320" w:type="dxa"/>
            <w:vAlign w:val="bottom"/>
            <w:tcBorders>
              <w:bottom w:val="single" w:sz="8" w:color="D2DCE5"/>
            </w:tcBorders>
            <w:shd w:val="clear" w:color="auto" w:fill="D2DCE5"/>
          </w:tcPr>
          <w:p>
            <w:pPr>
              <w:spacing w:after="0"/>
              <w:rPr>
                <w:sz w:val="16"/>
                <w:szCs w:val="16"/>
                <w:color w:val="auto"/>
              </w:rPr>
            </w:pPr>
          </w:p>
        </w:tc>
        <w:tc>
          <w:tcPr>
            <w:tcW w:w="10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70,283</w:t>
            </w:r>
          </w:p>
        </w:tc>
        <w:tc>
          <w:tcPr>
            <w:tcW w:w="0" w:type="dxa"/>
            <w:vAlign w:val="bottom"/>
          </w:tcPr>
          <w:p>
            <w:pPr>
              <w:spacing w:after="0"/>
              <w:rPr>
                <w:sz w:val="1"/>
                <w:szCs w:val="1"/>
                <w:color w:val="auto"/>
              </w:rPr>
            </w:pPr>
          </w:p>
        </w:tc>
      </w:tr>
      <w:tr>
        <w:trPr>
          <w:trHeight w:val="191"/>
        </w:trPr>
        <w:tc>
          <w:tcPr>
            <w:tcW w:w="7160" w:type="dxa"/>
            <w:vAlign w:val="bottom"/>
            <w:gridSpan w:val="2"/>
          </w:tcPr>
          <w:p>
            <w:pPr>
              <w:ind w:left="140"/>
              <w:spacing w:after="0"/>
              <w:rPr>
                <w:sz w:val="20"/>
                <w:szCs w:val="20"/>
                <w:color w:val="auto"/>
              </w:rPr>
            </w:pPr>
            <w:r>
              <w:rPr>
                <w:rFonts w:ascii="Arial" w:cs="Arial" w:eastAsia="Arial" w:hAnsi="Arial"/>
                <w:sz w:val="14"/>
                <w:szCs w:val="14"/>
                <w:color w:val="131E29"/>
              </w:rPr>
              <w:t>Franchising and other</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65,295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72,865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131E29"/>
              </w:rPr>
              <w:t>59,738</w:t>
            </w:r>
          </w:p>
        </w:tc>
        <w:tc>
          <w:tcPr>
            <w:tcW w:w="0" w:type="dxa"/>
            <w:vAlign w:val="bottom"/>
          </w:tcPr>
          <w:p>
            <w:pPr>
              <w:spacing w:after="0"/>
              <w:rPr>
                <w:sz w:val="1"/>
                <w:szCs w:val="1"/>
                <w:color w:val="auto"/>
              </w:rPr>
            </w:pPr>
          </w:p>
        </w:tc>
      </w:tr>
      <w:tr>
        <w:trPr>
          <w:trHeight w:val="22"/>
        </w:trPr>
        <w:tc>
          <w:tcPr>
            <w:tcW w:w="708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7160" w:type="dxa"/>
            <w:vAlign w:val="bottom"/>
            <w:tcBorders>
              <w:bottom w:val="single" w:sz="8" w:color="D2DCE5"/>
            </w:tcBorders>
            <w:gridSpan w:val="2"/>
            <w:shd w:val="clear" w:color="auto" w:fill="D2DCE5"/>
          </w:tcPr>
          <w:p>
            <w:pPr>
              <w:ind w:left="280"/>
              <w:spacing w:after="0"/>
              <w:rPr>
                <w:sz w:val="20"/>
                <w:szCs w:val="20"/>
                <w:color w:val="auto"/>
              </w:rPr>
            </w:pPr>
            <w:r>
              <w:rPr>
                <w:rFonts w:ascii="Arial" w:cs="Arial" w:eastAsia="Arial" w:hAnsi="Arial"/>
                <w:sz w:val="14"/>
                <w:szCs w:val="14"/>
                <w:color w:val="131E29"/>
              </w:rPr>
              <w:t>Total segment contribution</w:t>
            </w:r>
          </w:p>
        </w:tc>
        <w:tc>
          <w:tcPr>
            <w:tcW w:w="300" w:type="dxa"/>
            <w:vAlign w:val="bottom"/>
            <w:tcBorders>
              <w:bottom w:val="single" w:sz="8" w:color="auto"/>
            </w:tcBorders>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222,928</w:t>
            </w:r>
          </w:p>
        </w:tc>
        <w:tc>
          <w:tcPr>
            <w:tcW w:w="80" w:type="dxa"/>
            <w:vAlign w:val="bottom"/>
            <w:tcBorders>
              <w:bottom w:val="single" w:sz="8" w:color="D2DCE5"/>
            </w:tcBorders>
            <w:shd w:val="clear" w:color="auto" w:fill="D2DCE5"/>
          </w:tcPr>
          <w:p>
            <w:pPr>
              <w:spacing w:after="0"/>
              <w:rPr>
                <w:sz w:val="19"/>
                <w:szCs w:val="19"/>
                <w:color w:val="auto"/>
              </w:rPr>
            </w:pPr>
          </w:p>
        </w:tc>
        <w:tc>
          <w:tcPr>
            <w:tcW w:w="300" w:type="dxa"/>
            <w:vAlign w:val="bottom"/>
            <w:tcBorders>
              <w:bottom w:val="single" w:sz="8" w:color="auto"/>
            </w:tcBorders>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175,857</w:t>
            </w:r>
          </w:p>
        </w:tc>
        <w:tc>
          <w:tcPr>
            <w:tcW w:w="80" w:type="dxa"/>
            <w:vAlign w:val="bottom"/>
            <w:tcBorders>
              <w:bottom w:val="single" w:sz="8" w:color="D2DCE5"/>
            </w:tcBorders>
            <w:shd w:val="clear" w:color="auto" w:fill="D2DCE5"/>
          </w:tcPr>
          <w:p>
            <w:pPr>
              <w:spacing w:after="0"/>
              <w:rPr>
                <w:sz w:val="19"/>
                <w:szCs w:val="19"/>
                <w:color w:val="auto"/>
              </w:rPr>
            </w:pPr>
          </w:p>
        </w:tc>
        <w:tc>
          <w:tcPr>
            <w:tcW w:w="320" w:type="dxa"/>
            <w:vAlign w:val="bottom"/>
            <w:tcBorders>
              <w:bottom w:val="single" w:sz="8" w:color="auto"/>
            </w:tcBorders>
            <w:shd w:val="clear" w:color="auto" w:fill="D2DCE5"/>
          </w:tcPr>
          <w:p>
            <w:pPr>
              <w:jc w:val="right"/>
              <w:ind w:right="149"/>
              <w:spacing w:after="0"/>
              <w:rPr>
                <w:sz w:val="20"/>
                <w:szCs w:val="20"/>
                <w:color w:val="auto"/>
              </w:rPr>
            </w:pPr>
            <w:r>
              <w:rPr>
                <w:rFonts w:ascii="Arial" w:cs="Arial" w:eastAsia="Arial" w:hAnsi="Arial"/>
                <w:sz w:val="14"/>
                <w:szCs w:val="14"/>
                <w:color w:val="131E29"/>
              </w:rPr>
              <w:t>$</w:t>
            </w:r>
          </w:p>
        </w:tc>
        <w:tc>
          <w:tcPr>
            <w:tcW w:w="10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130,021</w:t>
            </w:r>
          </w:p>
        </w:tc>
        <w:tc>
          <w:tcPr>
            <w:tcW w:w="0" w:type="dxa"/>
            <w:vAlign w:val="bottom"/>
          </w:tcPr>
          <w:p>
            <w:pPr>
              <w:spacing w:after="0"/>
              <w:rPr>
                <w:sz w:val="1"/>
                <w:szCs w:val="1"/>
                <w:color w:val="auto"/>
              </w:rPr>
            </w:pPr>
          </w:p>
        </w:tc>
      </w:tr>
      <w:tr>
        <w:trPr>
          <w:trHeight w:val="20"/>
        </w:trPr>
        <w:tc>
          <w:tcPr>
            <w:tcW w:w="708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20" w:type="dxa"/>
            <w:vAlign w:val="bottom"/>
            <w:tcBorders>
              <w:top w:val="single" w:sz="8" w:color="D2DCE5"/>
              <w:bottom w:val="single" w:sz="8" w:color="auto"/>
            </w:tcBorders>
          </w:tcPr>
          <w:p>
            <w:pPr>
              <w:spacing w:after="0" w:line="20" w:lineRule="exact"/>
              <w:rPr>
                <w:sz w:val="1"/>
                <w:szCs w:val="1"/>
                <w:color w:val="auto"/>
              </w:rPr>
            </w:pPr>
          </w:p>
        </w:tc>
        <w:tc>
          <w:tcPr>
            <w:tcW w:w="100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160" w:type="dxa"/>
            <w:vAlign w:val="bottom"/>
            <w:gridSpan w:val="2"/>
          </w:tcPr>
          <w:p>
            <w:pPr>
              <w:ind w:left="20"/>
              <w:spacing w:after="0" w:line="153" w:lineRule="exact"/>
              <w:rPr>
                <w:sz w:val="20"/>
                <w:szCs w:val="20"/>
                <w:color w:val="auto"/>
              </w:rPr>
            </w:pPr>
            <w:r>
              <w:rPr>
                <w:rFonts w:ascii="Arial" w:cs="Arial" w:eastAsia="Arial" w:hAnsi="Arial"/>
                <w:sz w:val="14"/>
                <w:szCs w:val="14"/>
                <w:color w:val="131E29"/>
              </w:rPr>
              <w:t>Selling, general and administrative</w:t>
            </w:r>
          </w:p>
        </w:tc>
        <w:tc>
          <w:tcPr>
            <w:tcW w:w="300" w:type="dxa"/>
            <w:vAlign w:val="bottom"/>
          </w:tcPr>
          <w:p>
            <w:pPr>
              <w:spacing w:after="0"/>
              <w:rPr>
                <w:sz w:val="13"/>
                <w:szCs w:val="13"/>
                <w:color w:val="auto"/>
              </w:rPr>
            </w:pPr>
          </w:p>
        </w:tc>
        <w:tc>
          <w:tcPr>
            <w:tcW w:w="1020" w:type="dxa"/>
            <w:vAlign w:val="bottom"/>
          </w:tcPr>
          <w:p>
            <w:pPr>
              <w:jc w:val="right"/>
              <w:spacing w:after="0" w:line="153" w:lineRule="exact"/>
              <w:rPr>
                <w:sz w:val="20"/>
                <w:szCs w:val="20"/>
                <w:color w:val="auto"/>
              </w:rPr>
            </w:pPr>
            <w:r>
              <w:rPr>
                <w:rFonts w:ascii="Arial" w:cs="Arial" w:eastAsia="Arial" w:hAnsi="Arial"/>
                <w:sz w:val="14"/>
                <w:szCs w:val="14"/>
                <w:color w:val="131E29"/>
              </w:rPr>
              <w:t>(183,528)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line="153" w:lineRule="exact"/>
              <w:rPr>
                <w:sz w:val="20"/>
                <w:szCs w:val="20"/>
                <w:color w:val="auto"/>
              </w:rPr>
            </w:pPr>
            <w:r>
              <w:rPr>
                <w:rFonts w:ascii="Arial" w:cs="Arial" w:eastAsia="Arial" w:hAnsi="Arial"/>
                <w:sz w:val="14"/>
                <w:szCs w:val="14"/>
                <w:color w:val="131E29"/>
              </w:rPr>
              <w:t>(264,529)</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line="153" w:lineRule="exact"/>
              <w:rPr>
                <w:sz w:val="20"/>
                <w:szCs w:val="20"/>
                <w:color w:val="auto"/>
              </w:rPr>
            </w:pPr>
            <w:r>
              <w:rPr>
                <w:rFonts w:ascii="Arial" w:cs="Arial" w:eastAsia="Arial" w:hAnsi="Arial"/>
                <w:sz w:val="14"/>
                <w:szCs w:val="14"/>
                <w:color w:val="131E29"/>
              </w:rPr>
              <w:t>(104,935)</w:t>
            </w:r>
          </w:p>
        </w:tc>
        <w:tc>
          <w:tcPr>
            <w:tcW w:w="0" w:type="dxa"/>
            <w:vAlign w:val="bottom"/>
          </w:tcPr>
          <w:p>
            <w:pPr>
              <w:spacing w:after="0"/>
              <w:rPr>
                <w:sz w:val="1"/>
                <w:szCs w:val="1"/>
                <w:color w:val="auto"/>
              </w:rPr>
            </w:pPr>
          </w:p>
        </w:tc>
      </w:tr>
      <w:tr>
        <w:trPr>
          <w:trHeight w:val="22"/>
        </w:trPr>
        <w:tc>
          <w:tcPr>
            <w:tcW w:w="7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1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Interest expense, net</w:t>
            </w:r>
          </w:p>
        </w:tc>
        <w:tc>
          <w:tcPr>
            <w:tcW w:w="300" w:type="dxa"/>
            <w:vAlign w:val="bottom"/>
            <w:tcBorders>
              <w:bottom w:val="single" w:sz="8" w:color="D2DCE5"/>
            </w:tcBorders>
            <w:shd w:val="clear" w:color="auto" w:fill="D2DCE5"/>
          </w:tcPr>
          <w:p>
            <w:pPr>
              <w:spacing w:after="0"/>
              <w:rPr>
                <w:sz w:val="16"/>
                <w:szCs w:val="16"/>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(18,018)</w:t>
            </w: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(7,093)</w:t>
            </w:r>
          </w:p>
        </w:tc>
        <w:tc>
          <w:tcPr>
            <w:tcW w:w="80" w:type="dxa"/>
            <w:vAlign w:val="bottom"/>
            <w:tcBorders>
              <w:bottom w:val="single" w:sz="8" w:color="D2DCE5"/>
            </w:tcBorders>
            <w:shd w:val="clear" w:color="auto" w:fill="D2DCE5"/>
          </w:tcPr>
          <w:p>
            <w:pPr>
              <w:spacing w:after="0"/>
              <w:rPr>
                <w:sz w:val="16"/>
                <w:szCs w:val="16"/>
                <w:color w:val="auto"/>
              </w:rPr>
            </w:pPr>
          </w:p>
        </w:tc>
        <w:tc>
          <w:tcPr>
            <w:tcW w:w="320" w:type="dxa"/>
            <w:vAlign w:val="bottom"/>
            <w:tcBorders>
              <w:bottom w:val="single" w:sz="8" w:color="D2DCE5"/>
            </w:tcBorders>
            <w:shd w:val="clear" w:color="auto" w:fill="D2DCE5"/>
          </w:tcPr>
          <w:p>
            <w:pPr>
              <w:spacing w:after="0"/>
              <w:rPr>
                <w:sz w:val="16"/>
                <w:szCs w:val="16"/>
                <w:color w:val="auto"/>
              </w:rPr>
            </w:pPr>
          </w:p>
        </w:tc>
        <w:tc>
          <w:tcPr>
            <w:tcW w:w="10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(3,736)</w:t>
            </w:r>
          </w:p>
        </w:tc>
        <w:tc>
          <w:tcPr>
            <w:tcW w:w="0" w:type="dxa"/>
            <w:vAlign w:val="bottom"/>
          </w:tcPr>
          <w:p>
            <w:pPr>
              <w:spacing w:after="0"/>
              <w:rPr>
                <w:sz w:val="1"/>
                <w:szCs w:val="1"/>
                <w:color w:val="auto"/>
              </w:rPr>
            </w:pPr>
          </w:p>
        </w:tc>
      </w:tr>
      <w:tr>
        <w:trPr>
          <w:trHeight w:val="191"/>
        </w:trPr>
        <w:tc>
          <w:tcPr>
            <w:tcW w:w="7160" w:type="dxa"/>
            <w:vAlign w:val="bottom"/>
            <w:gridSpan w:val="2"/>
          </w:tcPr>
          <w:p>
            <w:pPr>
              <w:ind w:left="20"/>
              <w:spacing w:after="0"/>
              <w:rPr>
                <w:sz w:val="20"/>
                <w:szCs w:val="20"/>
                <w:color w:val="auto"/>
              </w:rPr>
            </w:pPr>
            <w:r>
              <w:rPr>
                <w:rFonts w:ascii="Arial" w:cs="Arial" w:eastAsia="Arial" w:hAnsi="Arial"/>
                <w:sz w:val="14"/>
                <w:szCs w:val="14"/>
                <w:color w:val="131E29"/>
              </w:rPr>
              <w:t>Other income (expense)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3,976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(1,240)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131E29"/>
              </w:rPr>
              <w:t>(363)</w:t>
            </w:r>
          </w:p>
        </w:tc>
        <w:tc>
          <w:tcPr>
            <w:tcW w:w="0" w:type="dxa"/>
            <w:vAlign w:val="bottom"/>
          </w:tcPr>
          <w:p>
            <w:pPr>
              <w:spacing w:after="0"/>
              <w:rPr>
                <w:sz w:val="1"/>
                <w:szCs w:val="1"/>
                <w:color w:val="auto"/>
              </w:rPr>
            </w:pPr>
          </w:p>
        </w:tc>
      </w:tr>
      <w:tr>
        <w:trPr>
          <w:trHeight w:val="22"/>
        </w:trPr>
        <w:tc>
          <w:tcPr>
            <w:tcW w:w="708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71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INCOME (LOSS) BEFORE INCOME TAXES</w:t>
            </w:r>
          </w:p>
        </w:tc>
        <w:tc>
          <w:tcPr>
            <w:tcW w:w="300" w:type="dxa"/>
            <w:vAlign w:val="bottom"/>
            <w:tcBorders>
              <w:bottom w:val="single" w:sz="8" w:color="auto"/>
            </w:tcBorders>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(16,654)</w:t>
            </w:r>
          </w:p>
        </w:tc>
        <w:tc>
          <w:tcPr>
            <w:tcW w:w="80" w:type="dxa"/>
            <w:vAlign w:val="bottom"/>
            <w:tcBorders>
              <w:bottom w:val="single" w:sz="8" w:color="D2DCE5"/>
            </w:tcBorders>
            <w:shd w:val="clear" w:color="auto" w:fill="D2DCE5"/>
          </w:tcPr>
          <w:p>
            <w:pPr>
              <w:spacing w:after="0"/>
              <w:rPr>
                <w:sz w:val="19"/>
                <w:szCs w:val="19"/>
                <w:color w:val="auto"/>
              </w:rPr>
            </w:pPr>
          </w:p>
        </w:tc>
        <w:tc>
          <w:tcPr>
            <w:tcW w:w="300" w:type="dxa"/>
            <w:vAlign w:val="bottom"/>
            <w:tcBorders>
              <w:bottom w:val="single" w:sz="8" w:color="auto"/>
            </w:tcBorders>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(119,559)</w:t>
            </w:r>
          </w:p>
        </w:tc>
        <w:tc>
          <w:tcPr>
            <w:tcW w:w="80" w:type="dxa"/>
            <w:vAlign w:val="bottom"/>
            <w:tcBorders>
              <w:bottom w:val="single" w:sz="8" w:color="D2DCE5"/>
            </w:tcBorders>
            <w:shd w:val="clear" w:color="auto" w:fill="D2DCE5"/>
          </w:tcPr>
          <w:p>
            <w:pPr>
              <w:spacing w:after="0"/>
              <w:rPr>
                <w:sz w:val="19"/>
                <w:szCs w:val="19"/>
                <w:color w:val="auto"/>
              </w:rPr>
            </w:pPr>
          </w:p>
        </w:tc>
        <w:tc>
          <w:tcPr>
            <w:tcW w:w="320" w:type="dxa"/>
            <w:vAlign w:val="bottom"/>
            <w:tcBorders>
              <w:bottom w:val="single" w:sz="8" w:color="auto"/>
            </w:tcBorders>
            <w:shd w:val="clear" w:color="auto" w:fill="D2DCE5"/>
          </w:tcPr>
          <w:p>
            <w:pPr>
              <w:jc w:val="right"/>
              <w:ind w:right="149"/>
              <w:spacing w:after="0"/>
              <w:rPr>
                <w:sz w:val="20"/>
                <w:szCs w:val="20"/>
                <w:color w:val="auto"/>
              </w:rPr>
            </w:pPr>
            <w:r>
              <w:rPr>
                <w:rFonts w:ascii="Arial" w:cs="Arial" w:eastAsia="Arial" w:hAnsi="Arial"/>
                <w:sz w:val="14"/>
                <w:szCs w:val="14"/>
                <w:color w:val="131E29"/>
              </w:rPr>
              <w:t>$</w:t>
            </w:r>
          </w:p>
        </w:tc>
        <w:tc>
          <w:tcPr>
            <w:tcW w:w="10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6,901</w:t>
            </w:r>
          </w:p>
        </w:tc>
        <w:tc>
          <w:tcPr>
            <w:tcW w:w="0" w:type="dxa"/>
            <w:vAlign w:val="bottom"/>
          </w:tcPr>
          <w:p>
            <w:pPr>
              <w:spacing w:after="0"/>
              <w:rPr>
                <w:sz w:val="1"/>
                <w:szCs w:val="1"/>
                <w:color w:val="auto"/>
              </w:rPr>
            </w:pPr>
          </w:p>
        </w:tc>
      </w:tr>
      <w:tr>
        <w:trPr>
          <w:trHeight w:val="20"/>
        </w:trPr>
        <w:tc>
          <w:tcPr>
            <w:tcW w:w="708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20" w:type="dxa"/>
            <w:vAlign w:val="bottom"/>
            <w:tcBorders>
              <w:top w:val="single" w:sz="8" w:color="D2DCE5"/>
              <w:bottom w:val="single" w:sz="8" w:color="auto"/>
            </w:tcBorders>
          </w:tcPr>
          <w:p>
            <w:pPr>
              <w:spacing w:after="0" w:line="20" w:lineRule="exact"/>
              <w:rPr>
                <w:sz w:val="1"/>
                <w:szCs w:val="1"/>
                <w:color w:val="auto"/>
              </w:rPr>
            </w:pPr>
          </w:p>
        </w:tc>
        <w:tc>
          <w:tcPr>
            <w:tcW w:w="100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70" w:name="page71"/>
    <w:bookmarkEnd w:id="70"/>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0416B"/>
        </w:rPr>
        <w:t>Key Performance Indicators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131E29"/>
        </w:rPr>
        <w:t>The key performance indicators (KPIs) that we use to effectively manage and evaluate our business are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40" w:type="dxa"/>
            <w:vAlign w:val="bottom"/>
            <w:gridSpan w:val="10"/>
          </w:tcPr>
          <w:p>
            <w:pPr>
              <w:ind w:left="40"/>
              <w:spacing w:after="0"/>
              <w:rPr>
                <w:sz w:val="20"/>
                <w:szCs w:val="20"/>
                <w:color w:val="auto"/>
              </w:rPr>
            </w:pPr>
            <w:r>
              <w:rPr>
                <w:rFonts w:ascii="Arial" w:cs="Arial" w:eastAsia="Arial" w:hAnsi="Arial"/>
                <w:sz w:val="14"/>
                <w:szCs w:val="14"/>
                <w:b w:val="1"/>
                <w:bCs w:val="1"/>
                <w:color w:val="131E29"/>
              </w:rPr>
              <w:t>Year Ended December 31,</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552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131E29"/>
              </w:rPr>
              <w:t>(in thousands, except shop count data; unaudited)</w:t>
            </w: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D2DCE5"/>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389"/>
              <w:spacing w:after="0"/>
              <w:rPr>
                <w:sz w:val="20"/>
                <w:szCs w:val="20"/>
                <w:color w:val="auto"/>
              </w:rPr>
            </w:pPr>
            <w:r>
              <w:rPr>
                <w:rFonts w:ascii="Arial" w:cs="Arial" w:eastAsia="Arial" w:hAnsi="Arial"/>
                <w:sz w:val="14"/>
                <w:szCs w:val="14"/>
                <w:b w:val="1"/>
                <w:bCs w:val="1"/>
                <w:color w:val="131E29"/>
              </w:rPr>
              <w:t>2022</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D2DCE5"/>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131E29"/>
              </w:rPr>
              <w:t>2021</w:t>
            </w: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D2DCE5"/>
            </w:tcBorders>
          </w:tcPr>
          <w:p>
            <w:pPr>
              <w:spacing w:after="0"/>
              <w:rPr>
                <w:sz w:val="16"/>
                <w:szCs w:val="16"/>
                <w:color w:val="auto"/>
              </w:rPr>
            </w:pPr>
          </w:p>
        </w:tc>
        <w:tc>
          <w:tcPr>
            <w:tcW w:w="1400" w:type="dxa"/>
            <w:vAlign w:val="bottom"/>
            <w:tcBorders>
              <w:bottom w:val="single" w:sz="8" w:color="131E29"/>
            </w:tcBorders>
            <w:gridSpan w:val="3"/>
          </w:tcPr>
          <w:p>
            <w:pPr>
              <w:jc w:val="right"/>
              <w:ind w:right="469"/>
              <w:spacing w:after="0"/>
              <w:rPr>
                <w:sz w:val="20"/>
                <w:szCs w:val="20"/>
                <w:color w:val="auto"/>
              </w:rPr>
            </w:pPr>
            <w:r>
              <w:rPr>
                <w:rFonts w:ascii="Arial" w:cs="Arial" w:eastAsia="Arial" w:hAnsi="Arial"/>
                <w:sz w:val="14"/>
                <w:szCs w:val="14"/>
                <w:b w:val="1"/>
                <w:bCs w:val="1"/>
                <w:color w:val="131E29"/>
              </w:rPr>
              <w:t>2020</w:t>
            </w:r>
          </w:p>
        </w:tc>
        <w:tc>
          <w:tcPr>
            <w:tcW w:w="0" w:type="dxa"/>
            <w:vAlign w:val="bottom"/>
          </w:tcPr>
          <w:p>
            <w:pPr>
              <w:spacing w:after="0"/>
              <w:rPr>
                <w:sz w:val="1"/>
                <w:szCs w:val="1"/>
                <w:color w:val="auto"/>
              </w:rPr>
            </w:pPr>
          </w:p>
        </w:tc>
      </w:tr>
      <w:tr>
        <w:trPr>
          <w:trHeight w:val="192"/>
        </w:trPr>
        <w:tc>
          <w:tcPr>
            <w:tcW w:w="55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Shop count, beginning of period</w:t>
            </w:r>
          </w:p>
        </w:tc>
        <w:tc>
          <w:tcPr>
            <w:tcW w:w="104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50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76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120" w:type="dxa"/>
            <w:vAlign w:val="bottom"/>
            <w:tcBorders>
              <w:bottom w:val="single" w:sz="8" w:color="D2DCE5"/>
            </w:tcBorders>
            <w:shd w:val="clear" w:color="auto" w:fill="D2DCE5"/>
          </w:tcPr>
          <w:p>
            <w:pPr>
              <w:spacing w:after="0"/>
              <w:rPr>
                <w:sz w:val="16"/>
                <w:szCs w:val="16"/>
                <w:color w:val="auto"/>
              </w:rPr>
            </w:pPr>
          </w:p>
        </w:tc>
        <w:tc>
          <w:tcPr>
            <w:tcW w:w="16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72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380" w:type="dxa"/>
            <w:vAlign w:val="bottom"/>
            <w:tcBorders>
              <w:bottom w:val="single" w:sz="8" w:color="D2DCE5"/>
            </w:tcBorders>
            <w:shd w:val="clear" w:color="auto" w:fill="D2DCE5"/>
          </w:tcPr>
          <w:p>
            <w:pPr>
              <w:spacing w:after="0"/>
              <w:rPr>
                <w:sz w:val="16"/>
                <w:szCs w:val="16"/>
                <w:color w:val="auto"/>
              </w:rPr>
            </w:pPr>
          </w:p>
        </w:tc>
        <w:tc>
          <w:tcPr>
            <w:tcW w:w="120" w:type="dxa"/>
            <w:vAlign w:val="bottom"/>
            <w:tcBorders>
              <w:bottom w:val="single" w:sz="8" w:color="D2DCE5"/>
            </w:tcBorders>
            <w:shd w:val="clear" w:color="auto" w:fill="D2DCE5"/>
          </w:tcPr>
          <w:p>
            <w:pPr>
              <w:spacing w:after="0"/>
              <w:rPr>
                <w:sz w:val="16"/>
                <w:szCs w:val="16"/>
                <w:color w:val="auto"/>
              </w:rPr>
            </w:pPr>
          </w:p>
        </w:tc>
        <w:tc>
          <w:tcPr>
            <w:tcW w:w="62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700" w:type="dxa"/>
            <w:vAlign w:val="bottom"/>
            <w:tcBorders>
              <w:bottom w:val="single" w:sz="8" w:color="D2DCE5"/>
            </w:tcBorders>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20" w:type="dxa"/>
            <w:vAlign w:val="bottom"/>
            <w:gridSpan w:val="2"/>
          </w:tcPr>
          <w:p>
            <w:pPr>
              <w:ind w:left="140"/>
              <w:spacing w:after="0"/>
              <w:rPr>
                <w:sz w:val="20"/>
                <w:szCs w:val="20"/>
                <w:color w:val="auto"/>
              </w:rPr>
            </w:pPr>
            <w:r>
              <w:rPr>
                <w:rFonts w:ascii="Arial" w:cs="Arial" w:eastAsia="Arial" w:hAnsi="Arial"/>
                <w:sz w:val="14"/>
                <w:szCs w:val="14"/>
                <w:color w:val="131E29"/>
              </w:rPr>
              <w:t>Company-operated</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131E29"/>
              </w:rPr>
              <w:t>271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4"/>
                <w:szCs w:val="14"/>
                <w:color w:val="131E29"/>
              </w:rPr>
              <w:t>182</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131E29"/>
              </w:rPr>
              <w:t>118</w:t>
            </w:r>
          </w:p>
        </w:tc>
        <w:tc>
          <w:tcPr>
            <w:tcW w:w="0" w:type="dxa"/>
            <w:vAlign w:val="bottom"/>
          </w:tcPr>
          <w:p>
            <w:pPr>
              <w:spacing w:after="0"/>
              <w:rPr>
                <w:sz w:val="1"/>
                <w:szCs w:val="1"/>
                <w:color w:val="auto"/>
              </w:rPr>
            </w:pPr>
          </w:p>
        </w:tc>
      </w:tr>
      <w:tr>
        <w:trPr>
          <w:trHeight w:val="22"/>
        </w:trPr>
        <w:tc>
          <w:tcPr>
            <w:tcW w:w="5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52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Franchised</w:t>
            </w:r>
          </w:p>
        </w:tc>
        <w:tc>
          <w:tcPr>
            <w:tcW w:w="1040" w:type="dxa"/>
            <w:vAlign w:val="bottom"/>
            <w:tcBorders>
              <w:bottom w:val="single" w:sz="8" w:color="D2DCE5"/>
            </w:tcBorders>
            <w:shd w:val="clear" w:color="auto" w:fill="D2DCE5"/>
          </w:tcPr>
          <w:p>
            <w:pPr>
              <w:spacing w:after="0"/>
              <w:rPr>
                <w:sz w:val="18"/>
                <w:szCs w:val="18"/>
                <w:color w:val="auto"/>
              </w:rPr>
            </w:pPr>
          </w:p>
        </w:tc>
        <w:tc>
          <w:tcPr>
            <w:tcW w:w="80" w:type="dxa"/>
            <w:vAlign w:val="bottom"/>
            <w:tcBorders>
              <w:bottom w:val="single" w:sz="8" w:color="D2DCE5"/>
            </w:tcBorders>
            <w:shd w:val="clear" w:color="auto" w:fill="D2DCE5"/>
          </w:tcPr>
          <w:p>
            <w:pPr>
              <w:spacing w:after="0"/>
              <w:rPr>
                <w:sz w:val="18"/>
                <w:szCs w:val="18"/>
                <w:color w:val="auto"/>
              </w:rPr>
            </w:pPr>
          </w:p>
        </w:tc>
        <w:tc>
          <w:tcPr>
            <w:tcW w:w="80" w:type="dxa"/>
            <w:vAlign w:val="bottom"/>
            <w:tcBorders>
              <w:bottom w:val="single" w:sz="8" w:color="D2DCE5"/>
            </w:tcBorders>
            <w:shd w:val="clear" w:color="auto" w:fill="D2DCE5"/>
          </w:tcPr>
          <w:p>
            <w:pPr>
              <w:spacing w:after="0"/>
              <w:rPr>
                <w:sz w:val="18"/>
                <w:szCs w:val="18"/>
                <w:color w:val="auto"/>
              </w:rPr>
            </w:pPr>
          </w:p>
        </w:tc>
        <w:tc>
          <w:tcPr>
            <w:tcW w:w="80" w:type="dxa"/>
            <w:vAlign w:val="bottom"/>
            <w:tcBorders>
              <w:bottom w:val="single" w:sz="8" w:color="D2DCE5"/>
            </w:tcBorders>
            <w:shd w:val="clear" w:color="auto" w:fill="D2DCE5"/>
          </w:tcPr>
          <w:p>
            <w:pPr>
              <w:spacing w:after="0"/>
              <w:rPr>
                <w:sz w:val="18"/>
                <w:szCs w:val="18"/>
                <w:color w:val="auto"/>
              </w:rPr>
            </w:pPr>
          </w:p>
        </w:tc>
        <w:tc>
          <w:tcPr>
            <w:tcW w:w="500" w:type="dxa"/>
            <w:vAlign w:val="bottom"/>
            <w:tcBorders>
              <w:bottom w:val="single" w:sz="8" w:color="D2DCE5"/>
            </w:tcBorders>
            <w:shd w:val="clear" w:color="auto" w:fill="D2DCE5"/>
          </w:tcPr>
          <w:p>
            <w:pPr>
              <w:spacing w:after="0"/>
              <w:rPr>
                <w:sz w:val="18"/>
                <w:szCs w:val="18"/>
                <w:color w:val="auto"/>
              </w:rPr>
            </w:pPr>
          </w:p>
        </w:tc>
        <w:tc>
          <w:tcPr>
            <w:tcW w:w="84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4"/>
                <w:szCs w:val="14"/>
                <w:color w:val="131E29"/>
              </w:rPr>
              <w:t>267</w:t>
            </w:r>
          </w:p>
        </w:tc>
        <w:tc>
          <w:tcPr>
            <w:tcW w:w="80" w:type="dxa"/>
            <w:vAlign w:val="bottom"/>
            <w:tcBorders>
              <w:bottom w:val="single" w:sz="8" w:color="D2DCE5"/>
            </w:tcBorders>
            <w:shd w:val="clear" w:color="auto" w:fill="D2DCE5"/>
          </w:tcPr>
          <w:p>
            <w:pPr>
              <w:spacing w:after="0"/>
              <w:rPr>
                <w:sz w:val="18"/>
                <w:szCs w:val="18"/>
                <w:color w:val="auto"/>
              </w:rPr>
            </w:pPr>
          </w:p>
        </w:tc>
        <w:tc>
          <w:tcPr>
            <w:tcW w:w="120" w:type="dxa"/>
            <w:vAlign w:val="bottom"/>
            <w:tcBorders>
              <w:bottom w:val="single" w:sz="8" w:color="D2DCE5"/>
            </w:tcBorders>
            <w:shd w:val="clear" w:color="auto" w:fill="D2DCE5"/>
          </w:tcPr>
          <w:p>
            <w:pPr>
              <w:spacing w:after="0"/>
              <w:rPr>
                <w:sz w:val="18"/>
                <w:szCs w:val="18"/>
                <w:color w:val="auto"/>
              </w:rPr>
            </w:pPr>
          </w:p>
        </w:tc>
        <w:tc>
          <w:tcPr>
            <w:tcW w:w="160" w:type="dxa"/>
            <w:vAlign w:val="bottom"/>
            <w:tcBorders>
              <w:bottom w:val="single" w:sz="8" w:color="D2DCE5"/>
            </w:tcBorders>
            <w:shd w:val="clear" w:color="auto" w:fill="D2DCE5"/>
          </w:tcPr>
          <w:p>
            <w:pPr>
              <w:spacing w:after="0"/>
              <w:rPr>
                <w:sz w:val="18"/>
                <w:szCs w:val="18"/>
                <w:color w:val="auto"/>
              </w:rPr>
            </w:pPr>
          </w:p>
        </w:tc>
        <w:tc>
          <w:tcPr>
            <w:tcW w:w="80" w:type="dxa"/>
            <w:vAlign w:val="bottom"/>
            <w:tcBorders>
              <w:bottom w:val="single" w:sz="8" w:color="D2DCE5"/>
            </w:tcBorders>
            <w:shd w:val="clear" w:color="auto" w:fill="D2DCE5"/>
          </w:tcPr>
          <w:p>
            <w:pPr>
              <w:spacing w:after="0"/>
              <w:rPr>
                <w:sz w:val="18"/>
                <w:szCs w:val="18"/>
                <w:color w:val="auto"/>
              </w:rPr>
            </w:pPr>
          </w:p>
        </w:tc>
        <w:tc>
          <w:tcPr>
            <w:tcW w:w="1180" w:type="dxa"/>
            <w:vAlign w:val="bottom"/>
            <w:tcBorders>
              <w:bottom w:val="single" w:sz="8" w:color="D2DCE5"/>
            </w:tcBorders>
            <w:gridSpan w:val="3"/>
            <w:shd w:val="clear" w:color="auto" w:fill="D2DCE5"/>
          </w:tcPr>
          <w:p>
            <w:pPr>
              <w:jc w:val="right"/>
              <w:ind w:right="100"/>
              <w:spacing w:after="0"/>
              <w:rPr>
                <w:sz w:val="20"/>
                <w:szCs w:val="20"/>
                <w:color w:val="auto"/>
              </w:rPr>
            </w:pPr>
            <w:r>
              <w:rPr>
                <w:rFonts w:ascii="Arial" w:cs="Arial" w:eastAsia="Arial" w:hAnsi="Arial"/>
                <w:sz w:val="14"/>
                <w:szCs w:val="14"/>
                <w:color w:val="131E29"/>
              </w:rPr>
              <w:t>259</w:t>
            </w:r>
          </w:p>
        </w:tc>
        <w:tc>
          <w:tcPr>
            <w:tcW w:w="120" w:type="dxa"/>
            <w:vAlign w:val="bottom"/>
            <w:tcBorders>
              <w:bottom w:val="single" w:sz="8" w:color="D2DCE5"/>
            </w:tcBorders>
            <w:shd w:val="clear" w:color="auto" w:fill="D2DCE5"/>
          </w:tcPr>
          <w:p>
            <w:pPr>
              <w:spacing w:after="0"/>
              <w:rPr>
                <w:sz w:val="18"/>
                <w:szCs w:val="18"/>
                <w:color w:val="auto"/>
              </w:rPr>
            </w:pPr>
          </w:p>
        </w:tc>
        <w:tc>
          <w:tcPr>
            <w:tcW w:w="620" w:type="dxa"/>
            <w:vAlign w:val="bottom"/>
            <w:tcBorders>
              <w:bottom w:val="single" w:sz="8" w:color="D2DCE5"/>
            </w:tcBorders>
            <w:shd w:val="clear" w:color="auto" w:fill="D2DCE5"/>
          </w:tcPr>
          <w:p>
            <w:pPr>
              <w:spacing w:after="0"/>
              <w:rPr>
                <w:sz w:val="18"/>
                <w:szCs w:val="18"/>
                <w:color w:val="auto"/>
              </w:rPr>
            </w:pPr>
          </w:p>
        </w:tc>
        <w:tc>
          <w:tcPr>
            <w:tcW w:w="80" w:type="dxa"/>
            <w:vAlign w:val="bottom"/>
            <w:tcBorders>
              <w:bottom w:val="single" w:sz="8" w:color="D2DCE5"/>
            </w:tcBorders>
            <w:shd w:val="clear" w:color="auto" w:fill="D2DCE5"/>
          </w:tcPr>
          <w:p>
            <w:pPr>
              <w:spacing w:after="0"/>
              <w:rPr>
                <w:sz w:val="18"/>
                <w:szCs w:val="18"/>
                <w:color w:val="auto"/>
              </w:rPr>
            </w:pPr>
          </w:p>
        </w:tc>
        <w:tc>
          <w:tcPr>
            <w:tcW w:w="700" w:type="dxa"/>
            <w:vAlign w:val="bottom"/>
            <w:tcBorders>
              <w:bottom w:val="single" w:sz="8" w:color="D2DCE5"/>
            </w:tcBorders>
            <w:shd w:val="clear" w:color="auto" w:fill="D2DCE5"/>
          </w:tcPr>
          <w:p>
            <w:pPr>
              <w:jc w:val="right"/>
              <w:ind w:right="29"/>
              <w:spacing w:after="0"/>
              <w:rPr>
                <w:sz w:val="20"/>
                <w:szCs w:val="20"/>
                <w:color w:val="auto"/>
              </w:rPr>
            </w:pPr>
            <w:r>
              <w:rPr>
                <w:rFonts w:ascii="Arial" w:cs="Arial" w:eastAsia="Arial" w:hAnsi="Arial"/>
                <w:sz w:val="14"/>
                <w:szCs w:val="14"/>
                <w:color w:val="131E29"/>
              </w:rPr>
              <w:t>252</w:t>
            </w:r>
          </w:p>
        </w:tc>
        <w:tc>
          <w:tcPr>
            <w:tcW w:w="0" w:type="dxa"/>
            <w:vAlign w:val="bottom"/>
          </w:tcPr>
          <w:p>
            <w:pPr>
              <w:spacing w:after="0"/>
              <w:rPr>
                <w:sz w:val="1"/>
                <w:szCs w:val="1"/>
                <w:color w:val="auto"/>
              </w:rPr>
            </w:pPr>
          </w:p>
        </w:tc>
      </w:tr>
      <w:tr>
        <w:trPr>
          <w:trHeight w:val="203"/>
        </w:trPr>
        <w:tc>
          <w:tcPr>
            <w:tcW w:w="5520" w:type="dxa"/>
            <w:vAlign w:val="bottom"/>
            <w:gridSpan w:val="2"/>
          </w:tcPr>
          <w:p>
            <w:pPr>
              <w:ind w:left="400"/>
              <w:spacing w:after="0"/>
              <w:rPr>
                <w:sz w:val="20"/>
                <w:szCs w:val="20"/>
                <w:color w:val="auto"/>
              </w:rPr>
            </w:pPr>
            <w:r>
              <w:rPr>
                <w:rFonts w:ascii="Arial" w:cs="Arial" w:eastAsia="Arial" w:hAnsi="Arial"/>
                <w:sz w:val="14"/>
                <w:szCs w:val="14"/>
                <w:color w:val="131E29"/>
              </w:rPr>
              <w:t>Total shop count</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131E29"/>
              </w:rPr>
              <w:t>538</w:t>
            </w:r>
          </w:p>
        </w:tc>
        <w:tc>
          <w:tcPr>
            <w:tcW w:w="8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4"/>
                <w:szCs w:val="14"/>
                <w:color w:val="131E29"/>
              </w:rPr>
              <w:t>441</w:t>
            </w:r>
          </w:p>
        </w:tc>
        <w:tc>
          <w:tcPr>
            <w:tcW w:w="120" w:type="dxa"/>
            <w:vAlign w:val="bottom"/>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131E29"/>
              </w:rPr>
              <w:t>370</w:t>
            </w:r>
          </w:p>
        </w:tc>
        <w:tc>
          <w:tcPr>
            <w:tcW w:w="0" w:type="dxa"/>
            <w:vAlign w:val="bottom"/>
          </w:tcPr>
          <w:p>
            <w:pPr>
              <w:spacing w:after="0"/>
              <w:rPr>
                <w:sz w:val="1"/>
                <w:szCs w:val="1"/>
                <w:color w:val="auto"/>
              </w:rPr>
            </w:pPr>
          </w:p>
        </w:tc>
      </w:tr>
      <w:tr>
        <w:trPr>
          <w:trHeight w:val="20"/>
        </w:trPr>
        <w:tc>
          <w:tcPr>
            <w:tcW w:w="544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104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DCE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DCE5"/>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5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Company-operated new openings</w:t>
            </w:r>
          </w:p>
        </w:tc>
        <w:tc>
          <w:tcPr>
            <w:tcW w:w="1040" w:type="dxa"/>
            <w:vAlign w:val="bottom"/>
            <w:tcBorders>
              <w:bottom w:val="single" w:sz="8" w:color="D2DCE5"/>
            </w:tcBorders>
            <w:shd w:val="clear" w:color="auto" w:fill="D2DCE5"/>
          </w:tcPr>
          <w:p>
            <w:pPr>
              <w:spacing w:after="0"/>
              <w:rPr>
                <w:sz w:val="15"/>
                <w:szCs w:val="15"/>
                <w:color w:val="auto"/>
              </w:rPr>
            </w:pPr>
          </w:p>
        </w:tc>
        <w:tc>
          <w:tcPr>
            <w:tcW w:w="80" w:type="dxa"/>
            <w:vAlign w:val="bottom"/>
            <w:tcBorders>
              <w:bottom w:val="single" w:sz="8" w:color="D2DCE5"/>
            </w:tcBorders>
            <w:shd w:val="clear" w:color="auto" w:fill="D2DCE5"/>
          </w:tcPr>
          <w:p>
            <w:pPr>
              <w:spacing w:after="0"/>
              <w:rPr>
                <w:sz w:val="15"/>
                <w:szCs w:val="15"/>
                <w:color w:val="auto"/>
              </w:rPr>
            </w:pPr>
          </w:p>
        </w:tc>
        <w:tc>
          <w:tcPr>
            <w:tcW w:w="80" w:type="dxa"/>
            <w:vAlign w:val="bottom"/>
            <w:tcBorders>
              <w:bottom w:val="single" w:sz="8" w:color="D2DCE5"/>
            </w:tcBorders>
            <w:shd w:val="clear" w:color="auto" w:fill="D2DCE5"/>
          </w:tcPr>
          <w:p>
            <w:pPr>
              <w:spacing w:after="0"/>
              <w:rPr>
                <w:sz w:val="15"/>
                <w:szCs w:val="15"/>
                <w:color w:val="auto"/>
              </w:rPr>
            </w:pPr>
          </w:p>
        </w:tc>
        <w:tc>
          <w:tcPr>
            <w:tcW w:w="80" w:type="dxa"/>
            <w:vAlign w:val="bottom"/>
            <w:tcBorders>
              <w:bottom w:val="single" w:sz="8" w:color="D2DCE5"/>
            </w:tcBorders>
            <w:shd w:val="clear" w:color="auto" w:fill="D2DCE5"/>
          </w:tcPr>
          <w:p>
            <w:pPr>
              <w:spacing w:after="0"/>
              <w:rPr>
                <w:sz w:val="15"/>
                <w:szCs w:val="15"/>
                <w:color w:val="auto"/>
              </w:rPr>
            </w:pPr>
          </w:p>
        </w:tc>
        <w:tc>
          <w:tcPr>
            <w:tcW w:w="500" w:type="dxa"/>
            <w:vAlign w:val="bottom"/>
            <w:tcBorders>
              <w:bottom w:val="single" w:sz="8" w:color="D2DCE5"/>
            </w:tcBorders>
            <w:shd w:val="clear" w:color="auto" w:fill="D2DCE5"/>
          </w:tcPr>
          <w:p>
            <w:pPr>
              <w:spacing w:after="0"/>
              <w:rPr>
                <w:sz w:val="15"/>
                <w:szCs w:val="15"/>
                <w:color w:val="auto"/>
              </w:rPr>
            </w:pPr>
          </w:p>
        </w:tc>
        <w:tc>
          <w:tcPr>
            <w:tcW w:w="84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4"/>
                <w:szCs w:val="14"/>
                <w:color w:val="131E29"/>
              </w:rPr>
              <w:t>120</w:t>
            </w:r>
          </w:p>
        </w:tc>
        <w:tc>
          <w:tcPr>
            <w:tcW w:w="80" w:type="dxa"/>
            <w:vAlign w:val="bottom"/>
            <w:tcBorders>
              <w:bottom w:val="single" w:sz="8" w:color="D2DCE5"/>
            </w:tcBorders>
            <w:shd w:val="clear" w:color="auto" w:fill="D2DCE5"/>
          </w:tcPr>
          <w:p>
            <w:pPr>
              <w:spacing w:after="0"/>
              <w:rPr>
                <w:sz w:val="15"/>
                <w:szCs w:val="15"/>
                <w:color w:val="auto"/>
              </w:rPr>
            </w:pPr>
          </w:p>
        </w:tc>
        <w:tc>
          <w:tcPr>
            <w:tcW w:w="120" w:type="dxa"/>
            <w:vAlign w:val="bottom"/>
            <w:tcBorders>
              <w:bottom w:val="single" w:sz="8" w:color="D2DCE5"/>
            </w:tcBorders>
            <w:shd w:val="clear" w:color="auto" w:fill="D2DCE5"/>
          </w:tcPr>
          <w:p>
            <w:pPr>
              <w:spacing w:after="0"/>
              <w:rPr>
                <w:sz w:val="15"/>
                <w:szCs w:val="15"/>
                <w:color w:val="auto"/>
              </w:rPr>
            </w:pPr>
          </w:p>
        </w:tc>
        <w:tc>
          <w:tcPr>
            <w:tcW w:w="160" w:type="dxa"/>
            <w:vAlign w:val="bottom"/>
            <w:tcBorders>
              <w:bottom w:val="single" w:sz="8" w:color="D2DCE5"/>
            </w:tcBorders>
            <w:shd w:val="clear" w:color="auto" w:fill="D2DCE5"/>
          </w:tcPr>
          <w:p>
            <w:pPr>
              <w:spacing w:after="0"/>
              <w:rPr>
                <w:sz w:val="15"/>
                <w:szCs w:val="15"/>
                <w:color w:val="auto"/>
              </w:rPr>
            </w:pPr>
          </w:p>
        </w:tc>
        <w:tc>
          <w:tcPr>
            <w:tcW w:w="80" w:type="dxa"/>
            <w:vAlign w:val="bottom"/>
            <w:tcBorders>
              <w:bottom w:val="single" w:sz="8" w:color="D2DCE5"/>
            </w:tcBorders>
            <w:shd w:val="clear" w:color="auto" w:fill="D2DCE5"/>
          </w:tcPr>
          <w:p>
            <w:pPr>
              <w:spacing w:after="0"/>
              <w:rPr>
                <w:sz w:val="15"/>
                <w:szCs w:val="15"/>
                <w:color w:val="auto"/>
              </w:rPr>
            </w:pPr>
          </w:p>
        </w:tc>
        <w:tc>
          <w:tcPr>
            <w:tcW w:w="1180" w:type="dxa"/>
            <w:vAlign w:val="bottom"/>
            <w:tcBorders>
              <w:bottom w:val="single" w:sz="8" w:color="D2DCE5"/>
            </w:tcBorders>
            <w:gridSpan w:val="3"/>
            <w:shd w:val="clear" w:color="auto" w:fill="D2DCE5"/>
          </w:tcPr>
          <w:p>
            <w:pPr>
              <w:jc w:val="right"/>
              <w:ind w:right="100"/>
              <w:spacing w:after="0"/>
              <w:rPr>
                <w:sz w:val="20"/>
                <w:szCs w:val="20"/>
                <w:color w:val="auto"/>
              </w:rPr>
            </w:pPr>
            <w:r>
              <w:rPr>
                <w:rFonts w:ascii="Arial" w:cs="Arial" w:eastAsia="Arial" w:hAnsi="Arial"/>
                <w:sz w:val="14"/>
                <w:szCs w:val="14"/>
                <w:color w:val="131E29"/>
              </w:rPr>
              <w:t>82</w:t>
            </w:r>
          </w:p>
        </w:tc>
        <w:tc>
          <w:tcPr>
            <w:tcW w:w="120" w:type="dxa"/>
            <w:vAlign w:val="bottom"/>
            <w:tcBorders>
              <w:bottom w:val="single" w:sz="8" w:color="D2DCE5"/>
            </w:tcBorders>
            <w:shd w:val="clear" w:color="auto" w:fill="D2DCE5"/>
          </w:tcPr>
          <w:p>
            <w:pPr>
              <w:spacing w:after="0"/>
              <w:rPr>
                <w:sz w:val="15"/>
                <w:szCs w:val="15"/>
                <w:color w:val="auto"/>
              </w:rPr>
            </w:pPr>
          </w:p>
        </w:tc>
        <w:tc>
          <w:tcPr>
            <w:tcW w:w="620" w:type="dxa"/>
            <w:vAlign w:val="bottom"/>
            <w:tcBorders>
              <w:bottom w:val="single" w:sz="8" w:color="D2DCE5"/>
            </w:tcBorders>
            <w:shd w:val="clear" w:color="auto" w:fill="D2DCE5"/>
          </w:tcPr>
          <w:p>
            <w:pPr>
              <w:spacing w:after="0"/>
              <w:rPr>
                <w:sz w:val="15"/>
                <w:szCs w:val="15"/>
                <w:color w:val="auto"/>
              </w:rPr>
            </w:pPr>
          </w:p>
        </w:tc>
        <w:tc>
          <w:tcPr>
            <w:tcW w:w="80" w:type="dxa"/>
            <w:vAlign w:val="bottom"/>
            <w:tcBorders>
              <w:bottom w:val="single" w:sz="8" w:color="D2DCE5"/>
            </w:tcBorders>
            <w:shd w:val="clear" w:color="auto" w:fill="D2DCE5"/>
          </w:tcPr>
          <w:p>
            <w:pPr>
              <w:spacing w:after="0"/>
              <w:rPr>
                <w:sz w:val="15"/>
                <w:szCs w:val="15"/>
                <w:color w:val="auto"/>
              </w:rPr>
            </w:pPr>
          </w:p>
        </w:tc>
        <w:tc>
          <w:tcPr>
            <w:tcW w:w="700" w:type="dxa"/>
            <w:vAlign w:val="bottom"/>
            <w:tcBorders>
              <w:bottom w:val="single" w:sz="8" w:color="D2DCE5"/>
            </w:tcBorders>
            <w:shd w:val="clear" w:color="auto" w:fill="D2DCE5"/>
          </w:tcPr>
          <w:p>
            <w:pPr>
              <w:jc w:val="right"/>
              <w:ind w:right="29"/>
              <w:spacing w:after="0"/>
              <w:rPr>
                <w:sz w:val="20"/>
                <w:szCs w:val="20"/>
                <w:color w:val="auto"/>
              </w:rPr>
            </w:pPr>
            <w:r>
              <w:rPr>
                <w:rFonts w:ascii="Arial" w:cs="Arial" w:eastAsia="Arial" w:hAnsi="Arial"/>
                <w:sz w:val="14"/>
                <w:szCs w:val="14"/>
                <w:color w:val="131E29"/>
              </w:rPr>
              <w:t>59</w:t>
            </w:r>
          </w:p>
        </w:tc>
        <w:tc>
          <w:tcPr>
            <w:tcW w:w="0" w:type="dxa"/>
            <w:vAlign w:val="bottom"/>
          </w:tcPr>
          <w:p>
            <w:pPr>
              <w:spacing w:after="0"/>
              <w:rPr>
                <w:sz w:val="1"/>
                <w:szCs w:val="1"/>
                <w:color w:val="auto"/>
              </w:rPr>
            </w:pPr>
          </w:p>
        </w:tc>
      </w:tr>
      <w:tr>
        <w:trPr>
          <w:trHeight w:val="191"/>
        </w:trPr>
        <w:tc>
          <w:tcPr>
            <w:tcW w:w="5520" w:type="dxa"/>
            <w:vAlign w:val="bottom"/>
            <w:gridSpan w:val="2"/>
          </w:tcPr>
          <w:p>
            <w:pPr>
              <w:ind w:left="20"/>
              <w:spacing w:after="0"/>
              <w:rPr>
                <w:sz w:val="20"/>
                <w:szCs w:val="20"/>
                <w:color w:val="auto"/>
              </w:rPr>
            </w:pPr>
            <w:r>
              <w:rPr>
                <w:rFonts w:ascii="Arial" w:cs="Arial" w:eastAsia="Arial" w:hAnsi="Arial"/>
                <w:sz w:val="14"/>
                <w:szCs w:val="14"/>
                <w:color w:val="131E29"/>
              </w:rPr>
              <w:t>Franchised new openings</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131E29"/>
              </w:rPr>
              <w:t>13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4"/>
                <w:szCs w:val="14"/>
                <w:color w:val="131E29"/>
              </w:rPr>
              <w:t>16</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131E29"/>
              </w:rPr>
              <w:t>13</w:t>
            </w:r>
          </w:p>
        </w:tc>
        <w:tc>
          <w:tcPr>
            <w:tcW w:w="0" w:type="dxa"/>
            <w:vAlign w:val="bottom"/>
          </w:tcPr>
          <w:p>
            <w:pPr>
              <w:spacing w:after="0"/>
              <w:rPr>
                <w:sz w:val="1"/>
                <w:szCs w:val="1"/>
                <w:color w:val="auto"/>
              </w:rPr>
            </w:pPr>
          </w:p>
        </w:tc>
      </w:tr>
      <w:tr>
        <w:trPr>
          <w:trHeight w:val="22"/>
        </w:trPr>
        <w:tc>
          <w:tcPr>
            <w:tcW w:w="5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5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Acquisition of franchise shops</w:t>
            </w:r>
          </w:p>
        </w:tc>
        <w:tc>
          <w:tcPr>
            <w:tcW w:w="104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500" w:type="dxa"/>
            <w:vAlign w:val="bottom"/>
            <w:tcBorders>
              <w:bottom w:val="single" w:sz="8" w:color="D2DCE5"/>
            </w:tcBorders>
            <w:shd w:val="clear" w:color="auto" w:fill="D2DCE5"/>
          </w:tcPr>
          <w:p>
            <w:pPr>
              <w:spacing w:after="0"/>
              <w:rPr>
                <w:sz w:val="16"/>
                <w:szCs w:val="16"/>
                <w:color w:val="auto"/>
              </w:rPr>
            </w:pPr>
          </w:p>
        </w:tc>
        <w:tc>
          <w:tcPr>
            <w:tcW w:w="84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4"/>
                <w:szCs w:val="14"/>
                <w:color w:val="131E29"/>
              </w:rPr>
              <w:t>5</w:t>
            </w:r>
          </w:p>
        </w:tc>
        <w:tc>
          <w:tcPr>
            <w:tcW w:w="80" w:type="dxa"/>
            <w:vAlign w:val="bottom"/>
            <w:tcBorders>
              <w:bottom w:val="single" w:sz="8" w:color="D2DCE5"/>
            </w:tcBorders>
            <w:shd w:val="clear" w:color="auto" w:fill="D2DCE5"/>
          </w:tcPr>
          <w:p>
            <w:pPr>
              <w:spacing w:after="0"/>
              <w:rPr>
                <w:sz w:val="16"/>
                <w:szCs w:val="16"/>
                <w:color w:val="auto"/>
              </w:rPr>
            </w:pPr>
          </w:p>
        </w:tc>
        <w:tc>
          <w:tcPr>
            <w:tcW w:w="120" w:type="dxa"/>
            <w:vAlign w:val="bottom"/>
            <w:tcBorders>
              <w:bottom w:val="single" w:sz="8" w:color="D2DCE5"/>
            </w:tcBorders>
            <w:shd w:val="clear" w:color="auto" w:fill="D2DCE5"/>
          </w:tcPr>
          <w:p>
            <w:pPr>
              <w:spacing w:after="0"/>
              <w:rPr>
                <w:sz w:val="16"/>
                <w:szCs w:val="16"/>
                <w:color w:val="auto"/>
              </w:rPr>
            </w:pPr>
          </w:p>
        </w:tc>
        <w:tc>
          <w:tcPr>
            <w:tcW w:w="16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1180" w:type="dxa"/>
            <w:vAlign w:val="bottom"/>
            <w:tcBorders>
              <w:bottom w:val="single" w:sz="8" w:color="D2DCE5"/>
            </w:tcBorders>
            <w:gridSpan w:val="3"/>
            <w:shd w:val="clear" w:color="auto" w:fill="D2DCE5"/>
          </w:tcPr>
          <w:p>
            <w:pPr>
              <w:jc w:val="right"/>
              <w:ind w:right="100"/>
              <w:spacing w:after="0"/>
              <w:rPr>
                <w:sz w:val="20"/>
                <w:szCs w:val="20"/>
                <w:color w:val="auto"/>
              </w:rPr>
            </w:pPr>
            <w:r>
              <w:rPr>
                <w:rFonts w:ascii="Arial" w:cs="Arial" w:eastAsia="Arial" w:hAnsi="Arial"/>
                <w:sz w:val="14"/>
                <w:szCs w:val="14"/>
                <w:color w:val="131E29"/>
              </w:rPr>
              <w:t>7</w:t>
            </w:r>
          </w:p>
        </w:tc>
        <w:tc>
          <w:tcPr>
            <w:tcW w:w="120" w:type="dxa"/>
            <w:vAlign w:val="bottom"/>
            <w:tcBorders>
              <w:bottom w:val="single" w:sz="8" w:color="D2DCE5"/>
            </w:tcBorders>
            <w:shd w:val="clear" w:color="auto" w:fill="D2DCE5"/>
          </w:tcPr>
          <w:p>
            <w:pPr>
              <w:spacing w:after="0"/>
              <w:rPr>
                <w:sz w:val="16"/>
                <w:szCs w:val="16"/>
                <w:color w:val="auto"/>
              </w:rPr>
            </w:pPr>
          </w:p>
        </w:tc>
        <w:tc>
          <w:tcPr>
            <w:tcW w:w="62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700" w:type="dxa"/>
            <w:vAlign w:val="bottom"/>
            <w:tcBorders>
              <w:bottom w:val="single" w:sz="8" w:color="D2DCE5"/>
            </w:tcBorders>
            <w:shd w:val="clear" w:color="auto" w:fill="D2DCE5"/>
          </w:tcPr>
          <w:p>
            <w:pPr>
              <w:jc w:val="right"/>
              <w:ind w:right="29"/>
              <w:spacing w:after="0"/>
              <w:rPr>
                <w:sz w:val="20"/>
                <w:szCs w:val="20"/>
                <w:color w:val="auto"/>
              </w:rPr>
            </w:pPr>
            <w:r>
              <w:rPr>
                <w:rFonts w:ascii="Arial" w:cs="Arial" w:eastAsia="Arial" w:hAnsi="Arial"/>
                <w:sz w:val="14"/>
                <w:szCs w:val="14"/>
                <w:color w:val="131E29"/>
              </w:rPr>
              <w:t>5</w:t>
            </w:r>
          </w:p>
        </w:tc>
        <w:tc>
          <w:tcPr>
            <w:tcW w:w="0" w:type="dxa"/>
            <w:vAlign w:val="bottom"/>
          </w:tcPr>
          <w:p>
            <w:pPr>
              <w:spacing w:after="0"/>
              <w:rPr>
                <w:sz w:val="1"/>
                <w:szCs w:val="1"/>
                <w:color w:val="auto"/>
              </w:rPr>
            </w:pPr>
          </w:p>
        </w:tc>
      </w:tr>
      <w:tr>
        <w:trPr>
          <w:trHeight w:val="257"/>
        </w:trPr>
        <w:tc>
          <w:tcPr>
            <w:tcW w:w="5520" w:type="dxa"/>
            <w:vAlign w:val="bottom"/>
            <w:gridSpan w:val="2"/>
          </w:tcPr>
          <w:p>
            <w:pPr>
              <w:ind w:left="20"/>
              <w:spacing w:after="0"/>
              <w:rPr>
                <w:sz w:val="20"/>
                <w:szCs w:val="20"/>
                <w:color w:val="auto"/>
              </w:rPr>
            </w:pPr>
            <w:r>
              <w:rPr>
                <w:rFonts w:ascii="Arial" w:cs="Arial" w:eastAsia="Arial" w:hAnsi="Arial"/>
                <w:sz w:val="14"/>
                <w:szCs w:val="14"/>
                <w:color w:val="131E29"/>
              </w:rPr>
              <w:t xml:space="preserve">Closures </w:t>
            </w:r>
            <w:r>
              <w:rPr>
                <w:rFonts w:ascii="Arial" w:cs="Arial" w:eastAsia="Arial" w:hAnsi="Arial"/>
                <w:sz w:val="18"/>
                <w:szCs w:val="18"/>
                <w:color w:val="131E29"/>
                <w:vertAlign w:val="superscript"/>
              </w:rPr>
              <w:t>1</w:t>
            </w: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131E29"/>
              </w:rPr>
              <w:t>(1)</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vMerge w:val="restart"/>
          </w:tcPr>
          <w:p>
            <w:pPr>
              <w:jc w:val="right"/>
              <w:ind w:right="29"/>
              <w:spacing w:after="0"/>
              <w:rPr>
                <w:sz w:val="20"/>
                <w:szCs w:val="20"/>
                <w:color w:val="auto"/>
              </w:rPr>
            </w:pPr>
            <w:r>
              <w:rPr>
                <w:rFonts w:ascii="Arial" w:cs="Arial" w:eastAsia="Arial" w:hAnsi="Arial"/>
                <w:sz w:val="14"/>
                <w:szCs w:val="14"/>
                <w:color w:val="131E29"/>
              </w:rPr>
              <w:t>(1)</w:t>
            </w:r>
          </w:p>
        </w:tc>
        <w:tc>
          <w:tcPr>
            <w:tcW w:w="0" w:type="dxa"/>
            <w:vAlign w:val="bottom"/>
          </w:tcPr>
          <w:p>
            <w:pPr>
              <w:spacing w:after="0"/>
              <w:rPr>
                <w:sz w:val="1"/>
                <w:szCs w:val="1"/>
                <w:color w:val="auto"/>
              </w:rPr>
            </w:pPr>
          </w:p>
        </w:tc>
      </w:tr>
      <w:tr>
        <w:trPr>
          <w:trHeight w:val="61"/>
        </w:trPr>
        <w:tc>
          <w:tcPr>
            <w:tcW w:w="5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544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104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DCE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DCE5"/>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55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Shop count, end of period</w:t>
            </w:r>
          </w:p>
        </w:tc>
        <w:tc>
          <w:tcPr>
            <w:tcW w:w="1040" w:type="dxa"/>
            <w:vAlign w:val="bottom"/>
            <w:tcBorders>
              <w:bottom w:val="single" w:sz="8" w:color="D2DCE5"/>
            </w:tcBorders>
            <w:shd w:val="clear" w:color="auto" w:fill="D2DCE5"/>
          </w:tcPr>
          <w:p>
            <w:pPr>
              <w:spacing w:after="0"/>
              <w:rPr>
                <w:sz w:val="14"/>
                <w:szCs w:val="14"/>
                <w:color w:val="auto"/>
              </w:rPr>
            </w:pPr>
          </w:p>
        </w:tc>
        <w:tc>
          <w:tcPr>
            <w:tcW w:w="80" w:type="dxa"/>
            <w:vAlign w:val="bottom"/>
            <w:tcBorders>
              <w:bottom w:val="single" w:sz="8" w:color="D2DCE5"/>
            </w:tcBorders>
            <w:shd w:val="clear" w:color="auto" w:fill="D2DCE5"/>
          </w:tcPr>
          <w:p>
            <w:pPr>
              <w:spacing w:after="0"/>
              <w:rPr>
                <w:sz w:val="14"/>
                <w:szCs w:val="14"/>
                <w:color w:val="auto"/>
              </w:rPr>
            </w:pPr>
          </w:p>
        </w:tc>
        <w:tc>
          <w:tcPr>
            <w:tcW w:w="80" w:type="dxa"/>
            <w:vAlign w:val="bottom"/>
            <w:tcBorders>
              <w:bottom w:val="single" w:sz="8" w:color="D2DCE5"/>
            </w:tcBorders>
            <w:shd w:val="clear" w:color="auto" w:fill="D2DCE5"/>
          </w:tcPr>
          <w:p>
            <w:pPr>
              <w:spacing w:after="0"/>
              <w:rPr>
                <w:sz w:val="14"/>
                <w:szCs w:val="14"/>
                <w:color w:val="auto"/>
              </w:rPr>
            </w:pPr>
          </w:p>
        </w:tc>
        <w:tc>
          <w:tcPr>
            <w:tcW w:w="80" w:type="dxa"/>
            <w:vAlign w:val="bottom"/>
            <w:tcBorders>
              <w:bottom w:val="single" w:sz="8" w:color="D2DCE5"/>
            </w:tcBorders>
            <w:shd w:val="clear" w:color="auto" w:fill="D2DCE5"/>
          </w:tcPr>
          <w:p>
            <w:pPr>
              <w:spacing w:after="0"/>
              <w:rPr>
                <w:sz w:val="14"/>
                <w:szCs w:val="14"/>
                <w:color w:val="auto"/>
              </w:rPr>
            </w:pPr>
          </w:p>
        </w:tc>
        <w:tc>
          <w:tcPr>
            <w:tcW w:w="500" w:type="dxa"/>
            <w:vAlign w:val="bottom"/>
            <w:tcBorders>
              <w:bottom w:val="single" w:sz="8" w:color="D2DCE5"/>
            </w:tcBorders>
            <w:shd w:val="clear" w:color="auto" w:fill="D2DCE5"/>
          </w:tcPr>
          <w:p>
            <w:pPr>
              <w:spacing w:after="0"/>
              <w:rPr>
                <w:sz w:val="14"/>
                <w:szCs w:val="14"/>
                <w:color w:val="auto"/>
              </w:rPr>
            </w:pPr>
          </w:p>
        </w:tc>
        <w:tc>
          <w:tcPr>
            <w:tcW w:w="80" w:type="dxa"/>
            <w:vAlign w:val="bottom"/>
            <w:tcBorders>
              <w:bottom w:val="single" w:sz="8" w:color="D2DCE5"/>
            </w:tcBorders>
            <w:shd w:val="clear" w:color="auto" w:fill="D2DCE5"/>
          </w:tcPr>
          <w:p>
            <w:pPr>
              <w:spacing w:after="0"/>
              <w:rPr>
                <w:sz w:val="14"/>
                <w:szCs w:val="14"/>
                <w:color w:val="auto"/>
              </w:rPr>
            </w:pPr>
          </w:p>
        </w:tc>
        <w:tc>
          <w:tcPr>
            <w:tcW w:w="760" w:type="dxa"/>
            <w:vAlign w:val="bottom"/>
            <w:tcBorders>
              <w:bottom w:val="single" w:sz="8" w:color="D2DCE5"/>
            </w:tcBorders>
            <w:shd w:val="clear" w:color="auto" w:fill="D2DCE5"/>
          </w:tcPr>
          <w:p>
            <w:pPr>
              <w:spacing w:after="0"/>
              <w:rPr>
                <w:sz w:val="14"/>
                <w:szCs w:val="14"/>
                <w:color w:val="auto"/>
              </w:rPr>
            </w:pPr>
          </w:p>
        </w:tc>
        <w:tc>
          <w:tcPr>
            <w:tcW w:w="80" w:type="dxa"/>
            <w:vAlign w:val="bottom"/>
            <w:tcBorders>
              <w:bottom w:val="single" w:sz="8" w:color="D2DCE5"/>
            </w:tcBorders>
            <w:shd w:val="clear" w:color="auto" w:fill="D2DCE5"/>
          </w:tcPr>
          <w:p>
            <w:pPr>
              <w:spacing w:after="0"/>
              <w:rPr>
                <w:sz w:val="14"/>
                <w:szCs w:val="14"/>
                <w:color w:val="auto"/>
              </w:rPr>
            </w:pPr>
          </w:p>
        </w:tc>
        <w:tc>
          <w:tcPr>
            <w:tcW w:w="120" w:type="dxa"/>
            <w:vAlign w:val="bottom"/>
            <w:tcBorders>
              <w:bottom w:val="single" w:sz="8" w:color="D2DCE5"/>
            </w:tcBorders>
            <w:shd w:val="clear" w:color="auto" w:fill="D2DCE5"/>
          </w:tcPr>
          <w:p>
            <w:pPr>
              <w:spacing w:after="0"/>
              <w:rPr>
                <w:sz w:val="14"/>
                <w:szCs w:val="14"/>
                <w:color w:val="auto"/>
              </w:rPr>
            </w:pPr>
          </w:p>
        </w:tc>
        <w:tc>
          <w:tcPr>
            <w:tcW w:w="160" w:type="dxa"/>
            <w:vAlign w:val="bottom"/>
            <w:tcBorders>
              <w:bottom w:val="single" w:sz="8" w:color="D2DCE5"/>
            </w:tcBorders>
            <w:shd w:val="clear" w:color="auto" w:fill="D2DCE5"/>
          </w:tcPr>
          <w:p>
            <w:pPr>
              <w:spacing w:after="0"/>
              <w:rPr>
                <w:sz w:val="14"/>
                <w:szCs w:val="14"/>
                <w:color w:val="auto"/>
              </w:rPr>
            </w:pPr>
          </w:p>
        </w:tc>
        <w:tc>
          <w:tcPr>
            <w:tcW w:w="80" w:type="dxa"/>
            <w:vAlign w:val="bottom"/>
            <w:tcBorders>
              <w:bottom w:val="single" w:sz="8" w:color="D2DCE5"/>
            </w:tcBorders>
            <w:shd w:val="clear" w:color="auto" w:fill="D2DCE5"/>
          </w:tcPr>
          <w:p>
            <w:pPr>
              <w:spacing w:after="0"/>
              <w:rPr>
                <w:sz w:val="14"/>
                <w:szCs w:val="14"/>
                <w:color w:val="auto"/>
              </w:rPr>
            </w:pPr>
          </w:p>
        </w:tc>
        <w:tc>
          <w:tcPr>
            <w:tcW w:w="720" w:type="dxa"/>
            <w:vAlign w:val="bottom"/>
            <w:tcBorders>
              <w:bottom w:val="single" w:sz="8" w:color="D2DCE5"/>
            </w:tcBorders>
            <w:shd w:val="clear" w:color="auto" w:fill="D2DCE5"/>
          </w:tcPr>
          <w:p>
            <w:pPr>
              <w:spacing w:after="0"/>
              <w:rPr>
                <w:sz w:val="14"/>
                <w:szCs w:val="14"/>
                <w:color w:val="auto"/>
              </w:rPr>
            </w:pPr>
          </w:p>
        </w:tc>
        <w:tc>
          <w:tcPr>
            <w:tcW w:w="80" w:type="dxa"/>
            <w:vAlign w:val="bottom"/>
            <w:tcBorders>
              <w:bottom w:val="single" w:sz="8" w:color="D2DCE5"/>
            </w:tcBorders>
            <w:shd w:val="clear" w:color="auto" w:fill="D2DCE5"/>
          </w:tcPr>
          <w:p>
            <w:pPr>
              <w:spacing w:after="0"/>
              <w:rPr>
                <w:sz w:val="14"/>
                <w:szCs w:val="14"/>
                <w:color w:val="auto"/>
              </w:rPr>
            </w:pPr>
          </w:p>
        </w:tc>
        <w:tc>
          <w:tcPr>
            <w:tcW w:w="380" w:type="dxa"/>
            <w:vAlign w:val="bottom"/>
            <w:tcBorders>
              <w:bottom w:val="single" w:sz="8" w:color="D2DCE5"/>
            </w:tcBorders>
            <w:shd w:val="clear" w:color="auto" w:fill="D2DCE5"/>
          </w:tcPr>
          <w:p>
            <w:pPr>
              <w:spacing w:after="0"/>
              <w:rPr>
                <w:sz w:val="14"/>
                <w:szCs w:val="14"/>
                <w:color w:val="auto"/>
              </w:rPr>
            </w:pPr>
          </w:p>
        </w:tc>
        <w:tc>
          <w:tcPr>
            <w:tcW w:w="120" w:type="dxa"/>
            <w:vAlign w:val="bottom"/>
            <w:tcBorders>
              <w:bottom w:val="single" w:sz="8" w:color="D2DCE5"/>
            </w:tcBorders>
            <w:shd w:val="clear" w:color="auto" w:fill="D2DCE5"/>
          </w:tcPr>
          <w:p>
            <w:pPr>
              <w:spacing w:after="0"/>
              <w:rPr>
                <w:sz w:val="14"/>
                <w:szCs w:val="14"/>
                <w:color w:val="auto"/>
              </w:rPr>
            </w:pPr>
          </w:p>
        </w:tc>
        <w:tc>
          <w:tcPr>
            <w:tcW w:w="620" w:type="dxa"/>
            <w:vAlign w:val="bottom"/>
            <w:tcBorders>
              <w:bottom w:val="single" w:sz="8" w:color="D2DCE5"/>
            </w:tcBorders>
            <w:shd w:val="clear" w:color="auto" w:fill="D2DCE5"/>
          </w:tcPr>
          <w:p>
            <w:pPr>
              <w:spacing w:after="0"/>
              <w:rPr>
                <w:sz w:val="14"/>
                <w:szCs w:val="14"/>
                <w:color w:val="auto"/>
              </w:rPr>
            </w:pPr>
          </w:p>
        </w:tc>
        <w:tc>
          <w:tcPr>
            <w:tcW w:w="80" w:type="dxa"/>
            <w:vAlign w:val="bottom"/>
            <w:tcBorders>
              <w:bottom w:val="single" w:sz="8" w:color="D2DCE5"/>
            </w:tcBorders>
            <w:shd w:val="clear" w:color="auto" w:fill="D2DCE5"/>
          </w:tcPr>
          <w:p>
            <w:pPr>
              <w:spacing w:after="0"/>
              <w:rPr>
                <w:sz w:val="14"/>
                <w:szCs w:val="14"/>
                <w:color w:val="auto"/>
              </w:rPr>
            </w:pPr>
          </w:p>
        </w:tc>
        <w:tc>
          <w:tcPr>
            <w:tcW w:w="700" w:type="dxa"/>
            <w:vAlign w:val="bottom"/>
            <w:tcBorders>
              <w:bottom w:val="single" w:sz="8" w:color="D2DCE5"/>
            </w:tcBorders>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520" w:type="dxa"/>
            <w:vAlign w:val="bottom"/>
            <w:gridSpan w:val="2"/>
          </w:tcPr>
          <w:p>
            <w:pPr>
              <w:ind w:left="140"/>
              <w:spacing w:after="0"/>
              <w:rPr>
                <w:sz w:val="20"/>
                <w:szCs w:val="20"/>
                <w:color w:val="auto"/>
              </w:rPr>
            </w:pPr>
            <w:r>
              <w:rPr>
                <w:rFonts w:ascii="Arial" w:cs="Arial" w:eastAsia="Arial" w:hAnsi="Arial"/>
                <w:sz w:val="14"/>
                <w:szCs w:val="14"/>
                <w:color w:val="131E29"/>
              </w:rPr>
              <w:t>Company-operated</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131E29"/>
              </w:rPr>
              <w:t>396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4"/>
                <w:szCs w:val="14"/>
                <w:color w:val="131E29"/>
              </w:rPr>
              <w:t>271</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131E29"/>
              </w:rPr>
              <w:t>182</w:t>
            </w:r>
          </w:p>
        </w:tc>
        <w:tc>
          <w:tcPr>
            <w:tcW w:w="0" w:type="dxa"/>
            <w:vAlign w:val="bottom"/>
          </w:tcPr>
          <w:p>
            <w:pPr>
              <w:spacing w:after="0"/>
              <w:rPr>
                <w:sz w:val="1"/>
                <w:szCs w:val="1"/>
                <w:color w:val="auto"/>
              </w:rPr>
            </w:pPr>
          </w:p>
        </w:tc>
      </w:tr>
      <w:tr>
        <w:trPr>
          <w:trHeight w:val="22"/>
        </w:trPr>
        <w:tc>
          <w:tcPr>
            <w:tcW w:w="5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52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Franchised</w:t>
            </w:r>
          </w:p>
        </w:tc>
        <w:tc>
          <w:tcPr>
            <w:tcW w:w="1040" w:type="dxa"/>
            <w:vAlign w:val="bottom"/>
            <w:tcBorders>
              <w:bottom w:val="single" w:sz="8" w:color="D2DCE5"/>
            </w:tcBorders>
            <w:shd w:val="clear" w:color="auto" w:fill="D2DCE5"/>
          </w:tcPr>
          <w:p>
            <w:pPr>
              <w:spacing w:after="0"/>
              <w:rPr>
                <w:sz w:val="18"/>
                <w:szCs w:val="18"/>
                <w:color w:val="auto"/>
              </w:rPr>
            </w:pPr>
          </w:p>
        </w:tc>
        <w:tc>
          <w:tcPr>
            <w:tcW w:w="80" w:type="dxa"/>
            <w:vAlign w:val="bottom"/>
            <w:tcBorders>
              <w:bottom w:val="single" w:sz="8" w:color="D2DCE5"/>
            </w:tcBorders>
            <w:shd w:val="clear" w:color="auto" w:fill="D2DCE5"/>
          </w:tcPr>
          <w:p>
            <w:pPr>
              <w:spacing w:after="0"/>
              <w:rPr>
                <w:sz w:val="18"/>
                <w:szCs w:val="18"/>
                <w:color w:val="auto"/>
              </w:rPr>
            </w:pPr>
          </w:p>
        </w:tc>
        <w:tc>
          <w:tcPr>
            <w:tcW w:w="80" w:type="dxa"/>
            <w:vAlign w:val="bottom"/>
            <w:tcBorders>
              <w:bottom w:val="single" w:sz="8" w:color="D2DCE5"/>
            </w:tcBorders>
            <w:shd w:val="clear" w:color="auto" w:fill="D2DCE5"/>
          </w:tcPr>
          <w:p>
            <w:pPr>
              <w:spacing w:after="0"/>
              <w:rPr>
                <w:sz w:val="18"/>
                <w:szCs w:val="18"/>
                <w:color w:val="auto"/>
              </w:rPr>
            </w:pPr>
          </w:p>
        </w:tc>
        <w:tc>
          <w:tcPr>
            <w:tcW w:w="80" w:type="dxa"/>
            <w:vAlign w:val="bottom"/>
            <w:tcBorders>
              <w:bottom w:val="single" w:sz="8" w:color="D2DCE5"/>
            </w:tcBorders>
            <w:shd w:val="clear" w:color="auto" w:fill="D2DCE5"/>
          </w:tcPr>
          <w:p>
            <w:pPr>
              <w:spacing w:after="0"/>
              <w:rPr>
                <w:sz w:val="18"/>
                <w:szCs w:val="18"/>
                <w:color w:val="auto"/>
              </w:rPr>
            </w:pPr>
          </w:p>
        </w:tc>
        <w:tc>
          <w:tcPr>
            <w:tcW w:w="500" w:type="dxa"/>
            <w:vAlign w:val="bottom"/>
            <w:tcBorders>
              <w:bottom w:val="single" w:sz="8" w:color="D2DCE5"/>
            </w:tcBorders>
            <w:shd w:val="clear" w:color="auto" w:fill="D2DCE5"/>
          </w:tcPr>
          <w:p>
            <w:pPr>
              <w:spacing w:after="0"/>
              <w:rPr>
                <w:sz w:val="18"/>
                <w:szCs w:val="18"/>
                <w:color w:val="auto"/>
              </w:rPr>
            </w:pPr>
          </w:p>
        </w:tc>
        <w:tc>
          <w:tcPr>
            <w:tcW w:w="84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4"/>
                <w:szCs w:val="14"/>
                <w:color w:val="131E29"/>
              </w:rPr>
              <w:t>275</w:t>
            </w:r>
          </w:p>
        </w:tc>
        <w:tc>
          <w:tcPr>
            <w:tcW w:w="80" w:type="dxa"/>
            <w:vAlign w:val="bottom"/>
            <w:tcBorders>
              <w:bottom w:val="single" w:sz="8" w:color="D2DCE5"/>
            </w:tcBorders>
            <w:shd w:val="clear" w:color="auto" w:fill="D2DCE5"/>
          </w:tcPr>
          <w:p>
            <w:pPr>
              <w:spacing w:after="0"/>
              <w:rPr>
                <w:sz w:val="18"/>
                <w:szCs w:val="18"/>
                <w:color w:val="auto"/>
              </w:rPr>
            </w:pPr>
          </w:p>
        </w:tc>
        <w:tc>
          <w:tcPr>
            <w:tcW w:w="120" w:type="dxa"/>
            <w:vAlign w:val="bottom"/>
            <w:tcBorders>
              <w:bottom w:val="single" w:sz="8" w:color="D2DCE5"/>
            </w:tcBorders>
            <w:shd w:val="clear" w:color="auto" w:fill="D2DCE5"/>
          </w:tcPr>
          <w:p>
            <w:pPr>
              <w:spacing w:after="0"/>
              <w:rPr>
                <w:sz w:val="18"/>
                <w:szCs w:val="18"/>
                <w:color w:val="auto"/>
              </w:rPr>
            </w:pPr>
          </w:p>
        </w:tc>
        <w:tc>
          <w:tcPr>
            <w:tcW w:w="160" w:type="dxa"/>
            <w:vAlign w:val="bottom"/>
            <w:tcBorders>
              <w:bottom w:val="single" w:sz="8" w:color="D2DCE5"/>
            </w:tcBorders>
            <w:shd w:val="clear" w:color="auto" w:fill="D2DCE5"/>
          </w:tcPr>
          <w:p>
            <w:pPr>
              <w:spacing w:after="0"/>
              <w:rPr>
                <w:sz w:val="18"/>
                <w:szCs w:val="18"/>
                <w:color w:val="auto"/>
              </w:rPr>
            </w:pPr>
          </w:p>
        </w:tc>
        <w:tc>
          <w:tcPr>
            <w:tcW w:w="80" w:type="dxa"/>
            <w:vAlign w:val="bottom"/>
            <w:tcBorders>
              <w:bottom w:val="single" w:sz="8" w:color="D2DCE5"/>
            </w:tcBorders>
            <w:shd w:val="clear" w:color="auto" w:fill="D2DCE5"/>
          </w:tcPr>
          <w:p>
            <w:pPr>
              <w:spacing w:after="0"/>
              <w:rPr>
                <w:sz w:val="18"/>
                <w:szCs w:val="18"/>
                <w:color w:val="auto"/>
              </w:rPr>
            </w:pPr>
          </w:p>
        </w:tc>
        <w:tc>
          <w:tcPr>
            <w:tcW w:w="1180" w:type="dxa"/>
            <w:vAlign w:val="bottom"/>
            <w:tcBorders>
              <w:bottom w:val="single" w:sz="8" w:color="D2DCE5"/>
            </w:tcBorders>
            <w:gridSpan w:val="3"/>
            <w:shd w:val="clear" w:color="auto" w:fill="D2DCE5"/>
          </w:tcPr>
          <w:p>
            <w:pPr>
              <w:jc w:val="right"/>
              <w:ind w:right="100"/>
              <w:spacing w:after="0"/>
              <w:rPr>
                <w:sz w:val="20"/>
                <w:szCs w:val="20"/>
                <w:color w:val="auto"/>
              </w:rPr>
            </w:pPr>
            <w:r>
              <w:rPr>
                <w:rFonts w:ascii="Arial" w:cs="Arial" w:eastAsia="Arial" w:hAnsi="Arial"/>
                <w:sz w:val="14"/>
                <w:szCs w:val="14"/>
                <w:color w:val="131E29"/>
              </w:rPr>
              <w:t>267</w:t>
            </w:r>
          </w:p>
        </w:tc>
        <w:tc>
          <w:tcPr>
            <w:tcW w:w="120" w:type="dxa"/>
            <w:vAlign w:val="bottom"/>
            <w:tcBorders>
              <w:bottom w:val="single" w:sz="8" w:color="D2DCE5"/>
            </w:tcBorders>
            <w:shd w:val="clear" w:color="auto" w:fill="D2DCE5"/>
          </w:tcPr>
          <w:p>
            <w:pPr>
              <w:spacing w:after="0"/>
              <w:rPr>
                <w:sz w:val="18"/>
                <w:szCs w:val="18"/>
                <w:color w:val="auto"/>
              </w:rPr>
            </w:pPr>
          </w:p>
        </w:tc>
        <w:tc>
          <w:tcPr>
            <w:tcW w:w="620" w:type="dxa"/>
            <w:vAlign w:val="bottom"/>
            <w:tcBorders>
              <w:bottom w:val="single" w:sz="8" w:color="D2DCE5"/>
            </w:tcBorders>
            <w:shd w:val="clear" w:color="auto" w:fill="D2DCE5"/>
          </w:tcPr>
          <w:p>
            <w:pPr>
              <w:spacing w:after="0"/>
              <w:rPr>
                <w:sz w:val="18"/>
                <w:szCs w:val="18"/>
                <w:color w:val="auto"/>
              </w:rPr>
            </w:pPr>
          </w:p>
        </w:tc>
        <w:tc>
          <w:tcPr>
            <w:tcW w:w="80" w:type="dxa"/>
            <w:vAlign w:val="bottom"/>
            <w:tcBorders>
              <w:bottom w:val="single" w:sz="8" w:color="D2DCE5"/>
            </w:tcBorders>
            <w:shd w:val="clear" w:color="auto" w:fill="D2DCE5"/>
          </w:tcPr>
          <w:p>
            <w:pPr>
              <w:spacing w:after="0"/>
              <w:rPr>
                <w:sz w:val="18"/>
                <w:szCs w:val="18"/>
                <w:color w:val="auto"/>
              </w:rPr>
            </w:pPr>
          </w:p>
        </w:tc>
        <w:tc>
          <w:tcPr>
            <w:tcW w:w="700" w:type="dxa"/>
            <w:vAlign w:val="bottom"/>
            <w:tcBorders>
              <w:bottom w:val="single" w:sz="8" w:color="D2DCE5"/>
            </w:tcBorders>
            <w:shd w:val="clear" w:color="auto" w:fill="D2DCE5"/>
          </w:tcPr>
          <w:p>
            <w:pPr>
              <w:jc w:val="right"/>
              <w:ind w:right="29"/>
              <w:spacing w:after="0"/>
              <w:rPr>
                <w:sz w:val="20"/>
                <w:szCs w:val="20"/>
                <w:color w:val="auto"/>
              </w:rPr>
            </w:pPr>
            <w:r>
              <w:rPr>
                <w:rFonts w:ascii="Arial" w:cs="Arial" w:eastAsia="Arial" w:hAnsi="Arial"/>
                <w:sz w:val="14"/>
                <w:szCs w:val="14"/>
                <w:color w:val="131E29"/>
              </w:rPr>
              <w:t>259</w:t>
            </w:r>
          </w:p>
        </w:tc>
        <w:tc>
          <w:tcPr>
            <w:tcW w:w="0" w:type="dxa"/>
            <w:vAlign w:val="bottom"/>
          </w:tcPr>
          <w:p>
            <w:pPr>
              <w:spacing w:after="0"/>
              <w:rPr>
                <w:sz w:val="1"/>
                <w:szCs w:val="1"/>
                <w:color w:val="auto"/>
              </w:rPr>
            </w:pPr>
          </w:p>
        </w:tc>
      </w:tr>
      <w:tr>
        <w:trPr>
          <w:trHeight w:val="203"/>
        </w:trPr>
        <w:tc>
          <w:tcPr>
            <w:tcW w:w="5520" w:type="dxa"/>
            <w:vAlign w:val="bottom"/>
            <w:gridSpan w:val="2"/>
          </w:tcPr>
          <w:p>
            <w:pPr>
              <w:ind w:left="400"/>
              <w:spacing w:after="0"/>
              <w:rPr>
                <w:sz w:val="20"/>
                <w:szCs w:val="20"/>
                <w:color w:val="auto"/>
              </w:rPr>
            </w:pPr>
            <w:r>
              <w:rPr>
                <w:rFonts w:ascii="Arial" w:cs="Arial" w:eastAsia="Arial" w:hAnsi="Arial"/>
                <w:sz w:val="14"/>
                <w:szCs w:val="14"/>
                <w:color w:val="131E29"/>
              </w:rPr>
              <w:t>Total shop count</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131E29"/>
              </w:rPr>
              <w:t>671</w:t>
            </w:r>
          </w:p>
        </w:tc>
        <w:tc>
          <w:tcPr>
            <w:tcW w:w="8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4"/>
                <w:szCs w:val="14"/>
                <w:color w:val="131E29"/>
              </w:rPr>
              <w:t>538</w:t>
            </w:r>
          </w:p>
        </w:tc>
        <w:tc>
          <w:tcPr>
            <w:tcW w:w="120" w:type="dxa"/>
            <w:vAlign w:val="bottom"/>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131E29"/>
              </w:rPr>
              <w:t>441</w:t>
            </w:r>
          </w:p>
        </w:tc>
        <w:tc>
          <w:tcPr>
            <w:tcW w:w="0" w:type="dxa"/>
            <w:vAlign w:val="bottom"/>
          </w:tcPr>
          <w:p>
            <w:pPr>
              <w:spacing w:after="0"/>
              <w:rPr>
                <w:sz w:val="1"/>
                <w:szCs w:val="1"/>
                <w:color w:val="auto"/>
              </w:rPr>
            </w:pPr>
          </w:p>
        </w:tc>
      </w:tr>
      <w:tr>
        <w:trPr>
          <w:trHeight w:val="20"/>
        </w:trPr>
        <w:tc>
          <w:tcPr>
            <w:tcW w:w="544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104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DCE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2DCE5"/>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5440" w:type="dxa"/>
            <w:vAlign w:val="bottom"/>
            <w:shd w:val="clear" w:color="auto" w:fill="D2DCE5"/>
          </w:tcPr>
          <w:p>
            <w:pPr>
              <w:spacing w:after="0"/>
              <w:rPr>
                <w:sz w:val="7"/>
                <w:szCs w:val="7"/>
                <w:color w:val="auto"/>
              </w:rPr>
            </w:pPr>
          </w:p>
        </w:tc>
        <w:tc>
          <w:tcPr>
            <w:tcW w:w="80" w:type="dxa"/>
            <w:vAlign w:val="bottom"/>
            <w:shd w:val="clear" w:color="auto" w:fill="D2DCE5"/>
          </w:tcPr>
          <w:p>
            <w:pPr>
              <w:spacing w:after="0"/>
              <w:rPr>
                <w:sz w:val="7"/>
                <w:szCs w:val="7"/>
                <w:color w:val="auto"/>
              </w:rPr>
            </w:pPr>
          </w:p>
        </w:tc>
        <w:tc>
          <w:tcPr>
            <w:tcW w:w="1040" w:type="dxa"/>
            <w:vAlign w:val="bottom"/>
            <w:shd w:val="clear" w:color="auto" w:fill="D2DCE5"/>
          </w:tcPr>
          <w:p>
            <w:pPr>
              <w:spacing w:after="0"/>
              <w:rPr>
                <w:sz w:val="7"/>
                <w:szCs w:val="7"/>
                <w:color w:val="auto"/>
              </w:rPr>
            </w:pPr>
          </w:p>
        </w:tc>
        <w:tc>
          <w:tcPr>
            <w:tcW w:w="80" w:type="dxa"/>
            <w:vAlign w:val="bottom"/>
            <w:shd w:val="clear" w:color="auto" w:fill="D2DCE5"/>
          </w:tcPr>
          <w:p>
            <w:pPr>
              <w:spacing w:after="0"/>
              <w:rPr>
                <w:sz w:val="7"/>
                <w:szCs w:val="7"/>
                <w:color w:val="auto"/>
              </w:rPr>
            </w:pPr>
          </w:p>
        </w:tc>
        <w:tc>
          <w:tcPr>
            <w:tcW w:w="80" w:type="dxa"/>
            <w:vAlign w:val="bottom"/>
            <w:shd w:val="clear" w:color="auto" w:fill="D2DCE5"/>
          </w:tcPr>
          <w:p>
            <w:pPr>
              <w:spacing w:after="0"/>
              <w:rPr>
                <w:sz w:val="7"/>
                <w:szCs w:val="7"/>
                <w:color w:val="auto"/>
              </w:rPr>
            </w:pPr>
          </w:p>
        </w:tc>
        <w:tc>
          <w:tcPr>
            <w:tcW w:w="80" w:type="dxa"/>
            <w:vAlign w:val="bottom"/>
            <w:shd w:val="clear" w:color="auto" w:fill="D2DCE5"/>
          </w:tcPr>
          <w:p>
            <w:pPr>
              <w:spacing w:after="0"/>
              <w:rPr>
                <w:sz w:val="7"/>
                <w:szCs w:val="7"/>
                <w:color w:val="auto"/>
              </w:rPr>
            </w:pPr>
          </w:p>
        </w:tc>
        <w:tc>
          <w:tcPr>
            <w:tcW w:w="500" w:type="dxa"/>
            <w:vAlign w:val="bottom"/>
            <w:shd w:val="clear" w:color="auto" w:fill="D2DCE5"/>
          </w:tcPr>
          <w:p>
            <w:pPr>
              <w:spacing w:after="0"/>
              <w:rPr>
                <w:sz w:val="7"/>
                <w:szCs w:val="7"/>
                <w:color w:val="auto"/>
              </w:rPr>
            </w:pPr>
          </w:p>
        </w:tc>
        <w:tc>
          <w:tcPr>
            <w:tcW w:w="80" w:type="dxa"/>
            <w:vAlign w:val="bottom"/>
            <w:shd w:val="clear" w:color="auto" w:fill="D2DCE5"/>
          </w:tcPr>
          <w:p>
            <w:pPr>
              <w:spacing w:after="0"/>
              <w:rPr>
                <w:sz w:val="7"/>
                <w:szCs w:val="7"/>
                <w:color w:val="auto"/>
              </w:rPr>
            </w:pPr>
          </w:p>
        </w:tc>
        <w:tc>
          <w:tcPr>
            <w:tcW w:w="760" w:type="dxa"/>
            <w:vAlign w:val="bottom"/>
            <w:shd w:val="clear" w:color="auto" w:fill="D2DCE5"/>
          </w:tcPr>
          <w:p>
            <w:pPr>
              <w:spacing w:after="0"/>
              <w:rPr>
                <w:sz w:val="7"/>
                <w:szCs w:val="7"/>
                <w:color w:val="auto"/>
              </w:rPr>
            </w:pPr>
          </w:p>
        </w:tc>
        <w:tc>
          <w:tcPr>
            <w:tcW w:w="80" w:type="dxa"/>
            <w:vAlign w:val="bottom"/>
            <w:shd w:val="clear" w:color="auto" w:fill="D2DCE5"/>
          </w:tcPr>
          <w:p>
            <w:pPr>
              <w:spacing w:after="0"/>
              <w:rPr>
                <w:sz w:val="7"/>
                <w:szCs w:val="7"/>
                <w:color w:val="auto"/>
              </w:rPr>
            </w:pPr>
          </w:p>
        </w:tc>
        <w:tc>
          <w:tcPr>
            <w:tcW w:w="120" w:type="dxa"/>
            <w:vAlign w:val="bottom"/>
            <w:shd w:val="clear" w:color="auto" w:fill="D2DCE5"/>
          </w:tcPr>
          <w:p>
            <w:pPr>
              <w:spacing w:after="0"/>
              <w:rPr>
                <w:sz w:val="7"/>
                <w:szCs w:val="7"/>
                <w:color w:val="auto"/>
              </w:rPr>
            </w:pPr>
          </w:p>
        </w:tc>
        <w:tc>
          <w:tcPr>
            <w:tcW w:w="160" w:type="dxa"/>
            <w:vAlign w:val="bottom"/>
            <w:shd w:val="clear" w:color="auto" w:fill="D2DCE5"/>
          </w:tcPr>
          <w:p>
            <w:pPr>
              <w:spacing w:after="0"/>
              <w:rPr>
                <w:sz w:val="7"/>
                <w:szCs w:val="7"/>
                <w:color w:val="auto"/>
              </w:rPr>
            </w:pPr>
          </w:p>
        </w:tc>
        <w:tc>
          <w:tcPr>
            <w:tcW w:w="80" w:type="dxa"/>
            <w:vAlign w:val="bottom"/>
            <w:shd w:val="clear" w:color="auto" w:fill="D2DCE5"/>
          </w:tcPr>
          <w:p>
            <w:pPr>
              <w:spacing w:after="0"/>
              <w:rPr>
                <w:sz w:val="7"/>
                <w:szCs w:val="7"/>
                <w:color w:val="auto"/>
              </w:rPr>
            </w:pPr>
          </w:p>
        </w:tc>
        <w:tc>
          <w:tcPr>
            <w:tcW w:w="720" w:type="dxa"/>
            <w:vAlign w:val="bottom"/>
            <w:shd w:val="clear" w:color="auto" w:fill="D2DCE5"/>
          </w:tcPr>
          <w:p>
            <w:pPr>
              <w:spacing w:after="0"/>
              <w:rPr>
                <w:sz w:val="7"/>
                <w:szCs w:val="7"/>
                <w:color w:val="auto"/>
              </w:rPr>
            </w:pPr>
          </w:p>
        </w:tc>
        <w:tc>
          <w:tcPr>
            <w:tcW w:w="80" w:type="dxa"/>
            <w:vAlign w:val="bottom"/>
            <w:shd w:val="clear" w:color="auto" w:fill="D2DCE5"/>
          </w:tcPr>
          <w:p>
            <w:pPr>
              <w:spacing w:after="0"/>
              <w:rPr>
                <w:sz w:val="7"/>
                <w:szCs w:val="7"/>
                <w:color w:val="auto"/>
              </w:rPr>
            </w:pPr>
          </w:p>
        </w:tc>
        <w:tc>
          <w:tcPr>
            <w:tcW w:w="380" w:type="dxa"/>
            <w:vAlign w:val="bottom"/>
            <w:shd w:val="clear" w:color="auto" w:fill="D2DCE5"/>
          </w:tcPr>
          <w:p>
            <w:pPr>
              <w:spacing w:after="0"/>
              <w:rPr>
                <w:sz w:val="7"/>
                <w:szCs w:val="7"/>
                <w:color w:val="auto"/>
              </w:rPr>
            </w:pPr>
          </w:p>
        </w:tc>
        <w:tc>
          <w:tcPr>
            <w:tcW w:w="120" w:type="dxa"/>
            <w:vAlign w:val="bottom"/>
            <w:shd w:val="clear" w:color="auto" w:fill="D2DCE5"/>
          </w:tcPr>
          <w:p>
            <w:pPr>
              <w:spacing w:after="0"/>
              <w:rPr>
                <w:sz w:val="7"/>
                <w:szCs w:val="7"/>
                <w:color w:val="auto"/>
              </w:rPr>
            </w:pPr>
          </w:p>
        </w:tc>
        <w:tc>
          <w:tcPr>
            <w:tcW w:w="620" w:type="dxa"/>
            <w:vAlign w:val="bottom"/>
            <w:shd w:val="clear" w:color="auto" w:fill="D2DCE5"/>
          </w:tcPr>
          <w:p>
            <w:pPr>
              <w:spacing w:after="0"/>
              <w:rPr>
                <w:sz w:val="7"/>
                <w:szCs w:val="7"/>
                <w:color w:val="auto"/>
              </w:rPr>
            </w:pPr>
          </w:p>
        </w:tc>
        <w:tc>
          <w:tcPr>
            <w:tcW w:w="80" w:type="dxa"/>
            <w:vAlign w:val="bottom"/>
            <w:shd w:val="clear" w:color="auto" w:fill="D2DCE5"/>
          </w:tcPr>
          <w:p>
            <w:pPr>
              <w:spacing w:after="0"/>
              <w:rPr>
                <w:sz w:val="7"/>
                <w:szCs w:val="7"/>
                <w:color w:val="auto"/>
              </w:rPr>
            </w:pPr>
          </w:p>
        </w:tc>
        <w:tc>
          <w:tcPr>
            <w:tcW w:w="700" w:type="dxa"/>
            <w:vAlign w:val="bottom"/>
            <w:shd w:val="clear" w:color="auto" w:fill="D2DCE5"/>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5520" w:type="dxa"/>
            <w:vAlign w:val="bottom"/>
            <w:gridSpan w:val="2"/>
          </w:tcPr>
          <w:p>
            <w:pPr>
              <w:ind w:left="20"/>
              <w:spacing w:after="0"/>
              <w:rPr>
                <w:sz w:val="20"/>
                <w:szCs w:val="20"/>
                <w:color w:val="auto"/>
              </w:rPr>
            </w:pPr>
            <w:r>
              <w:rPr>
                <w:rFonts w:ascii="Arial" w:cs="Arial" w:eastAsia="Arial" w:hAnsi="Arial"/>
                <w:sz w:val="14"/>
                <w:szCs w:val="14"/>
                <w:color w:val="131E29"/>
              </w:rPr>
              <w:t xml:space="preserve">Systemwide AUV </w:t>
            </w:r>
            <w:r>
              <w:rPr>
                <w:rFonts w:ascii="Arial" w:cs="Arial" w:eastAsia="Arial" w:hAnsi="Arial"/>
                <w:sz w:val="18"/>
                <w:szCs w:val="18"/>
                <w:color w:val="131E29"/>
                <w:vertAlign w:val="superscript"/>
              </w:rPr>
              <w:t>2</w:t>
            </w: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vMerge w:val="restart"/>
          </w:tcPr>
          <w:p>
            <w:pPr>
              <w:jc w:val="right"/>
              <w:ind w:right="329"/>
              <w:spacing w:after="0"/>
              <w:rPr>
                <w:sz w:val="20"/>
                <w:szCs w:val="20"/>
                <w:color w:val="auto"/>
              </w:rPr>
            </w:pPr>
            <w:r>
              <w:rPr>
                <w:rFonts w:ascii="Arial" w:cs="Arial" w:eastAsia="Arial" w:hAnsi="Arial"/>
                <w:sz w:val="14"/>
                <w:szCs w:val="14"/>
                <w:color w:val="131E29"/>
              </w:rPr>
              <w:t>$</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131E29"/>
              </w:rPr>
              <w:t>1,924</w:t>
            </w:r>
          </w:p>
        </w:tc>
        <w:tc>
          <w:tcPr>
            <w:tcW w:w="360" w:type="dxa"/>
            <w:vAlign w:val="bottom"/>
            <w:gridSpan w:val="3"/>
            <w:vMerge w:val="restart"/>
          </w:tcPr>
          <w:p>
            <w:pPr>
              <w:jc w:val="right"/>
              <w:ind w:right="60"/>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22"/>
                <w:szCs w:val="22"/>
                <w:color w:val="auto"/>
              </w:rPr>
            </w:pPr>
          </w:p>
        </w:tc>
        <w:tc>
          <w:tcPr>
            <w:tcW w:w="118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131E29"/>
              </w:rPr>
              <w:t>1,850</w:t>
            </w:r>
          </w:p>
        </w:tc>
        <w:tc>
          <w:tcPr>
            <w:tcW w:w="120" w:type="dxa"/>
            <w:vAlign w:val="bottom"/>
          </w:tcPr>
          <w:p>
            <w:pPr>
              <w:spacing w:after="0"/>
              <w:rPr>
                <w:sz w:val="22"/>
                <w:szCs w:val="22"/>
                <w:color w:val="auto"/>
              </w:rPr>
            </w:pPr>
          </w:p>
        </w:tc>
        <w:tc>
          <w:tcPr>
            <w:tcW w:w="620" w:type="dxa"/>
            <w:vAlign w:val="bottom"/>
            <w:vMerge w:val="restart"/>
          </w:tcPr>
          <w:p>
            <w:pPr>
              <w:jc w:val="right"/>
              <w:ind w:right="469"/>
              <w:spacing w:after="0"/>
              <w:rPr>
                <w:sz w:val="20"/>
                <w:szCs w:val="20"/>
                <w:color w:val="auto"/>
              </w:rPr>
            </w:pPr>
            <w:r>
              <w:rPr>
                <w:rFonts w:ascii="Arial" w:cs="Arial" w:eastAsia="Arial" w:hAnsi="Arial"/>
                <w:sz w:val="14"/>
                <w:szCs w:val="14"/>
                <w:color w:val="131E29"/>
                <w:w w:val="76"/>
              </w:rPr>
              <w:t>$</w:t>
            </w:r>
          </w:p>
        </w:tc>
        <w:tc>
          <w:tcPr>
            <w:tcW w:w="80" w:type="dxa"/>
            <w:vAlign w:val="bottom"/>
          </w:tcPr>
          <w:p>
            <w:pPr>
              <w:spacing w:after="0"/>
              <w:rPr>
                <w:sz w:val="22"/>
                <w:szCs w:val="22"/>
                <w:color w:val="auto"/>
              </w:rPr>
            </w:pPr>
          </w:p>
        </w:tc>
        <w:tc>
          <w:tcPr>
            <w:tcW w:w="700" w:type="dxa"/>
            <w:vAlign w:val="bottom"/>
            <w:vMerge w:val="restart"/>
          </w:tcPr>
          <w:p>
            <w:pPr>
              <w:jc w:val="right"/>
              <w:ind w:right="29"/>
              <w:spacing w:after="0"/>
              <w:rPr>
                <w:sz w:val="20"/>
                <w:szCs w:val="20"/>
                <w:color w:val="auto"/>
              </w:rPr>
            </w:pPr>
            <w:r>
              <w:rPr>
                <w:rFonts w:ascii="Arial" w:cs="Arial" w:eastAsia="Arial" w:hAnsi="Arial"/>
                <w:sz w:val="14"/>
                <w:szCs w:val="14"/>
                <w:color w:val="131E29"/>
              </w:rPr>
              <w:t>1,679</w:t>
            </w:r>
          </w:p>
        </w:tc>
        <w:tc>
          <w:tcPr>
            <w:tcW w:w="0" w:type="dxa"/>
            <w:vAlign w:val="bottom"/>
          </w:tcPr>
          <w:p>
            <w:pPr>
              <w:spacing w:after="0"/>
              <w:rPr>
                <w:sz w:val="1"/>
                <w:szCs w:val="1"/>
                <w:color w:val="auto"/>
              </w:rPr>
            </w:pPr>
          </w:p>
        </w:tc>
      </w:tr>
      <w:tr>
        <w:trPr>
          <w:trHeight w:val="61"/>
        </w:trPr>
        <w:tc>
          <w:tcPr>
            <w:tcW w:w="5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36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5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52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 xml:space="preserve">Company-operated shops AUV </w:t>
            </w:r>
            <w:r>
              <w:rPr>
                <w:rFonts w:ascii="Arial" w:cs="Arial" w:eastAsia="Arial" w:hAnsi="Arial"/>
                <w:sz w:val="18"/>
                <w:szCs w:val="18"/>
                <w:color w:val="131E29"/>
                <w:vertAlign w:val="superscript"/>
              </w:rPr>
              <w:t>2</w:t>
            </w:r>
          </w:p>
        </w:tc>
        <w:tc>
          <w:tcPr>
            <w:tcW w:w="1040" w:type="dxa"/>
            <w:vAlign w:val="bottom"/>
            <w:shd w:val="clear" w:color="auto" w:fill="D2DCE5"/>
          </w:tcPr>
          <w:p>
            <w:pPr>
              <w:spacing w:after="0"/>
              <w:rPr>
                <w:sz w:val="22"/>
                <w:szCs w:val="22"/>
                <w:color w:val="auto"/>
              </w:rPr>
            </w:pPr>
          </w:p>
        </w:tc>
        <w:tc>
          <w:tcPr>
            <w:tcW w:w="80" w:type="dxa"/>
            <w:vAlign w:val="bottom"/>
            <w:shd w:val="clear" w:color="auto" w:fill="D2DCE5"/>
          </w:tcPr>
          <w:p>
            <w:pPr>
              <w:spacing w:after="0"/>
              <w:rPr>
                <w:sz w:val="22"/>
                <w:szCs w:val="22"/>
                <w:color w:val="auto"/>
              </w:rPr>
            </w:pPr>
          </w:p>
        </w:tc>
        <w:tc>
          <w:tcPr>
            <w:tcW w:w="80" w:type="dxa"/>
            <w:vAlign w:val="bottom"/>
            <w:shd w:val="clear" w:color="auto" w:fill="D2DCE5"/>
          </w:tcPr>
          <w:p>
            <w:pPr>
              <w:spacing w:after="0"/>
              <w:rPr>
                <w:sz w:val="22"/>
                <w:szCs w:val="22"/>
                <w:color w:val="auto"/>
              </w:rPr>
            </w:pPr>
          </w:p>
        </w:tc>
        <w:tc>
          <w:tcPr>
            <w:tcW w:w="80" w:type="dxa"/>
            <w:vAlign w:val="bottom"/>
            <w:shd w:val="clear" w:color="auto" w:fill="D2DCE5"/>
          </w:tcPr>
          <w:p>
            <w:pPr>
              <w:spacing w:after="0"/>
              <w:rPr>
                <w:sz w:val="22"/>
                <w:szCs w:val="22"/>
                <w:color w:val="auto"/>
              </w:rPr>
            </w:pPr>
          </w:p>
        </w:tc>
        <w:tc>
          <w:tcPr>
            <w:tcW w:w="500" w:type="dxa"/>
            <w:vAlign w:val="bottom"/>
            <w:vMerge w:val="restart"/>
            <w:shd w:val="clear" w:color="auto" w:fill="D2DCE5"/>
          </w:tcPr>
          <w:p>
            <w:pPr>
              <w:jc w:val="right"/>
              <w:ind w:right="329"/>
              <w:spacing w:after="0"/>
              <w:rPr>
                <w:sz w:val="20"/>
                <w:szCs w:val="20"/>
                <w:color w:val="auto"/>
              </w:rPr>
            </w:pPr>
            <w:r>
              <w:rPr>
                <w:rFonts w:ascii="Arial" w:cs="Arial" w:eastAsia="Arial" w:hAnsi="Arial"/>
                <w:sz w:val="14"/>
                <w:szCs w:val="14"/>
                <w:color w:val="131E29"/>
              </w:rPr>
              <w:t>$</w:t>
            </w:r>
          </w:p>
        </w:tc>
        <w:tc>
          <w:tcPr>
            <w:tcW w:w="840" w:type="dxa"/>
            <w:vAlign w:val="bottom"/>
            <w:gridSpan w:val="2"/>
            <w:vMerge w:val="restart"/>
            <w:shd w:val="clear" w:color="auto" w:fill="D2DCE5"/>
          </w:tcPr>
          <w:p>
            <w:pPr>
              <w:jc w:val="right"/>
              <w:spacing w:after="0"/>
              <w:rPr>
                <w:sz w:val="20"/>
                <w:szCs w:val="20"/>
                <w:color w:val="auto"/>
              </w:rPr>
            </w:pPr>
            <w:r>
              <w:rPr>
                <w:rFonts w:ascii="Arial" w:cs="Arial" w:eastAsia="Arial" w:hAnsi="Arial"/>
                <w:sz w:val="14"/>
                <w:szCs w:val="14"/>
                <w:color w:val="131E29"/>
              </w:rPr>
              <w:t>1,895</w:t>
            </w:r>
          </w:p>
        </w:tc>
        <w:tc>
          <w:tcPr>
            <w:tcW w:w="360" w:type="dxa"/>
            <w:vAlign w:val="bottom"/>
            <w:gridSpan w:val="3"/>
            <w:vMerge w:val="restart"/>
            <w:shd w:val="clear" w:color="auto" w:fill="D2DCE5"/>
          </w:tcPr>
          <w:p>
            <w:pPr>
              <w:jc w:val="right"/>
              <w:ind w:right="60"/>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22"/>
                <w:szCs w:val="22"/>
                <w:color w:val="auto"/>
              </w:rPr>
            </w:pPr>
          </w:p>
        </w:tc>
        <w:tc>
          <w:tcPr>
            <w:tcW w:w="1180" w:type="dxa"/>
            <w:vAlign w:val="bottom"/>
            <w:gridSpan w:val="3"/>
            <w:vMerge w:val="restart"/>
            <w:shd w:val="clear" w:color="auto" w:fill="D2DCE5"/>
          </w:tcPr>
          <w:p>
            <w:pPr>
              <w:jc w:val="right"/>
              <w:ind w:right="100"/>
              <w:spacing w:after="0"/>
              <w:rPr>
                <w:sz w:val="20"/>
                <w:szCs w:val="20"/>
                <w:color w:val="auto"/>
              </w:rPr>
            </w:pPr>
            <w:r>
              <w:rPr>
                <w:rFonts w:ascii="Arial" w:cs="Arial" w:eastAsia="Arial" w:hAnsi="Arial"/>
                <w:sz w:val="14"/>
                <w:szCs w:val="14"/>
                <w:color w:val="131E29"/>
              </w:rPr>
              <w:t>1,752</w:t>
            </w:r>
          </w:p>
        </w:tc>
        <w:tc>
          <w:tcPr>
            <w:tcW w:w="120" w:type="dxa"/>
            <w:vAlign w:val="bottom"/>
            <w:shd w:val="clear" w:color="auto" w:fill="D2DCE5"/>
          </w:tcPr>
          <w:p>
            <w:pPr>
              <w:spacing w:after="0"/>
              <w:rPr>
                <w:sz w:val="22"/>
                <w:szCs w:val="22"/>
                <w:color w:val="auto"/>
              </w:rPr>
            </w:pPr>
          </w:p>
        </w:tc>
        <w:tc>
          <w:tcPr>
            <w:tcW w:w="620" w:type="dxa"/>
            <w:vAlign w:val="bottom"/>
            <w:vMerge w:val="restart"/>
            <w:shd w:val="clear" w:color="auto" w:fill="D2DCE5"/>
          </w:tcPr>
          <w:p>
            <w:pPr>
              <w:jc w:val="right"/>
              <w:ind w:right="469"/>
              <w:spacing w:after="0"/>
              <w:rPr>
                <w:sz w:val="20"/>
                <w:szCs w:val="20"/>
                <w:color w:val="auto"/>
              </w:rPr>
            </w:pPr>
            <w:r>
              <w:rPr>
                <w:rFonts w:ascii="Arial" w:cs="Arial" w:eastAsia="Arial" w:hAnsi="Arial"/>
                <w:sz w:val="14"/>
                <w:szCs w:val="14"/>
                <w:color w:val="131E29"/>
                <w:w w:val="76"/>
              </w:rPr>
              <w:t>$</w:t>
            </w:r>
          </w:p>
        </w:tc>
        <w:tc>
          <w:tcPr>
            <w:tcW w:w="80" w:type="dxa"/>
            <w:vAlign w:val="bottom"/>
            <w:shd w:val="clear" w:color="auto" w:fill="D2DCE5"/>
          </w:tcPr>
          <w:p>
            <w:pPr>
              <w:spacing w:after="0"/>
              <w:rPr>
                <w:sz w:val="22"/>
                <w:szCs w:val="22"/>
                <w:color w:val="auto"/>
              </w:rPr>
            </w:pPr>
          </w:p>
        </w:tc>
        <w:tc>
          <w:tcPr>
            <w:tcW w:w="700" w:type="dxa"/>
            <w:vAlign w:val="bottom"/>
            <w:vMerge w:val="restart"/>
            <w:shd w:val="clear" w:color="auto" w:fill="D2DCE5"/>
          </w:tcPr>
          <w:p>
            <w:pPr>
              <w:jc w:val="right"/>
              <w:ind w:right="29"/>
              <w:spacing w:after="0"/>
              <w:rPr>
                <w:sz w:val="20"/>
                <w:szCs w:val="20"/>
                <w:color w:val="auto"/>
              </w:rPr>
            </w:pPr>
            <w:r>
              <w:rPr>
                <w:rFonts w:ascii="Arial" w:cs="Arial" w:eastAsia="Arial" w:hAnsi="Arial"/>
                <w:sz w:val="14"/>
                <w:szCs w:val="14"/>
                <w:color w:val="131E29"/>
              </w:rPr>
              <w:t>1,524</w:t>
            </w:r>
          </w:p>
        </w:tc>
        <w:tc>
          <w:tcPr>
            <w:tcW w:w="0" w:type="dxa"/>
            <w:vAlign w:val="bottom"/>
          </w:tcPr>
          <w:p>
            <w:pPr>
              <w:spacing w:after="0"/>
              <w:rPr>
                <w:sz w:val="1"/>
                <w:szCs w:val="1"/>
                <w:color w:val="auto"/>
              </w:rPr>
            </w:pPr>
          </w:p>
        </w:tc>
      </w:tr>
      <w:tr>
        <w:trPr>
          <w:trHeight w:val="63"/>
        </w:trPr>
        <w:tc>
          <w:tcPr>
            <w:tcW w:w="5440" w:type="dxa"/>
            <w:vAlign w:val="bottom"/>
            <w:tcBorders>
              <w:bottom w:val="single" w:sz="8" w:color="D2DCE5"/>
            </w:tcBorders>
            <w:shd w:val="clear" w:color="auto" w:fill="D2DCE5"/>
          </w:tcPr>
          <w:p>
            <w:pPr>
              <w:spacing w:after="0"/>
              <w:rPr>
                <w:sz w:val="5"/>
                <w:szCs w:val="5"/>
                <w:color w:val="auto"/>
              </w:rPr>
            </w:pPr>
          </w:p>
        </w:tc>
        <w:tc>
          <w:tcPr>
            <w:tcW w:w="80" w:type="dxa"/>
            <w:vAlign w:val="bottom"/>
            <w:tcBorders>
              <w:bottom w:val="single" w:sz="8" w:color="D2DCE5"/>
            </w:tcBorders>
            <w:shd w:val="clear" w:color="auto" w:fill="D2DCE5"/>
          </w:tcPr>
          <w:p>
            <w:pPr>
              <w:spacing w:after="0"/>
              <w:rPr>
                <w:sz w:val="5"/>
                <w:szCs w:val="5"/>
                <w:color w:val="auto"/>
              </w:rPr>
            </w:pPr>
          </w:p>
        </w:tc>
        <w:tc>
          <w:tcPr>
            <w:tcW w:w="1040" w:type="dxa"/>
            <w:vAlign w:val="bottom"/>
            <w:tcBorders>
              <w:bottom w:val="single" w:sz="8" w:color="D2DCE5"/>
            </w:tcBorders>
            <w:shd w:val="clear" w:color="auto" w:fill="D2DCE5"/>
          </w:tcPr>
          <w:p>
            <w:pPr>
              <w:spacing w:after="0"/>
              <w:rPr>
                <w:sz w:val="5"/>
                <w:szCs w:val="5"/>
                <w:color w:val="auto"/>
              </w:rPr>
            </w:pPr>
          </w:p>
        </w:tc>
        <w:tc>
          <w:tcPr>
            <w:tcW w:w="80" w:type="dxa"/>
            <w:vAlign w:val="bottom"/>
            <w:tcBorders>
              <w:bottom w:val="single" w:sz="8" w:color="D2DCE5"/>
            </w:tcBorders>
            <w:shd w:val="clear" w:color="auto" w:fill="D2DCE5"/>
          </w:tcPr>
          <w:p>
            <w:pPr>
              <w:spacing w:after="0"/>
              <w:rPr>
                <w:sz w:val="5"/>
                <w:szCs w:val="5"/>
                <w:color w:val="auto"/>
              </w:rPr>
            </w:pPr>
          </w:p>
        </w:tc>
        <w:tc>
          <w:tcPr>
            <w:tcW w:w="80" w:type="dxa"/>
            <w:vAlign w:val="bottom"/>
            <w:tcBorders>
              <w:bottom w:val="single" w:sz="8" w:color="D2DCE5"/>
            </w:tcBorders>
            <w:shd w:val="clear" w:color="auto" w:fill="D2DCE5"/>
          </w:tcPr>
          <w:p>
            <w:pPr>
              <w:spacing w:after="0"/>
              <w:rPr>
                <w:sz w:val="5"/>
                <w:szCs w:val="5"/>
                <w:color w:val="auto"/>
              </w:rPr>
            </w:pPr>
          </w:p>
        </w:tc>
        <w:tc>
          <w:tcPr>
            <w:tcW w:w="80" w:type="dxa"/>
            <w:vAlign w:val="bottom"/>
            <w:tcBorders>
              <w:bottom w:val="single" w:sz="8" w:color="D2DCE5"/>
            </w:tcBorders>
            <w:shd w:val="clear" w:color="auto" w:fill="D2DCE5"/>
          </w:tcPr>
          <w:p>
            <w:pPr>
              <w:spacing w:after="0"/>
              <w:rPr>
                <w:sz w:val="5"/>
                <w:szCs w:val="5"/>
                <w:color w:val="auto"/>
              </w:rPr>
            </w:pPr>
          </w:p>
        </w:tc>
        <w:tc>
          <w:tcPr>
            <w:tcW w:w="500" w:type="dxa"/>
            <w:vAlign w:val="bottom"/>
            <w:tcBorders>
              <w:bottom w:val="single" w:sz="8" w:color="D2DCE5"/>
            </w:tcBorders>
            <w:vMerge w:val="continue"/>
            <w:shd w:val="clear" w:color="auto" w:fill="D2DCE5"/>
          </w:tcPr>
          <w:p>
            <w:pPr>
              <w:spacing w:after="0"/>
              <w:rPr>
                <w:sz w:val="5"/>
                <w:szCs w:val="5"/>
                <w:color w:val="auto"/>
              </w:rPr>
            </w:pPr>
          </w:p>
        </w:tc>
        <w:tc>
          <w:tcPr>
            <w:tcW w:w="840" w:type="dxa"/>
            <w:vAlign w:val="bottom"/>
            <w:tcBorders>
              <w:bottom w:val="single" w:sz="8" w:color="D2DCE5"/>
            </w:tcBorders>
            <w:gridSpan w:val="2"/>
            <w:vMerge w:val="continue"/>
            <w:shd w:val="clear" w:color="auto" w:fill="D2DCE5"/>
          </w:tcPr>
          <w:p>
            <w:pPr>
              <w:spacing w:after="0"/>
              <w:rPr>
                <w:sz w:val="5"/>
                <w:szCs w:val="5"/>
                <w:color w:val="auto"/>
              </w:rPr>
            </w:pPr>
          </w:p>
        </w:tc>
        <w:tc>
          <w:tcPr>
            <w:tcW w:w="360" w:type="dxa"/>
            <w:vAlign w:val="bottom"/>
            <w:tcBorders>
              <w:bottom w:val="single" w:sz="8" w:color="D2DCE5"/>
            </w:tcBorders>
            <w:gridSpan w:val="3"/>
            <w:vMerge w:val="continue"/>
            <w:shd w:val="clear" w:color="auto" w:fill="D2DCE5"/>
          </w:tcPr>
          <w:p>
            <w:pPr>
              <w:spacing w:after="0"/>
              <w:rPr>
                <w:sz w:val="5"/>
                <w:szCs w:val="5"/>
                <w:color w:val="auto"/>
              </w:rPr>
            </w:pPr>
          </w:p>
        </w:tc>
        <w:tc>
          <w:tcPr>
            <w:tcW w:w="80" w:type="dxa"/>
            <w:vAlign w:val="bottom"/>
            <w:tcBorders>
              <w:bottom w:val="single" w:sz="8" w:color="D2DCE5"/>
            </w:tcBorders>
            <w:shd w:val="clear" w:color="auto" w:fill="D2DCE5"/>
          </w:tcPr>
          <w:p>
            <w:pPr>
              <w:spacing w:after="0"/>
              <w:rPr>
                <w:sz w:val="5"/>
                <w:szCs w:val="5"/>
                <w:color w:val="auto"/>
              </w:rPr>
            </w:pPr>
          </w:p>
        </w:tc>
        <w:tc>
          <w:tcPr>
            <w:tcW w:w="1180" w:type="dxa"/>
            <w:vAlign w:val="bottom"/>
            <w:tcBorders>
              <w:bottom w:val="single" w:sz="8" w:color="D2DCE5"/>
            </w:tcBorders>
            <w:gridSpan w:val="3"/>
            <w:vMerge w:val="continue"/>
            <w:shd w:val="clear" w:color="auto" w:fill="D2DCE5"/>
          </w:tcPr>
          <w:p>
            <w:pPr>
              <w:spacing w:after="0"/>
              <w:rPr>
                <w:sz w:val="5"/>
                <w:szCs w:val="5"/>
                <w:color w:val="auto"/>
              </w:rPr>
            </w:pPr>
          </w:p>
        </w:tc>
        <w:tc>
          <w:tcPr>
            <w:tcW w:w="120" w:type="dxa"/>
            <w:vAlign w:val="bottom"/>
            <w:tcBorders>
              <w:bottom w:val="single" w:sz="8" w:color="D2DCE5"/>
            </w:tcBorders>
            <w:shd w:val="clear" w:color="auto" w:fill="D2DCE5"/>
          </w:tcPr>
          <w:p>
            <w:pPr>
              <w:spacing w:after="0"/>
              <w:rPr>
                <w:sz w:val="5"/>
                <w:szCs w:val="5"/>
                <w:color w:val="auto"/>
              </w:rPr>
            </w:pPr>
          </w:p>
        </w:tc>
        <w:tc>
          <w:tcPr>
            <w:tcW w:w="620" w:type="dxa"/>
            <w:vAlign w:val="bottom"/>
            <w:tcBorders>
              <w:bottom w:val="single" w:sz="8" w:color="D2DCE5"/>
            </w:tcBorders>
            <w:vMerge w:val="continue"/>
            <w:shd w:val="clear" w:color="auto" w:fill="D2DCE5"/>
          </w:tcPr>
          <w:p>
            <w:pPr>
              <w:spacing w:after="0"/>
              <w:rPr>
                <w:sz w:val="5"/>
                <w:szCs w:val="5"/>
                <w:color w:val="auto"/>
              </w:rPr>
            </w:pPr>
          </w:p>
        </w:tc>
        <w:tc>
          <w:tcPr>
            <w:tcW w:w="80" w:type="dxa"/>
            <w:vAlign w:val="bottom"/>
            <w:tcBorders>
              <w:bottom w:val="single" w:sz="8" w:color="D2DCE5"/>
            </w:tcBorders>
            <w:shd w:val="clear" w:color="auto" w:fill="D2DCE5"/>
          </w:tcPr>
          <w:p>
            <w:pPr>
              <w:spacing w:after="0"/>
              <w:rPr>
                <w:sz w:val="5"/>
                <w:szCs w:val="5"/>
                <w:color w:val="auto"/>
              </w:rPr>
            </w:pPr>
          </w:p>
        </w:tc>
        <w:tc>
          <w:tcPr>
            <w:tcW w:w="700" w:type="dxa"/>
            <w:vAlign w:val="bottom"/>
            <w:tcBorders>
              <w:bottom w:val="single" w:sz="8" w:color="D2DCE5"/>
            </w:tcBorders>
            <w:vMerge w:val="continue"/>
            <w:shd w:val="clear" w:color="auto" w:fill="D2DCE5"/>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5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55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 xml:space="preserve">Systemwide same shop sales </w:t>
            </w:r>
            <w:r>
              <w:rPr>
                <w:rFonts w:ascii="Arial" w:cs="Arial" w:eastAsia="Arial" w:hAnsi="Arial"/>
                <w:sz w:val="18"/>
                <w:szCs w:val="18"/>
                <w:color w:val="131E29"/>
                <w:vertAlign w:val="superscript"/>
              </w:rPr>
              <w:t>3, 4</w:t>
            </w:r>
          </w:p>
        </w:tc>
        <w:tc>
          <w:tcPr>
            <w:tcW w:w="1040" w:type="dxa"/>
            <w:vAlign w:val="bottom"/>
            <w:shd w:val="clear" w:color="auto" w:fill="D2DCE5"/>
          </w:tcPr>
          <w:p>
            <w:pPr>
              <w:spacing w:after="0"/>
              <w:rPr>
                <w:sz w:val="22"/>
                <w:szCs w:val="22"/>
                <w:color w:val="auto"/>
              </w:rPr>
            </w:pPr>
          </w:p>
        </w:tc>
        <w:tc>
          <w:tcPr>
            <w:tcW w:w="80" w:type="dxa"/>
            <w:vAlign w:val="bottom"/>
            <w:shd w:val="clear" w:color="auto" w:fill="D2DCE5"/>
          </w:tcPr>
          <w:p>
            <w:pPr>
              <w:spacing w:after="0"/>
              <w:rPr>
                <w:sz w:val="22"/>
                <w:szCs w:val="22"/>
                <w:color w:val="auto"/>
              </w:rPr>
            </w:pPr>
          </w:p>
        </w:tc>
        <w:tc>
          <w:tcPr>
            <w:tcW w:w="80" w:type="dxa"/>
            <w:vAlign w:val="bottom"/>
            <w:shd w:val="clear" w:color="auto" w:fill="D2DCE5"/>
          </w:tcPr>
          <w:p>
            <w:pPr>
              <w:spacing w:after="0"/>
              <w:rPr>
                <w:sz w:val="22"/>
                <w:szCs w:val="22"/>
                <w:color w:val="auto"/>
              </w:rPr>
            </w:pPr>
          </w:p>
        </w:tc>
        <w:tc>
          <w:tcPr>
            <w:tcW w:w="80" w:type="dxa"/>
            <w:vAlign w:val="bottom"/>
            <w:shd w:val="clear" w:color="auto" w:fill="D2DCE5"/>
          </w:tcPr>
          <w:p>
            <w:pPr>
              <w:spacing w:after="0"/>
              <w:rPr>
                <w:sz w:val="22"/>
                <w:szCs w:val="22"/>
                <w:color w:val="auto"/>
              </w:rPr>
            </w:pPr>
          </w:p>
        </w:tc>
        <w:tc>
          <w:tcPr>
            <w:tcW w:w="500" w:type="dxa"/>
            <w:vAlign w:val="bottom"/>
            <w:shd w:val="clear" w:color="auto" w:fill="D2DCE5"/>
          </w:tcPr>
          <w:p>
            <w:pPr>
              <w:spacing w:after="0"/>
              <w:rPr>
                <w:sz w:val="22"/>
                <w:szCs w:val="22"/>
                <w:color w:val="auto"/>
              </w:rPr>
            </w:pPr>
          </w:p>
        </w:tc>
        <w:tc>
          <w:tcPr>
            <w:tcW w:w="920" w:type="dxa"/>
            <w:vAlign w:val="bottom"/>
            <w:gridSpan w:val="3"/>
            <w:vMerge w:val="restart"/>
            <w:shd w:val="clear" w:color="auto" w:fill="D2DCE5"/>
          </w:tcPr>
          <w:p>
            <w:pPr>
              <w:jc w:val="right"/>
              <w:spacing w:after="0"/>
              <w:rPr>
                <w:sz w:val="20"/>
                <w:szCs w:val="20"/>
                <w:color w:val="auto"/>
              </w:rPr>
            </w:pPr>
            <w:r>
              <w:rPr>
                <w:rFonts w:ascii="Arial" w:cs="Arial" w:eastAsia="Arial" w:hAnsi="Arial"/>
                <w:sz w:val="14"/>
                <w:szCs w:val="14"/>
                <w:color w:val="131E29"/>
              </w:rPr>
              <w:t>1.0 %</w:t>
            </w:r>
          </w:p>
        </w:tc>
        <w:tc>
          <w:tcPr>
            <w:tcW w:w="120" w:type="dxa"/>
            <w:vAlign w:val="bottom"/>
            <w:shd w:val="clear" w:color="auto" w:fill="D2DCE5"/>
          </w:tcPr>
          <w:p>
            <w:pPr>
              <w:spacing w:after="0"/>
              <w:rPr>
                <w:sz w:val="22"/>
                <w:szCs w:val="22"/>
                <w:color w:val="auto"/>
              </w:rPr>
            </w:pPr>
          </w:p>
        </w:tc>
        <w:tc>
          <w:tcPr>
            <w:tcW w:w="160" w:type="dxa"/>
            <w:vAlign w:val="bottom"/>
            <w:shd w:val="clear" w:color="auto" w:fill="D2DCE5"/>
          </w:tcPr>
          <w:p>
            <w:pPr>
              <w:spacing w:after="0"/>
              <w:rPr>
                <w:sz w:val="22"/>
                <w:szCs w:val="22"/>
                <w:color w:val="auto"/>
              </w:rPr>
            </w:pPr>
          </w:p>
        </w:tc>
        <w:tc>
          <w:tcPr>
            <w:tcW w:w="80" w:type="dxa"/>
            <w:vAlign w:val="bottom"/>
            <w:shd w:val="clear" w:color="auto" w:fill="D2DCE5"/>
          </w:tcPr>
          <w:p>
            <w:pPr>
              <w:spacing w:after="0"/>
              <w:rPr>
                <w:sz w:val="22"/>
                <w:szCs w:val="22"/>
                <w:color w:val="auto"/>
              </w:rPr>
            </w:pPr>
          </w:p>
        </w:tc>
        <w:tc>
          <w:tcPr>
            <w:tcW w:w="1180" w:type="dxa"/>
            <w:vAlign w:val="bottom"/>
            <w:gridSpan w:val="3"/>
            <w:vMerge w:val="restart"/>
            <w:shd w:val="clear" w:color="auto" w:fill="D2DCE5"/>
          </w:tcPr>
          <w:p>
            <w:pPr>
              <w:jc w:val="right"/>
              <w:ind w:right="20"/>
              <w:spacing w:after="0"/>
              <w:rPr>
                <w:sz w:val="20"/>
                <w:szCs w:val="20"/>
                <w:color w:val="auto"/>
              </w:rPr>
            </w:pPr>
            <w:r>
              <w:rPr>
                <w:rFonts w:ascii="Arial" w:cs="Arial" w:eastAsia="Arial" w:hAnsi="Arial"/>
                <w:sz w:val="14"/>
                <w:szCs w:val="14"/>
                <w:color w:val="131E29"/>
              </w:rPr>
              <w:t>8.4 %</w:t>
            </w:r>
          </w:p>
        </w:tc>
        <w:tc>
          <w:tcPr>
            <w:tcW w:w="120" w:type="dxa"/>
            <w:vAlign w:val="bottom"/>
            <w:shd w:val="clear" w:color="auto" w:fill="D2DCE5"/>
          </w:tcPr>
          <w:p>
            <w:pPr>
              <w:spacing w:after="0"/>
              <w:rPr>
                <w:sz w:val="22"/>
                <w:szCs w:val="22"/>
                <w:color w:val="auto"/>
              </w:rPr>
            </w:pPr>
          </w:p>
        </w:tc>
        <w:tc>
          <w:tcPr>
            <w:tcW w:w="620" w:type="dxa"/>
            <w:vAlign w:val="bottom"/>
            <w:shd w:val="clear" w:color="auto" w:fill="D2DCE5"/>
          </w:tcPr>
          <w:p>
            <w:pPr>
              <w:spacing w:after="0"/>
              <w:rPr>
                <w:sz w:val="22"/>
                <w:szCs w:val="22"/>
                <w:color w:val="auto"/>
              </w:rPr>
            </w:pPr>
          </w:p>
        </w:tc>
        <w:tc>
          <w:tcPr>
            <w:tcW w:w="80" w:type="dxa"/>
            <w:vAlign w:val="bottom"/>
            <w:shd w:val="clear" w:color="auto" w:fill="D2DCE5"/>
          </w:tcPr>
          <w:p>
            <w:pPr>
              <w:spacing w:after="0"/>
              <w:rPr>
                <w:sz w:val="22"/>
                <w:szCs w:val="22"/>
                <w:color w:val="auto"/>
              </w:rPr>
            </w:pPr>
          </w:p>
        </w:tc>
        <w:tc>
          <w:tcPr>
            <w:tcW w:w="70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2.0 %</w:t>
            </w:r>
          </w:p>
        </w:tc>
        <w:tc>
          <w:tcPr>
            <w:tcW w:w="0" w:type="dxa"/>
            <w:vAlign w:val="bottom"/>
          </w:tcPr>
          <w:p>
            <w:pPr>
              <w:spacing w:after="0"/>
              <w:rPr>
                <w:sz w:val="1"/>
                <w:szCs w:val="1"/>
                <w:color w:val="auto"/>
              </w:rPr>
            </w:pPr>
          </w:p>
        </w:tc>
      </w:tr>
      <w:tr>
        <w:trPr>
          <w:trHeight w:val="63"/>
        </w:trPr>
        <w:tc>
          <w:tcPr>
            <w:tcW w:w="5440" w:type="dxa"/>
            <w:vAlign w:val="bottom"/>
            <w:tcBorders>
              <w:bottom w:val="single" w:sz="8" w:color="D2DCE5"/>
            </w:tcBorders>
            <w:shd w:val="clear" w:color="auto" w:fill="D2DCE5"/>
          </w:tcPr>
          <w:p>
            <w:pPr>
              <w:spacing w:after="0"/>
              <w:rPr>
                <w:sz w:val="5"/>
                <w:szCs w:val="5"/>
                <w:color w:val="auto"/>
              </w:rPr>
            </w:pPr>
          </w:p>
        </w:tc>
        <w:tc>
          <w:tcPr>
            <w:tcW w:w="80" w:type="dxa"/>
            <w:vAlign w:val="bottom"/>
            <w:tcBorders>
              <w:bottom w:val="single" w:sz="8" w:color="D2DCE5"/>
            </w:tcBorders>
            <w:shd w:val="clear" w:color="auto" w:fill="D2DCE5"/>
          </w:tcPr>
          <w:p>
            <w:pPr>
              <w:spacing w:after="0"/>
              <w:rPr>
                <w:sz w:val="5"/>
                <w:szCs w:val="5"/>
                <w:color w:val="auto"/>
              </w:rPr>
            </w:pPr>
          </w:p>
        </w:tc>
        <w:tc>
          <w:tcPr>
            <w:tcW w:w="1040" w:type="dxa"/>
            <w:vAlign w:val="bottom"/>
            <w:tcBorders>
              <w:bottom w:val="single" w:sz="8" w:color="D2DCE5"/>
            </w:tcBorders>
            <w:shd w:val="clear" w:color="auto" w:fill="D2DCE5"/>
          </w:tcPr>
          <w:p>
            <w:pPr>
              <w:spacing w:after="0"/>
              <w:rPr>
                <w:sz w:val="5"/>
                <w:szCs w:val="5"/>
                <w:color w:val="auto"/>
              </w:rPr>
            </w:pPr>
          </w:p>
        </w:tc>
        <w:tc>
          <w:tcPr>
            <w:tcW w:w="80" w:type="dxa"/>
            <w:vAlign w:val="bottom"/>
            <w:tcBorders>
              <w:bottom w:val="single" w:sz="8" w:color="D2DCE5"/>
            </w:tcBorders>
            <w:shd w:val="clear" w:color="auto" w:fill="D2DCE5"/>
          </w:tcPr>
          <w:p>
            <w:pPr>
              <w:spacing w:after="0"/>
              <w:rPr>
                <w:sz w:val="5"/>
                <w:szCs w:val="5"/>
                <w:color w:val="auto"/>
              </w:rPr>
            </w:pPr>
          </w:p>
        </w:tc>
        <w:tc>
          <w:tcPr>
            <w:tcW w:w="80" w:type="dxa"/>
            <w:vAlign w:val="bottom"/>
            <w:tcBorders>
              <w:bottom w:val="single" w:sz="8" w:color="D2DCE5"/>
            </w:tcBorders>
            <w:shd w:val="clear" w:color="auto" w:fill="D2DCE5"/>
          </w:tcPr>
          <w:p>
            <w:pPr>
              <w:spacing w:after="0"/>
              <w:rPr>
                <w:sz w:val="5"/>
                <w:szCs w:val="5"/>
                <w:color w:val="auto"/>
              </w:rPr>
            </w:pPr>
          </w:p>
        </w:tc>
        <w:tc>
          <w:tcPr>
            <w:tcW w:w="80" w:type="dxa"/>
            <w:vAlign w:val="bottom"/>
            <w:tcBorders>
              <w:bottom w:val="single" w:sz="8" w:color="D2DCE5"/>
            </w:tcBorders>
            <w:shd w:val="clear" w:color="auto" w:fill="D2DCE5"/>
          </w:tcPr>
          <w:p>
            <w:pPr>
              <w:spacing w:after="0"/>
              <w:rPr>
                <w:sz w:val="5"/>
                <w:szCs w:val="5"/>
                <w:color w:val="auto"/>
              </w:rPr>
            </w:pPr>
          </w:p>
        </w:tc>
        <w:tc>
          <w:tcPr>
            <w:tcW w:w="500" w:type="dxa"/>
            <w:vAlign w:val="bottom"/>
            <w:tcBorders>
              <w:bottom w:val="single" w:sz="8" w:color="D2DCE5"/>
            </w:tcBorders>
            <w:shd w:val="clear" w:color="auto" w:fill="D2DCE5"/>
          </w:tcPr>
          <w:p>
            <w:pPr>
              <w:spacing w:after="0"/>
              <w:rPr>
                <w:sz w:val="5"/>
                <w:szCs w:val="5"/>
                <w:color w:val="auto"/>
              </w:rPr>
            </w:pPr>
          </w:p>
        </w:tc>
        <w:tc>
          <w:tcPr>
            <w:tcW w:w="920" w:type="dxa"/>
            <w:vAlign w:val="bottom"/>
            <w:tcBorders>
              <w:bottom w:val="single" w:sz="8" w:color="D2DCE5"/>
            </w:tcBorders>
            <w:gridSpan w:val="3"/>
            <w:vMerge w:val="continue"/>
            <w:shd w:val="clear" w:color="auto" w:fill="D2DCE5"/>
          </w:tcPr>
          <w:p>
            <w:pPr>
              <w:spacing w:after="0"/>
              <w:rPr>
                <w:sz w:val="5"/>
                <w:szCs w:val="5"/>
                <w:color w:val="auto"/>
              </w:rPr>
            </w:pPr>
          </w:p>
        </w:tc>
        <w:tc>
          <w:tcPr>
            <w:tcW w:w="120" w:type="dxa"/>
            <w:vAlign w:val="bottom"/>
            <w:tcBorders>
              <w:bottom w:val="single" w:sz="8" w:color="D2DCE5"/>
            </w:tcBorders>
            <w:shd w:val="clear" w:color="auto" w:fill="D2DCE5"/>
          </w:tcPr>
          <w:p>
            <w:pPr>
              <w:spacing w:after="0"/>
              <w:rPr>
                <w:sz w:val="5"/>
                <w:szCs w:val="5"/>
                <w:color w:val="auto"/>
              </w:rPr>
            </w:pPr>
          </w:p>
        </w:tc>
        <w:tc>
          <w:tcPr>
            <w:tcW w:w="160" w:type="dxa"/>
            <w:vAlign w:val="bottom"/>
            <w:tcBorders>
              <w:bottom w:val="single" w:sz="8" w:color="D2DCE5"/>
            </w:tcBorders>
            <w:shd w:val="clear" w:color="auto" w:fill="D2DCE5"/>
          </w:tcPr>
          <w:p>
            <w:pPr>
              <w:spacing w:after="0"/>
              <w:rPr>
                <w:sz w:val="5"/>
                <w:szCs w:val="5"/>
                <w:color w:val="auto"/>
              </w:rPr>
            </w:pPr>
          </w:p>
        </w:tc>
        <w:tc>
          <w:tcPr>
            <w:tcW w:w="80" w:type="dxa"/>
            <w:vAlign w:val="bottom"/>
            <w:tcBorders>
              <w:bottom w:val="single" w:sz="8" w:color="D2DCE5"/>
            </w:tcBorders>
            <w:shd w:val="clear" w:color="auto" w:fill="D2DCE5"/>
          </w:tcPr>
          <w:p>
            <w:pPr>
              <w:spacing w:after="0"/>
              <w:rPr>
                <w:sz w:val="5"/>
                <w:szCs w:val="5"/>
                <w:color w:val="auto"/>
              </w:rPr>
            </w:pPr>
          </w:p>
        </w:tc>
        <w:tc>
          <w:tcPr>
            <w:tcW w:w="1180" w:type="dxa"/>
            <w:vAlign w:val="bottom"/>
            <w:tcBorders>
              <w:bottom w:val="single" w:sz="8" w:color="D2DCE5"/>
            </w:tcBorders>
            <w:gridSpan w:val="3"/>
            <w:vMerge w:val="continue"/>
            <w:shd w:val="clear" w:color="auto" w:fill="D2DCE5"/>
          </w:tcPr>
          <w:p>
            <w:pPr>
              <w:spacing w:after="0"/>
              <w:rPr>
                <w:sz w:val="5"/>
                <w:szCs w:val="5"/>
                <w:color w:val="auto"/>
              </w:rPr>
            </w:pPr>
          </w:p>
        </w:tc>
        <w:tc>
          <w:tcPr>
            <w:tcW w:w="120" w:type="dxa"/>
            <w:vAlign w:val="bottom"/>
            <w:tcBorders>
              <w:bottom w:val="single" w:sz="8" w:color="D2DCE5"/>
            </w:tcBorders>
            <w:shd w:val="clear" w:color="auto" w:fill="D2DCE5"/>
          </w:tcPr>
          <w:p>
            <w:pPr>
              <w:spacing w:after="0"/>
              <w:rPr>
                <w:sz w:val="5"/>
                <w:szCs w:val="5"/>
                <w:color w:val="auto"/>
              </w:rPr>
            </w:pPr>
          </w:p>
        </w:tc>
        <w:tc>
          <w:tcPr>
            <w:tcW w:w="620" w:type="dxa"/>
            <w:vAlign w:val="bottom"/>
            <w:tcBorders>
              <w:bottom w:val="single" w:sz="8" w:color="D2DCE5"/>
            </w:tcBorders>
            <w:shd w:val="clear" w:color="auto" w:fill="D2DCE5"/>
          </w:tcPr>
          <w:p>
            <w:pPr>
              <w:spacing w:after="0"/>
              <w:rPr>
                <w:sz w:val="5"/>
                <w:szCs w:val="5"/>
                <w:color w:val="auto"/>
              </w:rPr>
            </w:pPr>
          </w:p>
        </w:tc>
        <w:tc>
          <w:tcPr>
            <w:tcW w:w="80" w:type="dxa"/>
            <w:vAlign w:val="bottom"/>
            <w:tcBorders>
              <w:bottom w:val="single" w:sz="8" w:color="D2DCE5"/>
            </w:tcBorders>
            <w:shd w:val="clear" w:color="auto" w:fill="D2DCE5"/>
          </w:tcPr>
          <w:p>
            <w:pPr>
              <w:spacing w:after="0"/>
              <w:rPr>
                <w:sz w:val="5"/>
                <w:szCs w:val="5"/>
                <w:color w:val="auto"/>
              </w:rPr>
            </w:pPr>
          </w:p>
        </w:tc>
        <w:tc>
          <w:tcPr>
            <w:tcW w:w="700" w:type="dxa"/>
            <w:vAlign w:val="bottom"/>
            <w:tcBorders>
              <w:bottom w:val="single" w:sz="8" w:color="D2DCE5"/>
            </w:tcBorders>
            <w:vMerge w:val="continue"/>
            <w:shd w:val="clear" w:color="auto" w:fill="D2DCE5"/>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5520" w:type="dxa"/>
            <w:vAlign w:val="bottom"/>
            <w:gridSpan w:val="2"/>
          </w:tcPr>
          <w:p>
            <w:pPr>
              <w:ind w:left="140"/>
              <w:spacing w:after="0"/>
              <w:rPr>
                <w:sz w:val="20"/>
                <w:szCs w:val="20"/>
                <w:color w:val="auto"/>
              </w:rPr>
            </w:pPr>
            <w:r>
              <w:rPr>
                <w:rFonts w:ascii="Arial" w:cs="Arial" w:eastAsia="Arial" w:hAnsi="Arial"/>
                <w:sz w:val="14"/>
                <w:szCs w:val="14"/>
                <w:color w:val="131E29"/>
              </w:rPr>
              <w:t xml:space="preserve">Company-operated same shop sales </w:t>
            </w:r>
            <w:r>
              <w:rPr>
                <w:rFonts w:ascii="Arial" w:cs="Arial" w:eastAsia="Arial" w:hAnsi="Arial"/>
                <w:sz w:val="18"/>
                <w:szCs w:val="18"/>
                <w:color w:val="131E29"/>
                <w:vertAlign w:val="superscript"/>
              </w:rPr>
              <w:t>3</w:t>
            </w: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20" w:type="dxa"/>
            <w:vAlign w:val="bottom"/>
            <w:gridSpan w:val="3"/>
            <w:vMerge w:val="restart"/>
          </w:tcPr>
          <w:p>
            <w:pPr>
              <w:jc w:val="right"/>
              <w:spacing w:after="0"/>
              <w:rPr>
                <w:sz w:val="20"/>
                <w:szCs w:val="20"/>
                <w:color w:val="auto"/>
              </w:rPr>
            </w:pPr>
            <w:r>
              <w:rPr>
                <w:rFonts w:ascii="Arial" w:cs="Arial" w:eastAsia="Arial" w:hAnsi="Arial"/>
                <w:sz w:val="14"/>
                <w:szCs w:val="14"/>
                <w:color w:val="131E29"/>
              </w:rPr>
              <w:t>0.6 %</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gridSpan w:val="3"/>
            <w:vMerge w:val="restart"/>
          </w:tcPr>
          <w:p>
            <w:pPr>
              <w:jc w:val="right"/>
              <w:ind w:right="20"/>
              <w:spacing w:after="0"/>
              <w:rPr>
                <w:sz w:val="20"/>
                <w:szCs w:val="20"/>
                <w:color w:val="auto"/>
              </w:rPr>
            </w:pPr>
            <w:r>
              <w:rPr>
                <w:rFonts w:ascii="Arial" w:cs="Arial" w:eastAsia="Arial" w:hAnsi="Arial"/>
                <w:sz w:val="14"/>
                <w:szCs w:val="14"/>
                <w:color w:val="131E29"/>
              </w:rPr>
              <w:t>9.0 %</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131E29"/>
              </w:rPr>
              <w:t>0.8 %</w:t>
            </w:r>
          </w:p>
        </w:tc>
        <w:tc>
          <w:tcPr>
            <w:tcW w:w="0" w:type="dxa"/>
            <w:vAlign w:val="bottom"/>
          </w:tcPr>
          <w:p>
            <w:pPr>
              <w:spacing w:after="0"/>
              <w:rPr>
                <w:sz w:val="1"/>
                <w:szCs w:val="1"/>
                <w:color w:val="auto"/>
              </w:rPr>
            </w:pPr>
          </w:p>
        </w:tc>
      </w:tr>
      <w:tr>
        <w:trPr>
          <w:trHeight w:val="61"/>
        </w:trPr>
        <w:tc>
          <w:tcPr>
            <w:tcW w:w="5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5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544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104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50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76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120" w:type="dxa"/>
            <w:vAlign w:val="bottom"/>
            <w:shd w:val="clear" w:color="auto" w:fill="D2DCE5"/>
          </w:tcPr>
          <w:p>
            <w:pPr>
              <w:spacing w:after="0"/>
              <w:rPr>
                <w:sz w:val="11"/>
                <w:szCs w:val="11"/>
                <w:color w:val="auto"/>
              </w:rPr>
            </w:pPr>
          </w:p>
        </w:tc>
        <w:tc>
          <w:tcPr>
            <w:tcW w:w="16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72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380" w:type="dxa"/>
            <w:vAlign w:val="bottom"/>
            <w:shd w:val="clear" w:color="auto" w:fill="D2DCE5"/>
          </w:tcPr>
          <w:p>
            <w:pPr>
              <w:spacing w:after="0"/>
              <w:rPr>
                <w:sz w:val="11"/>
                <w:szCs w:val="11"/>
                <w:color w:val="auto"/>
              </w:rPr>
            </w:pPr>
          </w:p>
        </w:tc>
        <w:tc>
          <w:tcPr>
            <w:tcW w:w="120" w:type="dxa"/>
            <w:vAlign w:val="bottom"/>
            <w:shd w:val="clear" w:color="auto" w:fill="D2DCE5"/>
          </w:tcPr>
          <w:p>
            <w:pPr>
              <w:spacing w:after="0"/>
              <w:rPr>
                <w:sz w:val="11"/>
                <w:szCs w:val="11"/>
                <w:color w:val="auto"/>
              </w:rPr>
            </w:pPr>
          </w:p>
        </w:tc>
        <w:tc>
          <w:tcPr>
            <w:tcW w:w="62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700" w:type="dxa"/>
            <w:vAlign w:val="bottom"/>
            <w:shd w:val="clear" w:color="auto" w:fill="D2DCE5"/>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5520" w:type="dxa"/>
            <w:vAlign w:val="bottom"/>
            <w:gridSpan w:val="2"/>
          </w:tcPr>
          <w:p>
            <w:pPr>
              <w:ind w:left="20"/>
              <w:spacing w:after="0"/>
              <w:rPr>
                <w:sz w:val="20"/>
                <w:szCs w:val="20"/>
                <w:color w:val="auto"/>
              </w:rPr>
            </w:pPr>
            <w:r>
              <w:rPr>
                <w:rFonts w:ascii="Arial" w:cs="Arial" w:eastAsia="Arial" w:hAnsi="Arial"/>
                <w:sz w:val="14"/>
                <w:szCs w:val="14"/>
                <w:color w:val="131E29"/>
              </w:rPr>
              <w:t xml:space="preserve">Systemwide sales </w:t>
            </w:r>
            <w:r>
              <w:rPr>
                <w:rFonts w:ascii="Arial" w:cs="Arial" w:eastAsia="Arial" w:hAnsi="Arial"/>
                <w:sz w:val="18"/>
                <w:szCs w:val="18"/>
                <w:color w:val="131E29"/>
                <w:vertAlign w:val="superscript"/>
              </w:rPr>
              <w:t>4</w:t>
            </w: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vMerge w:val="restart"/>
          </w:tcPr>
          <w:p>
            <w:pPr>
              <w:jc w:val="right"/>
              <w:ind w:right="329"/>
              <w:spacing w:after="0"/>
              <w:rPr>
                <w:sz w:val="20"/>
                <w:szCs w:val="20"/>
                <w:color w:val="auto"/>
              </w:rPr>
            </w:pPr>
            <w:r>
              <w:rPr>
                <w:rFonts w:ascii="Arial" w:cs="Arial" w:eastAsia="Arial" w:hAnsi="Arial"/>
                <w:sz w:val="14"/>
                <w:szCs w:val="14"/>
                <w:color w:val="131E29"/>
              </w:rPr>
              <w:t>$</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131E29"/>
              </w:rPr>
              <w:t>1,163,182</w:t>
            </w:r>
          </w:p>
        </w:tc>
        <w:tc>
          <w:tcPr>
            <w:tcW w:w="360" w:type="dxa"/>
            <w:vAlign w:val="bottom"/>
            <w:gridSpan w:val="3"/>
            <w:vMerge w:val="restart"/>
          </w:tcPr>
          <w:p>
            <w:pPr>
              <w:jc w:val="right"/>
              <w:ind w:right="60"/>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22"/>
                <w:szCs w:val="22"/>
                <w:color w:val="auto"/>
              </w:rPr>
            </w:pPr>
          </w:p>
        </w:tc>
        <w:tc>
          <w:tcPr>
            <w:tcW w:w="118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131E29"/>
              </w:rPr>
              <w:t>913,822</w:t>
            </w:r>
          </w:p>
        </w:tc>
        <w:tc>
          <w:tcPr>
            <w:tcW w:w="120" w:type="dxa"/>
            <w:vAlign w:val="bottom"/>
          </w:tcPr>
          <w:p>
            <w:pPr>
              <w:spacing w:after="0"/>
              <w:rPr>
                <w:sz w:val="22"/>
                <w:szCs w:val="22"/>
                <w:color w:val="auto"/>
              </w:rPr>
            </w:pPr>
          </w:p>
        </w:tc>
        <w:tc>
          <w:tcPr>
            <w:tcW w:w="620" w:type="dxa"/>
            <w:vAlign w:val="bottom"/>
            <w:vMerge w:val="restart"/>
          </w:tcPr>
          <w:p>
            <w:pPr>
              <w:jc w:val="right"/>
              <w:ind w:right="469"/>
              <w:spacing w:after="0"/>
              <w:rPr>
                <w:sz w:val="20"/>
                <w:szCs w:val="20"/>
                <w:color w:val="auto"/>
              </w:rPr>
            </w:pPr>
            <w:r>
              <w:rPr>
                <w:rFonts w:ascii="Arial" w:cs="Arial" w:eastAsia="Arial" w:hAnsi="Arial"/>
                <w:sz w:val="14"/>
                <w:szCs w:val="14"/>
                <w:color w:val="131E29"/>
                <w:w w:val="76"/>
              </w:rPr>
              <w:t>$</w:t>
            </w:r>
          </w:p>
        </w:tc>
        <w:tc>
          <w:tcPr>
            <w:tcW w:w="80" w:type="dxa"/>
            <w:vAlign w:val="bottom"/>
          </w:tcPr>
          <w:p>
            <w:pPr>
              <w:spacing w:after="0"/>
              <w:rPr>
                <w:sz w:val="22"/>
                <w:szCs w:val="22"/>
                <w:color w:val="auto"/>
              </w:rPr>
            </w:pPr>
          </w:p>
        </w:tc>
        <w:tc>
          <w:tcPr>
            <w:tcW w:w="700" w:type="dxa"/>
            <w:vAlign w:val="bottom"/>
            <w:vMerge w:val="restart"/>
          </w:tcPr>
          <w:p>
            <w:pPr>
              <w:jc w:val="right"/>
              <w:ind w:right="29"/>
              <w:spacing w:after="0"/>
              <w:rPr>
                <w:sz w:val="20"/>
                <w:szCs w:val="20"/>
                <w:color w:val="auto"/>
              </w:rPr>
            </w:pPr>
            <w:r>
              <w:rPr>
                <w:rFonts w:ascii="Arial" w:cs="Arial" w:eastAsia="Arial" w:hAnsi="Arial"/>
                <w:sz w:val="14"/>
                <w:szCs w:val="14"/>
                <w:color w:val="131E29"/>
              </w:rPr>
              <w:t>687,238</w:t>
            </w:r>
          </w:p>
        </w:tc>
        <w:tc>
          <w:tcPr>
            <w:tcW w:w="0" w:type="dxa"/>
            <w:vAlign w:val="bottom"/>
          </w:tcPr>
          <w:p>
            <w:pPr>
              <w:spacing w:after="0"/>
              <w:rPr>
                <w:sz w:val="1"/>
                <w:szCs w:val="1"/>
                <w:color w:val="auto"/>
              </w:rPr>
            </w:pPr>
          </w:p>
        </w:tc>
      </w:tr>
      <w:tr>
        <w:trPr>
          <w:trHeight w:val="61"/>
        </w:trPr>
        <w:tc>
          <w:tcPr>
            <w:tcW w:w="5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36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5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5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 xml:space="preserve">Company-operated operating weeks </w:t>
            </w:r>
            <w:r>
              <w:rPr>
                <w:rFonts w:ascii="Arial" w:cs="Arial" w:eastAsia="Arial" w:hAnsi="Arial"/>
                <w:sz w:val="18"/>
                <w:szCs w:val="18"/>
                <w:color w:val="131E29"/>
                <w:vertAlign w:val="superscript"/>
              </w:rPr>
              <w:t>5</w:t>
            </w:r>
          </w:p>
        </w:tc>
        <w:tc>
          <w:tcPr>
            <w:tcW w:w="1040" w:type="dxa"/>
            <w:vAlign w:val="bottom"/>
            <w:shd w:val="clear" w:color="auto" w:fill="D2DCE5"/>
          </w:tcPr>
          <w:p>
            <w:pPr>
              <w:spacing w:after="0"/>
              <w:rPr>
                <w:sz w:val="22"/>
                <w:szCs w:val="22"/>
                <w:color w:val="auto"/>
              </w:rPr>
            </w:pPr>
          </w:p>
        </w:tc>
        <w:tc>
          <w:tcPr>
            <w:tcW w:w="80" w:type="dxa"/>
            <w:vAlign w:val="bottom"/>
            <w:shd w:val="clear" w:color="auto" w:fill="D2DCE5"/>
          </w:tcPr>
          <w:p>
            <w:pPr>
              <w:spacing w:after="0"/>
              <w:rPr>
                <w:sz w:val="22"/>
                <w:szCs w:val="22"/>
                <w:color w:val="auto"/>
              </w:rPr>
            </w:pPr>
          </w:p>
        </w:tc>
        <w:tc>
          <w:tcPr>
            <w:tcW w:w="80" w:type="dxa"/>
            <w:vAlign w:val="bottom"/>
            <w:shd w:val="clear" w:color="auto" w:fill="D2DCE5"/>
          </w:tcPr>
          <w:p>
            <w:pPr>
              <w:spacing w:after="0"/>
              <w:rPr>
                <w:sz w:val="22"/>
                <w:szCs w:val="22"/>
                <w:color w:val="auto"/>
              </w:rPr>
            </w:pPr>
          </w:p>
        </w:tc>
        <w:tc>
          <w:tcPr>
            <w:tcW w:w="80" w:type="dxa"/>
            <w:vAlign w:val="bottom"/>
            <w:shd w:val="clear" w:color="auto" w:fill="D2DCE5"/>
          </w:tcPr>
          <w:p>
            <w:pPr>
              <w:spacing w:after="0"/>
              <w:rPr>
                <w:sz w:val="22"/>
                <w:szCs w:val="22"/>
                <w:color w:val="auto"/>
              </w:rPr>
            </w:pPr>
          </w:p>
        </w:tc>
        <w:tc>
          <w:tcPr>
            <w:tcW w:w="500" w:type="dxa"/>
            <w:vAlign w:val="bottom"/>
            <w:shd w:val="clear" w:color="auto" w:fill="D2DCE5"/>
          </w:tcPr>
          <w:p>
            <w:pPr>
              <w:spacing w:after="0"/>
              <w:rPr>
                <w:sz w:val="22"/>
                <w:szCs w:val="22"/>
                <w:color w:val="auto"/>
              </w:rPr>
            </w:pPr>
          </w:p>
        </w:tc>
        <w:tc>
          <w:tcPr>
            <w:tcW w:w="840" w:type="dxa"/>
            <w:vAlign w:val="bottom"/>
            <w:gridSpan w:val="2"/>
            <w:vMerge w:val="restart"/>
            <w:shd w:val="clear" w:color="auto" w:fill="D2DCE5"/>
          </w:tcPr>
          <w:p>
            <w:pPr>
              <w:jc w:val="right"/>
              <w:spacing w:after="0"/>
              <w:rPr>
                <w:sz w:val="20"/>
                <w:szCs w:val="20"/>
                <w:color w:val="auto"/>
              </w:rPr>
            </w:pPr>
            <w:r>
              <w:rPr>
                <w:rFonts w:ascii="Arial" w:cs="Arial" w:eastAsia="Arial" w:hAnsi="Arial"/>
                <w:sz w:val="14"/>
                <w:szCs w:val="14"/>
                <w:color w:val="131E29"/>
              </w:rPr>
              <w:t>17,489</w:t>
            </w:r>
          </w:p>
        </w:tc>
        <w:tc>
          <w:tcPr>
            <w:tcW w:w="80" w:type="dxa"/>
            <w:vAlign w:val="bottom"/>
            <w:shd w:val="clear" w:color="auto" w:fill="D2DCE5"/>
          </w:tcPr>
          <w:p>
            <w:pPr>
              <w:spacing w:after="0"/>
              <w:rPr>
                <w:sz w:val="22"/>
                <w:szCs w:val="22"/>
                <w:color w:val="auto"/>
              </w:rPr>
            </w:pPr>
          </w:p>
        </w:tc>
        <w:tc>
          <w:tcPr>
            <w:tcW w:w="120" w:type="dxa"/>
            <w:vAlign w:val="bottom"/>
            <w:shd w:val="clear" w:color="auto" w:fill="D2DCE5"/>
          </w:tcPr>
          <w:p>
            <w:pPr>
              <w:spacing w:after="0"/>
              <w:rPr>
                <w:sz w:val="22"/>
                <w:szCs w:val="22"/>
                <w:color w:val="auto"/>
              </w:rPr>
            </w:pPr>
          </w:p>
        </w:tc>
        <w:tc>
          <w:tcPr>
            <w:tcW w:w="160" w:type="dxa"/>
            <w:vAlign w:val="bottom"/>
            <w:shd w:val="clear" w:color="auto" w:fill="D2DCE5"/>
          </w:tcPr>
          <w:p>
            <w:pPr>
              <w:spacing w:after="0"/>
              <w:rPr>
                <w:sz w:val="22"/>
                <w:szCs w:val="22"/>
                <w:color w:val="auto"/>
              </w:rPr>
            </w:pPr>
          </w:p>
        </w:tc>
        <w:tc>
          <w:tcPr>
            <w:tcW w:w="80" w:type="dxa"/>
            <w:vAlign w:val="bottom"/>
            <w:shd w:val="clear" w:color="auto" w:fill="D2DCE5"/>
          </w:tcPr>
          <w:p>
            <w:pPr>
              <w:spacing w:after="0"/>
              <w:rPr>
                <w:sz w:val="22"/>
                <w:szCs w:val="22"/>
                <w:color w:val="auto"/>
              </w:rPr>
            </w:pPr>
          </w:p>
        </w:tc>
        <w:tc>
          <w:tcPr>
            <w:tcW w:w="1180" w:type="dxa"/>
            <w:vAlign w:val="bottom"/>
            <w:gridSpan w:val="3"/>
            <w:vMerge w:val="restart"/>
            <w:shd w:val="clear" w:color="auto" w:fill="D2DCE5"/>
          </w:tcPr>
          <w:p>
            <w:pPr>
              <w:jc w:val="right"/>
              <w:ind w:right="100"/>
              <w:spacing w:after="0"/>
              <w:rPr>
                <w:sz w:val="20"/>
                <w:szCs w:val="20"/>
                <w:color w:val="auto"/>
              </w:rPr>
            </w:pPr>
            <w:r>
              <w:rPr>
                <w:rFonts w:ascii="Arial" w:cs="Arial" w:eastAsia="Arial" w:hAnsi="Arial"/>
                <w:sz w:val="14"/>
                <w:szCs w:val="14"/>
                <w:color w:val="131E29"/>
              </w:rPr>
              <w:t>11,526</w:t>
            </w:r>
          </w:p>
        </w:tc>
        <w:tc>
          <w:tcPr>
            <w:tcW w:w="120" w:type="dxa"/>
            <w:vAlign w:val="bottom"/>
            <w:shd w:val="clear" w:color="auto" w:fill="D2DCE5"/>
          </w:tcPr>
          <w:p>
            <w:pPr>
              <w:spacing w:after="0"/>
              <w:rPr>
                <w:sz w:val="22"/>
                <w:szCs w:val="22"/>
                <w:color w:val="auto"/>
              </w:rPr>
            </w:pPr>
          </w:p>
        </w:tc>
        <w:tc>
          <w:tcPr>
            <w:tcW w:w="620" w:type="dxa"/>
            <w:vAlign w:val="bottom"/>
            <w:shd w:val="clear" w:color="auto" w:fill="D2DCE5"/>
          </w:tcPr>
          <w:p>
            <w:pPr>
              <w:spacing w:after="0"/>
              <w:rPr>
                <w:sz w:val="22"/>
                <w:szCs w:val="22"/>
                <w:color w:val="auto"/>
              </w:rPr>
            </w:pPr>
          </w:p>
        </w:tc>
        <w:tc>
          <w:tcPr>
            <w:tcW w:w="80" w:type="dxa"/>
            <w:vAlign w:val="bottom"/>
            <w:shd w:val="clear" w:color="auto" w:fill="D2DCE5"/>
          </w:tcPr>
          <w:p>
            <w:pPr>
              <w:spacing w:after="0"/>
              <w:rPr>
                <w:sz w:val="22"/>
                <w:szCs w:val="22"/>
                <w:color w:val="auto"/>
              </w:rPr>
            </w:pPr>
          </w:p>
        </w:tc>
        <w:tc>
          <w:tcPr>
            <w:tcW w:w="700" w:type="dxa"/>
            <w:vAlign w:val="bottom"/>
            <w:vMerge w:val="restart"/>
            <w:shd w:val="clear" w:color="auto" w:fill="D2DCE5"/>
          </w:tcPr>
          <w:p>
            <w:pPr>
              <w:jc w:val="right"/>
              <w:ind w:right="29"/>
              <w:spacing w:after="0"/>
              <w:rPr>
                <w:sz w:val="20"/>
                <w:szCs w:val="20"/>
                <w:color w:val="auto"/>
              </w:rPr>
            </w:pPr>
            <w:r>
              <w:rPr>
                <w:rFonts w:ascii="Arial" w:cs="Arial" w:eastAsia="Arial" w:hAnsi="Arial"/>
                <w:sz w:val="14"/>
                <w:szCs w:val="14"/>
                <w:color w:val="131E29"/>
              </w:rPr>
              <w:t>8,316</w:t>
            </w:r>
          </w:p>
        </w:tc>
        <w:tc>
          <w:tcPr>
            <w:tcW w:w="0" w:type="dxa"/>
            <w:vAlign w:val="bottom"/>
          </w:tcPr>
          <w:p>
            <w:pPr>
              <w:spacing w:after="0"/>
              <w:rPr>
                <w:sz w:val="1"/>
                <w:szCs w:val="1"/>
                <w:color w:val="auto"/>
              </w:rPr>
            </w:pPr>
          </w:p>
        </w:tc>
      </w:tr>
      <w:tr>
        <w:trPr>
          <w:trHeight w:val="63"/>
        </w:trPr>
        <w:tc>
          <w:tcPr>
            <w:tcW w:w="5440" w:type="dxa"/>
            <w:vAlign w:val="bottom"/>
            <w:tcBorders>
              <w:bottom w:val="single" w:sz="8" w:color="D2DCE5"/>
            </w:tcBorders>
            <w:shd w:val="clear" w:color="auto" w:fill="D2DCE5"/>
          </w:tcPr>
          <w:p>
            <w:pPr>
              <w:spacing w:after="0"/>
              <w:rPr>
                <w:sz w:val="5"/>
                <w:szCs w:val="5"/>
                <w:color w:val="auto"/>
              </w:rPr>
            </w:pPr>
          </w:p>
        </w:tc>
        <w:tc>
          <w:tcPr>
            <w:tcW w:w="80" w:type="dxa"/>
            <w:vAlign w:val="bottom"/>
            <w:tcBorders>
              <w:bottom w:val="single" w:sz="8" w:color="D2DCE5"/>
            </w:tcBorders>
            <w:shd w:val="clear" w:color="auto" w:fill="D2DCE5"/>
          </w:tcPr>
          <w:p>
            <w:pPr>
              <w:spacing w:after="0"/>
              <w:rPr>
                <w:sz w:val="5"/>
                <w:szCs w:val="5"/>
                <w:color w:val="auto"/>
              </w:rPr>
            </w:pPr>
          </w:p>
        </w:tc>
        <w:tc>
          <w:tcPr>
            <w:tcW w:w="1040" w:type="dxa"/>
            <w:vAlign w:val="bottom"/>
            <w:tcBorders>
              <w:bottom w:val="single" w:sz="8" w:color="D2DCE5"/>
            </w:tcBorders>
            <w:shd w:val="clear" w:color="auto" w:fill="D2DCE5"/>
          </w:tcPr>
          <w:p>
            <w:pPr>
              <w:spacing w:after="0"/>
              <w:rPr>
                <w:sz w:val="5"/>
                <w:szCs w:val="5"/>
                <w:color w:val="auto"/>
              </w:rPr>
            </w:pPr>
          </w:p>
        </w:tc>
        <w:tc>
          <w:tcPr>
            <w:tcW w:w="80" w:type="dxa"/>
            <w:vAlign w:val="bottom"/>
            <w:tcBorders>
              <w:bottom w:val="single" w:sz="8" w:color="D2DCE5"/>
            </w:tcBorders>
            <w:shd w:val="clear" w:color="auto" w:fill="D2DCE5"/>
          </w:tcPr>
          <w:p>
            <w:pPr>
              <w:spacing w:after="0"/>
              <w:rPr>
                <w:sz w:val="5"/>
                <w:szCs w:val="5"/>
                <w:color w:val="auto"/>
              </w:rPr>
            </w:pPr>
          </w:p>
        </w:tc>
        <w:tc>
          <w:tcPr>
            <w:tcW w:w="80" w:type="dxa"/>
            <w:vAlign w:val="bottom"/>
            <w:tcBorders>
              <w:bottom w:val="single" w:sz="8" w:color="D2DCE5"/>
            </w:tcBorders>
            <w:shd w:val="clear" w:color="auto" w:fill="D2DCE5"/>
          </w:tcPr>
          <w:p>
            <w:pPr>
              <w:spacing w:after="0"/>
              <w:rPr>
                <w:sz w:val="5"/>
                <w:szCs w:val="5"/>
                <w:color w:val="auto"/>
              </w:rPr>
            </w:pPr>
          </w:p>
        </w:tc>
        <w:tc>
          <w:tcPr>
            <w:tcW w:w="80" w:type="dxa"/>
            <w:vAlign w:val="bottom"/>
            <w:tcBorders>
              <w:bottom w:val="single" w:sz="8" w:color="D2DCE5"/>
            </w:tcBorders>
            <w:shd w:val="clear" w:color="auto" w:fill="D2DCE5"/>
          </w:tcPr>
          <w:p>
            <w:pPr>
              <w:spacing w:after="0"/>
              <w:rPr>
                <w:sz w:val="5"/>
                <w:szCs w:val="5"/>
                <w:color w:val="auto"/>
              </w:rPr>
            </w:pPr>
          </w:p>
        </w:tc>
        <w:tc>
          <w:tcPr>
            <w:tcW w:w="500" w:type="dxa"/>
            <w:vAlign w:val="bottom"/>
            <w:tcBorders>
              <w:bottom w:val="single" w:sz="8" w:color="D2DCE5"/>
            </w:tcBorders>
            <w:shd w:val="clear" w:color="auto" w:fill="D2DCE5"/>
          </w:tcPr>
          <w:p>
            <w:pPr>
              <w:spacing w:after="0"/>
              <w:rPr>
                <w:sz w:val="5"/>
                <w:szCs w:val="5"/>
                <w:color w:val="auto"/>
              </w:rPr>
            </w:pPr>
          </w:p>
        </w:tc>
        <w:tc>
          <w:tcPr>
            <w:tcW w:w="840" w:type="dxa"/>
            <w:vAlign w:val="bottom"/>
            <w:tcBorders>
              <w:bottom w:val="single" w:sz="8" w:color="D2DCE5"/>
            </w:tcBorders>
            <w:gridSpan w:val="2"/>
            <w:vMerge w:val="continue"/>
            <w:shd w:val="clear" w:color="auto" w:fill="D2DCE5"/>
          </w:tcPr>
          <w:p>
            <w:pPr>
              <w:spacing w:after="0"/>
              <w:rPr>
                <w:sz w:val="5"/>
                <w:szCs w:val="5"/>
                <w:color w:val="auto"/>
              </w:rPr>
            </w:pPr>
          </w:p>
        </w:tc>
        <w:tc>
          <w:tcPr>
            <w:tcW w:w="80" w:type="dxa"/>
            <w:vAlign w:val="bottom"/>
            <w:tcBorders>
              <w:bottom w:val="single" w:sz="8" w:color="D2DCE5"/>
            </w:tcBorders>
            <w:shd w:val="clear" w:color="auto" w:fill="D2DCE5"/>
          </w:tcPr>
          <w:p>
            <w:pPr>
              <w:spacing w:after="0"/>
              <w:rPr>
                <w:sz w:val="5"/>
                <w:szCs w:val="5"/>
                <w:color w:val="auto"/>
              </w:rPr>
            </w:pPr>
          </w:p>
        </w:tc>
        <w:tc>
          <w:tcPr>
            <w:tcW w:w="120" w:type="dxa"/>
            <w:vAlign w:val="bottom"/>
            <w:tcBorders>
              <w:bottom w:val="single" w:sz="8" w:color="D2DCE5"/>
            </w:tcBorders>
            <w:shd w:val="clear" w:color="auto" w:fill="D2DCE5"/>
          </w:tcPr>
          <w:p>
            <w:pPr>
              <w:spacing w:after="0"/>
              <w:rPr>
                <w:sz w:val="5"/>
                <w:szCs w:val="5"/>
                <w:color w:val="auto"/>
              </w:rPr>
            </w:pPr>
          </w:p>
        </w:tc>
        <w:tc>
          <w:tcPr>
            <w:tcW w:w="160" w:type="dxa"/>
            <w:vAlign w:val="bottom"/>
            <w:tcBorders>
              <w:bottom w:val="single" w:sz="8" w:color="D2DCE5"/>
            </w:tcBorders>
            <w:shd w:val="clear" w:color="auto" w:fill="D2DCE5"/>
          </w:tcPr>
          <w:p>
            <w:pPr>
              <w:spacing w:after="0"/>
              <w:rPr>
                <w:sz w:val="5"/>
                <w:szCs w:val="5"/>
                <w:color w:val="auto"/>
              </w:rPr>
            </w:pPr>
          </w:p>
        </w:tc>
        <w:tc>
          <w:tcPr>
            <w:tcW w:w="80" w:type="dxa"/>
            <w:vAlign w:val="bottom"/>
            <w:tcBorders>
              <w:bottom w:val="single" w:sz="8" w:color="D2DCE5"/>
            </w:tcBorders>
            <w:shd w:val="clear" w:color="auto" w:fill="D2DCE5"/>
          </w:tcPr>
          <w:p>
            <w:pPr>
              <w:spacing w:after="0"/>
              <w:rPr>
                <w:sz w:val="5"/>
                <w:szCs w:val="5"/>
                <w:color w:val="auto"/>
              </w:rPr>
            </w:pPr>
          </w:p>
        </w:tc>
        <w:tc>
          <w:tcPr>
            <w:tcW w:w="1180" w:type="dxa"/>
            <w:vAlign w:val="bottom"/>
            <w:tcBorders>
              <w:bottom w:val="single" w:sz="8" w:color="D2DCE5"/>
            </w:tcBorders>
            <w:gridSpan w:val="3"/>
            <w:vMerge w:val="continue"/>
            <w:shd w:val="clear" w:color="auto" w:fill="D2DCE5"/>
          </w:tcPr>
          <w:p>
            <w:pPr>
              <w:spacing w:after="0"/>
              <w:rPr>
                <w:sz w:val="5"/>
                <w:szCs w:val="5"/>
                <w:color w:val="auto"/>
              </w:rPr>
            </w:pPr>
          </w:p>
        </w:tc>
        <w:tc>
          <w:tcPr>
            <w:tcW w:w="120" w:type="dxa"/>
            <w:vAlign w:val="bottom"/>
            <w:tcBorders>
              <w:bottom w:val="single" w:sz="8" w:color="D2DCE5"/>
            </w:tcBorders>
            <w:shd w:val="clear" w:color="auto" w:fill="D2DCE5"/>
          </w:tcPr>
          <w:p>
            <w:pPr>
              <w:spacing w:after="0"/>
              <w:rPr>
                <w:sz w:val="5"/>
                <w:szCs w:val="5"/>
                <w:color w:val="auto"/>
              </w:rPr>
            </w:pPr>
          </w:p>
        </w:tc>
        <w:tc>
          <w:tcPr>
            <w:tcW w:w="620" w:type="dxa"/>
            <w:vAlign w:val="bottom"/>
            <w:tcBorders>
              <w:bottom w:val="single" w:sz="8" w:color="D2DCE5"/>
            </w:tcBorders>
            <w:shd w:val="clear" w:color="auto" w:fill="D2DCE5"/>
          </w:tcPr>
          <w:p>
            <w:pPr>
              <w:spacing w:after="0"/>
              <w:rPr>
                <w:sz w:val="5"/>
                <w:szCs w:val="5"/>
                <w:color w:val="auto"/>
              </w:rPr>
            </w:pPr>
          </w:p>
        </w:tc>
        <w:tc>
          <w:tcPr>
            <w:tcW w:w="80" w:type="dxa"/>
            <w:vAlign w:val="bottom"/>
            <w:tcBorders>
              <w:bottom w:val="single" w:sz="8" w:color="D2DCE5"/>
            </w:tcBorders>
            <w:shd w:val="clear" w:color="auto" w:fill="D2DCE5"/>
          </w:tcPr>
          <w:p>
            <w:pPr>
              <w:spacing w:after="0"/>
              <w:rPr>
                <w:sz w:val="5"/>
                <w:szCs w:val="5"/>
                <w:color w:val="auto"/>
              </w:rPr>
            </w:pPr>
          </w:p>
        </w:tc>
        <w:tc>
          <w:tcPr>
            <w:tcW w:w="700" w:type="dxa"/>
            <w:vAlign w:val="bottom"/>
            <w:tcBorders>
              <w:bottom w:val="single" w:sz="8" w:color="D2DCE5"/>
            </w:tcBorders>
            <w:vMerge w:val="continue"/>
            <w:shd w:val="clear" w:color="auto" w:fill="D2DCE5"/>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5520" w:type="dxa"/>
            <w:vAlign w:val="bottom"/>
            <w:gridSpan w:val="2"/>
          </w:tcPr>
          <w:p>
            <w:pPr>
              <w:ind w:left="20"/>
              <w:spacing w:after="0"/>
              <w:rPr>
                <w:sz w:val="20"/>
                <w:szCs w:val="20"/>
                <w:color w:val="auto"/>
              </w:rPr>
            </w:pPr>
            <w:r>
              <w:rPr>
                <w:rFonts w:ascii="Arial" w:cs="Arial" w:eastAsia="Arial" w:hAnsi="Arial"/>
                <w:sz w:val="14"/>
                <w:szCs w:val="14"/>
                <w:color w:val="131E29"/>
              </w:rPr>
              <w:t xml:space="preserve">Franchising and other operating weeks </w:t>
            </w:r>
            <w:r>
              <w:rPr>
                <w:rFonts w:ascii="Arial" w:cs="Arial" w:eastAsia="Arial" w:hAnsi="Arial"/>
                <w:sz w:val="18"/>
                <w:szCs w:val="18"/>
                <w:color w:val="131E29"/>
                <w:vertAlign w:val="superscript"/>
              </w:rPr>
              <w:t>5</w:t>
            </w: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131E29"/>
              </w:rPr>
              <w:t>13,828</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131E29"/>
              </w:rPr>
              <w:t>13,175</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vMerge w:val="restart"/>
          </w:tcPr>
          <w:p>
            <w:pPr>
              <w:jc w:val="right"/>
              <w:ind w:right="29"/>
              <w:spacing w:after="0"/>
              <w:rPr>
                <w:sz w:val="20"/>
                <w:szCs w:val="20"/>
                <w:color w:val="auto"/>
              </w:rPr>
            </w:pPr>
            <w:r>
              <w:rPr>
                <w:rFonts w:ascii="Arial" w:cs="Arial" w:eastAsia="Arial" w:hAnsi="Arial"/>
                <w:sz w:val="14"/>
                <w:szCs w:val="14"/>
                <w:color w:val="131E29"/>
              </w:rPr>
              <w:t>12,358</w:t>
            </w:r>
          </w:p>
        </w:tc>
        <w:tc>
          <w:tcPr>
            <w:tcW w:w="0" w:type="dxa"/>
            <w:vAlign w:val="bottom"/>
          </w:tcPr>
          <w:p>
            <w:pPr>
              <w:spacing w:after="0"/>
              <w:rPr>
                <w:sz w:val="1"/>
                <w:szCs w:val="1"/>
                <w:color w:val="auto"/>
              </w:rPr>
            </w:pPr>
          </w:p>
        </w:tc>
      </w:tr>
      <w:tr>
        <w:trPr>
          <w:trHeight w:val="61"/>
        </w:trPr>
        <w:tc>
          <w:tcPr>
            <w:tcW w:w="5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5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544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104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50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76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120" w:type="dxa"/>
            <w:vAlign w:val="bottom"/>
            <w:shd w:val="clear" w:color="auto" w:fill="D2DCE5"/>
          </w:tcPr>
          <w:p>
            <w:pPr>
              <w:spacing w:after="0"/>
              <w:rPr>
                <w:sz w:val="11"/>
                <w:szCs w:val="11"/>
                <w:color w:val="auto"/>
              </w:rPr>
            </w:pPr>
          </w:p>
        </w:tc>
        <w:tc>
          <w:tcPr>
            <w:tcW w:w="16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72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380" w:type="dxa"/>
            <w:vAlign w:val="bottom"/>
            <w:shd w:val="clear" w:color="auto" w:fill="D2DCE5"/>
          </w:tcPr>
          <w:p>
            <w:pPr>
              <w:spacing w:after="0"/>
              <w:rPr>
                <w:sz w:val="11"/>
                <w:szCs w:val="11"/>
                <w:color w:val="auto"/>
              </w:rPr>
            </w:pPr>
          </w:p>
        </w:tc>
        <w:tc>
          <w:tcPr>
            <w:tcW w:w="120" w:type="dxa"/>
            <w:vAlign w:val="bottom"/>
            <w:shd w:val="clear" w:color="auto" w:fill="D2DCE5"/>
          </w:tcPr>
          <w:p>
            <w:pPr>
              <w:spacing w:after="0"/>
              <w:rPr>
                <w:sz w:val="11"/>
                <w:szCs w:val="11"/>
                <w:color w:val="auto"/>
              </w:rPr>
            </w:pPr>
          </w:p>
        </w:tc>
        <w:tc>
          <w:tcPr>
            <w:tcW w:w="62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700" w:type="dxa"/>
            <w:vAlign w:val="bottom"/>
            <w:shd w:val="clear" w:color="auto" w:fill="D2DCE5"/>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5520" w:type="dxa"/>
            <w:vAlign w:val="bottom"/>
            <w:gridSpan w:val="2"/>
          </w:tcPr>
          <w:p>
            <w:pPr>
              <w:ind w:left="20"/>
              <w:spacing w:after="0"/>
              <w:rPr>
                <w:sz w:val="20"/>
                <w:szCs w:val="20"/>
                <w:color w:val="auto"/>
              </w:rPr>
            </w:pPr>
            <w:r>
              <w:rPr>
                <w:rFonts w:ascii="Arial" w:cs="Arial" w:eastAsia="Arial" w:hAnsi="Arial"/>
                <w:sz w:val="14"/>
                <w:szCs w:val="14"/>
                <w:color w:val="131E29"/>
              </w:rPr>
              <w:t xml:space="preserve">Dutch Rewards member registrations </w:t>
            </w:r>
            <w:r>
              <w:rPr>
                <w:rFonts w:ascii="Arial" w:cs="Arial" w:eastAsia="Arial" w:hAnsi="Arial"/>
                <w:sz w:val="18"/>
                <w:szCs w:val="18"/>
                <w:color w:val="131E29"/>
                <w:vertAlign w:val="superscript"/>
              </w:rPr>
              <w:t>6</w:t>
            </w: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131E29"/>
              </w:rPr>
              <w:t>2,004</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131E29"/>
              </w:rPr>
              <w:t>3,202</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vMerge w:val="restart"/>
          </w:tcPr>
          <w:p>
            <w:pPr>
              <w:jc w:val="right"/>
              <w:ind w:right="29"/>
              <w:spacing w:after="0"/>
              <w:rPr>
                <w:sz w:val="20"/>
                <w:szCs w:val="20"/>
                <w:color w:val="auto"/>
              </w:rPr>
            </w:pPr>
            <w:r>
              <w:rPr>
                <w:rFonts w:ascii="Arial" w:cs="Arial" w:eastAsia="Arial" w:hAnsi="Arial"/>
                <w:sz w:val="14"/>
                <w:szCs w:val="14"/>
                <w:color w:val="131E29"/>
              </w:rPr>
              <w:t>8</w:t>
            </w:r>
          </w:p>
        </w:tc>
        <w:tc>
          <w:tcPr>
            <w:tcW w:w="0" w:type="dxa"/>
            <w:vAlign w:val="bottom"/>
          </w:tcPr>
          <w:p>
            <w:pPr>
              <w:spacing w:after="0"/>
              <w:rPr>
                <w:sz w:val="1"/>
                <w:szCs w:val="1"/>
                <w:color w:val="auto"/>
              </w:rPr>
            </w:pPr>
          </w:p>
        </w:tc>
      </w:tr>
      <w:tr>
        <w:trPr>
          <w:trHeight w:val="61"/>
        </w:trPr>
        <w:tc>
          <w:tcPr>
            <w:tcW w:w="5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35"/>
        </w:trPr>
        <w:tc>
          <w:tcPr>
            <w:tcW w:w="5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00" w:type="dxa"/>
            <w:vAlign w:val="bottom"/>
            <w:gridSpan w:val="9"/>
          </w:tcPr>
          <w:p>
            <w:pPr>
              <w:ind w:left="160"/>
              <w:spacing w:after="0"/>
              <w:rPr>
                <w:sz w:val="20"/>
                <w:szCs w:val="20"/>
                <w:color w:val="auto"/>
              </w:rPr>
            </w:pPr>
            <w:r>
              <w:rPr>
                <w:rFonts w:ascii="Arial" w:cs="Arial" w:eastAsia="Arial" w:hAnsi="Arial"/>
                <w:sz w:val="14"/>
                <w:szCs w:val="14"/>
                <w:b w:val="1"/>
                <w:bCs w:val="1"/>
                <w:color w:val="131E29"/>
              </w:rPr>
              <w:t>Year Ended December 31,</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4"/>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131E29"/>
              </w:rPr>
              <w:t>2022</w:t>
            </w: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131E29"/>
              </w:rPr>
              <w:t xml:space="preserve">2021 </w:t>
            </w:r>
            <w:r>
              <w:rPr>
                <w:rFonts w:ascii="Arial" w:cs="Arial" w:eastAsia="Arial" w:hAnsi="Arial"/>
                <w:sz w:val="14"/>
                <w:szCs w:val="14"/>
                <w:color w:val="000000"/>
              </w:rPr>
              <w:t>⁷</w:t>
            </w: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131E29"/>
              </w:rPr>
              <w:t xml:space="preserve">2020 </w:t>
            </w:r>
            <w:r>
              <w:rPr>
                <w:rFonts w:ascii="Arial" w:cs="Arial" w:eastAsia="Arial" w:hAnsi="Arial"/>
                <w:sz w:val="14"/>
                <w:szCs w:val="14"/>
                <w:color w:val="000000"/>
              </w:rPr>
              <w:t>⁷</w:t>
            </w: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80" w:type="dxa"/>
            <w:vAlign w:val="bottom"/>
            <w:tcBorders>
              <w:bottom w:val="single" w:sz="8" w:color="D2DCE5"/>
            </w:tcBorders>
          </w:tcPr>
          <w:p>
            <w:pPr>
              <w:spacing w:after="0"/>
              <w:rPr>
                <w:sz w:val="16"/>
                <w:szCs w:val="16"/>
                <w:color w:val="auto"/>
              </w:rPr>
            </w:pPr>
          </w:p>
        </w:tc>
        <w:tc>
          <w:tcPr>
            <w:tcW w:w="10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6"/>
                <w:szCs w:val="16"/>
                <w:color w:val="auto"/>
              </w:rPr>
            </w:pPr>
          </w:p>
        </w:tc>
        <w:tc>
          <w:tcPr>
            <w:tcW w:w="7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D2DCE5"/>
            </w:tcBorders>
          </w:tcPr>
          <w:p>
            <w:pPr>
              <w:spacing w:after="0"/>
              <w:rPr>
                <w:sz w:val="16"/>
                <w:szCs w:val="16"/>
                <w:color w:val="auto"/>
              </w:rPr>
            </w:pPr>
          </w:p>
        </w:tc>
        <w:tc>
          <w:tcPr>
            <w:tcW w:w="7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6"/>
                <w:szCs w:val="16"/>
                <w:color w:val="auto"/>
              </w:rPr>
            </w:pPr>
          </w:p>
        </w:tc>
        <w:tc>
          <w:tcPr>
            <w:tcW w:w="70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131E29"/>
              </w:rPr>
              <w:t>%</w:t>
            </w:r>
          </w:p>
        </w:tc>
        <w:tc>
          <w:tcPr>
            <w:tcW w:w="0" w:type="dxa"/>
            <w:vAlign w:val="bottom"/>
          </w:tcPr>
          <w:p>
            <w:pPr>
              <w:spacing w:after="0"/>
              <w:rPr>
                <w:sz w:val="1"/>
                <w:szCs w:val="1"/>
                <w:color w:val="auto"/>
              </w:rPr>
            </w:pPr>
          </w:p>
        </w:tc>
      </w:tr>
      <w:tr>
        <w:trPr>
          <w:trHeight w:val="212"/>
        </w:trPr>
        <w:tc>
          <w:tcPr>
            <w:tcW w:w="552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Company-operated shop revenues</w:t>
            </w:r>
          </w:p>
        </w:tc>
        <w:tc>
          <w:tcPr>
            <w:tcW w:w="10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639,710</w:t>
            </w:r>
          </w:p>
        </w:tc>
        <w:tc>
          <w:tcPr>
            <w:tcW w:w="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5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100.0</w:t>
            </w:r>
          </w:p>
        </w:tc>
        <w:tc>
          <w:tcPr>
            <w:tcW w:w="1200" w:type="dxa"/>
            <w:vAlign w:val="bottom"/>
            <w:gridSpan w:val="5"/>
            <w:shd w:val="clear" w:color="auto" w:fill="D2DCE5"/>
          </w:tcPr>
          <w:p>
            <w:pPr>
              <w:jc w:val="right"/>
              <w:ind w:right="60"/>
              <w:spacing w:after="0"/>
              <w:rPr>
                <w:sz w:val="20"/>
                <w:szCs w:val="20"/>
                <w:color w:val="auto"/>
              </w:rPr>
            </w:pPr>
            <w:r>
              <w:rPr>
                <w:rFonts w:ascii="Arial" w:cs="Arial" w:eastAsia="Arial" w:hAnsi="Arial"/>
                <w:sz w:val="14"/>
                <w:szCs w:val="14"/>
                <w:color w:val="131E29"/>
              </w:rPr>
              <w:t>403,746</w:t>
            </w:r>
          </w:p>
        </w:tc>
        <w:tc>
          <w:tcPr>
            <w:tcW w:w="80" w:type="dxa"/>
            <w:vAlign w:val="bottom"/>
            <w:shd w:val="clear" w:color="auto" w:fill="D2DCE5"/>
          </w:tcPr>
          <w:p>
            <w:pPr>
              <w:spacing w:after="0"/>
              <w:rPr>
                <w:sz w:val="18"/>
                <w:szCs w:val="18"/>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100.0</w:t>
            </w:r>
          </w:p>
        </w:tc>
        <w:tc>
          <w:tcPr>
            <w:tcW w:w="80" w:type="dxa"/>
            <w:vAlign w:val="bottom"/>
            <w:shd w:val="clear" w:color="auto" w:fill="D2DCE5"/>
          </w:tcPr>
          <w:p>
            <w:pPr>
              <w:spacing w:after="0"/>
              <w:rPr>
                <w:sz w:val="18"/>
                <w:szCs w:val="18"/>
                <w:color w:val="auto"/>
              </w:rPr>
            </w:pPr>
          </w:p>
        </w:tc>
        <w:tc>
          <w:tcPr>
            <w:tcW w:w="380" w:type="dxa"/>
            <w:vAlign w:val="bottom"/>
            <w:shd w:val="clear" w:color="auto" w:fill="D2DCE5"/>
          </w:tcPr>
          <w:p>
            <w:pPr>
              <w:spacing w:after="0"/>
              <w:rPr>
                <w:sz w:val="18"/>
                <w:szCs w:val="18"/>
                <w:color w:val="auto"/>
              </w:rPr>
            </w:pPr>
          </w:p>
        </w:tc>
        <w:tc>
          <w:tcPr>
            <w:tcW w:w="120" w:type="dxa"/>
            <w:vAlign w:val="bottom"/>
            <w:shd w:val="clear" w:color="auto" w:fill="D2DCE5"/>
          </w:tcPr>
          <w:p>
            <w:pPr>
              <w:spacing w:after="0"/>
              <w:rPr>
                <w:sz w:val="18"/>
                <w:szCs w:val="18"/>
                <w:color w:val="auto"/>
              </w:rPr>
            </w:pPr>
          </w:p>
        </w:tc>
        <w:tc>
          <w:tcPr>
            <w:tcW w:w="6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244,514</w:t>
            </w:r>
          </w:p>
        </w:tc>
        <w:tc>
          <w:tcPr>
            <w:tcW w:w="80" w:type="dxa"/>
            <w:vAlign w:val="bottom"/>
            <w:shd w:val="clear" w:color="auto" w:fill="D2DCE5"/>
          </w:tcPr>
          <w:p>
            <w:pPr>
              <w:spacing w:after="0"/>
              <w:rPr>
                <w:sz w:val="18"/>
                <w:szCs w:val="18"/>
                <w:color w:val="auto"/>
              </w:rPr>
            </w:pPr>
          </w:p>
        </w:tc>
        <w:tc>
          <w:tcPr>
            <w:tcW w:w="7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100.0</w:t>
            </w:r>
          </w:p>
        </w:tc>
        <w:tc>
          <w:tcPr>
            <w:tcW w:w="0" w:type="dxa"/>
            <w:vAlign w:val="bottom"/>
          </w:tcPr>
          <w:p>
            <w:pPr>
              <w:spacing w:after="0"/>
              <w:rPr>
                <w:sz w:val="1"/>
                <w:szCs w:val="1"/>
                <w:color w:val="auto"/>
              </w:rPr>
            </w:pPr>
          </w:p>
        </w:tc>
      </w:tr>
      <w:tr>
        <w:trPr>
          <w:trHeight w:val="205"/>
        </w:trPr>
        <w:tc>
          <w:tcPr>
            <w:tcW w:w="5520" w:type="dxa"/>
            <w:vAlign w:val="bottom"/>
            <w:gridSpan w:val="2"/>
          </w:tcPr>
          <w:p>
            <w:pPr>
              <w:ind w:left="20"/>
              <w:spacing w:after="0"/>
              <w:rPr>
                <w:sz w:val="20"/>
                <w:szCs w:val="20"/>
                <w:color w:val="auto"/>
              </w:rPr>
            </w:pPr>
            <w:r>
              <w:rPr>
                <w:rFonts w:ascii="Arial" w:cs="Arial" w:eastAsia="Arial" w:hAnsi="Arial"/>
                <w:sz w:val="13"/>
                <w:szCs w:val="13"/>
                <w:color w:val="131E29"/>
              </w:rPr>
              <w:t>Company-operated shop gross profit</w:t>
            </w:r>
          </w:p>
        </w:tc>
        <w:tc>
          <w:tcPr>
            <w:tcW w:w="1040" w:type="dxa"/>
            <w:vAlign w:val="bottom"/>
          </w:tcPr>
          <w:p>
            <w:pPr>
              <w:jc w:val="right"/>
              <w:spacing w:after="0"/>
              <w:rPr>
                <w:sz w:val="20"/>
                <w:szCs w:val="20"/>
                <w:color w:val="auto"/>
              </w:rPr>
            </w:pPr>
            <w:r>
              <w:rPr>
                <w:rFonts w:ascii="Arial" w:cs="Arial" w:eastAsia="Arial" w:hAnsi="Arial"/>
                <w:sz w:val="14"/>
                <w:szCs w:val="14"/>
                <w:color w:val="131E29"/>
              </w:rPr>
              <w:t>121,327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131E29"/>
              </w:rPr>
              <w:t>19.0</w:t>
            </w:r>
          </w:p>
        </w:tc>
        <w:tc>
          <w:tcPr>
            <w:tcW w:w="1200" w:type="dxa"/>
            <w:vAlign w:val="bottom"/>
            <w:gridSpan w:val="5"/>
          </w:tcPr>
          <w:p>
            <w:pPr>
              <w:jc w:val="right"/>
              <w:ind w:right="60"/>
              <w:spacing w:after="0"/>
              <w:rPr>
                <w:sz w:val="20"/>
                <w:szCs w:val="20"/>
                <w:color w:val="auto"/>
              </w:rPr>
            </w:pPr>
            <w:r>
              <w:rPr>
                <w:rFonts w:ascii="Arial" w:cs="Arial" w:eastAsia="Arial" w:hAnsi="Arial"/>
                <w:sz w:val="14"/>
                <w:szCs w:val="14"/>
                <w:color w:val="131E29"/>
              </w:rPr>
              <w:t>86,701</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21.5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131E29"/>
              </w:rPr>
              <w:t>60,546</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131E29"/>
              </w:rPr>
              <w:t>24.8</w:t>
            </w:r>
          </w:p>
        </w:tc>
        <w:tc>
          <w:tcPr>
            <w:tcW w:w="0" w:type="dxa"/>
            <w:vAlign w:val="bottom"/>
          </w:tcPr>
          <w:p>
            <w:pPr>
              <w:spacing w:after="0"/>
              <w:rPr>
                <w:sz w:val="1"/>
                <w:szCs w:val="1"/>
                <w:color w:val="auto"/>
              </w:rPr>
            </w:pPr>
          </w:p>
        </w:tc>
      </w:tr>
      <w:tr>
        <w:trPr>
          <w:trHeight w:val="239"/>
        </w:trPr>
        <w:tc>
          <w:tcPr>
            <w:tcW w:w="552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 xml:space="preserve">Company-operated shop contribution </w:t>
            </w:r>
            <w:r>
              <w:rPr>
                <w:rFonts w:ascii="Arial" w:cs="Arial" w:eastAsia="Arial" w:hAnsi="Arial"/>
                <w:sz w:val="16"/>
                <w:szCs w:val="16"/>
                <w:color w:val="131E29"/>
                <w:vertAlign w:val="superscript"/>
              </w:rPr>
              <w:t>8</w:t>
            </w:r>
          </w:p>
        </w:tc>
        <w:tc>
          <w:tcPr>
            <w:tcW w:w="104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157,633</w:t>
            </w:r>
          </w:p>
        </w:tc>
        <w:tc>
          <w:tcPr>
            <w:tcW w:w="8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50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24.6</w:t>
            </w:r>
          </w:p>
        </w:tc>
        <w:tc>
          <w:tcPr>
            <w:tcW w:w="1200" w:type="dxa"/>
            <w:vAlign w:val="bottom"/>
            <w:gridSpan w:val="5"/>
            <w:vMerge w:val="restart"/>
            <w:shd w:val="clear" w:color="auto" w:fill="D2DCE5"/>
          </w:tcPr>
          <w:p>
            <w:pPr>
              <w:jc w:val="right"/>
              <w:ind w:right="60"/>
              <w:spacing w:after="0"/>
              <w:rPr>
                <w:sz w:val="20"/>
                <w:szCs w:val="20"/>
                <w:color w:val="auto"/>
              </w:rPr>
            </w:pPr>
            <w:r>
              <w:rPr>
                <w:rFonts w:ascii="Arial" w:cs="Arial" w:eastAsia="Arial" w:hAnsi="Arial"/>
                <w:sz w:val="14"/>
                <w:szCs w:val="14"/>
                <w:color w:val="131E29"/>
              </w:rPr>
              <w:t>102,992</w:t>
            </w:r>
          </w:p>
        </w:tc>
        <w:tc>
          <w:tcPr>
            <w:tcW w:w="80" w:type="dxa"/>
            <w:vAlign w:val="bottom"/>
            <w:shd w:val="clear" w:color="auto" w:fill="D2DCE5"/>
          </w:tcPr>
          <w:p>
            <w:pPr>
              <w:spacing w:after="0"/>
              <w:rPr>
                <w:sz w:val="20"/>
                <w:szCs w:val="20"/>
                <w:color w:val="auto"/>
              </w:rPr>
            </w:pPr>
          </w:p>
        </w:tc>
        <w:tc>
          <w:tcPr>
            <w:tcW w:w="72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25.5</w:t>
            </w:r>
          </w:p>
        </w:tc>
        <w:tc>
          <w:tcPr>
            <w:tcW w:w="80" w:type="dxa"/>
            <w:vAlign w:val="bottom"/>
            <w:shd w:val="clear" w:color="auto" w:fill="D2DCE5"/>
          </w:tcPr>
          <w:p>
            <w:pPr>
              <w:spacing w:after="0"/>
              <w:rPr>
                <w:sz w:val="20"/>
                <w:szCs w:val="20"/>
                <w:color w:val="auto"/>
              </w:rPr>
            </w:pPr>
          </w:p>
        </w:tc>
        <w:tc>
          <w:tcPr>
            <w:tcW w:w="380" w:type="dxa"/>
            <w:vAlign w:val="bottom"/>
            <w:shd w:val="clear" w:color="auto" w:fill="D2DCE5"/>
          </w:tcPr>
          <w:p>
            <w:pPr>
              <w:spacing w:after="0"/>
              <w:rPr>
                <w:sz w:val="20"/>
                <w:szCs w:val="20"/>
                <w:color w:val="auto"/>
              </w:rPr>
            </w:pPr>
          </w:p>
        </w:tc>
        <w:tc>
          <w:tcPr>
            <w:tcW w:w="120" w:type="dxa"/>
            <w:vAlign w:val="bottom"/>
            <w:shd w:val="clear" w:color="auto" w:fill="D2DCE5"/>
          </w:tcPr>
          <w:p>
            <w:pPr>
              <w:spacing w:after="0"/>
              <w:rPr>
                <w:sz w:val="20"/>
                <w:szCs w:val="20"/>
                <w:color w:val="auto"/>
              </w:rPr>
            </w:pPr>
          </w:p>
        </w:tc>
        <w:tc>
          <w:tcPr>
            <w:tcW w:w="62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70,283</w:t>
            </w:r>
          </w:p>
        </w:tc>
        <w:tc>
          <w:tcPr>
            <w:tcW w:w="80" w:type="dxa"/>
            <w:vAlign w:val="bottom"/>
            <w:shd w:val="clear" w:color="auto" w:fill="D2DCE5"/>
          </w:tcPr>
          <w:p>
            <w:pPr>
              <w:spacing w:after="0"/>
              <w:rPr>
                <w:sz w:val="20"/>
                <w:szCs w:val="20"/>
                <w:color w:val="auto"/>
              </w:rPr>
            </w:pPr>
          </w:p>
        </w:tc>
        <w:tc>
          <w:tcPr>
            <w:tcW w:w="70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28.7</w:t>
            </w:r>
          </w:p>
        </w:tc>
        <w:tc>
          <w:tcPr>
            <w:tcW w:w="0" w:type="dxa"/>
            <w:vAlign w:val="bottom"/>
          </w:tcPr>
          <w:p>
            <w:pPr>
              <w:spacing w:after="0"/>
              <w:rPr>
                <w:sz w:val="1"/>
                <w:szCs w:val="1"/>
                <w:color w:val="auto"/>
              </w:rPr>
            </w:pPr>
          </w:p>
        </w:tc>
      </w:tr>
      <w:tr>
        <w:trPr>
          <w:trHeight w:val="66"/>
        </w:trPr>
        <w:tc>
          <w:tcPr>
            <w:tcW w:w="5440" w:type="dxa"/>
            <w:vAlign w:val="bottom"/>
            <w:tcBorders>
              <w:bottom w:val="single" w:sz="8" w:color="D2DCE5"/>
            </w:tcBorders>
            <w:shd w:val="clear" w:color="auto" w:fill="D2DCE5"/>
          </w:tcPr>
          <w:p>
            <w:pPr>
              <w:spacing w:after="0"/>
              <w:rPr>
                <w:sz w:val="5"/>
                <w:szCs w:val="5"/>
                <w:color w:val="auto"/>
              </w:rPr>
            </w:pPr>
          </w:p>
        </w:tc>
        <w:tc>
          <w:tcPr>
            <w:tcW w:w="80" w:type="dxa"/>
            <w:vAlign w:val="bottom"/>
            <w:tcBorders>
              <w:bottom w:val="single" w:sz="8" w:color="D2DCE5"/>
            </w:tcBorders>
            <w:shd w:val="clear" w:color="auto" w:fill="D2DCE5"/>
          </w:tcPr>
          <w:p>
            <w:pPr>
              <w:spacing w:after="0"/>
              <w:rPr>
                <w:sz w:val="5"/>
                <w:szCs w:val="5"/>
                <w:color w:val="auto"/>
              </w:rPr>
            </w:pPr>
          </w:p>
        </w:tc>
        <w:tc>
          <w:tcPr>
            <w:tcW w:w="1040" w:type="dxa"/>
            <w:vAlign w:val="bottom"/>
            <w:tcBorders>
              <w:bottom w:val="single" w:sz="8" w:color="D2DCE5"/>
            </w:tcBorders>
            <w:vMerge w:val="continue"/>
            <w:shd w:val="clear" w:color="auto" w:fill="D2DCE5"/>
          </w:tcPr>
          <w:p>
            <w:pPr>
              <w:spacing w:after="0"/>
              <w:rPr>
                <w:sz w:val="5"/>
                <w:szCs w:val="5"/>
                <w:color w:val="auto"/>
              </w:rPr>
            </w:pPr>
          </w:p>
        </w:tc>
        <w:tc>
          <w:tcPr>
            <w:tcW w:w="80" w:type="dxa"/>
            <w:vAlign w:val="bottom"/>
            <w:tcBorders>
              <w:bottom w:val="single" w:sz="8" w:color="D2DCE5"/>
            </w:tcBorders>
            <w:shd w:val="clear" w:color="auto" w:fill="D2DCE5"/>
          </w:tcPr>
          <w:p>
            <w:pPr>
              <w:spacing w:after="0"/>
              <w:rPr>
                <w:sz w:val="5"/>
                <w:szCs w:val="5"/>
                <w:color w:val="auto"/>
              </w:rPr>
            </w:pPr>
          </w:p>
        </w:tc>
        <w:tc>
          <w:tcPr>
            <w:tcW w:w="80" w:type="dxa"/>
            <w:vAlign w:val="bottom"/>
            <w:tcBorders>
              <w:bottom w:val="single" w:sz="8" w:color="D2DCE5"/>
            </w:tcBorders>
            <w:shd w:val="clear" w:color="auto" w:fill="D2DCE5"/>
          </w:tcPr>
          <w:p>
            <w:pPr>
              <w:spacing w:after="0"/>
              <w:rPr>
                <w:sz w:val="5"/>
                <w:szCs w:val="5"/>
                <w:color w:val="auto"/>
              </w:rPr>
            </w:pPr>
          </w:p>
        </w:tc>
        <w:tc>
          <w:tcPr>
            <w:tcW w:w="80" w:type="dxa"/>
            <w:vAlign w:val="bottom"/>
            <w:tcBorders>
              <w:bottom w:val="single" w:sz="8" w:color="D2DCE5"/>
            </w:tcBorders>
            <w:shd w:val="clear" w:color="auto" w:fill="D2DCE5"/>
          </w:tcPr>
          <w:p>
            <w:pPr>
              <w:spacing w:after="0"/>
              <w:rPr>
                <w:sz w:val="5"/>
                <w:szCs w:val="5"/>
                <w:color w:val="auto"/>
              </w:rPr>
            </w:pPr>
          </w:p>
        </w:tc>
        <w:tc>
          <w:tcPr>
            <w:tcW w:w="500" w:type="dxa"/>
            <w:vAlign w:val="bottom"/>
            <w:tcBorders>
              <w:bottom w:val="single" w:sz="8" w:color="D2DCE5"/>
            </w:tcBorders>
            <w:vMerge w:val="continue"/>
            <w:shd w:val="clear" w:color="auto" w:fill="D2DCE5"/>
          </w:tcPr>
          <w:p>
            <w:pPr>
              <w:spacing w:after="0"/>
              <w:rPr>
                <w:sz w:val="5"/>
                <w:szCs w:val="5"/>
                <w:color w:val="auto"/>
              </w:rPr>
            </w:pPr>
          </w:p>
        </w:tc>
        <w:tc>
          <w:tcPr>
            <w:tcW w:w="1200" w:type="dxa"/>
            <w:vAlign w:val="bottom"/>
            <w:tcBorders>
              <w:bottom w:val="single" w:sz="8" w:color="D2DCE5"/>
            </w:tcBorders>
            <w:gridSpan w:val="5"/>
            <w:vMerge w:val="continue"/>
            <w:shd w:val="clear" w:color="auto" w:fill="D2DCE5"/>
          </w:tcPr>
          <w:p>
            <w:pPr>
              <w:spacing w:after="0"/>
              <w:rPr>
                <w:sz w:val="5"/>
                <w:szCs w:val="5"/>
                <w:color w:val="auto"/>
              </w:rPr>
            </w:pPr>
          </w:p>
        </w:tc>
        <w:tc>
          <w:tcPr>
            <w:tcW w:w="80" w:type="dxa"/>
            <w:vAlign w:val="bottom"/>
            <w:tcBorders>
              <w:bottom w:val="single" w:sz="8" w:color="D2DCE5"/>
            </w:tcBorders>
            <w:shd w:val="clear" w:color="auto" w:fill="D2DCE5"/>
          </w:tcPr>
          <w:p>
            <w:pPr>
              <w:spacing w:after="0"/>
              <w:rPr>
                <w:sz w:val="5"/>
                <w:szCs w:val="5"/>
                <w:color w:val="auto"/>
              </w:rPr>
            </w:pPr>
          </w:p>
        </w:tc>
        <w:tc>
          <w:tcPr>
            <w:tcW w:w="720" w:type="dxa"/>
            <w:vAlign w:val="bottom"/>
            <w:tcBorders>
              <w:bottom w:val="single" w:sz="8" w:color="D2DCE5"/>
            </w:tcBorders>
            <w:vMerge w:val="continue"/>
            <w:shd w:val="clear" w:color="auto" w:fill="D2DCE5"/>
          </w:tcPr>
          <w:p>
            <w:pPr>
              <w:spacing w:after="0"/>
              <w:rPr>
                <w:sz w:val="5"/>
                <w:szCs w:val="5"/>
                <w:color w:val="auto"/>
              </w:rPr>
            </w:pPr>
          </w:p>
        </w:tc>
        <w:tc>
          <w:tcPr>
            <w:tcW w:w="80" w:type="dxa"/>
            <w:vAlign w:val="bottom"/>
            <w:tcBorders>
              <w:bottom w:val="single" w:sz="8" w:color="D2DCE5"/>
            </w:tcBorders>
            <w:shd w:val="clear" w:color="auto" w:fill="D2DCE5"/>
          </w:tcPr>
          <w:p>
            <w:pPr>
              <w:spacing w:after="0"/>
              <w:rPr>
                <w:sz w:val="5"/>
                <w:szCs w:val="5"/>
                <w:color w:val="auto"/>
              </w:rPr>
            </w:pPr>
          </w:p>
        </w:tc>
        <w:tc>
          <w:tcPr>
            <w:tcW w:w="380" w:type="dxa"/>
            <w:vAlign w:val="bottom"/>
            <w:tcBorders>
              <w:bottom w:val="single" w:sz="8" w:color="D2DCE5"/>
            </w:tcBorders>
            <w:shd w:val="clear" w:color="auto" w:fill="D2DCE5"/>
          </w:tcPr>
          <w:p>
            <w:pPr>
              <w:spacing w:after="0"/>
              <w:rPr>
                <w:sz w:val="5"/>
                <w:szCs w:val="5"/>
                <w:color w:val="auto"/>
              </w:rPr>
            </w:pPr>
          </w:p>
        </w:tc>
        <w:tc>
          <w:tcPr>
            <w:tcW w:w="120" w:type="dxa"/>
            <w:vAlign w:val="bottom"/>
            <w:tcBorders>
              <w:bottom w:val="single" w:sz="8" w:color="D2DCE5"/>
            </w:tcBorders>
            <w:shd w:val="clear" w:color="auto" w:fill="D2DCE5"/>
          </w:tcPr>
          <w:p>
            <w:pPr>
              <w:spacing w:after="0"/>
              <w:rPr>
                <w:sz w:val="5"/>
                <w:szCs w:val="5"/>
                <w:color w:val="auto"/>
              </w:rPr>
            </w:pPr>
          </w:p>
        </w:tc>
        <w:tc>
          <w:tcPr>
            <w:tcW w:w="620" w:type="dxa"/>
            <w:vAlign w:val="bottom"/>
            <w:tcBorders>
              <w:bottom w:val="single" w:sz="8" w:color="D2DCE5"/>
            </w:tcBorders>
            <w:vMerge w:val="continue"/>
            <w:shd w:val="clear" w:color="auto" w:fill="D2DCE5"/>
          </w:tcPr>
          <w:p>
            <w:pPr>
              <w:spacing w:after="0"/>
              <w:rPr>
                <w:sz w:val="5"/>
                <w:szCs w:val="5"/>
                <w:color w:val="auto"/>
              </w:rPr>
            </w:pPr>
          </w:p>
        </w:tc>
        <w:tc>
          <w:tcPr>
            <w:tcW w:w="80" w:type="dxa"/>
            <w:vAlign w:val="bottom"/>
            <w:tcBorders>
              <w:bottom w:val="single" w:sz="8" w:color="D2DCE5"/>
            </w:tcBorders>
            <w:shd w:val="clear" w:color="auto" w:fill="D2DCE5"/>
          </w:tcPr>
          <w:p>
            <w:pPr>
              <w:spacing w:after="0"/>
              <w:rPr>
                <w:sz w:val="5"/>
                <w:szCs w:val="5"/>
                <w:color w:val="auto"/>
              </w:rPr>
            </w:pPr>
          </w:p>
        </w:tc>
        <w:tc>
          <w:tcPr>
            <w:tcW w:w="700" w:type="dxa"/>
            <w:vAlign w:val="bottom"/>
            <w:tcBorders>
              <w:bottom w:val="single" w:sz="8" w:color="D2DCE5"/>
            </w:tcBorders>
            <w:vMerge w:val="continue"/>
            <w:shd w:val="clear" w:color="auto" w:fill="D2DCE5"/>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5520" w:type="dxa"/>
            <w:vAlign w:val="bottom"/>
            <w:gridSpan w:val="2"/>
          </w:tcPr>
          <w:p>
            <w:pPr>
              <w:ind w:left="20"/>
              <w:spacing w:after="0"/>
              <w:rPr>
                <w:sz w:val="20"/>
                <w:szCs w:val="20"/>
                <w:color w:val="auto"/>
              </w:rPr>
            </w:pPr>
            <w:r>
              <w:rPr>
                <w:rFonts w:ascii="Arial" w:cs="Arial" w:eastAsia="Arial" w:hAnsi="Arial"/>
                <w:sz w:val="13"/>
                <w:szCs w:val="13"/>
                <w:color w:val="131E29"/>
              </w:rPr>
              <w:t>Selling, general, and administrative expenses</w:t>
            </w:r>
          </w:p>
        </w:tc>
        <w:tc>
          <w:tcPr>
            <w:tcW w:w="1040" w:type="dxa"/>
            <w:vAlign w:val="bottom"/>
          </w:tcPr>
          <w:p>
            <w:pPr>
              <w:jc w:val="right"/>
              <w:spacing w:after="0"/>
              <w:rPr>
                <w:sz w:val="20"/>
                <w:szCs w:val="20"/>
                <w:color w:val="auto"/>
              </w:rPr>
            </w:pPr>
            <w:r>
              <w:rPr>
                <w:rFonts w:ascii="Arial" w:cs="Arial" w:eastAsia="Arial" w:hAnsi="Arial"/>
                <w:sz w:val="14"/>
                <w:szCs w:val="14"/>
                <w:color w:val="131E29"/>
              </w:rPr>
              <w:t>183,528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131E29"/>
              </w:rPr>
              <w:t>24.8</w:t>
            </w:r>
          </w:p>
        </w:tc>
        <w:tc>
          <w:tcPr>
            <w:tcW w:w="1200" w:type="dxa"/>
            <w:vAlign w:val="bottom"/>
            <w:gridSpan w:val="5"/>
          </w:tcPr>
          <w:p>
            <w:pPr>
              <w:jc w:val="right"/>
              <w:ind w:right="60"/>
              <w:spacing w:after="0"/>
              <w:rPr>
                <w:sz w:val="20"/>
                <w:szCs w:val="20"/>
                <w:color w:val="auto"/>
              </w:rPr>
            </w:pPr>
            <w:r>
              <w:rPr>
                <w:rFonts w:ascii="Arial" w:cs="Arial" w:eastAsia="Arial" w:hAnsi="Arial"/>
                <w:sz w:val="14"/>
                <w:szCs w:val="14"/>
                <w:color w:val="131E29"/>
              </w:rPr>
              <w:t>264,529</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53.1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131E29"/>
              </w:rPr>
              <w:t>104,935</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131E29"/>
              </w:rPr>
              <w:t>32.0</w:t>
            </w:r>
          </w:p>
        </w:tc>
        <w:tc>
          <w:tcPr>
            <w:tcW w:w="0" w:type="dxa"/>
            <w:vAlign w:val="bottom"/>
          </w:tcPr>
          <w:p>
            <w:pPr>
              <w:spacing w:after="0"/>
              <w:rPr>
                <w:sz w:val="1"/>
                <w:szCs w:val="1"/>
                <w:color w:val="auto"/>
              </w:rPr>
            </w:pPr>
          </w:p>
        </w:tc>
      </w:tr>
      <w:tr>
        <w:trPr>
          <w:trHeight w:val="239"/>
        </w:trPr>
        <w:tc>
          <w:tcPr>
            <w:tcW w:w="552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 xml:space="preserve">Adjusted selling, general, and administrative expenses </w:t>
            </w:r>
            <w:r>
              <w:rPr>
                <w:rFonts w:ascii="Arial" w:cs="Arial" w:eastAsia="Arial" w:hAnsi="Arial"/>
                <w:sz w:val="16"/>
                <w:szCs w:val="16"/>
                <w:color w:val="131E29"/>
                <w:vertAlign w:val="superscript"/>
              </w:rPr>
              <w:t>9</w:t>
            </w:r>
          </w:p>
        </w:tc>
        <w:tc>
          <w:tcPr>
            <w:tcW w:w="104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136,441</w:t>
            </w:r>
          </w:p>
        </w:tc>
        <w:tc>
          <w:tcPr>
            <w:tcW w:w="8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50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18.5</w:t>
            </w:r>
          </w:p>
        </w:tc>
        <w:tc>
          <w:tcPr>
            <w:tcW w:w="1200" w:type="dxa"/>
            <w:vAlign w:val="bottom"/>
            <w:gridSpan w:val="5"/>
            <w:vMerge w:val="restart"/>
            <w:shd w:val="clear" w:color="auto" w:fill="D2DCE5"/>
          </w:tcPr>
          <w:p>
            <w:pPr>
              <w:jc w:val="right"/>
              <w:ind w:right="60"/>
              <w:spacing w:after="0"/>
              <w:rPr>
                <w:sz w:val="20"/>
                <w:szCs w:val="20"/>
                <w:color w:val="auto"/>
              </w:rPr>
            </w:pPr>
            <w:r>
              <w:rPr>
                <w:rFonts w:ascii="Arial" w:cs="Arial" w:eastAsia="Arial" w:hAnsi="Arial"/>
                <w:sz w:val="14"/>
                <w:szCs w:val="14"/>
                <w:color w:val="131E29"/>
              </w:rPr>
              <w:t>96,498</w:t>
            </w:r>
          </w:p>
        </w:tc>
        <w:tc>
          <w:tcPr>
            <w:tcW w:w="80" w:type="dxa"/>
            <w:vAlign w:val="bottom"/>
            <w:shd w:val="clear" w:color="auto" w:fill="D2DCE5"/>
          </w:tcPr>
          <w:p>
            <w:pPr>
              <w:spacing w:after="0"/>
              <w:rPr>
                <w:sz w:val="20"/>
                <w:szCs w:val="20"/>
                <w:color w:val="auto"/>
              </w:rPr>
            </w:pPr>
          </w:p>
        </w:tc>
        <w:tc>
          <w:tcPr>
            <w:tcW w:w="72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19.4</w:t>
            </w:r>
          </w:p>
        </w:tc>
        <w:tc>
          <w:tcPr>
            <w:tcW w:w="80" w:type="dxa"/>
            <w:vAlign w:val="bottom"/>
            <w:shd w:val="clear" w:color="auto" w:fill="D2DCE5"/>
          </w:tcPr>
          <w:p>
            <w:pPr>
              <w:spacing w:after="0"/>
              <w:rPr>
                <w:sz w:val="20"/>
                <w:szCs w:val="20"/>
                <w:color w:val="auto"/>
              </w:rPr>
            </w:pPr>
          </w:p>
        </w:tc>
        <w:tc>
          <w:tcPr>
            <w:tcW w:w="380" w:type="dxa"/>
            <w:vAlign w:val="bottom"/>
            <w:shd w:val="clear" w:color="auto" w:fill="D2DCE5"/>
          </w:tcPr>
          <w:p>
            <w:pPr>
              <w:spacing w:after="0"/>
              <w:rPr>
                <w:sz w:val="20"/>
                <w:szCs w:val="20"/>
                <w:color w:val="auto"/>
              </w:rPr>
            </w:pPr>
          </w:p>
        </w:tc>
        <w:tc>
          <w:tcPr>
            <w:tcW w:w="120" w:type="dxa"/>
            <w:vAlign w:val="bottom"/>
            <w:shd w:val="clear" w:color="auto" w:fill="D2DCE5"/>
          </w:tcPr>
          <w:p>
            <w:pPr>
              <w:spacing w:after="0"/>
              <w:rPr>
                <w:sz w:val="20"/>
                <w:szCs w:val="20"/>
                <w:color w:val="auto"/>
              </w:rPr>
            </w:pPr>
          </w:p>
        </w:tc>
        <w:tc>
          <w:tcPr>
            <w:tcW w:w="62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69,848</w:t>
            </w:r>
          </w:p>
        </w:tc>
        <w:tc>
          <w:tcPr>
            <w:tcW w:w="80" w:type="dxa"/>
            <w:vAlign w:val="bottom"/>
            <w:shd w:val="clear" w:color="auto" w:fill="D2DCE5"/>
          </w:tcPr>
          <w:p>
            <w:pPr>
              <w:spacing w:after="0"/>
              <w:rPr>
                <w:sz w:val="20"/>
                <w:szCs w:val="20"/>
                <w:color w:val="auto"/>
              </w:rPr>
            </w:pPr>
          </w:p>
        </w:tc>
        <w:tc>
          <w:tcPr>
            <w:tcW w:w="70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21.3</w:t>
            </w:r>
          </w:p>
        </w:tc>
        <w:tc>
          <w:tcPr>
            <w:tcW w:w="0" w:type="dxa"/>
            <w:vAlign w:val="bottom"/>
          </w:tcPr>
          <w:p>
            <w:pPr>
              <w:spacing w:after="0"/>
              <w:rPr>
                <w:sz w:val="1"/>
                <w:szCs w:val="1"/>
                <w:color w:val="auto"/>
              </w:rPr>
            </w:pPr>
          </w:p>
        </w:tc>
      </w:tr>
      <w:tr>
        <w:trPr>
          <w:trHeight w:val="66"/>
        </w:trPr>
        <w:tc>
          <w:tcPr>
            <w:tcW w:w="5440" w:type="dxa"/>
            <w:vAlign w:val="bottom"/>
            <w:tcBorders>
              <w:bottom w:val="single" w:sz="8" w:color="D2DCE5"/>
            </w:tcBorders>
            <w:shd w:val="clear" w:color="auto" w:fill="D2DCE5"/>
          </w:tcPr>
          <w:p>
            <w:pPr>
              <w:spacing w:after="0"/>
              <w:rPr>
                <w:sz w:val="5"/>
                <w:szCs w:val="5"/>
                <w:color w:val="auto"/>
              </w:rPr>
            </w:pPr>
          </w:p>
        </w:tc>
        <w:tc>
          <w:tcPr>
            <w:tcW w:w="80" w:type="dxa"/>
            <w:vAlign w:val="bottom"/>
            <w:tcBorders>
              <w:bottom w:val="single" w:sz="8" w:color="D2DCE5"/>
            </w:tcBorders>
            <w:shd w:val="clear" w:color="auto" w:fill="D2DCE5"/>
          </w:tcPr>
          <w:p>
            <w:pPr>
              <w:spacing w:after="0"/>
              <w:rPr>
                <w:sz w:val="5"/>
                <w:szCs w:val="5"/>
                <w:color w:val="auto"/>
              </w:rPr>
            </w:pPr>
          </w:p>
        </w:tc>
        <w:tc>
          <w:tcPr>
            <w:tcW w:w="1040" w:type="dxa"/>
            <w:vAlign w:val="bottom"/>
            <w:tcBorders>
              <w:bottom w:val="single" w:sz="8" w:color="D2DCE5"/>
            </w:tcBorders>
            <w:vMerge w:val="continue"/>
            <w:shd w:val="clear" w:color="auto" w:fill="D2DCE5"/>
          </w:tcPr>
          <w:p>
            <w:pPr>
              <w:spacing w:after="0"/>
              <w:rPr>
                <w:sz w:val="5"/>
                <w:szCs w:val="5"/>
                <w:color w:val="auto"/>
              </w:rPr>
            </w:pPr>
          </w:p>
        </w:tc>
        <w:tc>
          <w:tcPr>
            <w:tcW w:w="80" w:type="dxa"/>
            <w:vAlign w:val="bottom"/>
            <w:tcBorders>
              <w:bottom w:val="single" w:sz="8" w:color="D2DCE5"/>
            </w:tcBorders>
            <w:shd w:val="clear" w:color="auto" w:fill="D2DCE5"/>
          </w:tcPr>
          <w:p>
            <w:pPr>
              <w:spacing w:after="0"/>
              <w:rPr>
                <w:sz w:val="5"/>
                <w:szCs w:val="5"/>
                <w:color w:val="auto"/>
              </w:rPr>
            </w:pPr>
          </w:p>
        </w:tc>
        <w:tc>
          <w:tcPr>
            <w:tcW w:w="80" w:type="dxa"/>
            <w:vAlign w:val="bottom"/>
            <w:tcBorders>
              <w:bottom w:val="single" w:sz="8" w:color="D2DCE5"/>
            </w:tcBorders>
            <w:shd w:val="clear" w:color="auto" w:fill="D2DCE5"/>
          </w:tcPr>
          <w:p>
            <w:pPr>
              <w:spacing w:after="0"/>
              <w:rPr>
                <w:sz w:val="5"/>
                <w:szCs w:val="5"/>
                <w:color w:val="auto"/>
              </w:rPr>
            </w:pPr>
          </w:p>
        </w:tc>
        <w:tc>
          <w:tcPr>
            <w:tcW w:w="80" w:type="dxa"/>
            <w:vAlign w:val="bottom"/>
            <w:tcBorders>
              <w:bottom w:val="single" w:sz="8" w:color="D2DCE5"/>
            </w:tcBorders>
            <w:shd w:val="clear" w:color="auto" w:fill="D2DCE5"/>
          </w:tcPr>
          <w:p>
            <w:pPr>
              <w:spacing w:after="0"/>
              <w:rPr>
                <w:sz w:val="5"/>
                <w:szCs w:val="5"/>
                <w:color w:val="auto"/>
              </w:rPr>
            </w:pPr>
          </w:p>
        </w:tc>
        <w:tc>
          <w:tcPr>
            <w:tcW w:w="500" w:type="dxa"/>
            <w:vAlign w:val="bottom"/>
            <w:tcBorders>
              <w:bottom w:val="single" w:sz="8" w:color="D2DCE5"/>
            </w:tcBorders>
            <w:vMerge w:val="continue"/>
            <w:shd w:val="clear" w:color="auto" w:fill="D2DCE5"/>
          </w:tcPr>
          <w:p>
            <w:pPr>
              <w:spacing w:after="0"/>
              <w:rPr>
                <w:sz w:val="5"/>
                <w:szCs w:val="5"/>
                <w:color w:val="auto"/>
              </w:rPr>
            </w:pPr>
          </w:p>
        </w:tc>
        <w:tc>
          <w:tcPr>
            <w:tcW w:w="1200" w:type="dxa"/>
            <w:vAlign w:val="bottom"/>
            <w:tcBorders>
              <w:bottom w:val="single" w:sz="8" w:color="D2DCE5"/>
            </w:tcBorders>
            <w:gridSpan w:val="5"/>
            <w:vMerge w:val="continue"/>
            <w:shd w:val="clear" w:color="auto" w:fill="D2DCE5"/>
          </w:tcPr>
          <w:p>
            <w:pPr>
              <w:spacing w:after="0"/>
              <w:rPr>
                <w:sz w:val="5"/>
                <w:szCs w:val="5"/>
                <w:color w:val="auto"/>
              </w:rPr>
            </w:pPr>
          </w:p>
        </w:tc>
        <w:tc>
          <w:tcPr>
            <w:tcW w:w="80" w:type="dxa"/>
            <w:vAlign w:val="bottom"/>
            <w:tcBorders>
              <w:bottom w:val="single" w:sz="8" w:color="D2DCE5"/>
            </w:tcBorders>
            <w:shd w:val="clear" w:color="auto" w:fill="D2DCE5"/>
          </w:tcPr>
          <w:p>
            <w:pPr>
              <w:spacing w:after="0"/>
              <w:rPr>
                <w:sz w:val="5"/>
                <w:szCs w:val="5"/>
                <w:color w:val="auto"/>
              </w:rPr>
            </w:pPr>
          </w:p>
        </w:tc>
        <w:tc>
          <w:tcPr>
            <w:tcW w:w="720" w:type="dxa"/>
            <w:vAlign w:val="bottom"/>
            <w:tcBorders>
              <w:bottom w:val="single" w:sz="8" w:color="D2DCE5"/>
            </w:tcBorders>
            <w:vMerge w:val="continue"/>
            <w:shd w:val="clear" w:color="auto" w:fill="D2DCE5"/>
          </w:tcPr>
          <w:p>
            <w:pPr>
              <w:spacing w:after="0"/>
              <w:rPr>
                <w:sz w:val="5"/>
                <w:szCs w:val="5"/>
                <w:color w:val="auto"/>
              </w:rPr>
            </w:pPr>
          </w:p>
        </w:tc>
        <w:tc>
          <w:tcPr>
            <w:tcW w:w="80" w:type="dxa"/>
            <w:vAlign w:val="bottom"/>
            <w:tcBorders>
              <w:bottom w:val="single" w:sz="8" w:color="D2DCE5"/>
            </w:tcBorders>
            <w:shd w:val="clear" w:color="auto" w:fill="D2DCE5"/>
          </w:tcPr>
          <w:p>
            <w:pPr>
              <w:spacing w:after="0"/>
              <w:rPr>
                <w:sz w:val="5"/>
                <w:szCs w:val="5"/>
                <w:color w:val="auto"/>
              </w:rPr>
            </w:pPr>
          </w:p>
        </w:tc>
        <w:tc>
          <w:tcPr>
            <w:tcW w:w="380" w:type="dxa"/>
            <w:vAlign w:val="bottom"/>
            <w:tcBorders>
              <w:bottom w:val="single" w:sz="8" w:color="D2DCE5"/>
            </w:tcBorders>
            <w:shd w:val="clear" w:color="auto" w:fill="D2DCE5"/>
          </w:tcPr>
          <w:p>
            <w:pPr>
              <w:spacing w:after="0"/>
              <w:rPr>
                <w:sz w:val="5"/>
                <w:szCs w:val="5"/>
                <w:color w:val="auto"/>
              </w:rPr>
            </w:pPr>
          </w:p>
        </w:tc>
        <w:tc>
          <w:tcPr>
            <w:tcW w:w="120" w:type="dxa"/>
            <w:vAlign w:val="bottom"/>
            <w:tcBorders>
              <w:bottom w:val="single" w:sz="8" w:color="D2DCE5"/>
            </w:tcBorders>
            <w:shd w:val="clear" w:color="auto" w:fill="D2DCE5"/>
          </w:tcPr>
          <w:p>
            <w:pPr>
              <w:spacing w:after="0"/>
              <w:rPr>
                <w:sz w:val="5"/>
                <w:szCs w:val="5"/>
                <w:color w:val="auto"/>
              </w:rPr>
            </w:pPr>
          </w:p>
        </w:tc>
        <w:tc>
          <w:tcPr>
            <w:tcW w:w="620" w:type="dxa"/>
            <w:vAlign w:val="bottom"/>
            <w:tcBorders>
              <w:bottom w:val="single" w:sz="8" w:color="D2DCE5"/>
            </w:tcBorders>
            <w:vMerge w:val="continue"/>
            <w:shd w:val="clear" w:color="auto" w:fill="D2DCE5"/>
          </w:tcPr>
          <w:p>
            <w:pPr>
              <w:spacing w:after="0"/>
              <w:rPr>
                <w:sz w:val="5"/>
                <w:szCs w:val="5"/>
                <w:color w:val="auto"/>
              </w:rPr>
            </w:pPr>
          </w:p>
        </w:tc>
        <w:tc>
          <w:tcPr>
            <w:tcW w:w="80" w:type="dxa"/>
            <w:vAlign w:val="bottom"/>
            <w:tcBorders>
              <w:bottom w:val="single" w:sz="8" w:color="D2DCE5"/>
            </w:tcBorders>
            <w:shd w:val="clear" w:color="auto" w:fill="D2DCE5"/>
          </w:tcPr>
          <w:p>
            <w:pPr>
              <w:spacing w:after="0"/>
              <w:rPr>
                <w:sz w:val="5"/>
                <w:szCs w:val="5"/>
                <w:color w:val="auto"/>
              </w:rPr>
            </w:pPr>
          </w:p>
        </w:tc>
        <w:tc>
          <w:tcPr>
            <w:tcW w:w="700" w:type="dxa"/>
            <w:vAlign w:val="bottom"/>
            <w:tcBorders>
              <w:bottom w:val="single" w:sz="8" w:color="D2DCE5"/>
            </w:tcBorders>
            <w:vMerge w:val="continue"/>
            <w:shd w:val="clear" w:color="auto" w:fill="D2DCE5"/>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5520" w:type="dxa"/>
            <w:vAlign w:val="bottom"/>
            <w:gridSpan w:val="2"/>
          </w:tcPr>
          <w:p>
            <w:pPr>
              <w:ind w:left="20"/>
              <w:spacing w:after="0"/>
              <w:rPr>
                <w:sz w:val="20"/>
                <w:szCs w:val="20"/>
                <w:color w:val="auto"/>
              </w:rPr>
            </w:pPr>
            <w:r>
              <w:rPr>
                <w:rFonts w:ascii="Arial" w:cs="Arial" w:eastAsia="Arial" w:hAnsi="Arial"/>
                <w:sz w:val="13"/>
                <w:szCs w:val="13"/>
                <w:color w:val="131E29"/>
              </w:rPr>
              <w:t>NET INCOME (LOSS)</w:t>
            </w:r>
          </w:p>
        </w:tc>
        <w:tc>
          <w:tcPr>
            <w:tcW w:w="1040" w:type="dxa"/>
            <w:vAlign w:val="bottom"/>
          </w:tcPr>
          <w:p>
            <w:pPr>
              <w:ind w:left="480"/>
              <w:spacing w:after="0"/>
              <w:rPr>
                <w:sz w:val="20"/>
                <w:szCs w:val="20"/>
                <w:color w:val="auto"/>
              </w:rPr>
            </w:pPr>
            <w:r>
              <w:rPr>
                <w:rFonts w:ascii="Arial" w:cs="Arial" w:eastAsia="Arial" w:hAnsi="Arial"/>
                <w:sz w:val="14"/>
                <w:szCs w:val="14"/>
                <w:color w:val="131E29"/>
              </w:rPr>
              <w:t>(19,253)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131E29"/>
              </w:rPr>
              <w:t>(2.6)</w:t>
            </w:r>
          </w:p>
        </w:tc>
        <w:tc>
          <w:tcPr>
            <w:tcW w:w="1200" w:type="dxa"/>
            <w:vAlign w:val="bottom"/>
            <w:gridSpan w:val="5"/>
          </w:tcPr>
          <w:p>
            <w:pPr>
              <w:jc w:val="right"/>
              <w:ind w:right="20"/>
              <w:spacing w:after="0"/>
              <w:rPr>
                <w:sz w:val="20"/>
                <w:szCs w:val="20"/>
                <w:color w:val="auto"/>
              </w:rPr>
            </w:pPr>
            <w:r>
              <w:rPr>
                <w:rFonts w:ascii="Arial" w:cs="Arial" w:eastAsia="Arial" w:hAnsi="Arial"/>
                <w:sz w:val="14"/>
                <w:szCs w:val="14"/>
                <w:color w:val="131E29"/>
              </w:rPr>
              <w:t>(117,931)</w:t>
            </w:r>
          </w:p>
        </w:tc>
        <w:tc>
          <w:tcPr>
            <w:tcW w:w="80" w:type="dxa"/>
            <w:vAlign w:val="bottom"/>
          </w:tcPr>
          <w:p>
            <w:pPr>
              <w:spacing w:after="0"/>
              <w:rPr>
                <w:sz w:val="17"/>
                <w:szCs w:val="17"/>
                <w:color w:val="auto"/>
              </w:rPr>
            </w:pPr>
          </w:p>
        </w:tc>
        <w:tc>
          <w:tcPr>
            <w:tcW w:w="720" w:type="dxa"/>
            <w:vAlign w:val="bottom"/>
          </w:tcPr>
          <w:p>
            <w:pPr>
              <w:ind w:left="320"/>
              <w:spacing w:after="0"/>
              <w:rPr>
                <w:sz w:val="20"/>
                <w:szCs w:val="20"/>
                <w:color w:val="auto"/>
              </w:rPr>
            </w:pPr>
            <w:r>
              <w:rPr>
                <w:rFonts w:ascii="Arial" w:cs="Arial" w:eastAsia="Arial" w:hAnsi="Arial"/>
                <w:sz w:val="14"/>
                <w:szCs w:val="14"/>
                <w:color w:val="131E29"/>
              </w:rPr>
              <w:t>(23.7)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131E29"/>
              </w:rPr>
              <w:t>6,058</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131E29"/>
              </w:rPr>
              <w:t>1.9</w:t>
            </w:r>
          </w:p>
        </w:tc>
        <w:tc>
          <w:tcPr>
            <w:tcW w:w="0" w:type="dxa"/>
            <w:vAlign w:val="bottom"/>
          </w:tcPr>
          <w:p>
            <w:pPr>
              <w:spacing w:after="0"/>
              <w:rPr>
                <w:sz w:val="1"/>
                <w:szCs w:val="1"/>
                <w:color w:val="auto"/>
              </w:rPr>
            </w:pPr>
          </w:p>
        </w:tc>
      </w:tr>
      <w:tr>
        <w:trPr>
          <w:trHeight w:val="239"/>
        </w:trPr>
        <w:tc>
          <w:tcPr>
            <w:tcW w:w="552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 xml:space="preserve">Adjusted EBITDA </w:t>
            </w:r>
            <w:r>
              <w:rPr>
                <w:rFonts w:ascii="Arial" w:cs="Arial" w:eastAsia="Arial" w:hAnsi="Arial"/>
                <w:sz w:val="16"/>
                <w:szCs w:val="16"/>
                <w:color w:val="131E29"/>
                <w:vertAlign w:val="superscript"/>
              </w:rPr>
              <w:t>8</w:t>
            </w:r>
          </w:p>
        </w:tc>
        <w:tc>
          <w:tcPr>
            <w:tcW w:w="104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91,181</w:t>
            </w:r>
          </w:p>
        </w:tc>
        <w:tc>
          <w:tcPr>
            <w:tcW w:w="8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50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12.3</w:t>
            </w:r>
          </w:p>
        </w:tc>
        <w:tc>
          <w:tcPr>
            <w:tcW w:w="1200" w:type="dxa"/>
            <w:vAlign w:val="bottom"/>
            <w:gridSpan w:val="5"/>
            <w:vMerge w:val="restart"/>
            <w:shd w:val="clear" w:color="auto" w:fill="D2DCE5"/>
          </w:tcPr>
          <w:p>
            <w:pPr>
              <w:jc w:val="right"/>
              <w:ind w:right="60"/>
              <w:spacing w:after="0"/>
              <w:rPr>
                <w:sz w:val="20"/>
                <w:szCs w:val="20"/>
                <w:color w:val="auto"/>
              </w:rPr>
            </w:pPr>
            <w:r>
              <w:rPr>
                <w:rFonts w:ascii="Arial" w:cs="Arial" w:eastAsia="Arial" w:hAnsi="Arial"/>
                <w:sz w:val="14"/>
                <w:szCs w:val="14"/>
                <w:color w:val="131E29"/>
              </w:rPr>
              <w:t>84,132</w:t>
            </w:r>
          </w:p>
        </w:tc>
        <w:tc>
          <w:tcPr>
            <w:tcW w:w="80" w:type="dxa"/>
            <w:vAlign w:val="bottom"/>
            <w:shd w:val="clear" w:color="auto" w:fill="D2DCE5"/>
          </w:tcPr>
          <w:p>
            <w:pPr>
              <w:spacing w:after="0"/>
              <w:rPr>
                <w:sz w:val="20"/>
                <w:szCs w:val="20"/>
                <w:color w:val="auto"/>
              </w:rPr>
            </w:pPr>
          </w:p>
        </w:tc>
        <w:tc>
          <w:tcPr>
            <w:tcW w:w="72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16.9</w:t>
            </w:r>
          </w:p>
        </w:tc>
        <w:tc>
          <w:tcPr>
            <w:tcW w:w="80" w:type="dxa"/>
            <w:vAlign w:val="bottom"/>
            <w:shd w:val="clear" w:color="auto" w:fill="D2DCE5"/>
          </w:tcPr>
          <w:p>
            <w:pPr>
              <w:spacing w:after="0"/>
              <w:rPr>
                <w:sz w:val="20"/>
                <w:szCs w:val="20"/>
                <w:color w:val="auto"/>
              </w:rPr>
            </w:pPr>
          </w:p>
        </w:tc>
        <w:tc>
          <w:tcPr>
            <w:tcW w:w="380" w:type="dxa"/>
            <w:vAlign w:val="bottom"/>
            <w:shd w:val="clear" w:color="auto" w:fill="D2DCE5"/>
          </w:tcPr>
          <w:p>
            <w:pPr>
              <w:spacing w:after="0"/>
              <w:rPr>
                <w:sz w:val="20"/>
                <w:szCs w:val="20"/>
                <w:color w:val="auto"/>
              </w:rPr>
            </w:pPr>
          </w:p>
        </w:tc>
        <w:tc>
          <w:tcPr>
            <w:tcW w:w="120" w:type="dxa"/>
            <w:vAlign w:val="bottom"/>
            <w:shd w:val="clear" w:color="auto" w:fill="D2DCE5"/>
          </w:tcPr>
          <w:p>
            <w:pPr>
              <w:spacing w:after="0"/>
              <w:rPr>
                <w:sz w:val="20"/>
                <w:szCs w:val="20"/>
                <w:color w:val="auto"/>
              </w:rPr>
            </w:pPr>
          </w:p>
        </w:tc>
        <w:tc>
          <w:tcPr>
            <w:tcW w:w="62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70,097</w:t>
            </w:r>
          </w:p>
        </w:tc>
        <w:tc>
          <w:tcPr>
            <w:tcW w:w="80" w:type="dxa"/>
            <w:vAlign w:val="bottom"/>
            <w:shd w:val="clear" w:color="auto" w:fill="D2DCE5"/>
          </w:tcPr>
          <w:p>
            <w:pPr>
              <w:spacing w:after="0"/>
              <w:rPr>
                <w:sz w:val="20"/>
                <w:szCs w:val="20"/>
                <w:color w:val="auto"/>
              </w:rPr>
            </w:pPr>
          </w:p>
        </w:tc>
        <w:tc>
          <w:tcPr>
            <w:tcW w:w="70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21.4</w:t>
            </w:r>
          </w:p>
        </w:tc>
        <w:tc>
          <w:tcPr>
            <w:tcW w:w="0" w:type="dxa"/>
            <w:vAlign w:val="bottom"/>
          </w:tcPr>
          <w:p>
            <w:pPr>
              <w:spacing w:after="0"/>
              <w:rPr>
                <w:sz w:val="1"/>
                <w:szCs w:val="1"/>
                <w:color w:val="auto"/>
              </w:rPr>
            </w:pPr>
          </w:p>
        </w:tc>
      </w:tr>
      <w:tr>
        <w:trPr>
          <w:trHeight w:val="65"/>
        </w:trPr>
        <w:tc>
          <w:tcPr>
            <w:tcW w:w="5440" w:type="dxa"/>
            <w:vAlign w:val="bottom"/>
            <w:shd w:val="clear" w:color="auto" w:fill="D2DCE5"/>
          </w:tcPr>
          <w:p>
            <w:pPr>
              <w:spacing w:after="0"/>
              <w:rPr>
                <w:sz w:val="5"/>
                <w:szCs w:val="5"/>
                <w:color w:val="auto"/>
              </w:rPr>
            </w:pPr>
          </w:p>
        </w:tc>
        <w:tc>
          <w:tcPr>
            <w:tcW w:w="80" w:type="dxa"/>
            <w:vAlign w:val="bottom"/>
            <w:shd w:val="clear" w:color="auto" w:fill="D2DCE5"/>
          </w:tcPr>
          <w:p>
            <w:pPr>
              <w:spacing w:after="0"/>
              <w:rPr>
                <w:sz w:val="5"/>
                <w:szCs w:val="5"/>
                <w:color w:val="auto"/>
              </w:rPr>
            </w:pPr>
          </w:p>
        </w:tc>
        <w:tc>
          <w:tcPr>
            <w:tcW w:w="1040" w:type="dxa"/>
            <w:vAlign w:val="bottom"/>
            <w:vMerge w:val="continue"/>
            <w:shd w:val="clear" w:color="auto" w:fill="D2DCE5"/>
          </w:tcPr>
          <w:p>
            <w:pPr>
              <w:spacing w:after="0"/>
              <w:rPr>
                <w:sz w:val="5"/>
                <w:szCs w:val="5"/>
                <w:color w:val="auto"/>
              </w:rPr>
            </w:pPr>
          </w:p>
        </w:tc>
        <w:tc>
          <w:tcPr>
            <w:tcW w:w="80" w:type="dxa"/>
            <w:vAlign w:val="bottom"/>
            <w:shd w:val="clear" w:color="auto" w:fill="D2DCE5"/>
          </w:tcPr>
          <w:p>
            <w:pPr>
              <w:spacing w:after="0"/>
              <w:rPr>
                <w:sz w:val="5"/>
                <w:szCs w:val="5"/>
                <w:color w:val="auto"/>
              </w:rPr>
            </w:pPr>
          </w:p>
        </w:tc>
        <w:tc>
          <w:tcPr>
            <w:tcW w:w="80" w:type="dxa"/>
            <w:vAlign w:val="bottom"/>
            <w:shd w:val="clear" w:color="auto" w:fill="D2DCE5"/>
          </w:tcPr>
          <w:p>
            <w:pPr>
              <w:spacing w:after="0"/>
              <w:rPr>
                <w:sz w:val="5"/>
                <w:szCs w:val="5"/>
                <w:color w:val="auto"/>
              </w:rPr>
            </w:pPr>
          </w:p>
        </w:tc>
        <w:tc>
          <w:tcPr>
            <w:tcW w:w="80" w:type="dxa"/>
            <w:vAlign w:val="bottom"/>
            <w:shd w:val="clear" w:color="auto" w:fill="D2DCE5"/>
          </w:tcPr>
          <w:p>
            <w:pPr>
              <w:spacing w:after="0"/>
              <w:rPr>
                <w:sz w:val="5"/>
                <w:szCs w:val="5"/>
                <w:color w:val="auto"/>
              </w:rPr>
            </w:pPr>
          </w:p>
        </w:tc>
        <w:tc>
          <w:tcPr>
            <w:tcW w:w="500" w:type="dxa"/>
            <w:vAlign w:val="bottom"/>
            <w:vMerge w:val="continue"/>
            <w:shd w:val="clear" w:color="auto" w:fill="D2DCE5"/>
          </w:tcPr>
          <w:p>
            <w:pPr>
              <w:spacing w:after="0"/>
              <w:rPr>
                <w:sz w:val="5"/>
                <w:szCs w:val="5"/>
                <w:color w:val="auto"/>
              </w:rPr>
            </w:pPr>
          </w:p>
        </w:tc>
        <w:tc>
          <w:tcPr>
            <w:tcW w:w="1200" w:type="dxa"/>
            <w:vAlign w:val="bottom"/>
            <w:gridSpan w:val="5"/>
            <w:vMerge w:val="continue"/>
            <w:shd w:val="clear" w:color="auto" w:fill="D2DCE5"/>
          </w:tcPr>
          <w:p>
            <w:pPr>
              <w:spacing w:after="0"/>
              <w:rPr>
                <w:sz w:val="5"/>
                <w:szCs w:val="5"/>
                <w:color w:val="auto"/>
              </w:rPr>
            </w:pPr>
          </w:p>
        </w:tc>
        <w:tc>
          <w:tcPr>
            <w:tcW w:w="80" w:type="dxa"/>
            <w:vAlign w:val="bottom"/>
            <w:shd w:val="clear" w:color="auto" w:fill="D2DCE5"/>
          </w:tcPr>
          <w:p>
            <w:pPr>
              <w:spacing w:after="0"/>
              <w:rPr>
                <w:sz w:val="5"/>
                <w:szCs w:val="5"/>
                <w:color w:val="auto"/>
              </w:rPr>
            </w:pPr>
          </w:p>
        </w:tc>
        <w:tc>
          <w:tcPr>
            <w:tcW w:w="720" w:type="dxa"/>
            <w:vAlign w:val="bottom"/>
            <w:vMerge w:val="continue"/>
            <w:shd w:val="clear" w:color="auto" w:fill="D2DCE5"/>
          </w:tcPr>
          <w:p>
            <w:pPr>
              <w:spacing w:after="0"/>
              <w:rPr>
                <w:sz w:val="5"/>
                <w:szCs w:val="5"/>
                <w:color w:val="auto"/>
              </w:rPr>
            </w:pPr>
          </w:p>
        </w:tc>
        <w:tc>
          <w:tcPr>
            <w:tcW w:w="80" w:type="dxa"/>
            <w:vAlign w:val="bottom"/>
            <w:shd w:val="clear" w:color="auto" w:fill="D2DCE5"/>
          </w:tcPr>
          <w:p>
            <w:pPr>
              <w:spacing w:after="0"/>
              <w:rPr>
                <w:sz w:val="5"/>
                <w:szCs w:val="5"/>
                <w:color w:val="auto"/>
              </w:rPr>
            </w:pPr>
          </w:p>
        </w:tc>
        <w:tc>
          <w:tcPr>
            <w:tcW w:w="380" w:type="dxa"/>
            <w:vAlign w:val="bottom"/>
            <w:shd w:val="clear" w:color="auto" w:fill="D2DCE5"/>
          </w:tcPr>
          <w:p>
            <w:pPr>
              <w:spacing w:after="0"/>
              <w:rPr>
                <w:sz w:val="5"/>
                <w:szCs w:val="5"/>
                <w:color w:val="auto"/>
              </w:rPr>
            </w:pPr>
          </w:p>
        </w:tc>
        <w:tc>
          <w:tcPr>
            <w:tcW w:w="120" w:type="dxa"/>
            <w:vAlign w:val="bottom"/>
            <w:shd w:val="clear" w:color="auto" w:fill="D2DCE5"/>
          </w:tcPr>
          <w:p>
            <w:pPr>
              <w:spacing w:after="0"/>
              <w:rPr>
                <w:sz w:val="5"/>
                <w:szCs w:val="5"/>
                <w:color w:val="auto"/>
              </w:rPr>
            </w:pPr>
          </w:p>
        </w:tc>
        <w:tc>
          <w:tcPr>
            <w:tcW w:w="620" w:type="dxa"/>
            <w:vAlign w:val="bottom"/>
            <w:vMerge w:val="continue"/>
            <w:shd w:val="clear" w:color="auto" w:fill="D2DCE5"/>
          </w:tcPr>
          <w:p>
            <w:pPr>
              <w:spacing w:after="0"/>
              <w:rPr>
                <w:sz w:val="5"/>
                <w:szCs w:val="5"/>
                <w:color w:val="auto"/>
              </w:rPr>
            </w:pPr>
          </w:p>
        </w:tc>
        <w:tc>
          <w:tcPr>
            <w:tcW w:w="80" w:type="dxa"/>
            <w:vAlign w:val="bottom"/>
            <w:shd w:val="clear" w:color="auto" w:fill="D2DCE5"/>
          </w:tcPr>
          <w:p>
            <w:pPr>
              <w:spacing w:after="0"/>
              <w:rPr>
                <w:sz w:val="5"/>
                <w:szCs w:val="5"/>
                <w:color w:val="auto"/>
              </w:rPr>
            </w:pPr>
          </w:p>
        </w:tc>
        <w:tc>
          <w:tcPr>
            <w:tcW w:w="700" w:type="dxa"/>
            <w:vAlign w:val="bottom"/>
            <w:vMerge w:val="continue"/>
            <w:shd w:val="clear" w:color="auto" w:fill="D2DCE5"/>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5440" w:type="dxa"/>
            <w:vAlign w:val="bottom"/>
            <w:shd w:val="clear" w:color="auto" w:fill="D2DCE5"/>
          </w:tcPr>
          <w:p>
            <w:pPr>
              <w:spacing w:after="0" w:line="20" w:lineRule="exact"/>
              <w:rPr>
                <w:sz w:val="1"/>
                <w:szCs w:val="1"/>
                <w:color w:val="auto"/>
              </w:rPr>
            </w:pPr>
          </w:p>
        </w:tc>
        <w:tc>
          <w:tcPr>
            <w:tcW w:w="80" w:type="dxa"/>
            <w:vAlign w:val="bottom"/>
            <w:shd w:val="clear" w:color="auto" w:fill="D2DCE5"/>
          </w:tcPr>
          <w:p>
            <w:pPr>
              <w:spacing w:after="0" w:line="20" w:lineRule="exact"/>
              <w:rPr>
                <w:sz w:val="1"/>
                <w:szCs w:val="1"/>
                <w:color w:val="auto"/>
              </w:rPr>
            </w:pPr>
          </w:p>
        </w:tc>
        <w:tc>
          <w:tcPr>
            <w:tcW w:w="1040" w:type="dxa"/>
            <w:vAlign w:val="bottom"/>
            <w:shd w:val="clear" w:color="auto" w:fill="D2DCE5"/>
          </w:tcPr>
          <w:p>
            <w:pPr>
              <w:spacing w:after="0" w:line="20" w:lineRule="exact"/>
              <w:rPr>
                <w:sz w:val="1"/>
                <w:szCs w:val="1"/>
                <w:color w:val="auto"/>
              </w:rPr>
            </w:pPr>
          </w:p>
        </w:tc>
        <w:tc>
          <w:tcPr>
            <w:tcW w:w="80" w:type="dxa"/>
            <w:vAlign w:val="bottom"/>
            <w:shd w:val="clear" w:color="auto" w:fill="D2DCE5"/>
          </w:tcPr>
          <w:p>
            <w:pPr>
              <w:spacing w:after="0" w:line="20" w:lineRule="exact"/>
              <w:rPr>
                <w:sz w:val="1"/>
                <w:szCs w:val="1"/>
                <w:color w:val="auto"/>
              </w:rPr>
            </w:pPr>
          </w:p>
        </w:tc>
        <w:tc>
          <w:tcPr>
            <w:tcW w:w="80" w:type="dxa"/>
            <w:vAlign w:val="bottom"/>
            <w:shd w:val="clear" w:color="auto" w:fill="D2DCE5"/>
          </w:tcPr>
          <w:p>
            <w:pPr>
              <w:spacing w:after="0" w:line="20" w:lineRule="exact"/>
              <w:rPr>
                <w:sz w:val="1"/>
                <w:szCs w:val="1"/>
                <w:color w:val="auto"/>
              </w:rPr>
            </w:pPr>
          </w:p>
        </w:tc>
        <w:tc>
          <w:tcPr>
            <w:tcW w:w="80" w:type="dxa"/>
            <w:vAlign w:val="bottom"/>
            <w:shd w:val="clear" w:color="auto" w:fill="D2DCE5"/>
          </w:tcPr>
          <w:p>
            <w:pPr>
              <w:spacing w:after="0" w:line="20" w:lineRule="exact"/>
              <w:rPr>
                <w:sz w:val="1"/>
                <w:szCs w:val="1"/>
                <w:color w:val="auto"/>
              </w:rPr>
            </w:pPr>
          </w:p>
        </w:tc>
        <w:tc>
          <w:tcPr>
            <w:tcW w:w="500" w:type="dxa"/>
            <w:vAlign w:val="bottom"/>
            <w:shd w:val="clear" w:color="auto" w:fill="D2DCE5"/>
          </w:tcPr>
          <w:p>
            <w:pPr>
              <w:spacing w:after="0" w:line="20" w:lineRule="exact"/>
              <w:rPr>
                <w:sz w:val="1"/>
                <w:szCs w:val="1"/>
                <w:color w:val="auto"/>
              </w:rPr>
            </w:pPr>
          </w:p>
        </w:tc>
        <w:tc>
          <w:tcPr>
            <w:tcW w:w="80" w:type="dxa"/>
            <w:vAlign w:val="bottom"/>
            <w:shd w:val="clear" w:color="auto" w:fill="D2DCE5"/>
          </w:tcPr>
          <w:p>
            <w:pPr>
              <w:spacing w:after="0" w:line="20" w:lineRule="exact"/>
              <w:rPr>
                <w:sz w:val="1"/>
                <w:szCs w:val="1"/>
                <w:color w:val="auto"/>
              </w:rPr>
            </w:pPr>
          </w:p>
        </w:tc>
        <w:tc>
          <w:tcPr>
            <w:tcW w:w="760" w:type="dxa"/>
            <w:vAlign w:val="bottom"/>
            <w:shd w:val="clear" w:color="auto" w:fill="D2DCE5"/>
          </w:tcPr>
          <w:p>
            <w:pPr>
              <w:spacing w:after="0" w:line="20" w:lineRule="exact"/>
              <w:rPr>
                <w:sz w:val="1"/>
                <w:szCs w:val="1"/>
                <w:color w:val="auto"/>
              </w:rPr>
            </w:pPr>
          </w:p>
        </w:tc>
        <w:tc>
          <w:tcPr>
            <w:tcW w:w="80" w:type="dxa"/>
            <w:vAlign w:val="bottom"/>
            <w:shd w:val="clear" w:color="auto" w:fill="D2DCE5"/>
          </w:tcPr>
          <w:p>
            <w:pPr>
              <w:spacing w:after="0" w:line="20" w:lineRule="exact"/>
              <w:rPr>
                <w:sz w:val="1"/>
                <w:szCs w:val="1"/>
                <w:color w:val="auto"/>
              </w:rPr>
            </w:pPr>
          </w:p>
        </w:tc>
        <w:tc>
          <w:tcPr>
            <w:tcW w:w="120" w:type="dxa"/>
            <w:vAlign w:val="bottom"/>
            <w:shd w:val="clear" w:color="auto" w:fill="D2DCE5"/>
          </w:tcPr>
          <w:p>
            <w:pPr>
              <w:spacing w:after="0" w:line="20" w:lineRule="exact"/>
              <w:rPr>
                <w:sz w:val="1"/>
                <w:szCs w:val="1"/>
                <w:color w:val="auto"/>
              </w:rPr>
            </w:pPr>
          </w:p>
        </w:tc>
        <w:tc>
          <w:tcPr>
            <w:tcW w:w="160" w:type="dxa"/>
            <w:vAlign w:val="bottom"/>
            <w:shd w:val="clear" w:color="auto" w:fill="D2DCE5"/>
          </w:tcPr>
          <w:p>
            <w:pPr>
              <w:spacing w:after="0" w:line="20" w:lineRule="exact"/>
              <w:rPr>
                <w:sz w:val="1"/>
                <w:szCs w:val="1"/>
                <w:color w:val="auto"/>
              </w:rPr>
            </w:pPr>
          </w:p>
        </w:tc>
        <w:tc>
          <w:tcPr>
            <w:tcW w:w="80" w:type="dxa"/>
            <w:vAlign w:val="bottom"/>
            <w:shd w:val="clear" w:color="auto" w:fill="D2DCE5"/>
          </w:tcPr>
          <w:p>
            <w:pPr>
              <w:spacing w:after="0" w:line="20" w:lineRule="exact"/>
              <w:rPr>
                <w:sz w:val="1"/>
                <w:szCs w:val="1"/>
                <w:color w:val="auto"/>
              </w:rPr>
            </w:pPr>
          </w:p>
        </w:tc>
        <w:tc>
          <w:tcPr>
            <w:tcW w:w="720" w:type="dxa"/>
            <w:vAlign w:val="bottom"/>
            <w:shd w:val="clear" w:color="auto" w:fill="D2DCE5"/>
          </w:tcPr>
          <w:p>
            <w:pPr>
              <w:spacing w:after="0" w:line="20" w:lineRule="exact"/>
              <w:rPr>
                <w:sz w:val="1"/>
                <w:szCs w:val="1"/>
                <w:color w:val="auto"/>
              </w:rPr>
            </w:pPr>
          </w:p>
        </w:tc>
        <w:tc>
          <w:tcPr>
            <w:tcW w:w="80" w:type="dxa"/>
            <w:vAlign w:val="bottom"/>
            <w:shd w:val="clear" w:color="auto" w:fill="D2DCE5"/>
          </w:tcPr>
          <w:p>
            <w:pPr>
              <w:spacing w:after="0" w:line="20" w:lineRule="exact"/>
              <w:rPr>
                <w:sz w:val="1"/>
                <w:szCs w:val="1"/>
                <w:color w:val="auto"/>
              </w:rPr>
            </w:pPr>
          </w:p>
        </w:tc>
        <w:tc>
          <w:tcPr>
            <w:tcW w:w="380" w:type="dxa"/>
            <w:vAlign w:val="bottom"/>
            <w:shd w:val="clear" w:color="auto" w:fill="D2DCE5"/>
          </w:tcPr>
          <w:p>
            <w:pPr>
              <w:spacing w:after="0" w:line="20" w:lineRule="exact"/>
              <w:rPr>
                <w:sz w:val="1"/>
                <w:szCs w:val="1"/>
                <w:color w:val="auto"/>
              </w:rPr>
            </w:pPr>
          </w:p>
        </w:tc>
        <w:tc>
          <w:tcPr>
            <w:tcW w:w="120" w:type="dxa"/>
            <w:vAlign w:val="bottom"/>
            <w:shd w:val="clear" w:color="auto" w:fill="D2DCE5"/>
          </w:tcPr>
          <w:p>
            <w:pPr>
              <w:spacing w:after="0" w:line="20" w:lineRule="exact"/>
              <w:rPr>
                <w:sz w:val="1"/>
                <w:szCs w:val="1"/>
                <w:color w:val="auto"/>
              </w:rPr>
            </w:pPr>
          </w:p>
        </w:tc>
        <w:tc>
          <w:tcPr>
            <w:tcW w:w="620" w:type="dxa"/>
            <w:vAlign w:val="bottom"/>
            <w:shd w:val="clear" w:color="auto" w:fill="D2DCE5"/>
          </w:tcPr>
          <w:p>
            <w:pPr>
              <w:spacing w:after="0" w:line="20" w:lineRule="exact"/>
              <w:rPr>
                <w:sz w:val="1"/>
                <w:szCs w:val="1"/>
                <w:color w:val="auto"/>
              </w:rPr>
            </w:pPr>
          </w:p>
        </w:tc>
        <w:tc>
          <w:tcPr>
            <w:tcW w:w="80" w:type="dxa"/>
            <w:vAlign w:val="bottom"/>
            <w:shd w:val="clear" w:color="auto" w:fill="D2DCE5"/>
          </w:tcPr>
          <w:p>
            <w:pPr>
              <w:spacing w:after="0" w:line="20" w:lineRule="exact"/>
              <w:rPr>
                <w:sz w:val="1"/>
                <w:szCs w:val="1"/>
                <w:color w:val="auto"/>
              </w:rPr>
            </w:pPr>
          </w:p>
        </w:tc>
        <w:tc>
          <w:tcPr>
            <w:tcW w:w="700" w:type="dxa"/>
            <w:vAlign w:val="bottom"/>
            <w:shd w:val="clear" w:color="auto" w:fill="D2DC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-1415415</wp:posOffset>
            </wp:positionV>
            <wp:extent cx="55880" cy="654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5880" cy="6540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-1415415</wp:posOffset>
            </wp:positionV>
            <wp:extent cx="55880" cy="654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5880" cy="6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71" w:name="page72"/>
    <w:bookmarkEnd w:id="71"/>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131E29"/>
        </w:rPr>
        <w:t>_________________</w:t>
      </w:r>
    </w:p>
    <w:p>
      <w:pPr>
        <w:spacing w:after="0" w:line="104" w:lineRule="exact"/>
        <w:rPr>
          <w:sz w:val="20"/>
          <w:szCs w:val="20"/>
          <w:color w:val="auto"/>
        </w:rPr>
      </w:pPr>
    </w:p>
    <w:p>
      <w:pPr>
        <w:ind w:left="120" w:hanging="115"/>
        <w:spacing w:after="0"/>
        <w:tabs>
          <w:tab w:leader="none" w:pos="120" w:val="left"/>
        </w:tabs>
        <w:numPr>
          <w:ilvl w:val="0"/>
          <w:numId w:val="37"/>
        </w:numPr>
        <w:rPr>
          <w:rFonts w:ascii="Arial" w:cs="Arial" w:eastAsia="Arial" w:hAnsi="Arial"/>
          <w:sz w:val="15"/>
          <w:szCs w:val="15"/>
          <w:color w:val="131E29"/>
          <w:vertAlign w:val="superscript"/>
        </w:rPr>
      </w:pPr>
      <w:r>
        <w:rPr>
          <w:rFonts w:ascii="Arial" w:cs="Arial" w:eastAsia="Arial" w:hAnsi="Arial"/>
          <w:sz w:val="11"/>
          <w:szCs w:val="11"/>
          <w:color w:val="131E29"/>
        </w:rPr>
        <w:t>Represents a temporary shop closure in 2021 that remained closed in 2022, and a permanent shop closure in 2020.</w:t>
      </w:r>
    </w:p>
    <w:p>
      <w:pPr>
        <w:spacing w:after="0" w:line="129" w:lineRule="exact"/>
        <w:rPr>
          <w:sz w:val="20"/>
          <w:szCs w:val="20"/>
          <w:color w:val="auto"/>
        </w:rPr>
      </w:pPr>
    </w:p>
    <w:p>
      <w:pPr>
        <w:jc w:val="both"/>
        <w:ind w:left="140" w:hanging="135"/>
        <w:spacing w:after="0"/>
        <w:tabs>
          <w:tab w:leader="none" w:pos="135" w:val="left"/>
        </w:tabs>
        <w:numPr>
          <w:ilvl w:val="0"/>
          <w:numId w:val="38"/>
        </w:numPr>
        <w:rPr>
          <w:rFonts w:ascii="Arial" w:cs="Arial" w:eastAsia="Arial" w:hAnsi="Arial"/>
          <w:sz w:val="15"/>
          <w:szCs w:val="15"/>
          <w:color w:val="131E29"/>
          <w:vertAlign w:val="superscript"/>
        </w:rPr>
      </w:pPr>
      <w:r>
        <w:rPr>
          <w:rFonts w:ascii="Arial" w:cs="Arial" w:eastAsia="Arial" w:hAnsi="Arial"/>
          <w:sz w:val="11"/>
          <w:szCs w:val="11"/>
          <w:color w:val="131E29"/>
        </w:rPr>
        <w:t>AUVs are determined based on the net sales for any trailing twelve-month period for systemwide and company-operated shops that have been open a minimum of 15 months. AUVs are calculated by dividing the systemwide and company-operated shop net sales by the total number of systemwide and company-operated shops, respectively. Management uses this metric as an indicator of shop growth and future expectations of mature locations.</w:t>
      </w:r>
    </w:p>
    <w:p>
      <w:pPr>
        <w:spacing w:after="0" w:line="232" w:lineRule="exact"/>
        <w:rPr>
          <w:sz w:val="20"/>
          <w:szCs w:val="20"/>
          <w:color w:val="auto"/>
        </w:rPr>
      </w:pPr>
    </w:p>
    <w:p>
      <w:pPr>
        <w:ind w:left="140" w:hanging="135"/>
        <w:spacing w:after="0" w:line="220" w:lineRule="auto"/>
        <w:tabs>
          <w:tab w:leader="none" w:pos="146" w:val="left"/>
        </w:tabs>
        <w:numPr>
          <w:ilvl w:val="0"/>
          <w:numId w:val="39"/>
        </w:numPr>
        <w:rPr>
          <w:rFonts w:ascii="Arial" w:cs="Arial" w:eastAsia="Arial" w:hAnsi="Arial"/>
          <w:sz w:val="15"/>
          <w:szCs w:val="15"/>
          <w:color w:val="131E29"/>
          <w:vertAlign w:val="superscript"/>
        </w:rPr>
      </w:pPr>
      <w:r>
        <w:rPr>
          <w:rFonts w:ascii="Arial" w:cs="Arial" w:eastAsia="Arial" w:hAnsi="Arial"/>
          <w:sz w:val="11"/>
          <w:szCs w:val="11"/>
          <w:color w:val="131E29"/>
        </w:rPr>
        <w:t>Same shop sales reflects the change in year-over-year sales, for the comparable shop base, which we define as shops open for 15 complete months or longer. Management uses this metric as an indicator of shop growth and future expansion strategy. The number of shops included in the systemwide and company-operated comparable bases for the respective periods are presented in the following table.</w:t>
      </w:r>
    </w:p>
    <w:p>
      <w:pPr>
        <w:spacing w:after="0" w:line="30" w:lineRule="exact"/>
        <w:rPr>
          <w:sz w:val="20"/>
          <w:szCs w:val="20"/>
          <w:color w:val="auto"/>
        </w:rPr>
      </w:pPr>
    </w:p>
    <w:tbl>
      <w:tblPr>
        <w:tblLayout w:type="fixed"/>
        <w:tblInd w:w="140" w:type="dxa"/>
        <w:tblCellMar>
          <w:top w:w="0" w:type="dxa"/>
          <w:left w:w="0" w:type="dxa"/>
          <w:bottom w:w="0" w:type="dxa"/>
          <w:right w:w="0" w:type="dxa"/>
        </w:tblCellMar>
      </w:tblPr>
      <w:tr>
        <w:trPr>
          <w:trHeight w:val="160"/>
        </w:trPr>
        <w:tc>
          <w:tcPr>
            <w:tcW w:w="6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131E29"/>
              </w:rPr>
              <w:t>Year Ended December 31,</w:t>
            </w:r>
          </w:p>
        </w:tc>
        <w:tc>
          <w:tcPr>
            <w:tcW w:w="1300" w:type="dxa"/>
            <w:vAlign w:val="bottom"/>
            <w:tcBorders>
              <w:bottom w:val="single" w:sz="8" w:color="auto"/>
            </w:tcBorders>
          </w:tcPr>
          <w:p>
            <w:pPr>
              <w:spacing w:after="0"/>
              <w:rPr>
                <w:sz w:val="13"/>
                <w:szCs w:val="13"/>
                <w:color w:val="auto"/>
              </w:rPr>
            </w:pPr>
          </w:p>
        </w:tc>
      </w:tr>
      <w:tr>
        <w:trPr>
          <w:trHeight w:val="171"/>
        </w:trPr>
        <w:tc>
          <w:tcPr>
            <w:tcW w:w="6720" w:type="dxa"/>
            <w:vAlign w:val="bottom"/>
            <w:tcBorders>
              <w:bottom w:val="single" w:sz="8" w:color="auto"/>
            </w:tcBorders>
          </w:tcPr>
          <w:p>
            <w:pPr>
              <w:spacing w:after="0"/>
              <w:rPr>
                <w:sz w:val="20"/>
                <w:szCs w:val="20"/>
                <w:color w:val="auto"/>
              </w:rPr>
            </w:pPr>
            <w:r>
              <w:rPr>
                <w:rFonts w:ascii="Arial" w:cs="Arial" w:eastAsia="Arial" w:hAnsi="Arial"/>
                <w:sz w:val="11"/>
                <w:szCs w:val="11"/>
                <w:color w:val="131E29"/>
              </w:rPr>
              <w:t>(unaudited)</w:t>
            </w:r>
          </w:p>
        </w:tc>
        <w:tc>
          <w:tcPr>
            <w:tcW w:w="80" w:type="dxa"/>
            <w:vAlign w:val="bottom"/>
            <w:tcBorders>
              <w:bottom w:val="single" w:sz="8" w:color="D2DCE5"/>
            </w:tcBorders>
          </w:tcPr>
          <w:p>
            <w:pPr>
              <w:spacing w:after="0"/>
              <w:rPr>
                <w:sz w:val="14"/>
                <w:szCs w:val="14"/>
                <w:color w:val="auto"/>
              </w:rPr>
            </w:pPr>
          </w:p>
        </w:tc>
        <w:tc>
          <w:tcPr>
            <w:tcW w:w="1300" w:type="dxa"/>
            <w:vAlign w:val="bottom"/>
            <w:tcBorders>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131E29"/>
              </w:rPr>
              <w:t>2022</w:t>
            </w:r>
          </w:p>
        </w:tc>
        <w:tc>
          <w:tcPr>
            <w:tcW w:w="80" w:type="dxa"/>
            <w:vAlign w:val="bottom"/>
            <w:tcBorders>
              <w:bottom w:val="single" w:sz="8" w:color="D2DCE5"/>
            </w:tcBorders>
          </w:tcPr>
          <w:p>
            <w:pPr>
              <w:spacing w:after="0"/>
              <w:rPr>
                <w:sz w:val="14"/>
                <w:szCs w:val="14"/>
                <w:color w:val="auto"/>
              </w:rPr>
            </w:pPr>
          </w:p>
        </w:tc>
        <w:tc>
          <w:tcPr>
            <w:tcW w:w="1300" w:type="dxa"/>
            <w:vAlign w:val="bottom"/>
            <w:tcBorders>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131E29"/>
              </w:rPr>
              <w:t>2021</w:t>
            </w:r>
          </w:p>
        </w:tc>
        <w:tc>
          <w:tcPr>
            <w:tcW w:w="80" w:type="dxa"/>
            <w:vAlign w:val="bottom"/>
            <w:tcBorders>
              <w:bottom w:val="single" w:sz="8" w:color="D2DCE5"/>
            </w:tcBorders>
          </w:tcPr>
          <w:p>
            <w:pPr>
              <w:spacing w:after="0"/>
              <w:rPr>
                <w:sz w:val="14"/>
                <w:szCs w:val="14"/>
                <w:color w:val="auto"/>
              </w:rPr>
            </w:pPr>
          </w:p>
        </w:tc>
        <w:tc>
          <w:tcPr>
            <w:tcW w:w="1300" w:type="dxa"/>
            <w:vAlign w:val="bottom"/>
            <w:tcBorders>
              <w:bottom w:val="single" w:sz="8" w:color="131E29"/>
            </w:tcBorders>
          </w:tcPr>
          <w:p>
            <w:pPr>
              <w:jc w:val="right"/>
              <w:ind w:right="463"/>
              <w:spacing w:after="0"/>
              <w:rPr>
                <w:sz w:val="20"/>
                <w:szCs w:val="20"/>
                <w:color w:val="auto"/>
              </w:rPr>
            </w:pPr>
            <w:r>
              <w:rPr>
                <w:rFonts w:ascii="Arial" w:cs="Arial" w:eastAsia="Arial" w:hAnsi="Arial"/>
                <w:sz w:val="11"/>
                <w:szCs w:val="11"/>
                <w:b w:val="1"/>
                <w:bCs w:val="1"/>
                <w:color w:val="131E29"/>
              </w:rPr>
              <w:t>2020</w:t>
            </w:r>
          </w:p>
        </w:tc>
      </w:tr>
      <w:tr>
        <w:trPr>
          <w:trHeight w:val="180"/>
        </w:trPr>
        <w:tc>
          <w:tcPr>
            <w:tcW w:w="6800" w:type="dxa"/>
            <w:vAlign w:val="bottom"/>
            <w:gridSpan w:val="2"/>
            <w:shd w:val="clear" w:color="auto" w:fill="D2DCE5"/>
          </w:tcPr>
          <w:p>
            <w:pPr>
              <w:spacing w:after="0"/>
              <w:rPr>
                <w:sz w:val="20"/>
                <w:szCs w:val="20"/>
                <w:color w:val="auto"/>
              </w:rPr>
            </w:pPr>
            <w:r>
              <w:rPr>
                <w:rFonts w:ascii="Arial" w:cs="Arial" w:eastAsia="Arial" w:hAnsi="Arial"/>
                <w:sz w:val="11"/>
                <w:szCs w:val="11"/>
                <w:color w:val="131E29"/>
              </w:rPr>
              <w:t>Systemwide shop base</w:t>
            </w:r>
          </w:p>
        </w:tc>
        <w:tc>
          <w:tcPr>
            <w:tcW w:w="130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414</w:t>
            </w:r>
          </w:p>
        </w:tc>
        <w:tc>
          <w:tcPr>
            <w:tcW w:w="1380" w:type="dxa"/>
            <w:vAlign w:val="bottom"/>
            <w:gridSpan w:val="2"/>
            <w:shd w:val="clear" w:color="auto" w:fill="D2DCE5"/>
          </w:tcPr>
          <w:p>
            <w:pPr>
              <w:jc w:val="right"/>
              <w:spacing w:after="0"/>
              <w:rPr>
                <w:sz w:val="20"/>
                <w:szCs w:val="20"/>
                <w:color w:val="auto"/>
              </w:rPr>
            </w:pPr>
            <w:r>
              <w:rPr>
                <w:rFonts w:ascii="Arial" w:cs="Arial" w:eastAsia="Arial" w:hAnsi="Arial"/>
                <w:sz w:val="11"/>
                <w:szCs w:val="11"/>
                <w:color w:val="131E29"/>
              </w:rPr>
              <w:t>354</w:t>
            </w:r>
          </w:p>
        </w:tc>
        <w:tc>
          <w:tcPr>
            <w:tcW w:w="80" w:type="dxa"/>
            <w:vAlign w:val="bottom"/>
            <w:shd w:val="clear" w:color="auto" w:fill="D2DCE5"/>
          </w:tcPr>
          <w:p>
            <w:pPr>
              <w:spacing w:after="0"/>
              <w:rPr>
                <w:sz w:val="15"/>
                <w:szCs w:val="15"/>
                <w:color w:val="auto"/>
              </w:rPr>
            </w:pPr>
          </w:p>
        </w:tc>
        <w:tc>
          <w:tcPr>
            <w:tcW w:w="130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316</w:t>
            </w:r>
          </w:p>
        </w:tc>
      </w:tr>
      <w:tr>
        <w:trPr>
          <w:trHeight w:val="161"/>
        </w:trPr>
        <w:tc>
          <w:tcPr>
            <w:tcW w:w="6800" w:type="dxa"/>
            <w:vAlign w:val="bottom"/>
            <w:gridSpan w:val="2"/>
          </w:tcPr>
          <w:p>
            <w:pPr>
              <w:spacing w:after="0"/>
              <w:rPr>
                <w:sz w:val="20"/>
                <w:szCs w:val="20"/>
                <w:color w:val="auto"/>
              </w:rPr>
            </w:pPr>
            <w:r>
              <w:rPr>
                <w:rFonts w:ascii="Arial" w:cs="Arial" w:eastAsia="Arial" w:hAnsi="Arial"/>
                <w:sz w:val="11"/>
                <w:szCs w:val="11"/>
                <w:color w:val="131E29"/>
              </w:rPr>
              <w:t>Company-operated shop base</w:t>
            </w:r>
          </w:p>
        </w:tc>
        <w:tc>
          <w:tcPr>
            <w:tcW w:w="1300" w:type="dxa"/>
            <w:vAlign w:val="bottom"/>
          </w:tcPr>
          <w:p>
            <w:pPr>
              <w:jc w:val="right"/>
              <w:spacing w:after="0"/>
              <w:rPr>
                <w:sz w:val="20"/>
                <w:szCs w:val="20"/>
                <w:color w:val="auto"/>
              </w:rPr>
            </w:pPr>
            <w:r>
              <w:rPr>
                <w:rFonts w:ascii="Arial" w:cs="Arial" w:eastAsia="Arial" w:hAnsi="Arial"/>
                <w:sz w:val="11"/>
                <w:szCs w:val="11"/>
                <w:color w:val="131E29"/>
              </w:rPr>
              <w:t>173</w:t>
            </w:r>
          </w:p>
        </w:tc>
        <w:tc>
          <w:tcPr>
            <w:tcW w:w="1380" w:type="dxa"/>
            <w:vAlign w:val="bottom"/>
            <w:gridSpan w:val="2"/>
          </w:tcPr>
          <w:p>
            <w:pPr>
              <w:jc w:val="right"/>
              <w:spacing w:after="0"/>
              <w:rPr>
                <w:sz w:val="20"/>
                <w:szCs w:val="20"/>
                <w:color w:val="auto"/>
              </w:rPr>
            </w:pPr>
            <w:r>
              <w:rPr>
                <w:rFonts w:ascii="Arial" w:cs="Arial" w:eastAsia="Arial" w:hAnsi="Arial"/>
                <w:sz w:val="11"/>
                <w:szCs w:val="11"/>
                <w:color w:val="131E29"/>
              </w:rPr>
              <w:t>120</w:t>
            </w:r>
          </w:p>
        </w:tc>
        <w:tc>
          <w:tcPr>
            <w:tcW w:w="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131E29"/>
              </w:rPr>
              <w:t>89</w:t>
            </w:r>
          </w:p>
        </w:tc>
      </w:tr>
    </w:tbl>
    <w:p>
      <w:pPr>
        <w:spacing w:after="0" w:line="214" w:lineRule="exact"/>
        <w:rPr>
          <w:sz w:val="20"/>
          <w:szCs w:val="20"/>
          <w:color w:val="auto"/>
        </w:rPr>
      </w:pPr>
    </w:p>
    <w:p>
      <w:pPr>
        <w:jc w:val="both"/>
        <w:ind w:left="140" w:right="60" w:hanging="135"/>
        <w:spacing w:after="0" w:line="267" w:lineRule="auto"/>
        <w:tabs>
          <w:tab w:leader="none" w:pos="188" w:val="left"/>
        </w:tabs>
        <w:numPr>
          <w:ilvl w:val="0"/>
          <w:numId w:val="40"/>
        </w:numPr>
        <w:rPr>
          <w:rFonts w:ascii="Arial" w:cs="Arial" w:eastAsia="Arial" w:hAnsi="Arial"/>
          <w:sz w:val="7"/>
          <w:szCs w:val="7"/>
          <w:color w:val="131E29"/>
        </w:rPr>
      </w:pPr>
      <w:r>
        <w:rPr>
          <w:rFonts w:ascii="Arial" w:cs="Arial" w:eastAsia="Arial" w:hAnsi="Arial"/>
          <w:sz w:val="11"/>
          <w:szCs w:val="11"/>
          <w:color w:val="131E29"/>
        </w:rPr>
        <w:t>Systemwide sales and systemwide same shop sales are operating measures that include sales at company-operated shops and sales at franchised shops during the comparable periods presented. Franchise sales represent sales at all franchise shops and are revenues to our franchise partners. We do not record franchise sales as revenues; however, our royalty revenues and advertising fund contributions are calculated based on a percentage of franchise sales. As these metrics include sales reported to us by our non-consolidated franchise partners, these metrics should be considered as a supplement to, not a substitute for, our results as reported under GAAP. Management uses these metrics as indicators of our system’s overall financial health, growth and future expansion prospects.</w:t>
      </w:r>
    </w:p>
    <w:p>
      <w:pPr>
        <w:spacing w:after="0" w:line="116" w:lineRule="exact"/>
        <w:rPr>
          <w:sz w:val="20"/>
          <w:szCs w:val="20"/>
          <w:color w:val="auto"/>
        </w:rPr>
      </w:pPr>
    </w:p>
    <w:p>
      <w:pPr>
        <w:ind w:left="140" w:hanging="135"/>
        <w:spacing w:after="0" w:line="211" w:lineRule="auto"/>
        <w:tabs>
          <w:tab w:leader="none" w:pos="189" w:val="left"/>
        </w:tabs>
        <w:numPr>
          <w:ilvl w:val="0"/>
          <w:numId w:val="41"/>
        </w:numPr>
        <w:rPr>
          <w:rFonts w:ascii="Arial" w:cs="Arial" w:eastAsia="Arial" w:hAnsi="Arial"/>
          <w:sz w:val="15"/>
          <w:szCs w:val="15"/>
          <w:color w:val="131E29"/>
          <w:vertAlign w:val="superscript"/>
        </w:rPr>
      </w:pPr>
      <w:r>
        <w:rPr>
          <w:rFonts w:ascii="Arial" w:cs="Arial" w:eastAsia="Arial" w:hAnsi="Arial"/>
          <w:sz w:val="11"/>
          <w:szCs w:val="11"/>
          <w:color w:val="131E29"/>
        </w:rPr>
        <w:t>Company-operated and franchise shops operating weeks are calculated based on the number operating days for the shop base and dividing by 7. Our shop base is defined as shops opened as of the period end date. The operating weeks calculations, reflect re-acquired franchises through 2022. Management uses these metrics as indicators of our system’s overall financial health, growth and future expansion prospects.</w:t>
      </w:r>
    </w:p>
    <w:p>
      <w:pPr>
        <w:spacing w:after="0" w:line="151" w:lineRule="exact"/>
        <w:rPr>
          <w:sz w:val="20"/>
          <w:szCs w:val="20"/>
          <w:color w:val="auto"/>
        </w:rPr>
      </w:pPr>
    </w:p>
    <w:p>
      <w:pPr>
        <w:ind w:left="140" w:hanging="135"/>
        <w:spacing w:after="0" w:line="300" w:lineRule="auto"/>
        <w:tabs>
          <w:tab w:leader="none" w:pos="146" w:val="left"/>
        </w:tabs>
        <w:numPr>
          <w:ilvl w:val="0"/>
          <w:numId w:val="42"/>
        </w:numPr>
        <w:rPr>
          <w:rFonts w:ascii="Arial" w:cs="Arial" w:eastAsia="Arial" w:hAnsi="Arial"/>
          <w:sz w:val="7"/>
          <w:szCs w:val="7"/>
          <w:color w:val="131E29"/>
        </w:rPr>
      </w:pPr>
      <w:r>
        <w:rPr>
          <w:rFonts w:ascii="Arial" w:cs="Arial" w:eastAsia="Arial" w:hAnsi="Arial"/>
          <w:sz w:val="11"/>
          <w:szCs w:val="11"/>
          <w:color w:val="131E29"/>
        </w:rPr>
        <w:t>Dutch Rewards, a digitally-based rewards program available exclusively through the Dutch Rewards mobile app, was launched February 2021. Management uses this metric as an indicator of customer loyalty adoption of our Dutch Rewards mobile app and future promotional plans.</w:t>
      </w:r>
    </w:p>
    <w:p>
      <w:pPr>
        <w:spacing w:after="0" w:line="98" w:lineRule="exact"/>
        <w:rPr>
          <w:sz w:val="20"/>
          <w:szCs w:val="20"/>
          <w:color w:val="auto"/>
        </w:rPr>
      </w:pPr>
    </w:p>
    <w:p>
      <w:pPr>
        <w:jc w:val="both"/>
        <w:ind w:left="140" w:hanging="135"/>
        <w:spacing w:after="0" w:line="232" w:lineRule="auto"/>
        <w:tabs>
          <w:tab w:leader="none" w:pos="224" w:val="left"/>
        </w:tabs>
        <w:numPr>
          <w:ilvl w:val="0"/>
          <w:numId w:val="43"/>
        </w:numPr>
        <w:rPr>
          <w:rFonts w:ascii="Arial" w:cs="Arial" w:eastAsia="Arial" w:hAnsi="Arial"/>
          <w:sz w:val="15"/>
          <w:szCs w:val="15"/>
          <w:color w:val="auto"/>
          <w:vertAlign w:val="superscript"/>
        </w:rPr>
      </w:pPr>
      <w:r>
        <w:rPr>
          <w:rFonts w:ascii="Arial" w:cs="Arial" w:eastAsia="Arial" w:hAnsi="Arial"/>
          <w:sz w:val="11"/>
          <w:szCs w:val="11"/>
          <w:color w:val="auto"/>
        </w:rPr>
        <w:t xml:space="preserve">Our historical results have been revised to reflect immaterial corrections related to the accrual of employee sick leave. For additional information, refer to NOTE 2 — Basis of Presentation and Summary of Significant Accounting Policies and NOTE 20 — Segment Reporting, included elsewhere in this Form 10-K. The impacts of the immaterial error corrections on our non-GAAP measures, not included elsewhere in this Form 10-K, are presented below for the years ended December 31, </w:t>
      </w:r>
      <w:r>
        <w:rPr>
          <w:rFonts w:ascii="Arial" w:cs="Arial" w:eastAsia="Arial" w:hAnsi="Arial"/>
          <w:sz w:val="11"/>
          <w:szCs w:val="11"/>
          <w:color w:val="131E29"/>
        </w:rPr>
        <w:t>2021</w:t>
      </w:r>
      <w:r>
        <w:rPr>
          <w:rFonts w:ascii="Arial" w:cs="Arial" w:eastAsia="Arial" w:hAnsi="Arial"/>
          <w:sz w:val="11"/>
          <w:szCs w:val="11"/>
          <w:color w:val="auto"/>
        </w:rPr>
        <w:t xml:space="preserve"> and 2020, respectively.</w:t>
      </w:r>
    </w:p>
    <w:p>
      <w:pPr>
        <w:spacing w:after="0" w:line="148" w:lineRule="exact"/>
        <w:rPr>
          <w:sz w:val="20"/>
          <w:szCs w:val="20"/>
          <w:color w:val="auto"/>
        </w:rPr>
      </w:pPr>
    </w:p>
    <w:tbl>
      <w:tblPr>
        <w:tblLayout w:type="fixed"/>
        <w:tblInd w:w="140" w:type="dxa"/>
        <w:tblCellMar>
          <w:top w:w="0" w:type="dxa"/>
          <w:left w:w="0" w:type="dxa"/>
          <w:bottom w:w="0" w:type="dxa"/>
          <w:right w:w="0" w:type="dxa"/>
        </w:tblCellMar>
      </w:tblPr>
      <w:tr>
        <w:trPr>
          <w:trHeight w:val="160"/>
        </w:trPr>
        <w:tc>
          <w:tcPr>
            <w:tcW w:w="8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00" w:type="dxa"/>
            <w:vAlign w:val="bottom"/>
            <w:tcBorders>
              <w:bottom w:val="single" w:sz="8" w:color="auto"/>
            </w:tcBorders>
            <w:gridSpan w:val="3"/>
          </w:tcPr>
          <w:p>
            <w:pPr>
              <w:jc w:val="right"/>
              <w:ind w:right="603"/>
              <w:spacing w:after="0"/>
              <w:rPr>
                <w:sz w:val="20"/>
                <w:szCs w:val="20"/>
                <w:color w:val="auto"/>
              </w:rPr>
            </w:pPr>
            <w:r>
              <w:rPr>
                <w:rFonts w:ascii="Arial" w:cs="Arial" w:eastAsia="Arial" w:hAnsi="Arial"/>
                <w:sz w:val="11"/>
                <w:szCs w:val="11"/>
                <w:b w:val="1"/>
                <w:bCs w:val="1"/>
                <w:color w:val="131E29"/>
              </w:rPr>
              <w:t>Year Ended December 31,</w:t>
            </w:r>
          </w:p>
        </w:tc>
      </w:tr>
      <w:tr>
        <w:trPr>
          <w:trHeight w:val="171"/>
        </w:trPr>
        <w:tc>
          <w:tcPr>
            <w:tcW w:w="8140" w:type="dxa"/>
            <w:vAlign w:val="bottom"/>
            <w:tcBorders>
              <w:bottom w:val="single" w:sz="8" w:color="auto"/>
            </w:tcBorders>
          </w:tcPr>
          <w:p>
            <w:pPr>
              <w:spacing w:after="0"/>
              <w:rPr>
                <w:sz w:val="20"/>
                <w:szCs w:val="20"/>
                <w:color w:val="auto"/>
              </w:rPr>
            </w:pPr>
            <w:r>
              <w:rPr>
                <w:rFonts w:ascii="Arial" w:cs="Arial" w:eastAsia="Arial" w:hAnsi="Arial"/>
                <w:sz w:val="11"/>
                <w:szCs w:val="11"/>
                <w:color w:val="131E29"/>
              </w:rPr>
              <w:t>(in thousands; unaudited)</w:t>
            </w:r>
          </w:p>
        </w:tc>
        <w:tc>
          <w:tcPr>
            <w:tcW w:w="80" w:type="dxa"/>
            <w:vAlign w:val="bottom"/>
            <w:tcBorders>
              <w:bottom w:val="single" w:sz="8" w:color="D2DCE5"/>
            </w:tcBorders>
          </w:tcPr>
          <w:p>
            <w:pPr>
              <w:spacing w:after="0"/>
              <w:rPr>
                <w:sz w:val="14"/>
                <w:szCs w:val="14"/>
                <w:color w:val="auto"/>
              </w:rPr>
            </w:pPr>
          </w:p>
        </w:tc>
        <w:tc>
          <w:tcPr>
            <w:tcW w:w="1320" w:type="dxa"/>
            <w:vAlign w:val="bottom"/>
            <w:tcBorders>
              <w:bottom w:val="single" w:sz="8" w:color="auto"/>
            </w:tcBorders>
          </w:tcPr>
          <w:p>
            <w:pPr>
              <w:jc w:val="right"/>
              <w:ind w:right="483"/>
              <w:spacing w:after="0"/>
              <w:rPr>
                <w:sz w:val="20"/>
                <w:szCs w:val="20"/>
                <w:color w:val="auto"/>
              </w:rPr>
            </w:pPr>
            <w:r>
              <w:rPr>
                <w:rFonts w:ascii="Arial" w:cs="Arial" w:eastAsia="Arial" w:hAnsi="Arial"/>
                <w:sz w:val="11"/>
                <w:szCs w:val="11"/>
                <w:b w:val="1"/>
                <w:bCs w:val="1"/>
                <w:color w:val="131E29"/>
              </w:rPr>
              <w:t>2021</w:t>
            </w:r>
          </w:p>
        </w:tc>
        <w:tc>
          <w:tcPr>
            <w:tcW w:w="80" w:type="dxa"/>
            <w:vAlign w:val="bottom"/>
            <w:tcBorders>
              <w:bottom w:val="single" w:sz="8" w:color="D2DCE5"/>
            </w:tcBorders>
          </w:tcPr>
          <w:p>
            <w:pPr>
              <w:spacing w:after="0"/>
              <w:rPr>
                <w:sz w:val="14"/>
                <w:szCs w:val="14"/>
                <w:color w:val="auto"/>
              </w:rPr>
            </w:pPr>
          </w:p>
        </w:tc>
        <w:tc>
          <w:tcPr>
            <w:tcW w:w="1300" w:type="dxa"/>
            <w:vAlign w:val="bottom"/>
            <w:tcBorders>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131E29"/>
              </w:rPr>
              <w:t>2020</w:t>
            </w:r>
          </w:p>
        </w:tc>
      </w:tr>
      <w:tr>
        <w:trPr>
          <w:trHeight w:val="180"/>
        </w:trPr>
        <w:tc>
          <w:tcPr>
            <w:tcW w:w="8220" w:type="dxa"/>
            <w:vAlign w:val="bottom"/>
            <w:gridSpan w:val="2"/>
            <w:shd w:val="clear" w:color="auto" w:fill="D2DCE5"/>
          </w:tcPr>
          <w:p>
            <w:pPr>
              <w:spacing w:after="0"/>
              <w:rPr>
                <w:sz w:val="20"/>
                <w:szCs w:val="20"/>
                <w:color w:val="auto"/>
              </w:rPr>
            </w:pPr>
            <w:r>
              <w:rPr>
                <w:rFonts w:ascii="Arial" w:cs="Arial" w:eastAsia="Arial" w:hAnsi="Arial"/>
                <w:sz w:val="11"/>
                <w:szCs w:val="11"/>
                <w:color w:val="131E29"/>
              </w:rPr>
              <w:t>Decrease in adjusted selling, general, and administrative expenses</w:t>
            </w:r>
          </w:p>
        </w:tc>
        <w:tc>
          <w:tcPr>
            <w:tcW w:w="132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(506)</w:t>
            </w:r>
          </w:p>
        </w:tc>
        <w:tc>
          <w:tcPr>
            <w:tcW w:w="80" w:type="dxa"/>
            <w:vAlign w:val="bottom"/>
            <w:shd w:val="clear" w:color="auto" w:fill="D2DCE5"/>
          </w:tcPr>
          <w:p>
            <w:pPr>
              <w:spacing w:after="0"/>
              <w:rPr>
                <w:sz w:val="15"/>
                <w:szCs w:val="15"/>
                <w:color w:val="auto"/>
              </w:rPr>
            </w:pPr>
          </w:p>
        </w:tc>
        <w:tc>
          <w:tcPr>
            <w:tcW w:w="130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(152)</w:t>
            </w:r>
          </w:p>
        </w:tc>
      </w:tr>
      <w:tr>
        <w:trPr>
          <w:trHeight w:val="171"/>
        </w:trPr>
        <w:tc>
          <w:tcPr>
            <w:tcW w:w="8220" w:type="dxa"/>
            <w:vAlign w:val="bottom"/>
            <w:gridSpan w:val="2"/>
          </w:tcPr>
          <w:p>
            <w:pPr>
              <w:spacing w:after="0"/>
              <w:rPr>
                <w:sz w:val="20"/>
                <w:szCs w:val="20"/>
                <w:color w:val="auto"/>
              </w:rPr>
            </w:pPr>
            <w:r>
              <w:rPr>
                <w:rFonts w:ascii="Arial" w:cs="Arial" w:eastAsia="Arial" w:hAnsi="Arial"/>
                <w:sz w:val="11"/>
                <w:szCs w:val="11"/>
                <w:color w:val="131E29"/>
              </w:rPr>
              <w:t>Increase in EBITDA</w:t>
            </w:r>
          </w:p>
        </w:tc>
        <w:tc>
          <w:tcPr>
            <w:tcW w:w="1320" w:type="dxa"/>
            <w:vAlign w:val="bottom"/>
          </w:tcPr>
          <w:p>
            <w:pPr>
              <w:jc w:val="right"/>
              <w:ind w:right="3"/>
              <w:spacing w:after="0"/>
              <w:rPr>
                <w:sz w:val="20"/>
                <w:szCs w:val="20"/>
                <w:color w:val="auto"/>
              </w:rPr>
            </w:pPr>
            <w:r>
              <w:rPr>
                <w:rFonts w:ascii="Arial" w:cs="Arial" w:eastAsia="Arial" w:hAnsi="Arial"/>
                <w:sz w:val="11"/>
                <w:szCs w:val="11"/>
                <w:color w:val="131E29"/>
              </w:rPr>
              <w:t>2,046</w:t>
            </w:r>
          </w:p>
        </w:tc>
        <w:tc>
          <w:tcPr>
            <w:tcW w:w="80" w:type="dxa"/>
            <w:vAlign w:val="bottom"/>
          </w:tcPr>
          <w:p>
            <w:pPr>
              <w:spacing w:after="0"/>
              <w:rPr>
                <w:sz w:val="14"/>
                <w:szCs w:val="14"/>
                <w:color w:val="auto"/>
              </w:rPr>
            </w:pPr>
          </w:p>
        </w:tc>
        <w:tc>
          <w:tcPr>
            <w:tcW w:w="1300" w:type="dxa"/>
            <w:vAlign w:val="bottom"/>
          </w:tcPr>
          <w:p>
            <w:pPr>
              <w:jc w:val="right"/>
              <w:ind w:right="3"/>
              <w:spacing w:after="0"/>
              <w:rPr>
                <w:sz w:val="20"/>
                <w:szCs w:val="20"/>
                <w:color w:val="auto"/>
              </w:rPr>
            </w:pPr>
            <w:r>
              <w:rPr>
                <w:rFonts w:ascii="Arial" w:cs="Arial" w:eastAsia="Arial" w:hAnsi="Arial"/>
                <w:sz w:val="11"/>
                <w:szCs w:val="11"/>
                <w:color w:val="131E29"/>
              </w:rPr>
              <w:t>333</w:t>
            </w:r>
          </w:p>
        </w:tc>
      </w:tr>
      <w:tr>
        <w:trPr>
          <w:trHeight w:val="190"/>
        </w:trPr>
        <w:tc>
          <w:tcPr>
            <w:tcW w:w="8220" w:type="dxa"/>
            <w:vAlign w:val="bottom"/>
            <w:gridSpan w:val="2"/>
            <w:shd w:val="clear" w:color="auto" w:fill="D2DCE5"/>
          </w:tcPr>
          <w:p>
            <w:pPr>
              <w:spacing w:after="0"/>
              <w:rPr>
                <w:sz w:val="20"/>
                <w:szCs w:val="20"/>
                <w:color w:val="auto"/>
              </w:rPr>
            </w:pPr>
            <w:r>
              <w:rPr>
                <w:rFonts w:ascii="Arial" w:cs="Arial" w:eastAsia="Arial" w:hAnsi="Arial"/>
                <w:sz w:val="11"/>
                <w:szCs w:val="11"/>
                <w:color w:val="131E29"/>
              </w:rPr>
              <w:t>Increase in adjusted EBITDA</w:t>
            </w:r>
          </w:p>
        </w:tc>
        <w:tc>
          <w:tcPr>
            <w:tcW w:w="132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2,046</w:t>
            </w:r>
          </w:p>
        </w:tc>
        <w:tc>
          <w:tcPr>
            <w:tcW w:w="80" w:type="dxa"/>
            <w:vAlign w:val="bottom"/>
            <w:shd w:val="clear" w:color="auto" w:fill="D2DCE5"/>
          </w:tcPr>
          <w:p>
            <w:pPr>
              <w:spacing w:after="0"/>
              <w:rPr>
                <w:sz w:val="16"/>
                <w:szCs w:val="16"/>
                <w:color w:val="auto"/>
              </w:rPr>
            </w:pPr>
          </w:p>
        </w:tc>
        <w:tc>
          <w:tcPr>
            <w:tcW w:w="130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333</w:t>
            </w:r>
          </w:p>
        </w:tc>
      </w:tr>
    </w:tbl>
    <w:p>
      <w:pPr>
        <w:spacing w:after="0" w:line="169" w:lineRule="exact"/>
        <w:rPr>
          <w:sz w:val="20"/>
          <w:szCs w:val="20"/>
          <w:color w:val="auto"/>
        </w:rPr>
      </w:pPr>
    </w:p>
    <w:p>
      <w:pPr>
        <w:ind w:left="120" w:hanging="115"/>
        <w:spacing w:after="0"/>
        <w:tabs>
          <w:tab w:leader="none" w:pos="120" w:val="left"/>
        </w:tabs>
        <w:numPr>
          <w:ilvl w:val="0"/>
          <w:numId w:val="44"/>
        </w:numPr>
        <w:rPr>
          <w:rFonts w:ascii="Arial" w:cs="Arial" w:eastAsia="Arial" w:hAnsi="Arial"/>
          <w:sz w:val="15"/>
          <w:szCs w:val="15"/>
          <w:color w:val="131E29"/>
          <w:vertAlign w:val="superscript"/>
        </w:rPr>
      </w:pPr>
      <w:r>
        <w:rPr>
          <w:rFonts w:ascii="Arial" w:cs="Arial" w:eastAsia="Arial" w:hAnsi="Arial"/>
          <w:sz w:val="11"/>
          <w:szCs w:val="11"/>
          <w:color w:val="131E29"/>
        </w:rPr>
        <w:t>Reconciliation of GAAP to non-GAAP results is provided in the section “Non-GAAP Financial Measures” in Part II, 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72" w:name="page73"/>
    <w:bookmarkEnd w:id="72"/>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0416B"/>
        </w:rPr>
        <w:t>Company-operated Shop Results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00" w:type="dxa"/>
            <w:vAlign w:val="bottom"/>
            <w:gridSpan w:val="2"/>
          </w:tcPr>
          <w:p>
            <w:pPr>
              <w:spacing w:after="0"/>
              <w:rPr>
                <w:sz w:val="20"/>
                <w:szCs w:val="20"/>
                <w:color w:val="auto"/>
              </w:rPr>
            </w:pPr>
            <w:r>
              <w:rPr>
                <w:rFonts w:ascii="Arial" w:cs="Arial" w:eastAsia="Arial" w:hAnsi="Arial"/>
                <w:sz w:val="14"/>
                <w:szCs w:val="14"/>
                <w:color w:val="131E29"/>
              </w:rPr>
              <w:t>The results for our company-operated shops segment were as follows:</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40"/>
        </w:trPr>
        <w:tc>
          <w:tcPr>
            <w:tcW w:w="5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4"/>
          </w:tcPr>
          <w:p>
            <w:pPr>
              <w:ind w:left="100"/>
              <w:spacing w:after="0"/>
              <w:rPr>
                <w:sz w:val="20"/>
                <w:szCs w:val="20"/>
                <w:color w:val="auto"/>
              </w:rPr>
            </w:pPr>
            <w:r>
              <w:rPr>
                <w:rFonts w:ascii="Arial" w:cs="Arial" w:eastAsia="Arial" w:hAnsi="Arial"/>
                <w:sz w:val="14"/>
                <w:szCs w:val="14"/>
                <w:b w:val="1"/>
                <w:bCs w:val="1"/>
                <w:color w:val="131E29"/>
              </w:rPr>
              <w:t>Year Ended December 31,</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
        </w:trPr>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81"/>
        </w:trPr>
        <w:tc>
          <w:tcPr>
            <w:tcW w:w="5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131E29"/>
              </w:rPr>
              <w:t>2022</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131E29"/>
              </w:rPr>
              <w:t>2021</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131E29"/>
              </w:rPr>
              <w:t>2020</w:t>
            </w:r>
          </w:p>
        </w:tc>
        <w:tc>
          <w:tcPr>
            <w:tcW w:w="720" w:type="dxa"/>
            <w:vAlign w:val="bottom"/>
          </w:tcPr>
          <w:p>
            <w:pPr>
              <w:spacing w:after="0"/>
              <w:rPr>
                <w:sz w:val="15"/>
                <w:szCs w:val="15"/>
                <w:color w:val="auto"/>
              </w:rPr>
            </w:pPr>
          </w:p>
        </w:tc>
      </w:tr>
      <w:tr>
        <w:trPr>
          <w:trHeight w:val="22"/>
        </w:trPr>
        <w:tc>
          <w:tcPr>
            <w:tcW w:w="5600" w:type="dxa"/>
            <w:vAlign w:val="bottom"/>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93"/>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80" w:type="dxa"/>
            <w:vAlign w:val="bottom"/>
            <w:tcBorders>
              <w:bottom w:val="single" w:sz="8" w:color="D2DCE5"/>
            </w:tcBorders>
          </w:tcPr>
          <w:p>
            <w:pPr>
              <w:spacing w:after="0"/>
              <w:rPr>
                <w:sz w:val="16"/>
                <w:szCs w:val="16"/>
                <w:color w:val="auto"/>
              </w:rPr>
            </w:pPr>
          </w:p>
        </w:tc>
        <w:tc>
          <w:tcPr>
            <w:tcW w:w="104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tcPr>
          <w:p>
            <w:pPr>
              <w:spacing w:after="0"/>
              <w:rPr>
                <w:sz w:val="16"/>
                <w:szCs w:val="16"/>
                <w:color w:val="auto"/>
              </w:rPr>
            </w:pPr>
          </w:p>
        </w:tc>
        <w:tc>
          <w:tcPr>
            <w:tcW w:w="6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131E29"/>
              </w:rPr>
              <w:t>%</w:t>
            </w:r>
          </w:p>
        </w:tc>
        <w:tc>
          <w:tcPr>
            <w:tcW w:w="100" w:type="dxa"/>
            <w:vAlign w:val="bottom"/>
            <w:tcBorders>
              <w:bottom w:val="single" w:sz="8" w:color="D2DCE5"/>
            </w:tcBorders>
          </w:tcPr>
          <w:p>
            <w:pPr>
              <w:spacing w:after="0"/>
              <w:rPr>
                <w:sz w:val="16"/>
                <w:szCs w:val="16"/>
                <w:color w:val="auto"/>
              </w:rPr>
            </w:pPr>
          </w:p>
        </w:tc>
        <w:tc>
          <w:tcPr>
            <w:tcW w:w="102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tcPr>
          <w:p>
            <w:pPr>
              <w:spacing w:after="0"/>
              <w:rPr>
                <w:sz w:val="16"/>
                <w:szCs w:val="16"/>
                <w:color w:val="auto"/>
              </w:rPr>
            </w:pPr>
          </w:p>
        </w:tc>
        <w:tc>
          <w:tcPr>
            <w:tcW w:w="72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131E29"/>
              </w:rPr>
              <w:t>%</w:t>
            </w:r>
          </w:p>
        </w:tc>
        <w:tc>
          <w:tcPr>
            <w:tcW w:w="100" w:type="dxa"/>
            <w:vAlign w:val="bottom"/>
            <w:tcBorders>
              <w:bottom w:val="single" w:sz="8" w:color="D2DCE5"/>
            </w:tcBorders>
          </w:tcPr>
          <w:p>
            <w:pPr>
              <w:spacing w:after="0"/>
              <w:rPr>
                <w:sz w:val="16"/>
                <w:szCs w:val="16"/>
                <w:color w:val="auto"/>
              </w:rPr>
            </w:pPr>
          </w:p>
        </w:tc>
        <w:tc>
          <w:tcPr>
            <w:tcW w:w="108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tcPr>
          <w:p>
            <w:pPr>
              <w:spacing w:after="0"/>
              <w:rPr>
                <w:sz w:val="16"/>
                <w:szCs w:val="16"/>
                <w:color w:val="auto"/>
              </w:rPr>
            </w:pPr>
          </w:p>
        </w:tc>
        <w:tc>
          <w:tcPr>
            <w:tcW w:w="7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131E29"/>
              </w:rPr>
              <w:t>%</w:t>
            </w:r>
          </w:p>
        </w:tc>
      </w:tr>
      <w:tr>
        <w:trPr>
          <w:trHeight w:val="192"/>
        </w:trPr>
        <w:tc>
          <w:tcPr>
            <w:tcW w:w="56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Company-operated shop revenues</w:t>
            </w: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639,710</w:t>
            </w:r>
          </w:p>
        </w:tc>
        <w:tc>
          <w:tcPr>
            <w:tcW w:w="80" w:type="dxa"/>
            <w:vAlign w:val="bottom"/>
            <w:tcBorders>
              <w:bottom w:val="single" w:sz="8" w:color="D2DCE5"/>
            </w:tcBorders>
            <w:shd w:val="clear" w:color="auto" w:fill="D2DCE5"/>
          </w:tcPr>
          <w:p>
            <w:pPr>
              <w:spacing w:after="0"/>
              <w:rPr>
                <w:sz w:val="16"/>
                <w:szCs w:val="16"/>
                <w:color w:val="auto"/>
              </w:rPr>
            </w:pPr>
          </w:p>
        </w:tc>
        <w:tc>
          <w:tcPr>
            <w:tcW w:w="6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100.0</w:t>
            </w:r>
          </w:p>
        </w:tc>
        <w:tc>
          <w:tcPr>
            <w:tcW w:w="100" w:type="dxa"/>
            <w:vAlign w:val="bottom"/>
            <w:tcBorders>
              <w:bottom w:val="single" w:sz="8" w:color="D2DCE5"/>
            </w:tcBorders>
            <w:shd w:val="clear" w:color="auto" w:fill="D2DCE5"/>
          </w:tcPr>
          <w:p>
            <w:pPr>
              <w:spacing w:after="0"/>
              <w:rPr>
                <w:sz w:val="16"/>
                <w:szCs w:val="16"/>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403,746</w:t>
            </w:r>
          </w:p>
        </w:tc>
        <w:tc>
          <w:tcPr>
            <w:tcW w:w="80" w:type="dxa"/>
            <w:vAlign w:val="bottom"/>
            <w:tcBorders>
              <w:bottom w:val="single" w:sz="8" w:color="D2DCE5"/>
            </w:tcBorders>
            <w:shd w:val="clear" w:color="auto" w:fill="D2DCE5"/>
          </w:tcPr>
          <w:p>
            <w:pPr>
              <w:spacing w:after="0"/>
              <w:rPr>
                <w:sz w:val="16"/>
                <w:szCs w:val="16"/>
                <w:color w:val="auto"/>
              </w:rPr>
            </w:pPr>
          </w:p>
        </w:tc>
        <w:tc>
          <w:tcPr>
            <w:tcW w:w="7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100.0</w:t>
            </w:r>
          </w:p>
        </w:tc>
        <w:tc>
          <w:tcPr>
            <w:tcW w:w="100" w:type="dxa"/>
            <w:vAlign w:val="bottom"/>
            <w:tcBorders>
              <w:bottom w:val="single" w:sz="8" w:color="D2DCE5"/>
            </w:tcBorders>
            <w:shd w:val="clear" w:color="auto" w:fill="D2DCE5"/>
          </w:tcPr>
          <w:p>
            <w:pPr>
              <w:spacing w:after="0"/>
              <w:rPr>
                <w:sz w:val="16"/>
                <w:szCs w:val="16"/>
                <w:color w:val="auto"/>
              </w:rPr>
            </w:pPr>
          </w:p>
        </w:tc>
        <w:tc>
          <w:tcPr>
            <w:tcW w:w="10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244,514</w:t>
            </w:r>
          </w:p>
        </w:tc>
        <w:tc>
          <w:tcPr>
            <w:tcW w:w="80" w:type="dxa"/>
            <w:vAlign w:val="bottom"/>
            <w:tcBorders>
              <w:bottom w:val="single" w:sz="8" w:color="D2DCE5"/>
            </w:tcBorders>
            <w:shd w:val="clear" w:color="auto" w:fill="D2DCE5"/>
          </w:tcPr>
          <w:p>
            <w:pPr>
              <w:spacing w:after="0"/>
              <w:rPr>
                <w:sz w:val="16"/>
                <w:szCs w:val="16"/>
                <w:color w:val="auto"/>
              </w:rPr>
            </w:pPr>
          </w:p>
        </w:tc>
        <w:tc>
          <w:tcPr>
            <w:tcW w:w="7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100.0</w:t>
            </w:r>
          </w:p>
        </w:tc>
      </w:tr>
      <w:tr>
        <w:trPr>
          <w:trHeight w:val="127"/>
        </w:trPr>
        <w:tc>
          <w:tcPr>
            <w:tcW w:w="5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92"/>
        </w:trPr>
        <w:tc>
          <w:tcPr>
            <w:tcW w:w="56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Beverage, food, and packaging costs</w:t>
            </w: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171,864</w:t>
            </w:r>
          </w:p>
        </w:tc>
        <w:tc>
          <w:tcPr>
            <w:tcW w:w="80" w:type="dxa"/>
            <w:vAlign w:val="bottom"/>
            <w:tcBorders>
              <w:bottom w:val="single" w:sz="8" w:color="D2DCE5"/>
            </w:tcBorders>
            <w:shd w:val="clear" w:color="auto" w:fill="D2DCE5"/>
          </w:tcPr>
          <w:p>
            <w:pPr>
              <w:spacing w:after="0"/>
              <w:rPr>
                <w:sz w:val="16"/>
                <w:szCs w:val="16"/>
                <w:color w:val="auto"/>
              </w:rPr>
            </w:pPr>
          </w:p>
        </w:tc>
        <w:tc>
          <w:tcPr>
            <w:tcW w:w="6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26.9</w:t>
            </w:r>
          </w:p>
        </w:tc>
        <w:tc>
          <w:tcPr>
            <w:tcW w:w="100" w:type="dxa"/>
            <w:vAlign w:val="bottom"/>
            <w:tcBorders>
              <w:bottom w:val="single" w:sz="8" w:color="D2DCE5"/>
            </w:tcBorders>
            <w:shd w:val="clear" w:color="auto" w:fill="D2DCE5"/>
          </w:tcPr>
          <w:p>
            <w:pPr>
              <w:spacing w:after="0"/>
              <w:rPr>
                <w:sz w:val="16"/>
                <w:szCs w:val="16"/>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102,222</w:t>
            </w:r>
          </w:p>
        </w:tc>
        <w:tc>
          <w:tcPr>
            <w:tcW w:w="80" w:type="dxa"/>
            <w:vAlign w:val="bottom"/>
            <w:tcBorders>
              <w:bottom w:val="single" w:sz="8" w:color="D2DCE5"/>
            </w:tcBorders>
            <w:shd w:val="clear" w:color="auto" w:fill="D2DCE5"/>
          </w:tcPr>
          <w:p>
            <w:pPr>
              <w:spacing w:after="0"/>
              <w:rPr>
                <w:sz w:val="16"/>
                <w:szCs w:val="16"/>
                <w:color w:val="auto"/>
              </w:rPr>
            </w:pPr>
          </w:p>
        </w:tc>
        <w:tc>
          <w:tcPr>
            <w:tcW w:w="7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25.3</w:t>
            </w:r>
          </w:p>
        </w:tc>
        <w:tc>
          <w:tcPr>
            <w:tcW w:w="100" w:type="dxa"/>
            <w:vAlign w:val="bottom"/>
            <w:tcBorders>
              <w:bottom w:val="single" w:sz="8" w:color="D2DCE5"/>
            </w:tcBorders>
            <w:shd w:val="clear" w:color="auto" w:fill="D2DCE5"/>
          </w:tcPr>
          <w:p>
            <w:pPr>
              <w:spacing w:after="0"/>
              <w:rPr>
                <w:sz w:val="16"/>
                <w:szCs w:val="16"/>
                <w:color w:val="auto"/>
              </w:rPr>
            </w:pPr>
          </w:p>
        </w:tc>
        <w:tc>
          <w:tcPr>
            <w:tcW w:w="10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54,820</w:t>
            </w:r>
          </w:p>
        </w:tc>
        <w:tc>
          <w:tcPr>
            <w:tcW w:w="80" w:type="dxa"/>
            <w:vAlign w:val="bottom"/>
            <w:tcBorders>
              <w:bottom w:val="single" w:sz="8" w:color="D2DCE5"/>
            </w:tcBorders>
            <w:shd w:val="clear" w:color="auto" w:fill="D2DCE5"/>
          </w:tcPr>
          <w:p>
            <w:pPr>
              <w:spacing w:after="0"/>
              <w:rPr>
                <w:sz w:val="16"/>
                <w:szCs w:val="16"/>
                <w:color w:val="auto"/>
              </w:rPr>
            </w:pPr>
          </w:p>
        </w:tc>
        <w:tc>
          <w:tcPr>
            <w:tcW w:w="7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22.4</w:t>
            </w:r>
          </w:p>
        </w:tc>
      </w:tr>
      <w:tr>
        <w:trPr>
          <w:trHeight w:val="191"/>
        </w:trPr>
        <w:tc>
          <w:tcPr>
            <w:tcW w:w="5600" w:type="dxa"/>
            <w:vAlign w:val="bottom"/>
            <w:gridSpan w:val="2"/>
          </w:tcPr>
          <w:p>
            <w:pPr>
              <w:ind w:left="20"/>
              <w:spacing w:after="0"/>
              <w:rPr>
                <w:sz w:val="20"/>
                <w:szCs w:val="20"/>
                <w:color w:val="auto"/>
              </w:rPr>
            </w:pPr>
            <w:r>
              <w:rPr>
                <w:rFonts w:ascii="Arial" w:cs="Arial" w:eastAsia="Arial" w:hAnsi="Arial"/>
                <w:sz w:val="14"/>
                <w:szCs w:val="14"/>
                <w:color w:val="131E29"/>
              </w:rPr>
              <w:t>Labor costs</w:t>
            </w:r>
          </w:p>
        </w:tc>
        <w:tc>
          <w:tcPr>
            <w:tcW w:w="1040" w:type="dxa"/>
            <w:vAlign w:val="bottom"/>
          </w:tcPr>
          <w:p>
            <w:pPr>
              <w:jc w:val="right"/>
              <w:spacing w:after="0"/>
              <w:rPr>
                <w:sz w:val="20"/>
                <w:szCs w:val="20"/>
                <w:color w:val="auto"/>
              </w:rPr>
            </w:pPr>
            <w:r>
              <w:rPr>
                <w:rFonts w:ascii="Arial" w:cs="Arial" w:eastAsia="Arial" w:hAnsi="Arial"/>
                <w:sz w:val="14"/>
                <w:szCs w:val="14"/>
                <w:color w:val="131E29"/>
              </w:rPr>
              <w:t>182,861</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131E29"/>
              </w:rPr>
              <w:t>28.6</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122,161</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30.3</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131E29"/>
              </w:rPr>
              <w:t>71,473</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29.2</w:t>
            </w:r>
          </w:p>
        </w:tc>
      </w:tr>
      <w:tr>
        <w:trPr>
          <w:trHeight w:val="22"/>
        </w:trPr>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2"/>
        </w:trPr>
        <w:tc>
          <w:tcPr>
            <w:tcW w:w="56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Occupancy and other costs</w:t>
            </w: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109,366</w:t>
            </w:r>
          </w:p>
        </w:tc>
        <w:tc>
          <w:tcPr>
            <w:tcW w:w="80" w:type="dxa"/>
            <w:vAlign w:val="bottom"/>
            <w:tcBorders>
              <w:bottom w:val="single" w:sz="8" w:color="D2DCE5"/>
            </w:tcBorders>
            <w:shd w:val="clear" w:color="auto" w:fill="D2DCE5"/>
          </w:tcPr>
          <w:p>
            <w:pPr>
              <w:spacing w:after="0"/>
              <w:rPr>
                <w:sz w:val="16"/>
                <w:szCs w:val="16"/>
                <w:color w:val="auto"/>
              </w:rPr>
            </w:pPr>
          </w:p>
        </w:tc>
        <w:tc>
          <w:tcPr>
            <w:tcW w:w="6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17.1</w:t>
            </w:r>
          </w:p>
        </w:tc>
        <w:tc>
          <w:tcPr>
            <w:tcW w:w="100" w:type="dxa"/>
            <w:vAlign w:val="bottom"/>
            <w:tcBorders>
              <w:bottom w:val="single" w:sz="8" w:color="D2DCE5"/>
            </w:tcBorders>
            <w:shd w:val="clear" w:color="auto" w:fill="D2DCE5"/>
          </w:tcPr>
          <w:p>
            <w:pPr>
              <w:spacing w:after="0"/>
              <w:rPr>
                <w:sz w:val="16"/>
                <w:szCs w:val="16"/>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63,570</w:t>
            </w:r>
          </w:p>
        </w:tc>
        <w:tc>
          <w:tcPr>
            <w:tcW w:w="80" w:type="dxa"/>
            <w:vAlign w:val="bottom"/>
            <w:tcBorders>
              <w:bottom w:val="single" w:sz="8" w:color="D2DCE5"/>
            </w:tcBorders>
            <w:shd w:val="clear" w:color="auto" w:fill="D2DCE5"/>
          </w:tcPr>
          <w:p>
            <w:pPr>
              <w:spacing w:after="0"/>
              <w:rPr>
                <w:sz w:val="16"/>
                <w:szCs w:val="16"/>
                <w:color w:val="auto"/>
              </w:rPr>
            </w:pPr>
          </w:p>
        </w:tc>
        <w:tc>
          <w:tcPr>
            <w:tcW w:w="7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15.7</w:t>
            </w:r>
          </w:p>
        </w:tc>
        <w:tc>
          <w:tcPr>
            <w:tcW w:w="100" w:type="dxa"/>
            <w:vAlign w:val="bottom"/>
            <w:tcBorders>
              <w:bottom w:val="single" w:sz="8" w:color="D2DCE5"/>
            </w:tcBorders>
            <w:shd w:val="clear" w:color="auto" w:fill="D2DCE5"/>
          </w:tcPr>
          <w:p>
            <w:pPr>
              <w:spacing w:after="0"/>
              <w:rPr>
                <w:sz w:val="16"/>
                <w:szCs w:val="16"/>
                <w:color w:val="auto"/>
              </w:rPr>
            </w:pPr>
          </w:p>
        </w:tc>
        <w:tc>
          <w:tcPr>
            <w:tcW w:w="10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38,611</w:t>
            </w:r>
          </w:p>
        </w:tc>
        <w:tc>
          <w:tcPr>
            <w:tcW w:w="80" w:type="dxa"/>
            <w:vAlign w:val="bottom"/>
            <w:tcBorders>
              <w:bottom w:val="single" w:sz="8" w:color="D2DCE5"/>
            </w:tcBorders>
            <w:shd w:val="clear" w:color="auto" w:fill="D2DCE5"/>
          </w:tcPr>
          <w:p>
            <w:pPr>
              <w:spacing w:after="0"/>
              <w:rPr>
                <w:sz w:val="16"/>
                <w:szCs w:val="16"/>
                <w:color w:val="auto"/>
              </w:rPr>
            </w:pPr>
          </w:p>
        </w:tc>
        <w:tc>
          <w:tcPr>
            <w:tcW w:w="7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15.8</w:t>
            </w:r>
          </w:p>
        </w:tc>
      </w:tr>
      <w:tr>
        <w:trPr>
          <w:trHeight w:val="191"/>
        </w:trPr>
        <w:tc>
          <w:tcPr>
            <w:tcW w:w="5600" w:type="dxa"/>
            <w:vAlign w:val="bottom"/>
            <w:gridSpan w:val="2"/>
          </w:tcPr>
          <w:p>
            <w:pPr>
              <w:ind w:left="20"/>
              <w:spacing w:after="0"/>
              <w:rPr>
                <w:sz w:val="20"/>
                <w:szCs w:val="20"/>
                <w:color w:val="auto"/>
              </w:rPr>
            </w:pPr>
            <w:r>
              <w:rPr>
                <w:rFonts w:ascii="Arial" w:cs="Arial" w:eastAsia="Arial" w:hAnsi="Arial"/>
                <w:sz w:val="14"/>
                <w:szCs w:val="14"/>
                <w:color w:val="131E29"/>
              </w:rPr>
              <w:t>Pre-opening costs</w:t>
            </w:r>
          </w:p>
        </w:tc>
        <w:tc>
          <w:tcPr>
            <w:tcW w:w="1040" w:type="dxa"/>
            <w:vAlign w:val="bottom"/>
          </w:tcPr>
          <w:p>
            <w:pPr>
              <w:jc w:val="right"/>
              <w:spacing w:after="0"/>
              <w:rPr>
                <w:sz w:val="20"/>
                <w:szCs w:val="20"/>
                <w:color w:val="auto"/>
              </w:rPr>
            </w:pPr>
            <w:r>
              <w:rPr>
                <w:rFonts w:ascii="Arial" w:cs="Arial" w:eastAsia="Arial" w:hAnsi="Arial"/>
                <w:sz w:val="14"/>
                <w:szCs w:val="14"/>
                <w:color w:val="131E29"/>
              </w:rPr>
              <w:t>17,986</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131E29"/>
              </w:rPr>
              <w:t>2.8</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12,801</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3.2</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131E29"/>
              </w:rPr>
              <w:t>9,327</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3.8</w:t>
            </w:r>
          </w:p>
        </w:tc>
      </w:tr>
      <w:tr>
        <w:trPr>
          <w:trHeight w:val="22"/>
        </w:trPr>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2"/>
        </w:trPr>
        <w:tc>
          <w:tcPr>
            <w:tcW w:w="56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Depreciation and amortization</w:t>
            </w: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36,306</w:t>
            </w:r>
          </w:p>
        </w:tc>
        <w:tc>
          <w:tcPr>
            <w:tcW w:w="80" w:type="dxa"/>
            <w:vAlign w:val="bottom"/>
            <w:tcBorders>
              <w:bottom w:val="single" w:sz="8" w:color="D2DCE5"/>
            </w:tcBorders>
            <w:shd w:val="clear" w:color="auto" w:fill="D2DCE5"/>
          </w:tcPr>
          <w:p>
            <w:pPr>
              <w:spacing w:after="0"/>
              <w:rPr>
                <w:sz w:val="18"/>
                <w:szCs w:val="18"/>
                <w:color w:val="auto"/>
              </w:rPr>
            </w:pPr>
          </w:p>
        </w:tc>
        <w:tc>
          <w:tcPr>
            <w:tcW w:w="6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5.6</w:t>
            </w:r>
          </w:p>
        </w:tc>
        <w:tc>
          <w:tcPr>
            <w:tcW w:w="100" w:type="dxa"/>
            <w:vAlign w:val="bottom"/>
            <w:tcBorders>
              <w:bottom w:val="single" w:sz="8" w:color="D2DCE5"/>
            </w:tcBorders>
            <w:shd w:val="clear" w:color="auto" w:fill="D2DCE5"/>
          </w:tcPr>
          <w:p>
            <w:pPr>
              <w:spacing w:after="0"/>
              <w:rPr>
                <w:sz w:val="18"/>
                <w:szCs w:val="18"/>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16,291</w:t>
            </w:r>
          </w:p>
        </w:tc>
        <w:tc>
          <w:tcPr>
            <w:tcW w:w="80" w:type="dxa"/>
            <w:vAlign w:val="bottom"/>
            <w:tcBorders>
              <w:bottom w:val="single" w:sz="8" w:color="D2DCE5"/>
            </w:tcBorders>
            <w:shd w:val="clear" w:color="auto" w:fill="D2DCE5"/>
          </w:tcPr>
          <w:p>
            <w:pPr>
              <w:spacing w:after="0"/>
              <w:rPr>
                <w:sz w:val="18"/>
                <w:szCs w:val="18"/>
                <w:color w:val="auto"/>
              </w:rPr>
            </w:pPr>
          </w:p>
        </w:tc>
        <w:tc>
          <w:tcPr>
            <w:tcW w:w="7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4.0</w:t>
            </w:r>
          </w:p>
        </w:tc>
        <w:tc>
          <w:tcPr>
            <w:tcW w:w="100" w:type="dxa"/>
            <w:vAlign w:val="bottom"/>
            <w:tcBorders>
              <w:bottom w:val="single" w:sz="8" w:color="D2DCE5"/>
            </w:tcBorders>
            <w:shd w:val="clear" w:color="auto" w:fill="D2DCE5"/>
          </w:tcPr>
          <w:p>
            <w:pPr>
              <w:spacing w:after="0"/>
              <w:rPr>
                <w:sz w:val="18"/>
                <w:szCs w:val="18"/>
                <w:color w:val="auto"/>
              </w:rPr>
            </w:pPr>
          </w:p>
        </w:tc>
        <w:tc>
          <w:tcPr>
            <w:tcW w:w="10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9,737</w:t>
            </w:r>
          </w:p>
        </w:tc>
        <w:tc>
          <w:tcPr>
            <w:tcW w:w="80" w:type="dxa"/>
            <w:vAlign w:val="bottom"/>
            <w:tcBorders>
              <w:bottom w:val="single" w:sz="8" w:color="D2DCE5"/>
            </w:tcBorders>
            <w:shd w:val="clear" w:color="auto" w:fill="D2DCE5"/>
          </w:tcPr>
          <w:p>
            <w:pPr>
              <w:spacing w:after="0"/>
              <w:rPr>
                <w:sz w:val="18"/>
                <w:szCs w:val="18"/>
                <w:color w:val="auto"/>
              </w:rPr>
            </w:pPr>
          </w:p>
        </w:tc>
        <w:tc>
          <w:tcPr>
            <w:tcW w:w="7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4.0</w:t>
            </w:r>
          </w:p>
        </w:tc>
      </w:tr>
      <w:tr>
        <w:trPr>
          <w:trHeight w:val="181"/>
        </w:trPr>
        <w:tc>
          <w:tcPr>
            <w:tcW w:w="5600" w:type="dxa"/>
            <w:vAlign w:val="bottom"/>
            <w:gridSpan w:val="2"/>
          </w:tcPr>
          <w:p>
            <w:pPr>
              <w:ind w:left="20"/>
              <w:spacing w:after="0"/>
              <w:rPr>
                <w:sz w:val="20"/>
                <w:szCs w:val="20"/>
                <w:color w:val="auto"/>
              </w:rPr>
            </w:pPr>
            <w:r>
              <w:rPr>
                <w:rFonts w:ascii="Arial" w:cs="Arial" w:eastAsia="Arial" w:hAnsi="Arial"/>
                <w:sz w:val="14"/>
                <w:szCs w:val="14"/>
                <w:color w:val="131E29"/>
              </w:rPr>
              <w:t>Company-operated shop costs and expenses</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518,383</w:t>
            </w:r>
          </w:p>
        </w:tc>
        <w:tc>
          <w:tcPr>
            <w:tcW w:w="80" w:type="dxa"/>
            <w:vAlign w:val="bottom"/>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81.0</w:t>
            </w:r>
          </w:p>
        </w:tc>
        <w:tc>
          <w:tcPr>
            <w:tcW w:w="100" w:type="dxa"/>
            <w:vAlign w:val="bottom"/>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317,045</w:t>
            </w:r>
          </w:p>
        </w:tc>
        <w:tc>
          <w:tcPr>
            <w:tcW w:w="80" w:type="dxa"/>
            <w:vAlign w:val="bottom"/>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78.5</w:t>
            </w:r>
          </w:p>
        </w:tc>
        <w:tc>
          <w:tcPr>
            <w:tcW w:w="100" w:type="dxa"/>
            <w:vAlign w:val="bottom"/>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183,968</w:t>
            </w:r>
          </w:p>
        </w:tc>
        <w:tc>
          <w:tcPr>
            <w:tcW w:w="80" w:type="dxa"/>
            <w:vAlign w:val="bottom"/>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75.2</w:t>
            </w:r>
          </w:p>
        </w:tc>
      </w:tr>
      <w:tr>
        <w:trPr>
          <w:trHeight w:val="22"/>
        </w:trPr>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27"/>
        </w:trPr>
        <w:tc>
          <w:tcPr>
            <w:tcW w:w="552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1040" w:type="dxa"/>
            <w:vAlign w:val="bottom"/>
            <w:tcBorders>
              <w:bottom w:val="single" w:sz="8" w:color="auto"/>
            </w:tcBorders>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660" w:type="dxa"/>
            <w:vAlign w:val="bottom"/>
            <w:tcBorders>
              <w:bottom w:val="single" w:sz="8" w:color="auto"/>
            </w:tcBorders>
            <w:shd w:val="clear" w:color="auto" w:fill="D2DCE5"/>
          </w:tcPr>
          <w:p>
            <w:pPr>
              <w:spacing w:after="0"/>
              <w:rPr>
                <w:sz w:val="11"/>
                <w:szCs w:val="11"/>
                <w:color w:val="auto"/>
              </w:rPr>
            </w:pPr>
          </w:p>
        </w:tc>
        <w:tc>
          <w:tcPr>
            <w:tcW w:w="100" w:type="dxa"/>
            <w:vAlign w:val="bottom"/>
            <w:shd w:val="clear" w:color="auto" w:fill="D2DCE5"/>
          </w:tcPr>
          <w:p>
            <w:pPr>
              <w:spacing w:after="0"/>
              <w:rPr>
                <w:sz w:val="11"/>
                <w:szCs w:val="11"/>
                <w:color w:val="auto"/>
              </w:rPr>
            </w:pPr>
          </w:p>
        </w:tc>
        <w:tc>
          <w:tcPr>
            <w:tcW w:w="1020" w:type="dxa"/>
            <w:vAlign w:val="bottom"/>
            <w:tcBorders>
              <w:bottom w:val="single" w:sz="8" w:color="auto"/>
            </w:tcBorders>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720" w:type="dxa"/>
            <w:vAlign w:val="bottom"/>
            <w:tcBorders>
              <w:bottom w:val="single" w:sz="8" w:color="auto"/>
            </w:tcBorders>
            <w:shd w:val="clear" w:color="auto" w:fill="D2DCE5"/>
          </w:tcPr>
          <w:p>
            <w:pPr>
              <w:spacing w:after="0"/>
              <w:rPr>
                <w:sz w:val="11"/>
                <w:szCs w:val="11"/>
                <w:color w:val="auto"/>
              </w:rPr>
            </w:pPr>
          </w:p>
        </w:tc>
        <w:tc>
          <w:tcPr>
            <w:tcW w:w="100" w:type="dxa"/>
            <w:vAlign w:val="bottom"/>
            <w:shd w:val="clear" w:color="auto" w:fill="D2DCE5"/>
          </w:tcPr>
          <w:p>
            <w:pPr>
              <w:spacing w:after="0"/>
              <w:rPr>
                <w:sz w:val="11"/>
                <w:szCs w:val="11"/>
                <w:color w:val="auto"/>
              </w:rPr>
            </w:pPr>
          </w:p>
        </w:tc>
        <w:tc>
          <w:tcPr>
            <w:tcW w:w="1080" w:type="dxa"/>
            <w:vAlign w:val="bottom"/>
            <w:tcBorders>
              <w:bottom w:val="single" w:sz="8" w:color="auto"/>
            </w:tcBorders>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720" w:type="dxa"/>
            <w:vAlign w:val="bottom"/>
            <w:tcBorders>
              <w:bottom w:val="single" w:sz="8" w:color="auto"/>
            </w:tcBorders>
            <w:shd w:val="clear" w:color="auto" w:fill="D2DCE5"/>
          </w:tcPr>
          <w:p>
            <w:pPr>
              <w:spacing w:after="0"/>
              <w:rPr>
                <w:sz w:val="11"/>
                <w:szCs w:val="11"/>
                <w:color w:val="auto"/>
              </w:rPr>
            </w:pPr>
          </w:p>
        </w:tc>
      </w:tr>
      <w:tr>
        <w:trPr>
          <w:trHeight w:val="203"/>
        </w:trPr>
        <w:tc>
          <w:tcPr>
            <w:tcW w:w="5600" w:type="dxa"/>
            <w:vAlign w:val="bottom"/>
            <w:gridSpan w:val="2"/>
          </w:tcPr>
          <w:p>
            <w:pPr>
              <w:ind w:left="140"/>
              <w:spacing w:after="0"/>
              <w:rPr>
                <w:sz w:val="20"/>
                <w:szCs w:val="20"/>
                <w:color w:val="auto"/>
              </w:rPr>
            </w:pPr>
            <w:r>
              <w:rPr>
                <w:rFonts w:ascii="Arial" w:cs="Arial" w:eastAsia="Arial" w:hAnsi="Arial"/>
                <w:sz w:val="14"/>
                <w:szCs w:val="14"/>
                <w:color w:val="131E29"/>
              </w:rPr>
              <w:t>Company-operated shop gross profit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121,327</w:t>
            </w:r>
          </w:p>
        </w:tc>
        <w:tc>
          <w:tcPr>
            <w:tcW w:w="8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19.0</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86,701</w:t>
            </w:r>
          </w:p>
        </w:tc>
        <w:tc>
          <w:tcPr>
            <w:tcW w:w="8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21.5</w:t>
            </w: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60,546</w:t>
            </w:r>
          </w:p>
        </w:tc>
        <w:tc>
          <w:tcPr>
            <w:tcW w:w="8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24.8</w:t>
            </w:r>
          </w:p>
        </w:tc>
      </w:tr>
      <w:tr>
        <w:trPr>
          <w:trHeight w:val="20"/>
        </w:trPr>
        <w:tc>
          <w:tcPr>
            <w:tcW w:w="552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95"/>
        </w:trPr>
        <w:tc>
          <w:tcPr>
            <w:tcW w:w="5600" w:type="dxa"/>
            <w:vAlign w:val="bottom"/>
            <w:gridSpan w:val="2"/>
            <w:shd w:val="clear" w:color="auto" w:fill="D2DCE5"/>
          </w:tcPr>
          <w:p>
            <w:pPr>
              <w:ind w:left="140"/>
              <w:spacing w:after="0" w:line="195" w:lineRule="exact"/>
              <w:rPr>
                <w:sz w:val="20"/>
                <w:szCs w:val="20"/>
                <w:color w:val="auto"/>
              </w:rPr>
            </w:pPr>
            <w:r>
              <w:rPr>
                <w:rFonts w:ascii="Arial" w:cs="Arial" w:eastAsia="Arial" w:hAnsi="Arial"/>
                <w:sz w:val="14"/>
                <w:szCs w:val="14"/>
                <w:color w:val="131E29"/>
              </w:rPr>
              <w:t xml:space="preserve">Company-operated shop contribution </w:t>
            </w:r>
            <w:r>
              <w:rPr>
                <w:rFonts w:ascii="Arial" w:cs="Arial" w:eastAsia="Arial" w:hAnsi="Arial"/>
                <w:sz w:val="18"/>
                <w:szCs w:val="18"/>
                <w:color w:val="131E29"/>
                <w:vertAlign w:val="superscript"/>
              </w:rPr>
              <w:t>1</w:t>
            </w:r>
          </w:p>
        </w:tc>
        <w:tc>
          <w:tcPr>
            <w:tcW w:w="10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157,633</w:t>
            </w:r>
          </w:p>
        </w:tc>
        <w:tc>
          <w:tcPr>
            <w:tcW w:w="80" w:type="dxa"/>
            <w:vAlign w:val="bottom"/>
            <w:shd w:val="clear" w:color="auto" w:fill="D2DCE5"/>
          </w:tcPr>
          <w:p>
            <w:pPr>
              <w:spacing w:after="0"/>
              <w:rPr>
                <w:sz w:val="16"/>
                <w:szCs w:val="16"/>
                <w:color w:val="auto"/>
              </w:rPr>
            </w:pPr>
          </w:p>
        </w:tc>
        <w:tc>
          <w:tcPr>
            <w:tcW w:w="6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24.6</w:t>
            </w:r>
          </w:p>
        </w:tc>
        <w:tc>
          <w:tcPr>
            <w:tcW w:w="100" w:type="dxa"/>
            <w:vAlign w:val="bottom"/>
            <w:shd w:val="clear" w:color="auto" w:fill="D2DCE5"/>
          </w:tcPr>
          <w:p>
            <w:pPr>
              <w:spacing w:after="0"/>
              <w:rPr>
                <w:sz w:val="16"/>
                <w:szCs w:val="16"/>
                <w:color w:val="auto"/>
              </w:rPr>
            </w:pP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102,992</w:t>
            </w:r>
          </w:p>
        </w:tc>
        <w:tc>
          <w:tcPr>
            <w:tcW w:w="80" w:type="dxa"/>
            <w:vAlign w:val="bottom"/>
            <w:shd w:val="clear" w:color="auto" w:fill="D2DCE5"/>
          </w:tcPr>
          <w:p>
            <w:pPr>
              <w:spacing w:after="0"/>
              <w:rPr>
                <w:sz w:val="16"/>
                <w:szCs w:val="16"/>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25.5</w:t>
            </w:r>
          </w:p>
        </w:tc>
        <w:tc>
          <w:tcPr>
            <w:tcW w:w="100" w:type="dxa"/>
            <w:vAlign w:val="bottom"/>
            <w:shd w:val="clear" w:color="auto" w:fill="D2DCE5"/>
          </w:tcPr>
          <w:p>
            <w:pPr>
              <w:spacing w:after="0"/>
              <w:rPr>
                <w:sz w:val="16"/>
                <w:szCs w:val="16"/>
                <w:color w:val="auto"/>
              </w:rPr>
            </w:pPr>
          </w:p>
        </w:tc>
        <w:tc>
          <w:tcPr>
            <w:tcW w:w="10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70,283</w:t>
            </w:r>
          </w:p>
        </w:tc>
        <w:tc>
          <w:tcPr>
            <w:tcW w:w="80" w:type="dxa"/>
            <w:vAlign w:val="bottom"/>
            <w:shd w:val="clear" w:color="auto" w:fill="D2DCE5"/>
          </w:tcPr>
          <w:p>
            <w:pPr>
              <w:spacing w:after="0"/>
              <w:rPr>
                <w:sz w:val="16"/>
                <w:szCs w:val="16"/>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28.7</w:t>
            </w:r>
          </w:p>
        </w:tc>
      </w:tr>
      <w:tr>
        <w:trPr>
          <w:trHeight w:val="244"/>
        </w:trPr>
        <w:tc>
          <w:tcPr>
            <w:tcW w:w="5520" w:type="dxa"/>
            <w:vAlign w:val="bottom"/>
          </w:tcPr>
          <w:p>
            <w:pPr>
              <w:spacing w:after="0"/>
              <w:rPr>
                <w:sz w:val="20"/>
                <w:szCs w:val="20"/>
                <w:color w:val="auto"/>
              </w:rPr>
            </w:pPr>
            <w:r>
              <w:rPr>
                <w:rFonts w:ascii="Arial" w:cs="Arial" w:eastAsia="Arial" w:hAnsi="Arial"/>
                <w:sz w:val="14"/>
                <w:szCs w:val="14"/>
                <w:color w:val="131E29"/>
              </w:rPr>
              <w:t>_________________</w:t>
            </w: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r>
    </w:tbl>
    <w:p>
      <w:pPr>
        <w:spacing w:after="0" w:line="95" w:lineRule="exact"/>
        <w:rPr>
          <w:sz w:val="20"/>
          <w:szCs w:val="20"/>
          <w:color w:val="auto"/>
        </w:rPr>
      </w:pPr>
    </w:p>
    <w:p>
      <w:pPr>
        <w:ind w:left="120" w:hanging="115"/>
        <w:spacing w:after="0"/>
        <w:tabs>
          <w:tab w:leader="none" w:pos="120" w:val="left"/>
        </w:tabs>
        <w:numPr>
          <w:ilvl w:val="0"/>
          <w:numId w:val="45"/>
        </w:numPr>
        <w:rPr>
          <w:rFonts w:ascii="Arial" w:cs="Arial" w:eastAsia="Arial" w:hAnsi="Arial"/>
          <w:sz w:val="15"/>
          <w:szCs w:val="15"/>
          <w:color w:val="131E29"/>
          <w:vertAlign w:val="superscript"/>
        </w:rPr>
      </w:pPr>
      <w:r>
        <w:rPr>
          <w:rFonts w:ascii="Arial" w:cs="Arial" w:eastAsia="Arial" w:hAnsi="Arial"/>
          <w:sz w:val="11"/>
          <w:szCs w:val="11"/>
          <w:color w:val="131E29"/>
        </w:rPr>
        <w:t>Reconciliation of GAAP to non-GAAP results is provided in the section “Non-GAAP Financial Measures” in Part II, Item 7 “Management’s Discussion and Analysis of Financial Condition and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Company-operated Shops Segment Performance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20" w:type="dxa"/>
            <w:vAlign w:val="bottom"/>
            <w:gridSpan w:val="2"/>
          </w:tcPr>
          <w:p>
            <w:pPr>
              <w:spacing w:after="0"/>
              <w:rPr>
                <w:sz w:val="20"/>
                <w:szCs w:val="20"/>
                <w:color w:val="auto"/>
              </w:rPr>
            </w:pPr>
            <w:r>
              <w:rPr>
                <w:rFonts w:ascii="Arial" w:cs="Arial" w:eastAsia="Arial" w:hAnsi="Arial"/>
                <w:sz w:val="14"/>
                <w:szCs w:val="14"/>
                <w:b w:val="1"/>
                <w:bCs w:val="1"/>
                <w:i w:val="1"/>
                <w:iCs w:val="1"/>
                <w:color w:val="006098"/>
              </w:rPr>
              <w:t>Company-operated Shop Revenues</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40"/>
        </w:trPr>
        <w:tc>
          <w:tcPr>
            <w:tcW w:w="3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4"/>
          </w:tcPr>
          <w:p>
            <w:pPr>
              <w:ind w:left="300"/>
              <w:spacing w:after="0"/>
              <w:rPr>
                <w:sz w:val="20"/>
                <w:szCs w:val="20"/>
                <w:color w:val="auto"/>
              </w:rPr>
            </w:pPr>
            <w:r>
              <w:rPr>
                <w:rFonts w:ascii="Arial" w:cs="Arial" w:eastAsia="Arial" w:hAnsi="Arial"/>
                <w:sz w:val="14"/>
                <w:szCs w:val="14"/>
                <w:b w:val="1"/>
                <w:bCs w:val="1"/>
                <w:color w:val="131E29"/>
              </w:rPr>
              <w:t>Year Ended December 31,</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
        </w:trPr>
        <w:tc>
          <w:tcPr>
            <w:tcW w:w="382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gridSpan w:val="3"/>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r>
      <w:tr>
        <w:trPr>
          <w:trHeight w:val="193"/>
        </w:trPr>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80" w:type="dxa"/>
            <w:vAlign w:val="bottom"/>
            <w:tcBorders>
              <w:bottom w:val="single" w:sz="8" w:color="D2DCE5"/>
            </w:tcBorders>
          </w:tcPr>
          <w:p>
            <w:pPr>
              <w:spacing w:after="0"/>
              <w:rPr>
                <w:sz w:val="16"/>
                <w:szCs w:val="16"/>
                <w:color w:val="auto"/>
              </w:rPr>
            </w:pPr>
          </w:p>
        </w:tc>
        <w:tc>
          <w:tcPr>
            <w:tcW w:w="240" w:type="dxa"/>
            <w:vAlign w:val="bottom"/>
            <w:tcBorders>
              <w:bottom w:val="single" w:sz="8" w:color="131E29"/>
            </w:tcBorders>
          </w:tcPr>
          <w:p>
            <w:pPr>
              <w:spacing w:after="0"/>
              <w:rPr>
                <w:sz w:val="16"/>
                <w:szCs w:val="16"/>
                <w:color w:val="auto"/>
              </w:rPr>
            </w:pPr>
          </w:p>
        </w:tc>
        <w:tc>
          <w:tcPr>
            <w:tcW w:w="840" w:type="dxa"/>
            <w:vAlign w:val="bottom"/>
            <w:tcBorders>
              <w:bottom w:val="single" w:sz="8" w:color="131E29"/>
            </w:tcBorders>
          </w:tcPr>
          <w:p>
            <w:pPr>
              <w:jc w:val="right"/>
              <w:ind w:right="313"/>
              <w:spacing w:after="0"/>
              <w:rPr>
                <w:sz w:val="20"/>
                <w:szCs w:val="20"/>
                <w:color w:val="auto"/>
              </w:rPr>
            </w:pPr>
            <w:r>
              <w:rPr>
                <w:rFonts w:ascii="Arial" w:cs="Arial" w:eastAsia="Arial" w:hAnsi="Arial"/>
                <w:sz w:val="14"/>
                <w:szCs w:val="14"/>
                <w:b w:val="1"/>
                <w:bCs w:val="1"/>
                <w:color w:val="131E29"/>
              </w:rPr>
              <w:t>2022</w:t>
            </w:r>
          </w:p>
        </w:tc>
        <w:tc>
          <w:tcPr>
            <w:tcW w:w="100" w:type="dxa"/>
            <w:vAlign w:val="bottom"/>
            <w:tcBorders>
              <w:bottom w:val="single" w:sz="8" w:color="D2DCE5"/>
            </w:tcBorders>
          </w:tcPr>
          <w:p>
            <w:pPr>
              <w:spacing w:after="0"/>
              <w:rPr>
                <w:sz w:val="16"/>
                <w:szCs w:val="16"/>
                <w:color w:val="auto"/>
              </w:rPr>
            </w:pPr>
          </w:p>
        </w:tc>
        <w:tc>
          <w:tcPr>
            <w:tcW w:w="220" w:type="dxa"/>
            <w:vAlign w:val="bottom"/>
            <w:tcBorders>
              <w:bottom w:val="single" w:sz="8" w:color="131E29"/>
            </w:tcBorders>
          </w:tcPr>
          <w:p>
            <w:pPr>
              <w:spacing w:after="0"/>
              <w:rPr>
                <w:sz w:val="16"/>
                <w:szCs w:val="16"/>
                <w:color w:val="auto"/>
              </w:rPr>
            </w:pPr>
          </w:p>
        </w:tc>
        <w:tc>
          <w:tcPr>
            <w:tcW w:w="860" w:type="dxa"/>
            <w:vAlign w:val="bottom"/>
            <w:tcBorders>
              <w:bottom w:val="single" w:sz="8" w:color="131E29"/>
            </w:tcBorders>
          </w:tcPr>
          <w:p>
            <w:pPr>
              <w:jc w:val="right"/>
              <w:ind w:right="333"/>
              <w:spacing w:after="0"/>
              <w:rPr>
                <w:sz w:val="20"/>
                <w:szCs w:val="20"/>
                <w:color w:val="auto"/>
              </w:rPr>
            </w:pPr>
            <w:r>
              <w:rPr>
                <w:rFonts w:ascii="Arial" w:cs="Arial" w:eastAsia="Arial" w:hAnsi="Arial"/>
                <w:sz w:val="14"/>
                <w:szCs w:val="14"/>
                <w:b w:val="1"/>
                <w:bCs w:val="1"/>
                <w:color w:val="131E29"/>
              </w:rPr>
              <w:t>2021</w:t>
            </w:r>
          </w:p>
        </w:tc>
        <w:tc>
          <w:tcPr>
            <w:tcW w:w="80" w:type="dxa"/>
            <w:vAlign w:val="bottom"/>
            <w:tcBorders>
              <w:bottom w:val="single" w:sz="8" w:color="D2DCE5"/>
            </w:tcBorders>
          </w:tcPr>
          <w:p>
            <w:pPr>
              <w:spacing w:after="0"/>
              <w:rPr>
                <w:sz w:val="16"/>
                <w:szCs w:val="16"/>
                <w:color w:val="auto"/>
              </w:rPr>
            </w:pPr>
          </w:p>
        </w:tc>
        <w:tc>
          <w:tcPr>
            <w:tcW w:w="220" w:type="dxa"/>
            <w:vAlign w:val="bottom"/>
            <w:tcBorders>
              <w:bottom w:val="single" w:sz="8" w:color="131E29"/>
            </w:tcBorders>
          </w:tcPr>
          <w:p>
            <w:pPr>
              <w:spacing w:after="0"/>
              <w:rPr>
                <w:sz w:val="16"/>
                <w:szCs w:val="16"/>
                <w:color w:val="auto"/>
              </w:rPr>
            </w:pPr>
          </w:p>
        </w:tc>
        <w:tc>
          <w:tcPr>
            <w:tcW w:w="800" w:type="dxa"/>
            <w:vAlign w:val="bottom"/>
            <w:tcBorders>
              <w:bottom w:val="single" w:sz="8" w:color="131E29"/>
            </w:tcBorders>
          </w:tcPr>
          <w:p>
            <w:pPr>
              <w:jc w:val="right"/>
              <w:ind w:right="272"/>
              <w:spacing w:after="0"/>
              <w:rPr>
                <w:sz w:val="20"/>
                <w:szCs w:val="20"/>
                <w:color w:val="auto"/>
              </w:rPr>
            </w:pPr>
            <w:r>
              <w:rPr>
                <w:rFonts w:ascii="Arial" w:cs="Arial" w:eastAsia="Arial" w:hAnsi="Arial"/>
                <w:sz w:val="14"/>
                <w:szCs w:val="14"/>
                <w:b w:val="1"/>
                <w:bCs w:val="1"/>
                <w:color w:val="131E29"/>
              </w:rPr>
              <w:t>2020</w:t>
            </w:r>
          </w:p>
        </w:tc>
        <w:tc>
          <w:tcPr>
            <w:tcW w:w="100" w:type="dxa"/>
            <w:vAlign w:val="bottom"/>
            <w:tcBorders>
              <w:bottom w:val="single" w:sz="8" w:color="D2DCE5"/>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right"/>
              <w:ind w:right="516"/>
              <w:spacing w:after="0"/>
              <w:rPr>
                <w:sz w:val="20"/>
                <w:szCs w:val="20"/>
                <w:color w:val="auto"/>
              </w:rPr>
            </w:pPr>
            <w:r>
              <w:rPr>
                <w:rFonts w:ascii="Arial" w:cs="Arial" w:eastAsia="Arial" w:hAnsi="Arial"/>
                <w:sz w:val="14"/>
                <w:szCs w:val="14"/>
                <w:b w:val="1"/>
                <w:bCs w:val="1"/>
                <w:color w:val="131E29"/>
              </w:rPr>
              <w:t>2022 v. 2021</w:t>
            </w:r>
          </w:p>
        </w:tc>
        <w:tc>
          <w:tcPr>
            <w:tcW w:w="80" w:type="dxa"/>
            <w:vAlign w:val="bottom"/>
            <w:tcBorders>
              <w:bottom w:val="single" w:sz="8" w:color="D2DCE5"/>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right"/>
              <w:ind w:right="516"/>
              <w:spacing w:after="0"/>
              <w:rPr>
                <w:sz w:val="20"/>
                <w:szCs w:val="20"/>
                <w:color w:val="auto"/>
              </w:rPr>
            </w:pPr>
            <w:r>
              <w:rPr>
                <w:rFonts w:ascii="Arial" w:cs="Arial" w:eastAsia="Arial" w:hAnsi="Arial"/>
                <w:sz w:val="14"/>
                <w:szCs w:val="14"/>
                <w:b w:val="1"/>
                <w:bCs w:val="1"/>
                <w:color w:val="131E29"/>
              </w:rPr>
              <w:t>2021 v. 2020</w:t>
            </w:r>
          </w:p>
        </w:tc>
      </w:tr>
      <w:tr>
        <w:trPr>
          <w:trHeight w:val="212"/>
        </w:trPr>
        <w:tc>
          <w:tcPr>
            <w:tcW w:w="38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Company-operated shop revenues</w:t>
            </w:r>
          </w:p>
        </w:tc>
        <w:tc>
          <w:tcPr>
            <w:tcW w:w="240" w:type="dxa"/>
            <w:vAlign w:val="bottom"/>
            <w:shd w:val="clear" w:color="auto" w:fill="D2DCE5"/>
          </w:tcPr>
          <w:p>
            <w:pPr>
              <w:jc w:val="right"/>
              <w:ind w:right="96"/>
              <w:spacing w:after="0"/>
              <w:rPr>
                <w:sz w:val="20"/>
                <w:szCs w:val="20"/>
                <w:color w:val="auto"/>
              </w:rPr>
            </w:pPr>
            <w:r>
              <w:rPr>
                <w:rFonts w:ascii="Arial" w:cs="Arial" w:eastAsia="Arial" w:hAnsi="Arial"/>
                <w:sz w:val="13"/>
                <w:szCs w:val="13"/>
                <w:color w:val="131E29"/>
                <w:w w:val="82"/>
              </w:rPr>
              <w:t>$</w:t>
            </w: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639,710</w:t>
            </w:r>
          </w:p>
        </w:tc>
        <w:tc>
          <w:tcPr>
            <w:tcW w:w="100" w:type="dxa"/>
            <w:vAlign w:val="bottom"/>
            <w:shd w:val="clear" w:color="auto" w:fill="D2DCE5"/>
          </w:tcPr>
          <w:p>
            <w:pPr>
              <w:spacing w:after="0"/>
              <w:rPr>
                <w:sz w:val="18"/>
                <w:szCs w:val="18"/>
                <w:color w:val="auto"/>
              </w:rPr>
            </w:pPr>
          </w:p>
        </w:tc>
        <w:tc>
          <w:tcPr>
            <w:tcW w:w="220" w:type="dxa"/>
            <w:vAlign w:val="bottom"/>
            <w:shd w:val="clear" w:color="auto" w:fill="D2DCE5"/>
          </w:tcPr>
          <w:p>
            <w:pPr>
              <w:jc w:val="right"/>
              <w:ind w:right="76"/>
              <w:spacing w:after="0"/>
              <w:rPr>
                <w:sz w:val="20"/>
                <w:szCs w:val="20"/>
                <w:color w:val="auto"/>
              </w:rPr>
            </w:pPr>
            <w:r>
              <w:rPr>
                <w:rFonts w:ascii="Arial" w:cs="Arial" w:eastAsia="Arial" w:hAnsi="Arial"/>
                <w:sz w:val="13"/>
                <w:szCs w:val="13"/>
                <w:color w:val="131E29"/>
                <w:w w:val="82"/>
              </w:rPr>
              <w:t>$</w:t>
            </w:r>
          </w:p>
        </w:tc>
        <w:tc>
          <w:tcPr>
            <w:tcW w:w="8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403,746</w:t>
            </w:r>
          </w:p>
        </w:tc>
        <w:tc>
          <w:tcPr>
            <w:tcW w:w="80" w:type="dxa"/>
            <w:vAlign w:val="bottom"/>
            <w:shd w:val="clear" w:color="auto" w:fill="D2DCE5"/>
          </w:tcPr>
          <w:p>
            <w:pPr>
              <w:spacing w:after="0"/>
              <w:rPr>
                <w:sz w:val="18"/>
                <w:szCs w:val="18"/>
                <w:color w:val="auto"/>
              </w:rPr>
            </w:pPr>
          </w:p>
        </w:tc>
        <w:tc>
          <w:tcPr>
            <w:tcW w:w="220" w:type="dxa"/>
            <w:vAlign w:val="bottom"/>
            <w:shd w:val="clear" w:color="auto" w:fill="D2DCE5"/>
          </w:tcPr>
          <w:p>
            <w:pPr>
              <w:jc w:val="right"/>
              <w:ind w:right="76"/>
              <w:spacing w:after="0"/>
              <w:rPr>
                <w:sz w:val="20"/>
                <w:szCs w:val="20"/>
                <w:color w:val="auto"/>
              </w:rPr>
            </w:pPr>
            <w:r>
              <w:rPr>
                <w:rFonts w:ascii="Arial" w:cs="Arial" w:eastAsia="Arial" w:hAnsi="Arial"/>
                <w:sz w:val="13"/>
                <w:szCs w:val="13"/>
                <w:color w:val="131E29"/>
                <w:w w:val="82"/>
              </w:rPr>
              <w:t>$</w:t>
            </w:r>
          </w:p>
        </w:tc>
        <w:tc>
          <w:tcPr>
            <w:tcW w:w="800" w:type="dxa"/>
            <w:vAlign w:val="bottom"/>
            <w:shd w:val="clear" w:color="auto" w:fill="D2DCE5"/>
          </w:tcPr>
          <w:p>
            <w:pPr>
              <w:ind w:left="300"/>
              <w:spacing w:after="0"/>
              <w:rPr>
                <w:sz w:val="20"/>
                <w:szCs w:val="20"/>
                <w:color w:val="auto"/>
              </w:rPr>
            </w:pPr>
            <w:r>
              <w:rPr>
                <w:rFonts w:ascii="Arial" w:cs="Arial" w:eastAsia="Arial" w:hAnsi="Arial"/>
                <w:sz w:val="13"/>
                <w:szCs w:val="13"/>
                <w:color w:val="131E29"/>
              </w:rPr>
              <w:t>244,514</w:t>
            </w:r>
          </w:p>
        </w:tc>
        <w:tc>
          <w:tcPr>
            <w:tcW w:w="100" w:type="dxa"/>
            <w:vAlign w:val="bottom"/>
            <w:shd w:val="clear" w:color="auto" w:fill="D2DCE5"/>
          </w:tcPr>
          <w:p>
            <w:pPr>
              <w:spacing w:after="0"/>
              <w:rPr>
                <w:sz w:val="18"/>
                <w:szCs w:val="18"/>
                <w:color w:val="auto"/>
              </w:rPr>
            </w:pPr>
          </w:p>
        </w:tc>
        <w:tc>
          <w:tcPr>
            <w:tcW w:w="300" w:type="dxa"/>
            <w:vAlign w:val="bottom"/>
            <w:shd w:val="clear" w:color="auto" w:fill="D2DCE5"/>
          </w:tcPr>
          <w:p>
            <w:pPr>
              <w:jc w:val="right"/>
              <w:ind w:right="156"/>
              <w:spacing w:after="0"/>
              <w:rPr>
                <w:sz w:val="20"/>
                <w:szCs w:val="20"/>
                <w:color w:val="auto"/>
              </w:rPr>
            </w:pPr>
            <w:r>
              <w:rPr>
                <w:rFonts w:ascii="Arial" w:cs="Arial" w:eastAsia="Arial" w:hAnsi="Arial"/>
                <w:sz w:val="13"/>
                <w:szCs w:val="13"/>
                <w:color w:val="131E29"/>
                <w:w w:val="82"/>
              </w:rPr>
              <w:t>$</w:t>
            </w:r>
          </w:p>
        </w:tc>
        <w:tc>
          <w:tcPr>
            <w:tcW w:w="940" w:type="dxa"/>
            <w:vAlign w:val="bottom"/>
            <w:shd w:val="clear" w:color="auto" w:fill="D2DCE5"/>
          </w:tcPr>
          <w:p>
            <w:pPr>
              <w:jc w:val="right"/>
              <w:ind w:right="213"/>
              <w:spacing w:after="0"/>
              <w:rPr>
                <w:sz w:val="20"/>
                <w:szCs w:val="20"/>
                <w:color w:val="auto"/>
              </w:rPr>
            </w:pPr>
            <w:r>
              <w:rPr>
                <w:rFonts w:ascii="Arial" w:cs="Arial" w:eastAsia="Arial" w:hAnsi="Arial"/>
                <w:sz w:val="13"/>
                <w:szCs w:val="13"/>
                <w:color w:val="131E29"/>
              </w:rPr>
              <w:t>235,964</w:t>
            </w:r>
          </w:p>
        </w:tc>
        <w:tc>
          <w:tcPr>
            <w:tcW w:w="720" w:type="dxa"/>
            <w:vAlign w:val="bottom"/>
            <w:shd w:val="clear" w:color="auto" w:fill="D2DCE5"/>
          </w:tcPr>
          <w:p>
            <w:pPr>
              <w:jc w:val="right"/>
              <w:ind w:right="176"/>
              <w:spacing w:after="0"/>
              <w:rPr>
                <w:sz w:val="20"/>
                <w:szCs w:val="20"/>
                <w:color w:val="auto"/>
              </w:rPr>
            </w:pPr>
            <w:r>
              <w:rPr>
                <w:rFonts w:ascii="Arial" w:cs="Arial" w:eastAsia="Arial" w:hAnsi="Arial"/>
                <w:sz w:val="13"/>
                <w:szCs w:val="13"/>
                <w:color w:val="131E29"/>
              </w:rPr>
              <w:t>58.4%</w:t>
            </w: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jc w:val="right"/>
              <w:ind w:right="156"/>
              <w:spacing w:after="0"/>
              <w:rPr>
                <w:sz w:val="20"/>
                <w:szCs w:val="20"/>
                <w:color w:val="auto"/>
              </w:rPr>
            </w:pPr>
            <w:r>
              <w:rPr>
                <w:rFonts w:ascii="Arial" w:cs="Arial" w:eastAsia="Arial" w:hAnsi="Arial"/>
                <w:sz w:val="13"/>
                <w:szCs w:val="13"/>
                <w:color w:val="131E29"/>
                <w:w w:val="82"/>
              </w:rPr>
              <w:t>$</w:t>
            </w:r>
          </w:p>
        </w:tc>
        <w:tc>
          <w:tcPr>
            <w:tcW w:w="860" w:type="dxa"/>
            <w:vAlign w:val="bottom"/>
            <w:shd w:val="clear" w:color="auto" w:fill="D2DCE5"/>
          </w:tcPr>
          <w:p>
            <w:pPr>
              <w:jc w:val="right"/>
              <w:ind w:right="113"/>
              <w:spacing w:after="0"/>
              <w:rPr>
                <w:sz w:val="20"/>
                <w:szCs w:val="20"/>
                <w:color w:val="auto"/>
              </w:rPr>
            </w:pPr>
            <w:r>
              <w:rPr>
                <w:rFonts w:ascii="Arial" w:cs="Arial" w:eastAsia="Arial" w:hAnsi="Arial"/>
                <w:sz w:val="13"/>
                <w:szCs w:val="13"/>
                <w:color w:val="131E29"/>
              </w:rPr>
              <w:t>159,232</w:t>
            </w:r>
          </w:p>
        </w:tc>
        <w:tc>
          <w:tcPr>
            <w:tcW w:w="800" w:type="dxa"/>
            <w:vAlign w:val="bottom"/>
            <w:shd w:val="clear" w:color="auto" w:fill="D2DCE5"/>
          </w:tcPr>
          <w:p>
            <w:pPr>
              <w:jc w:val="right"/>
              <w:ind w:right="176"/>
              <w:spacing w:after="0"/>
              <w:rPr>
                <w:sz w:val="20"/>
                <w:szCs w:val="20"/>
                <w:color w:val="auto"/>
              </w:rPr>
            </w:pPr>
            <w:r>
              <w:rPr>
                <w:rFonts w:ascii="Arial" w:cs="Arial" w:eastAsia="Arial" w:hAnsi="Arial"/>
                <w:sz w:val="13"/>
                <w:szCs w:val="13"/>
                <w:color w:val="131E29"/>
              </w:rPr>
              <w:t>65.1%</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Year Ended December 31, 2022 v 2021</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131E29"/>
        </w:rPr>
        <w:t>The Company-operated shop revenue increase was primarily driven by the following:</w:t>
      </w:r>
    </w:p>
    <w:p>
      <w:pPr>
        <w:spacing w:after="0" w:line="136" w:lineRule="exact"/>
        <w:rPr>
          <w:sz w:val="20"/>
          <w:szCs w:val="20"/>
          <w:color w:val="auto"/>
        </w:rPr>
      </w:pPr>
    </w:p>
    <w:p>
      <w:pPr>
        <w:ind w:left="240" w:hanging="235"/>
        <w:spacing w:after="0"/>
        <w:tabs>
          <w:tab w:leader="none" w:pos="240" w:val="left"/>
        </w:tabs>
        <w:numPr>
          <w:ilvl w:val="0"/>
          <w:numId w:val="46"/>
        </w:numPr>
        <w:rPr>
          <w:rFonts w:ascii="Arial" w:cs="Arial" w:eastAsia="Arial" w:hAnsi="Arial"/>
          <w:sz w:val="14"/>
          <w:szCs w:val="14"/>
          <w:b w:val="1"/>
          <w:bCs w:val="1"/>
          <w:color w:val="006098"/>
        </w:rPr>
      </w:pPr>
      <w:r>
        <w:rPr>
          <w:rFonts w:ascii="Arial" w:cs="Arial" w:eastAsia="Arial" w:hAnsi="Arial"/>
          <w:sz w:val="14"/>
          <w:szCs w:val="14"/>
          <w:color w:val="131E29"/>
        </w:rPr>
        <w:t>$224.4 million from company-operated shops opened in the last 15 months.</w:t>
      </w:r>
    </w:p>
    <w:p>
      <w:pPr>
        <w:spacing w:after="0" w:line="93" w:lineRule="exact"/>
        <w:rPr>
          <w:rFonts w:ascii="Arial" w:cs="Arial" w:eastAsia="Arial" w:hAnsi="Arial"/>
          <w:sz w:val="14"/>
          <w:szCs w:val="14"/>
          <w:b w:val="1"/>
          <w:bCs w:val="1"/>
          <w:color w:val="006098"/>
        </w:rPr>
      </w:pPr>
    </w:p>
    <w:p>
      <w:pPr>
        <w:ind w:left="240" w:hanging="235"/>
        <w:spacing w:after="0"/>
        <w:tabs>
          <w:tab w:leader="none" w:pos="240" w:val="left"/>
        </w:tabs>
        <w:numPr>
          <w:ilvl w:val="0"/>
          <w:numId w:val="46"/>
        </w:numPr>
        <w:rPr>
          <w:rFonts w:ascii="Arial" w:cs="Arial" w:eastAsia="Arial" w:hAnsi="Arial"/>
          <w:sz w:val="14"/>
          <w:szCs w:val="14"/>
          <w:b w:val="1"/>
          <w:bCs w:val="1"/>
          <w:color w:val="006098"/>
        </w:rPr>
      </w:pPr>
      <w:r>
        <w:rPr>
          <w:rFonts w:ascii="Arial" w:cs="Arial" w:eastAsia="Arial" w:hAnsi="Arial"/>
          <w:sz w:val="14"/>
          <w:szCs w:val="14"/>
          <w:color w:val="131E29"/>
        </w:rPr>
        <w:t>$4.9 million from revenue recognized as a result of loyalty points collected prior to January 1, 2022 that expired on December 31, 2022.</w:t>
      </w:r>
    </w:p>
    <w:p>
      <w:pPr>
        <w:spacing w:after="0" w:line="93" w:lineRule="exact"/>
        <w:rPr>
          <w:rFonts w:ascii="Arial" w:cs="Arial" w:eastAsia="Arial" w:hAnsi="Arial"/>
          <w:sz w:val="14"/>
          <w:szCs w:val="14"/>
          <w:b w:val="1"/>
          <w:bCs w:val="1"/>
          <w:color w:val="006098"/>
        </w:rPr>
      </w:pPr>
    </w:p>
    <w:p>
      <w:pPr>
        <w:ind w:left="240" w:hanging="235"/>
        <w:spacing w:after="0"/>
        <w:tabs>
          <w:tab w:leader="none" w:pos="240" w:val="left"/>
        </w:tabs>
        <w:numPr>
          <w:ilvl w:val="0"/>
          <w:numId w:val="46"/>
        </w:numPr>
        <w:rPr>
          <w:rFonts w:ascii="Arial" w:cs="Arial" w:eastAsia="Arial" w:hAnsi="Arial"/>
          <w:sz w:val="14"/>
          <w:szCs w:val="14"/>
          <w:b w:val="1"/>
          <w:bCs w:val="1"/>
          <w:color w:val="006098"/>
        </w:rPr>
      </w:pPr>
      <w:r>
        <w:rPr>
          <w:rFonts w:ascii="Arial" w:cs="Arial" w:eastAsia="Arial" w:hAnsi="Arial"/>
          <w:sz w:val="14"/>
          <w:szCs w:val="14"/>
          <w:color w:val="131E29"/>
        </w:rPr>
        <w:t>$2.5 million from revenue recognized as a result of estimated unredeemed loyalty points and rewards from purchases made in 2022.</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Dutch Rewards Loyalty Program</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131E29"/>
        </w:rPr>
        <w:t>In February 2021, Dutch Rewards was established. Accessible through a mobile app, Dutch Rewards provides the following key opportunities for customers:</w:t>
      </w:r>
    </w:p>
    <w:p>
      <w:pPr>
        <w:spacing w:after="0" w:line="136" w:lineRule="exact"/>
        <w:rPr>
          <w:sz w:val="20"/>
          <w:szCs w:val="20"/>
          <w:color w:val="auto"/>
        </w:rPr>
      </w:pPr>
    </w:p>
    <w:p>
      <w:pPr>
        <w:ind w:left="260" w:hanging="255"/>
        <w:spacing w:after="0"/>
        <w:tabs>
          <w:tab w:leader="none" w:pos="260" w:val="left"/>
        </w:tabs>
        <w:numPr>
          <w:ilvl w:val="0"/>
          <w:numId w:val="47"/>
        </w:numPr>
        <w:rPr>
          <w:rFonts w:ascii="Arial" w:cs="Arial" w:eastAsia="Arial" w:hAnsi="Arial"/>
          <w:sz w:val="14"/>
          <w:szCs w:val="14"/>
          <w:color w:val="131E29"/>
        </w:rPr>
      </w:pPr>
      <w:r>
        <w:rPr>
          <w:rFonts w:ascii="Arial" w:cs="Arial" w:eastAsia="Arial" w:hAnsi="Arial"/>
          <w:sz w:val="14"/>
          <w:szCs w:val="14"/>
          <w:color w:val="131E29"/>
        </w:rPr>
        <w:t>Collect points based on purchases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47"/>
        </w:numPr>
        <w:rPr>
          <w:rFonts w:ascii="Arial" w:cs="Arial" w:eastAsia="Arial" w:hAnsi="Arial"/>
          <w:sz w:val="14"/>
          <w:szCs w:val="14"/>
          <w:color w:val="131E29"/>
        </w:rPr>
      </w:pPr>
      <w:r>
        <w:rPr>
          <w:rFonts w:ascii="Arial" w:cs="Arial" w:eastAsia="Arial" w:hAnsi="Arial"/>
          <w:sz w:val="14"/>
          <w:szCs w:val="14"/>
          <w:color w:val="131E29"/>
        </w:rPr>
        <w:t>Convert points to rewards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47"/>
        </w:numPr>
        <w:rPr>
          <w:rFonts w:ascii="Arial" w:cs="Arial" w:eastAsia="Arial" w:hAnsi="Arial"/>
          <w:sz w:val="14"/>
          <w:szCs w:val="14"/>
          <w:color w:val="131E29"/>
        </w:rPr>
      </w:pPr>
      <w:r>
        <w:rPr>
          <w:rFonts w:ascii="Arial" w:cs="Arial" w:eastAsia="Arial" w:hAnsi="Arial"/>
          <w:sz w:val="14"/>
          <w:szCs w:val="14"/>
          <w:color w:val="131E29"/>
        </w:rPr>
        <w:t>Rewards can be redeemed for free drinks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47"/>
        </w:numPr>
        <w:rPr>
          <w:rFonts w:ascii="Arial" w:cs="Arial" w:eastAsia="Arial" w:hAnsi="Arial"/>
          <w:sz w:val="14"/>
          <w:szCs w:val="14"/>
          <w:color w:val="131E29"/>
        </w:rPr>
      </w:pPr>
      <w:r>
        <w:rPr>
          <w:rFonts w:ascii="Arial" w:cs="Arial" w:eastAsia="Arial" w:hAnsi="Arial"/>
          <w:sz w:val="14"/>
          <w:szCs w:val="14"/>
          <w:color w:val="131E29"/>
        </w:rPr>
        <w:t>Receive birthday awards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73" w:name="page74"/>
    <w:bookmarkEnd w:id="73"/>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266" w:lineRule="auto"/>
        <w:rPr>
          <w:sz w:val="20"/>
          <w:szCs w:val="20"/>
          <w:color w:val="auto"/>
        </w:rPr>
      </w:pPr>
      <w:r>
        <w:rPr>
          <w:rFonts w:ascii="Arial" w:cs="Arial" w:eastAsia="Arial" w:hAnsi="Arial"/>
          <w:sz w:val="14"/>
          <w:szCs w:val="14"/>
          <w:color w:val="131E29"/>
        </w:rPr>
        <w:t>Points collected prior to January 1, 2022, if not redeemed for rewards, expired on December 31, 2022. Points collected on or after January 1, 2022, if not redeemed for rewards within 180 days, will automatically expire and be removed from the customers’ accounts.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131E29"/>
        </w:rPr>
        <w:t>Rewards are earned by redeeming points. Rewards that are not used within six months of issuance will automatically expire and be removed from the customers’ accounts.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131E29"/>
        </w:rPr>
        <w:t>Birthday awards automatically expire and are removed from the customers’ accounts after 8 to 30 days, depending on the specific award.</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Impact of Dutch Rewards Loyalty Breakage</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131E29"/>
        </w:rPr>
        <w:t>For the three months ended December 31, 2022, we recorded the first estimates of the impact of future expiration patterns on unredeemed points, rewards, and awards.</w:t>
      </w:r>
    </w:p>
    <w:p>
      <w:pPr>
        <w:spacing w:after="0" w:line="136" w:lineRule="exact"/>
        <w:rPr>
          <w:sz w:val="20"/>
          <w:szCs w:val="20"/>
          <w:color w:val="auto"/>
        </w:rPr>
      </w:pPr>
    </w:p>
    <w:p>
      <w:pPr>
        <w:spacing w:after="0" w:line="266" w:lineRule="auto"/>
        <w:rPr>
          <w:sz w:val="20"/>
          <w:szCs w:val="20"/>
          <w:color w:val="auto"/>
        </w:rPr>
      </w:pPr>
      <w:r>
        <w:rPr>
          <w:rFonts w:ascii="Arial" w:cs="Arial" w:eastAsia="Arial" w:hAnsi="Arial"/>
          <w:sz w:val="14"/>
          <w:szCs w:val="14"/>
          <w:color w:val="131E29"/>
        </w:rPr>
        <w:t>Based on the terms and conditions of the Dutch Rewards program, we experienced the first actual instance of points expirations in July 2022. No breakage estimates were made for the three months ended September 30, 2022, as the information was considered insufficient to make reasonable estimates.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131E29"/>
        </w:rPr>
        <w:t>The following information was collected and used in developing our estimates for the three months ended December 31, 2022 (points converted to redemption value):</w:t>
      </w:r>
    </w:p>
    <w:p>
      <w:pPr>
        <w:spacing w:after="0" w:line="136" w:lineRule="exact"/>
        <w:rPr>
          <w:sz w:val="20"/>
          <w:szCs w:val="20"/>
          <w:color w:val="auto"/>
        </w:rPr>
      </w:pPr>
    </w:p>
    <w:p>
      <w:pPr>
        <w:ind w:left="260" w:hanging="255"/>
        <w:spacing w:after="0"/>
        <w:tabs>
          <w:tab w:leader="none" w:pos="260" w:val="left"/>
        </w:tabs>
        <w:numPr>
          <w:ilvl w:val="0"/>
          <w:numId w:val="48"/>
        </w:numPr>
        <w:rPr>
          <w:rFonts w:ascii="Arial" w:cs="Arial" w:eastAsia="Arial" w:hAnsi="Arial"/>
          <w:sz w:val="14"/>
          <w:szCs w:val="14"/>
          <w:color w:val="131E29"/>
        </w:rPr>
      </w:pPr>
      <w:r>
        <w:rPr>
          <w:rFonts w:ascii="Arial" w:cs="Arial" w:eastAsia="Arial" w:hAnsi="Arial"/>
          <w:sz w:val="14"/>
          <w:szCs w:val="14"/>
          <w:color w:val="131E29"/>
        </w:rPr>
        <w:t>Based on two quarters of activity, we observed that expired points represented approximately 8% of points collected from purchases in 2022</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48"/>
        </w:numPr>
        <w:rPr>
          <w:rFonts w:ascii="Arial" w:cs="Arial" w:eastAsia="Arial" w:hAnsi="Arial"/>
          <w:sz w:val="14"/>
          <w:szCs w:val="14"/>
          <w:color w:val="131E29"/>
        </w:rPr>
      </w:pPr>
      <w:r>
        <w:rPr>
          <w:rFonts w:ascii="Arial" w:cs="Arial" w:eastAsia="Arial" w:hAnsi="Arial"/>
          <w:sz w:val="14"/>
          <w:szCs w:val="14"/>
          <w:color w:val="131E29"/>
        </w:rPr>
        <w:t>Approximately 16% of the points collected in 2021 expired and were unredeemed</w:t>
      </w:r>
    </w:p>
    <w:p>
      <w:pPr>
        <w:spacing w:after="0" w:line="136" w:lineRule="exact"/>
        <w:rPr>
          <w:sz w:val="20"/>
          <w:szCs w:val="20"/>
          <w:color w:val="auto"/>
        </w:rPr>
      </w:pPr>
    </w:p>
    <w:p>
      <w:pPr>
        <w:spacing w:after="0" w:line="266" w:lineRule="auto"/>
        <w:rPr>
          <w:sz w:val="20"/>
          <w:szCs w:val="20"/>
          <w:color w:val="auto"/>
        </w:rPr>
      </w:pPr>
      <w:r>
        <w:rPr>
          <w:rFonts w:ascii="Arial" w:cs="Arial" w:eastAsia="Arial" w:hAnsi="Arial"/>
          <w:sz w:val="14"/>
          <w:szCs w:val="14"/>
          <w:color w:val="131E29"/>
        </w:rPr>
        <w:t>For the three months ended December 31, 2022, we recognized revenue of $7.4 million, including $4.9 million for points collected from purchases prior to January 1, 2022 that expired on December 31, 2022.</w:t>
      </w:r>
    </w:p>
    <w:p>
      <w:pPr>
        <w:spacing w:after="0" w:line="110" w:lineRule="exact"/>
        <w:rPr>
          <w:sz w:val="20"/>
          <w:szCs w:val="20"/>
          <w:color w:val="auto"/>
        </w:rPr>
      </w:pPr>
    </w:p>
    <w:p>
      <w:pPr>
        <w:spacing w:after="0" w:line="266" w:lineRule="auto"/>
        <w:rPr>
          <w:sz w:val="20"/>
          <w:szCs w:val="20"/>
          <w:color w:val="auto"/>
        </w:rPr>
      </w:pPr>
      <w:r>
        <w:rPr>
          <w:rFonts w:ascii="Arial" w:cs="Arial" w:eastAsia="Arial" w:hAnsi="Arial"/>
          <w:sz w:val="14"/>
          <w:szCs w:val="14"/>
          <w:color w:val="131E29"/>
        </w:rPr>
        <w:t>Birthday awards have been a key part of the program since its inception. Although no breakage accounting entries were booked for birthday awards until December 31, 2022, based on the short duration of the birthday awards, any estimated breakage prior to December 31, 2022 would have been immaterial.</w:t>
      </w:r>
    </w:p>
    <w:p>
      <w:pPr>
        <w:spacing w:after="0" w:line="110" w:lineRule="exact"/>
        <w:rPr>
          <w:sz w:val="20"/>
          <w:szCs w:val="20"/>
          <w:color w:val="auto"/>
        </w:rPr>
      </w:pPr>
    </w:p>
    <w:p>
      <w:pPr>
        <w:spacing w:after="0" w:line="266" w:lineRule="auto"/>
        <w:rPr>
          <w:sz w:val="20"/>
          <w:szCs w:val="20"/>
          <w:color w:val="auto"/>
        </w:rPr>
      </w:pPr>
      <w:r>
        <w:rPr>
          <w:rFonts w:ascii="Arial" w:cs="Arial" w:eastAsia="Arial" w:hAnsi="Arial"/>
          <w:sz w:val="14"/>
          <w:szCs w:val="14"/>
          <w:color w:val="131E29"/>
        </w:rPr>
        <w:t>Customers typically use rewards converted from points very promptly. Although no breakage accounting entries were booked for rewards converted from points until December 31, 2022, based on the short duration of the rewards converted from points, any estimated breakage prior to December 31, 2022 would have been immaterial.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4204335" cy="8083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204335" cy="808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color w:val="131E29"/>
        </w:rPr>
        <w:t>_________________</w:t>
      </w:r>
    </w:p>
    <w:p>
      <w:pPr>
        <w:spacing w:after="0" w:line="140" w:lineRule="exact"/>
        <w:rPr>
          <w:sz w:val="20"/>
          <w:szCs w:val="20"/>
          <w:color w:val="auto"/>
        </w:rPr>
      </w:pPr>
    </w:p>
    <w:p>
      <w:pPr>
        <w:ind w:left="140" w:right="380" w:hanging="135"/>
        <w:spacing w:after="0" w:line="211" w:lineRule="auto"/>
        <w:tabs>
          <w:tab w:leader="none" w:pos="135" w:val="left"/>
        </w:tabs>
        <w:numPr>
          <w:ilvl w:val="0"/>
          <w:numId w:val="49"/>
        </w:numPr>
        <w:rPr>
          <w:rFonts w:ascii="Arial" w:cs="Arial" w:eastAsia="Arial" w:hAnsi="Arial"/>
          <w:sz w:val="15"/>
          <w:szCs w:val="15"/>
          <w:color w:val="131E29"/>
          <w:vertAlign w:val="superscript"/>
        </w:rPr>
      </w:pPr>
      <w:r>
        <w:rPr>
          <w:rFonts w:ascii="Arial" w:cs="Arial" w:eastAsia="Arial" w:hAnsi="Arial"/>
          <w:sz w:val="11"/>
          <w:szCs w:val="11"/>
          <w:color w:val="131E29"/>
        </w:rPr>
        <w:t>The comparable shop bases were 89, 120, and 173 for the years ended December 31, 2020, 2021, and 2022, respectively. The comparable shop base includes mature shops, which we define as open longer than 15 months.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74" w:name="page75"/>
    <w:bookmarkEnd w:id="74"/>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60" w:type="dxa"/>
            <w:vAlign w:val="bottom"/>
            <w:gridSpan w:val="3"/>
          </w:tcPr>
          <w:p>
            <w:pPr>
              <w:spacing w:after="0"/>
              <w:rPr>
                <w:sz w:val="20"/>
                <w:szCs w:val="20"/>
                <w:color w:val="auto"/>
              </w:rPr>
            </w:pPr>
            <w:r>
              <w:rPr>
                <w:rFonts w:ascii="Arial" w:cs="Arial" w:eastAsia="Arial" w:hAnsi="Arial"/>
                <w:sz w:val="14"/>
                <w:szCs w:val="14"/>
                <w:b w:val="1"/>
                <w:bCs w:val="1"/>
                <w:i w:val="1"/>
                <w:iCs w:val="1"/>
                <w:color w:val="006098"/>
              </w:rPr>
              <w:t>Beverage, Food, and Packaging Costs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2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20" w:type="dxa"/>
            <w:vAlign w:val="bottom"/>
            <w:gridSpan w:val="10"/>
          </w:tcPr>
          <w:p>
            <w:pPr>
              <w:ind w:left="760"/>
              <w:spacing w:after="0"/>
              <w:rPr>
                <w:sz w:val="20"/>
                <w:szCs w:val="20"/>
                <w:color w:val="auto"/>
              </w:rPr>
            </w:pPr>
            <w:r>
              <w:rPr>
                <w:rFonts w:ascii="Arial" w:cs="Arial" w:eastAsia="Arial" w:hAnsi="Arial"/>
                <w:sz w:val="14"/>
                <w:szCs w:val="14"/>
                <w:b w:val="1"/>
                <w:bCs w:val="1"/>
                <w:color w:val="131E29"/>
              </w:rPr>
              <w:t>Year Ended December 31,</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296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color w:val="131E29"/>
              </w:rPr>
              <w:t>(in thousands; unaudited)</w:t>
            </w:r>
          </w:p>
        </w:tc>
        <w:tc>
          <w:tcPr>
            <w:tcW w:w="40" w:type="dxa"/>
            <w:vAlign w:val="bottom"/>
            <w:tcBorders>
              <w:bottom w:val="single" w:sz="8" w:color="D2DCE5"/>
            </w:tcBorders>
          </w:tcPr>
          <w:p>
            <w:pPr>
              <w:spacing w:after="0"/>
              <w:rPr>
                <w:sz w:val="16"/>
                <w:szCs w:val="16"/>
                <w:color w:val="auto"/>
              </w:rPr>
            </w:pPr>
          </w:p>
        </w:tc>
        <w:tc>
          <w:tcPr>
            <w:tcW w:w="40" w:type="dxa"/>
            <w:vAlign w:val="bottom"/>
            <w:tcBorders>
              <w:bottom w:val="single" w:sz="8" w:color="D2DCE5"/>
            </w:tcBorders>
          </w:tcPr>
          <w:p>
            <w:pPr>
              <w:spacing w:after="0"/>
              <w:rPr>
                <w:sz w:val="16"/>
                <w:szCs w:val="16"/>
                <w:color w:val="auto"/>
              </w:rPr>
            </w:pPr>
          </w:p>
        </w:tc>
        <w:tc>
          <w:tcPr>
            <w:tcW w:w="180" w:type="dxa"/>
            <w:vAlign w:val="bottom"/>
            <w:tcBorders>
              <w:bottom w:val="single" w:sz="8" w:color="131E29"/>
            </w:tcBorders>
          </w:tcPr>
          <w:p>
            <w:pPr>
              <w:spacing w:after="0"/>
              <w:rPr>
                <w:sz w:val="16"/>
                <w:szCs w:val="16"/>
                <w:color w:val="auto"/>
              </w:rPr>
            </w:pPr>
          </w:p>
        </w:tc>
        <w:tc>
          <w:tcPr>
            <w:tcW w:w="840" w:type="dxa"/>
            <w:vAlign w:val="bottom"/>
            <w:tcBorders>
              <w:bottom w:val="single" w:sz="8" w:color="131E29"/>
            </w:tcBorders>
          </w:tcPr>
          <w:p>
            <w:pPr>
              <w:jc w:val="right"/>
              <w:ind w:right="249"/>
              <w:spacing w:after="0"/>
              <w:rPr>
                <w:sz w:val="20"/>
                <w:szCs w:val="20"/>
                <w:color w:val="auto"/>
              </w:rPr>
            </w:pPr>
            <w:r>
              <w:rPr>
                <w:rFonts w:ascii="Arial" w:cs="Arial" w:eastAsia="Arial" w:hAnsi="Arial"/>
                <w:sz w:val="14"/>
                <w:szCs w:val="14"/>
                <w:b w:val="1"/>
                <w:bCs w:val="1"/>
                <w:color w:val="131E29"/>
              </w:rPr>
              <w:t>2022</w:t>
            </w:r>
          </w:p>
        </w:tc>
        <w:tc>
          <w:tcPr>
            <w:tcW w:w="60" w:type="dxa"/>
            <w:vAlign w:val="bottom"/>
            <w:tcBorders>
              <w:bottom w:val="single" w:sz="8" w:color="131E29"/>
            </w:tcBorders>
          </w:tcPr>
          <w:p>
            <w:pPr>
              <w:spacing w:after="0"/>
              <w:rPr>
                <w:sz w:val="16"/>
                <w:szCs w:val="16"/>
                <w:color w:val="auto"/>
              </w:rPr>
            </w:pPr>
          </w:p>
        </w:tc>
        <w:tc>
          <w:tcPr>
            <w:tcW w:w="20" w:type="dxa"/>
            <w:vAlign w:val="bottom"/>
            <w:tcBorders>
              <w:bottom w:val="single" w:sz="8" w:color="D2DCE5"/>
            </w:tcBorders>
          </w:tcPr>
          <w:p>
            <w:pPr>
              <w:spacing w:after="0"/>
              <w:rPr>
                <w:sz w:val="16"/>
                <w:szCs w:val="16"/>
                <w:color w:val="auto"/>
              </w:rPr>
            </w:pPr>
          </w:p>
        </w:tc>
        <w:tc>
          <w:tcPr>
            <w:tcW w:w="60" w:type="dxa"/>
            <w:vAlign w:val="bottom"/>
            <w:tcBorders>
              <w:bottom w:val="single" w:sz="8" w:color="D2DCE5"/>
            </w:tcBorders>
          </w:tcPr>
          <w:p>
            <w:pPr>
              <w:spacing w:after="0"/>
              <w:rPr>
                <w:sz w:val="16"/>
                <w:szCs w:val="16"/>
                <w:color w:val="auto"/>
              </w:rPr>
            </w:pPr>
          </w:p>
        </w:tc>
        <w:tc>
          <w:tcPr>
            <w:tcW w:w="200" w:type="dxa"/>
            <w:vAlign w:val="bottom"/>
            <w:tcBorders>
              <w:bottom w:val="single" w:sz="8" w:color="131E29"/>
            </w:tcBorders>
          </w:tcPr>
          <w:p>
            <w:pPr>
              <w:spacing w:after="0"/>
              <w:rPr>
                <w:sz w:val="16"/>
                <w:szCs w:val="16"/>
                <w:color w:val="auto"/>
              </w:rPr>
            </w:pPr>
          </w:p>
        </w:tc>
        <w:tc>
          <w:tcPr>
            <w:tcW w:w="820" w:type="dxa"/>
            <w:vAlign w:val="bottom"/>
            <w:tcBorders>
              <w:bottom w:val="single" w:sz="8" w:color="131E29"/>
            </w:tcBorders>
          </w:tcPr>
          <w:p>
            <w:pPr>
              <w:jc w:val="right"/>
              <w:ind w:right="249"/>
              <w:spacing w:after="0"/>
              <w:rPr>
                <w:sz w:val="20"/>
                <w:szCs w:val="20"/>
                <w:color w:val="auto"/>
              </w:rPr>
            </w:pPr>
            <w:r>
              <w:rPr>
                <w:rFonts w:ascii="Arial" w:cs="Arial" w:eastAsia="Arial" w:hAnsi="Arial"/>
                <w:sz w:val="14"/>
                <w:szCs w:val="14"/>
                <w:b w:val="1"/>
                <w:bCs w:val="1"/>
                <w:color w:val="131E29"/>
              </w:rPr>
              <w:t>2021</w:t>
            </w:r>
          </w:p>
        </w:tc>
        <w:tc>
          <w:tcPr>
            <w:tcW w:w="40" w:type="dxa"/>
            <w:vAlign w:val="bottom"/>
            <w:tcBorders>
              <w:bottom w:val="single" w:sz="8" w:color="131E29"/>
            </w:tcBorders>
          </w:tcPr>
          <w:p>
            <w:pPr>
              <w:spacing w:after="0"/>
              <w:rPr>
                <w:sz w:val="16"/>
                <w:szCs w:val="16"/>
                <w:color w:val="auto"/>
              </w:rPr>
            </w:pPr>
          </w:p>
        </w:tc>
        <w:tc>
          <w:tcPr>
            <w:tcW w:w="40" w:type="dxa"/>
            <w:vAlign w:val="bottom"/>
            <w:tcBorders>
              <w:bottom w:val="single" w:sz="8" w:color="D2DCE5"/>
            </w:tcBorders>
          </w:tcPr>
          <w:p>
            <w:pPr>
              <w:spacing w:after="0"/>
              <w:rPr>
                <w:sz w:val="16"/>
                <w:szCs w:val="16"/>
                <w:color w:val="auto"/>
              </w:rPr>
            </w:pPr>
          </w:p>
        </w:tc>
        <w:tc>
          <w:tcPr>
            <w:tcW w:w="60" w:type="dxa"/>
            <w:vAlign w:val="bottom"/>
            <w:tcBorders>
              <w:bottom w:val="single" w:sz="8" w:color="D2DCE5"/>
            </w:tcBorders>
          </w:tcPr>
          <w:p>
            <w:pPr>
              <w:spacing w:after="0"/>
              <w:rPr>
                <w:sz w:val="16"/>
                <w:szCs w:val="16"/>
                <w:color w:val="auto"/>
              </w:rPr>
            </w:pPr>
          </w:p>
        </w:tc>
        <w:tc>
          <w:tcPr>
            <w:tcW w:w="180" w:type="dxa"/>
            <w:vAlign w:val="bottom"/>
            <w:tcBorders>
              <w:bottom w:val="single" w:sz="8" w:color="131E29"/>
            </w:tcBorders>
          </w:tcPr>
          <w:p>
            <w:pPr>
              <w:spacing w:after="0"/>
              <w:rPr>
                <w:sz w:val="16"/>
                <w:szCs w:val="16"/>
                <w:color w:val="auto"/>
              </w:rPr>
            </w:pPr>
          </w:p>
        </w:tc>
        <w:tc>
          <w:tcPr>
            <w:tcW w:w="860" w:type="dxa"/>
            <w:vAlign w:val="bottom"/>
            <w:tcBorders>
              <w:bottom w:val="single" w:sz="8" w:color="131E29"/>
            </w:tcBorders>
          </w:tcPr>
          <w:p>
            <w:pPr>
              <w:jc w:val="right"/>
              <w:ind w:right="289"/>
              <w:spacing w:after="0"/>
              <w:rPr>
                <w:sz w:val="20"/>
                <w:szCs w:val="20"/>
                <w:color w:val="auto"/>
              </w:rPr>
            </w:pPr>
            <w:r>
              <w:rPr>
                <w:rFonts w:ascii="Arial" w:cs="Arial" w:eastAsia="Arial" w:hAnsi="Arial"/>
                <w:sz w:val="14"/>
                <w:szCs w:val="14"/>
                <w:b w:val="1"/>
                <w:bCs w:val="1"/>
                <w:color w:val="131E29"/>
              </w:rPr>
              <w:t>2020</w:t>
            </w:r>
          </w:p>
        </w:tc>
        <w:tc>
          <w:tcPr>
            <w:tcW w:w="20" w:type="dxa"/>
            <w:vAlign w:val="bottom"/>
            <w:tcBorders>
              <w:bottom w:val="single" w:sz="8" w:color="131E29"/>
            </w:tcBorders>
          </w:tcPr>
          <w:p>
            <w:pPr>
              <w:spacing w:after="0"/>
              <w:rPr>
                <w:sz w:val="16"/>
                <w:szCs w:val="16"/>
                <w:color w:val="auto"/>
              </w:rPr>
            </w:pPr>
          </w:p>
        </w:tc>
        <w:tc>
          <w:tcPr>
            <w:tcW w:w="60" w:type="dxa"/>
            <w:vAlign w:val="bottom"/>
            <w:tcBorders>
              <w:bottom w:val="single" w:sz="8" w:color="D2DCE5"/>
            </w:tcBorders>
          </w:tcPr>
          <w:p>
            <w:pPr>
              <w:spacing w:after="0"/>
              <w:rPr>
                <w:sz w:val="16"/>
                <w:szCs w:val="16"/>
                <w:color w:val="auto"/>
              </w:rPr>
            </w:pPr>
          </w:p>
        </w:tc>
        <w:tc>
          <w:tcPr>
            <w:tcW w:w="20" w:type="dxa"/>
            <w:vAlign w:val="bottom"/>
            <w:tcBorders>
              <w:bottom w:val="single" w:sz="8" w:color="D2DCE5"/>
            </w:tcBorders>
          </w:tcPr>
          <w:p>
            <w:pPr>
              <w:spacing w:after="0"/>
              <w:rPr>
                <w:sz w:val="16"/>
                <w:szCs w:val="16"/>
                <w:color w:val="auto"/>
              </w:rPr>
            </w:pPr>
          </w:p>
        </w:tc>
        <w:tc>
          <w:tcPr>
            <w:tcW w:w="240" w:type="dxa"/>
            <w:vAlign w:val="bottom"/>
            <w:tcBorders>
              <w:bottom w:val="single" w:sz="8" w:color="131E29"/>
            </w:tcBorders>
          </w:tcPr>
          <w:p>
            <w:pPr>
              <w:spacing w:after="0"/>
              <w:rPr>
                <w:sz w:val="16"/>
                <w:szCs w:val="16"/>
                <w:color w:val="auto"/>
              </w:rPr>
            </w:pPr>
          </w:p>
        </w:tc>
        <w:tc>
          <w:tcPr>
            <w:tcW w:w="1820" w:type="dxa"/>
            <w:vAlign w:val="bottom"/>
            <w:tcBorders>
              <w:bottom w:val="single" w:sz="8" w:color="131E29"/>
            </w:tcBorders>
            <w:gridSpan w:val="5"/>
          </w:tcPr>
          <w:p>
            <w:pPr>
              <w:ind w:left="500"/>
              <w:spacing w:after="0"/>
              <w:rPr>
                <w:sz w:val="20"/>
                <w:szCs w:val="20"/>
                <w:color w:val="auto"/>
              </w:rPr>
            </w:pPr>
            <w:r>
              <w:rPr>
                <w:rFonts w:ascii="Arial" w:cs="Arial" w:eastAsia="Arial" w:hAnsi="Arial"/>
                <w:sz w:val="14"/>
                <w:szCs w:val="14"/>
                <w:b w:val="1"/>
                <w:bCs w:val="1"/>
                <w:color w:val="131E29"/>
              </w:rPr>
              <w:t>2022 v. 2021</w:t>
            </w:r>
          </w:p>
        </w:tc>
        <w:tc>
          <w:tcPr>
            <w:tcW w:w="240" w:type="dxa"/>
            <w:vAlign w:val="bottom"/>
            <w:tcBorders>
              <w:bottom w:val="single" w:sz="8" w:color="131E29"/>
            </w:tcBorders>
          </w:tcPr>
          <w:p>
            <w:pPr>
              <w:spacing w:after="0"/>
              <w:rPr>
                <w:sz w:val="16"/>
                <w:szCs w:val="16"/>
                <w:color w:val="auto"/>
              </w:rPr>
            </w:pPr>
          </w:p>
        </w:tc>
        <w:tc>
          <w:tcPr>
            <w:tcW w:w="80" w:type="dxa"/>
            <w:vAlign w:val="bottom"/>
            <w:tcBorders>
              <w:bottom w:val="single" w:sz="8" w:color="D2DCE5"/>
            </w:tcBorders>
          </w:tcPr>
          <w:p>
            <w:pPr>
              <w:spacing w:after="0"/>
              <w:rPr>
                <w:sz w:val="16"/>
                <w:szCs w:val="16"/>
                <w:color w:val="auto"/>
              </w:rPr>
            </w:pPr>
          </w:p>
        </w:tc>
        <w:tc>
          <w:tcPr>
            <w:tcW w:w="180" w:type="dxa"/>
            <w:vAlign w:val="bottom"/>
            <w:tcBorders>
              <w:bottom w:val="single" w:sz="8" w:color="131E29"/>
            </w:tcBorders>
          </w:tcPr>
          <w:p>
            <w:pPr>
              <w:spacing w:after="0"/>
              <w:rPr>
                <w:sz w:val="16"/>
                <w:szCs w:val="16"/>
                <w:color w:val="auto"/>
              </w:rPr>
            </w:pPr>
          </w:p>
        </w:tc>
        <w:tc>
          <w:tcPr>
            <w:tcW w:w="540" w:type="dxa"/>
            <w:vAlign w:val="bottom"/>
            <w:tcBorders>
              <w:bottom w:val="single" w:sz="8" w:color="131E29"/>
            </w:tcBorders>
          </w:tcPr>
          <w:p>
            <w:pPr>
              <w:spacing w:after="0"/>
              <w:rPr>
                <w:sz w:val="16"/>
                <w:szCs w:val="16"/>
                <w:color w:val="auto"/>
              </w:rPr>
            </w:pPr>
          </w:p>
        </w:tc>
        <w:tc>
          <w:tcPr>
            <w:tcW w:w="1680" w:type="dxa"/>
            <w:vAlign w:val="bottom"/>
            <w:tcBorders>
              <w:bottom w:val="single" w:sz="8" w:color="131E29"/>
            </w:tcBorders>
            <w:gridSpan w:val="5"/>
          </w:tcPr>
          <w:p>
            <w:pPr>
              <w:jc w:val="right"/>
              <w:ind w:right="713"/>
              <w:spacing w:after="0"/>
              <w:rPr>
                <w:sz w:val="20"/>
                <w:szCs w:val="20"/>
                <w:color w:val="auto"/>
              </w:rPr>
            </w:pPr>
            <w:r>
              <w:rPr>
                <w:rFonts w:ascii="Arial" w:cs="Arial" w:eastAsia="Arial" w:hAnsi="Arial"/>
                <w:sz w:val="14"/>
                <w:szCs w:val="14"/>
                <w:b w:val="1"/>
                <w:bCs w:val="1"/>
                <w:color w:val="131E29"/>
              </w:rPr>
              <w:t>2021 v. 2020</w:t>
            </w:r>
          </w:p>
        </w:tc>
        <w:tc>
          <w:tcPr>
            <w:tcW w:w="0" w:type="dxa"/>
            <w:vAlign w:val="bottom"/>
          </w:tcPr>
          <w:p>
            <w:pPr>
              <w:spacing w:after="0"/>
              <w:rPr>
                <w:sz w:val="1"/>
                <w:szCs w:val="1"/>
                <w:color w:val="auto"/>
              </w:rPr>
            </w:pPr>
          </w:p>
        </w:tc>
      </w:tr>
      <w:tr>
        <w:trPr>
          <w:trHeight w:val="212"/>
        </w:trPr>
        <w:tc>
          <w:tcPr>
            <w:tcW w:w="2960" w:type="dxa"/>
            <w:vAlign w:val="bottom"/>
            <w:gridSpan w:val="3"/>
            <w:shd w:val="clear" w:color="auto" w:fill="D2DCE5"/>
          </w:tcPr>
          <w:p>
            <w:pPr>
              <w:ind w:left="20"/>
              <w:spacing w:after="0"/>
              <w:rPr>
                <w:sz w:val="20"/>
                <w:szCs w:val="20"/>
                <w:color w:val="auto"/>
              </w:rPr>
            </w:pPr>
            <w:r>
              <w:rPr>
                <w:rFonts w:ascii="Arial" w:cs="Arial" w:eastAsia="Arial" w:hAnsi="Arial"/>
                <w:sz w:val="13"/>
                <w:szCs w:val="13"/>
                <w:color w:val="131E29"/>
              </w:rPr>
              <w:t>Beverage, food and packaging costs</w:t>
            </w:r>
          </w:p>
        </w:tc>
        <w:tc>
          <w:tcPr>
            <w:tcW w:w="260" w:type="dxa"/>
            <w:vAlign w:val="bottom"/>
            <w:gridSpan w:val="3"/>
            <w:shd w:val="clear" w:color="auto" w:fill="D2DCE5"/>
          </w:tcPr>
          <w:p>
            <w:pPr>
              <w:jc w:val="right"/>
              <w:ind w:right="80"/>
              <w:spacing w:after="0"/>
              <w:rPr>
                <w:sz w:val="20"/>
                <w:szCs w:val="20"/>
                <w:color w:val="auto"/>
              </w:rPr>
            </w:pPr>
            <w:r>
              <w:rPr>
                <w:rFonts w:ascii="Arial" w:cs="Arial" w:eastAsia="Arial" w:hAnsi="Arial"/>
                <w:sz w:val="14"/>
                <w:szCs w:val="14"/>
                <w:color w:val="131E29"/>
              </w:rPr>
              <w:t>$</w:t>
            </w:r>
          </w:p>
        </w:tc>
        <w:tc>
          <w:tcPr>
            <w:tcW w:w="900" w:type="dxa"/>
            <w:vAlign w:val="bottom"/>
            <w:gridSpan w:val="2"/>
            <w:shd w:val="clear" w:color="auto" w:fill="D2DCE5"/>
          </w:tcPr>
          <w:p>
            <w:pPr>
              <w:jc w:val="right"/>
              <w:ind w:right="60"/>
              <w:spacing w:after="0"/>
              <w:rPr>
                <w:sz w:val="20"/>
                <w:szCs w:val="20"/>
                <w:color w:val="auto"/>
              </w:rPr>
            </w:pPr>
            <w:r>
              <w:rPr>
                <w:rFonts w:ascii="Arial" w:cs="Arial" w:eastAsia="Arial" w:hAnsi="Arial"/>
                <w:sz w:val="14"/>
                <w:szCs w:val="14"/>
                <w:color w:val="131E29"/>
              </w:rPr>
              <w:t>171,864</w:t>
            </w:r>
          </w:p>
        </w:tc>
        <w:tc>
          <w:tcPr>
            <w:tcW w:w="280" w:type="dxa"/>
            <w:vAlign w:val="bottom"/>
            <w:gridSpan w:val="3"/>
            <w:shd w:val="clear" w:color="auto" w:fill="D2DCE5"/>
          </w:tcPr>
          <w:p>
            <w:pPr>
              <w:jc w:val="right"/>
              <w:ind w:right="100"/>
              <w:spacing w:after="0"/>
              <w:rPr>
                <w:sz w:val="20"/>
                <w:szCs w:val="20"/>
                <w:color w:val="auto"/>
              </w:rPr>
            </w:pPr>
            <w:r>
              <w:rPr>
                <w:rFonts w:ascii="Arial" w:cs="Arial" w:eastAsia="Arial" w:hAnsi="Arial"/>
                <w:sz w:val="14"/>
                <w:szCs w:val="14"/>
                <w:color w:val="131E29"/>
              </w:rPr>
              <w:t>$</w:t>
            </w:r>
          </w:p>
        </w:tc>
        <w:tc>
          <w:tcPr>
            <w:tcW w:w="8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102,222</w:t>
            </w:r>
          </w:p>
        </w:tc>
        <w:tc>
          <w:tcPr>
            <w:tcW w:w="40" w:type="dxa"/>
            <w:vAlign w:val="bottom"/>
            <w:shd w:val="clear" w:color="auto" w:fill="D2DCE5"/>
          </w:tcPr>
          <w:p>
            <w:pPr>
              <w:spacing w:after="0"/>
              <w:rPr>
                <w:sz w:val="18"/>
                <w:szCs w:val="18"/>
                <w:color w:val="auto"/>
              </w:rPr>
            </w:pPr>
          </w:p>
        </w:tc>
        <w:tc>
          <w:tcPr>
            <w:tcW w:w="280" w:type="dxa"/>
            <w:vAlign w:val="bottom"/>
            <w:gridSpan w:val="3"/>
            <w:shd w:val="clear" w:color="auto" w:fill="D2DCE5"/>
          </w:tcPr>
          <w:p>
            <w:pPr>
              <w:jc w:val="right"/>
              <w:ind w:right="100"/>
              <w:spacing w:after="0"/>
              <w:rPr>
                <w:sz w:val="20"/>
                <w:szCs w:val="20"/>
                <w:color w:val="auto"/>
              </w:rPr>
            </w:pPr>
            <w:r>
              <w:rPr>
                <w:rFonts w:ascii="Arial" w:cs="Arial" w:eastAsia="Arial" w:hAnsi="Arial"/>
                <w:sz w:val="14"/>
                <w:szCs w:val="14"/>
                <w:color w:val="131E29"/>
              </w:rPr>
              <w:t>$</w:t>
            </w:r>
          </w:p>
        </w:tc>
        <w:tc>
          <w:tcPr>
            <w:tcW w:w="8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54,820</w:t>
            </w:r>
          </w:p>
        </w:tc>
        <w:tc>
          <w:tcPr>
            <w:tcW w:w="20" w:type="dxa"/>
            <w:vAlign w:val="bottom"/>
            <w:shd w:val="clear" w:color="auto" w:fill="D2DCE5"/>
          </w:tcPr>
          <w:p>
            <w:pPr>
              <w:spacing w:after="0"/>
              <w:rPr>
                <w:sz w:val="18"/>
                <w:szCs w:val="18"/>
                <w:color w:val="auto"/>
              </w:rPr>
            </w:pPr>
          </w:p>
        </w:tc>
        <w:tc>
          <w:tcPr>
            <w:tcW w:w="320" w:type="dxa"/>
            <w:vAlign w:val="bottom"/>
            <w:gridSpan w:val="3"/>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980" w:type="dxa"/>
            <w:vAlign w:val="bottom"/>
            <w:shd w:val="clear" w:color="auto" w:fill="D2DCE5"/>
          </w:tcPr>
          <w:p>
            <w:pPr>
              <w:jc w:val="right"/>
              <w:ind w:right="149"/>
              <w:spacing w:after="0"/>
              <w:rPr>
                <w:sz w:val="20"/>
                <w:szCs w:val="20"/>
                <w:color w:val="auto"/>
              </w:rPr>
            </w:pPr>
            <w:r>
              <w:rPr>
                <w:rFonts w:ascii="Arial" w:cs="Arial" w:eastAsia="Arial" w:hAnsi="Arial"/>
                <w:sz w:val="14"/>
                <w:szCs w:val="14"/>
                <w:color w:val="131E29"/>
              </w:rPr>
              <w:t>69,642</w:t>
            </w:r>
          </w:p>
        </w:tc>
        <w:tc>
          <w:tcPr>
            <w:tcW w:w="760" w:type="dxa"/>
            <w:vAlign w:val="bottom"/>
            <w:gridSpan w:val="3"/>
            <w:shd w:val="clear" w:color="auto" w:fill="D2DCE5"/>
          </w:tcPr>
          <w:p>
            <w:pPr>
              <w:jc w:val="center"/>
              <w:ind w:left="171"/>
              <w:spacing w:after="0"/>
              <w:rPr>
                <w:sz w:val="20"/>
                <w:szCs w:val="20"/>
                <w:color w:val="auto"/>
              </w:rPr>
            </w:pPr>
            <w:r>
              <w:rPr>
                <w:rFonts w:ascii="Arial" w:cs="Arial" w:eastAsia="Arial" w:hAnsi="Arial"/>
                <w:sz w:val="14"/>
                <w:szCs w:val="14"/>
                <w:color w:val="131E29"/>
              </w:rPr>
              <w:t>68.1%</w:t>
            </w:r>
          </w:p>
        </w:tc>
        <w:tc>
          <w:tcPr>
            <w:tcW w:w="80" w:type="dxa"/>
            <w:vAlign w:val="bottom"/>
            <w:shd w:val="clear" w:color="auto" w:fill="D2DCE5"/>
          </w:tcPr>
          <w:p>
            <w:pPr>
              <w:spacing w:after="0"/>
              <w:rPr>
                <w:sz w:val="18"/>
                <w:szCs w:val="18"/>
                <w:color w:val="auto"/>
              </w:rPr>
            </w:pPr>
          </w:p>
        </w:tc>
        <w:tc>
          <w:tcPr>
            <w:tcW w:w="500" w:type="dxa"/>
            <w:vAlign w:val="bottom"/>
            <w:gridSpan w:val="3"/>
            <w:shd w:val="clear" w:color="auto" w:fill="D2DCE5"/>
          </w:tcPr>
          <w:p>
            <w:pPr>
              <w:jc w:val="right"/>
              <w:ind w:right="80"/>
              <w:spacing w:after="0"/>
              <w:rPr>
                <w:sz w:val="20"/>
                <w:szCs w:val="20"/>
                <w:color w:val="auto"/>
              </w:rPr>
            </w:pPr>
            <w:r>
              <w:rPr>
                <w:rFonts w:ascii="Arial" w:cs="Arial" w:eastAsia="Arial" w:hAnsi="Arial"/>
                <w:sz w:val="14"/>
                <w:szCs w:val="14"/>
                <w:color w:val="131E29"/>
              </w:rPr>
              <w:t>$</w:t>
            </w:r>
          </w:p>
        </w:tc>
        <w:tc>
          <w:tcPr>
            <w:tcW w:w="980" w:type="dxa"/>
            <w:vAlign w:val="bottom"/>
            <w:gridSpan w:val="5"/>
            <w:shd w:val="clear" w:color="auto" w:fill="D2DCE5"/>
          </w:tcPr>
          <w:p>
            <w:pPr>
              <w:jc w:val="center"/>
              <w:ind w:left="355"/>
              <w:spacing w:after="0"/>
              <w:rPr>
                <w:sz w:val="20"/>
                <w:szCs w:val="20"/>
                <w:color w:val="auto"/>
              </w:rPr>
            </w:pPr>
            <w:r>
              <w:rPr>
                <w:rFonts w:ascii="Arial" w:cs="Arial" w:eastAsia="Arial" w:hAnsi="Arial"/>
                <w:sz w:val="14"/>
                <w:szCs w:val="14"/>
                <w:color w:val="131E29"/>
              </w:rPr>
              <w:t>47,402</w:t>
            </w:r>
          </w:p>
        </w:tc>
        <w:tc>
          <w:tcPr>
            <w:tcW w:w="1240" w:type="dxa"/>
            <w:vAlign w:val="bottom"/>
            <w:shd w:val="clear" w:color="auto" w:fill="D2DCE5"/>
          </w:tcPr>
          <w:p>
            <w:pPr>
              <w:jc w:val="center"/>
              <w:ind w:left="13"/>
              <w:spacing w:after="0"/>
              <w:rPr>
                <w:sz w:val="20"/>
                <w:szCs w:val="20"/>
                <w:color w:val="auto"/>
              </w:rPr>
            </w:pPr>
            <w:r>
              <w:rPr>
                <w:rFonts w:ascii="Arial" w:cs="Arial" w:eastAsia="Arial" w:hAnsi="Arial"/>
                <w:sz w:val="14"/>
                <w:szCs w:val="14"/>
                <w:color w:val="131E29"/>
              </w:rPr>
              <w:t>86.5%</w:t>
            </w:r>
          </w:p>
        </w:tc>
        <w:tc>
          <w:tcPr>
            <w:tcW w:w="0" w:type="dxa"/>
            <w:vAlign w:val="bottom"/>
          </w:tcPr>
          <w:p>
            <w:pPr>
              <w:spacing w:after="0"/>
              <w:rPr>
                <w:sz w:val="1"/>
                <w:szCs w:val="1"/>
                <w:color w:val="auto"/>
              </w:rPr>
            </w:pPr>
          </w:p>
        </w:tc>
      </w:tr>
      <w:tr>
        <w:trPr>
          <w:trHeight w:val="159"/>
        </w:trPr>
        <w:tc>
          <w:tcPr>
            <w:tcW w:w="2960" w:type="dxa"/>
            <w:vAlign w:val="bottom"/>
            <w:gridSpan w:val="3"/>
          </w:tcPr>
          <w:p>
            <w:pPr>
              <w:ind w:left="20"/>
              <w:spacing w:after="0"/>
              <w:rPr>
                <w:sz w:val="20"/>
                <w:szCs w:val="20"/>
                <w:color w:val="auto"/>
              </w:rPr>
            </w:pPr>
            <w:r>
              <w:rPr>
                <w:rFonts w:ascii="Arial" w:cs="Arial" w:eastAsia="Arial" w:hAnsi="Arial"/>
                <w:sz w:val="13"/>
                <w:szCs w:val="13"/>
                <w:i w:val="1"/>
                <w:iCs w:val="1"/>
                <w:color w:val="131E29"/>
              </w:rPr>
              <w:t>As a percentage of company-operated shop</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restart"/>
          </w:tcPr>
          <w:p>
            <w:pPr>
              <w:jc w:val="right"/>
              <w:ind w:right="209"/>
              <w:spacing w:after="0"/>
              <w:rPr>
                <w:sz w:val="20"/>
                <w:szCs w:val="20"/>
                <w:color w:val="auto"/>
              </w:rPr>
            </w:pPr>
            <w:r>
              <w:rPr>
                <w:rFonts w:ascii="Arial" w:cs="Arial" w:eastAsia="Arial" w:hAnsi="Arial"/>
                <w:sz w:val="14"/>
                <w:szCs w:val="14"/>
                <w:color w:val="131E29"/>
              </w:rPr>
              <w:t>26.9%</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vMerge w:val="restart"/>
          </w:tcPr>
          <w:p>
            <w:pPr>
              <w:jc w:val="right"/>
              <w:ind w:right="209"/>
              <w:spacing w:after="0"/>
              <w:rPr>
                <w:sz w:val="20"/>
                <w:szCs w:val="20"/>
                <w:color w:val="auto"/>
              </w:rPr>
            </w:pPr>
            <w:r>
              <w:rPr>
                <w:rFonts w:ascii="Arial" w:cs="Arial" w:eastAsia="Arial" w:hAnsi="Arial"/>
                <w:sz w:val="14"/>
                <w:szCs w:val="14"/>
                <w:color w:val="131E29"/>
              </w:rPr>
              <w:t>25.3%</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vMerge w:val="restart"/>
          </w:tcPr>
          <w:p>
            <w:pPr>
              <w:jc w:val="right"/>
              <w:ind w:right="249"/>
              <w:spacing w:after="0"/>
              <w:rPr>
                <w:sz w:val="20"/>
                <w:szCs w:val="20"/>
                <w:color w:val="auto"/>
              </w:rPr>
            </w:pPr>
            <w:r>
              <w:rPr>
                <w:rFonts w:ascii="Arial" w:cs="Arial" w:eastAsia="Arial" w:hAnsi="Arial"/>
                <w:sz w:val="14"/>
                <w:szCs w:val="14"/>
                <w:color w:val="131E29"/>
              </w:rPr>
              <w:t>22.4%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vMerge w:val="restart"/>
          </w:tcPr>
          <w:p>
            <w:pPr>
              <w:jc w:val="right"/>
              <w:ind w:right="509"/>
              <w:spacing w:after="0"/>
              <w:rPr>
                <w:sz w:val="20"/>
                <w:szCs w:val="20"/>
                <w:color w:val="auto"/>
              </w:rPr>
            </w:pPr>
            <w:r>
              <w:rPr>
                <w:rFonts w:ascii="Arial" w:cs="Arial" w:eastAsia="Arial" w:hAnsi="Arial"/>
                <w:sz w:val="14"/>
                <w:szCs w:val="14"/>
                <w:color w:val="131E29"/>
              </w:rPr>
              <w:t>N/A</w:t>
            </w:r>
          </w:p>
        </w:tc>
        <w:tc>
          <w:tcPr>
            <w:tcW w:w="840" w:type="dxa"/>
            <w:vAlign w:val="bottom"/>
            <w:gridSpan w:val="4"/>
            <w:vMerge w:val="restart"/>
          </w:tcPr>
          <w:p>
            <w:pPr>
              <w:jc w:val="center"/>
              <w:ind w:left="111"/>
              <w:spacing w:after="0"/>
              <w:rPr>
                <w:sz w:val="20"/>
                <w:szCs w:val="20"/>
                <w:color w:val="auto"/>
              </w:rPr>
            </w:pPr>
            <w:r>
              <w:rPr>
                <w:rFonts w:ascii="Arial" w:cs="Arial" w:eastAsia="Arial" w:hAnsi="Arial"/>
                <w:sz w:val="14"/>
                <w:szCs w:val="14"/>
                <w:color w:val="131E29"/>
              </w:rPr>
              <w:t>160 bps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5"/>
            <w:vMerge w:val="restart"/>
          </w:tcPr>
          <w:p>
            <w:pPr>
              <w:jc w:val="right"/>
              <w:ind w:right="460"/>
              <w:spacing w:after="0"/>
              <w:rPr>
                <w:sz w:val="20"/>
                <w:szCs w:val="20"/>
                <w:color w:val="auto"/>
              </w:rPr>
            </w:pPr>
            <w:r>
              <w:rPr>
                <w:rFonts w:ascii="Arial" w:cs="Arial" w:eastAsia="Arial" w:hAnsi="Arial"/>
                <w:sz w:val="14"/>
                <w:szCs w:val="14"/>
                <w:color w:val="131E29"/>
              </w:rPr>
              <w:t>N/A</w:t>
            </w:r>
          </w:p>
        </w:tc>
        <w:tc>
          <w:tcPr>
            <w:tcW w:w="1240" w:type="dxa"/>
            <w:vAlign w:val="bottom"/>
            <w:vMerge w:val="restart"/>
          </w:tcPr>
          <w:p>
            <w:pPr>
              <w:jc w:val="center"/>
              <w:ind w:left="33"/>
              <w:spacing w:after="0"/>
              <w:rPr>
                <w:sz w:val="20"/>
                <w:szCs w:val="20"/>
                <w:color w:val="auto"/>
              </w:rPr>
            </w:pPr>
            <w:r>
              <w:rPr>
                <w:rFonts w:ascii="Arial" w:cs="Arial" w:eastAsia="Arial" w:hAnsi="Arial"/>
                <w:sz w:val="14"/>
                <w:szCs w:val="14"/>
                <w:color w:val="131E29"/>
              </w:rPr>
              <w:t>290 bps</w:t>
            </w:r>
          </w:p>
        </w:tc>
        <w:tc>
          <w:tcPr>
            <w:tcW w:w="0" w:type="dxa"/>
            <w:vAlign w:val="bottom"/>
          </w:tcPr>
          <w:p>
            <w:pPr>
              <w:spacing w:after="0"/>
              <w:rPr>
                <w:sz w:val="1"/>
                <w:szCs w:val="1"/>
                <w:color w:val="auto"/>
              </w:rPr>
            </w:pPr>
          </w:p>
        </w:tc>
      </w:tr>
      <w:tr>
        <w:trPr>
          <w:trHeight w:val="169"/>
        </w:trPr>
        <w:tc>
          <w:tcPr>
            <w:tcW w:w="2960" w:type="dxa"/>
            <w:vAlign w:val="bottom"/>
            <w:gridSpan w:val="3"/>
          </w:tcPr>
          <w:p>
            <w:pPr>
              <w:ind w:left="20"/>
              <w:spacing w:after="0"/>
              <w:rPr>
                <w:sz w:val="20"/>
                <w:szCs w:val="20"/>
                <w:color w:val="auto"/>
              </w:rPr>
            </w:pPr>
            <w:r>
              <w:rPr>
                <w:rFonts w:ascii="Arial" w:cs="Arial" w:eastAsia="Arial" w:hAnsi="Arial"/>
                <w:sz w:val="13"/>
                <w:szCs w:val="13"/>
                <w:i w:val="1"/>
                <w:iCs w:val="1"/>
                <w:color w:val="131E29"/>
              </w:rPr>
              <w:t>revenues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5"/>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2960" w:type="dxa"/>
            <w:vAlign w:val="bottom"/>
            <w:gridSpan w:val="3"/>
          </w:tcPr>
          <w:p>
            <w:pPr>
              <w:spacing w:after="0"/>
              <w:rPr>
                <w:sz w:val="20"/>
                <w:szCs w:val="20"/>
                <w:color w:val="auto"/>
              </w:rPr>
            </w:pPr>
            <w:r>
              <w:rPr>
                <w:rFonts w:ascii="Arial" w:cs="Arial" w:eastAsia="Arial" w:hAnsi="Arial"/>
                <w:sz w:val="14"/>
                <w:szCs w:val="14"/>
                <w:color w:val="006098"/>
              </w:rPr>
              <w:t>Year Ended December 31, 2022 v 2021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80" w:type="dxa"/>
            <w:vAlign w:val="bottom"/>
            <w:shd w:val="clear" w:color="auto" w:fill="00609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9060" w:type="dxa"/>
            <w:vAlign w:val="bottom"/>
            <w:gridSpan w:val="29"/>
          </w:tcPr>
          <w:p>
            <w:pPr>
              <w:spacing w:after="0"/>
              <w:rPr>
                <w:sz w:val="20"/>
                <w:szCs w:val="20"/>
                <w:color w:val="auto"/>
              </w:rPr>
            </w:pPr>
            <w:r>
              <w:rPr>
                <w:rFonts w:ascii="Arial" w:cs="Arial" w:eastAsia="Arial" w:hAnsi="Arial"/>
                <w:sz w:val="14"/>
                <w:szCs w:val="14"/>
                <w:color w:val="131E29"/>
              </w:rPr>
              <w:t>The beverage, food, and packaging costs impacts for the year-over-year comparison were driven by the following (in dollars and basis points):</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2"/>
        </w:trPr>
        <w:tc>
          <w:tcPr>
            <w:tcW w:w="296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color w:val="131E29"/>
              </w:rPr>
              <w:t>(in thousands; unaudited)</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D2DCE5"/>
            </w:tcBorders>
          </w:tcPr>
          <w:p>
            <w:pPr>
              <w:spacing w:after="0"/>
              <w:rPr>
                <w:sz w:val="24"/>
                <w:szCs w:val="24"/>
                <w:color w:val="auto"/>
              </w:rPr>
            </w:pPr>
          </w:p>
        </w:tc>
        <w:tc>
          <w:tcPr>
            <w:tcW w:w="240" w:type="dxa"/>
            <w:vAlign w:val="bottom"/>
            <w:tcBorders>
              <w:bottom w:val="single" w:sz="8" w:color="131E29"/>
            </w:tcBorders>
          </w:tcPr>
          <w:p>
            <w:pPr>
              <w:spacing w:after="0"/>
              <w:rPr>
                <w:sz w:val="24"/>
                <w:szCs w:val="24"/>
                <w:color w:val="auto"/>
              </w:rPr>
            </w:pPr>
          </w:p>
        </w:tc>
        <w:tc>
          <w:tcPr>
            <w:tcW w:w="80" w:type="dxa"/>
            <w:vAlign w:val="bottom"/>
            <w:tcBorders>
              <w:bottom w:val="single" w:sz="8" w:color="131E29"/>
            </w:tcBorders>
          </w:tcPr>
          <w:p>
            <w:pPr>
              <w:spacing w:after="0"/>
              <w:rPr>
                <w:sz w:val="24"/>
                <w:szCs w:val="24"/>
                <w:color w:val="auto"/>
              </w:rPr>
            </w:pPr>
          </w:p>
        </w:tc>
        <w:tc>
          <w:tcPr>
            <w:tcW w:w="180" w:type="dxa"/>
            <w:vAlign w:val="bottom"/>
            <w:tcBorders>
              <w:bottom w:val="single" w:sz="8" w:color="131E29"/>
            </w:tcBorders>
          </w:tcPr>
          <w:p>
            <w:pPr>
              <w:spacing w:after="0"/>
              <w:rPr>
                <w:sz w:val="24"/>
                <w:szCs w:val="24"/>
                <w:color w:val="auto"/>
              </w:rPr>
            </w:pPr>
          </w:p>
        </w:tc>
        <w:tc>
          <w:tcPr>
            <w:tcW w:w="540" w:type="dxa"/>
            <w:vAlign w:val="bottom"/>
            <w:tcBorders>
              <w:bottom w:val="single" w:sz="8" w:color="131E29"/>
            </w:tcBorders>
          </w:tcPr>
          <w:p>
            <w:pPr>
              <w:jc w:val="right"/>
              <w:ind w:right="275"/>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131E29"/>
            </w:tcBorders>
          </w:tcPr>
          <w:p>
            <w:pPr>
              <w:spacing w:after="0"/>
              <w:rPr>
                <w:sz w:val="24"/>
                <w:szCs w:val="24"/>
                <w:color w:val="auto"/>
              </w:rPr>
            </w:pPr>
          </w:p>
        </w:tc>
        <w:tc>
          <w:tcPr>
            <w:tcW w:w="200" w:type="dxa"/>
            <w:vAlign w:val="bottom"/>
            <w:tcBorders>
              <w:bottom w:val="single" w:sz="8" w:color="131E29"/>
            </w:tcBorders>
          </w:tcPr>
          <w:p>
            <w:pPr>
              <w:spacing w:after="0"/>
              <w:rPr>
                <w:sz w:val="24"/>
                <w:szCs w:val="24"/>
                <w:color w:val="auto"/>
              </w:rPr>
            </w:pPr>
          </w:p>
        </w:tc>
        <w:tc>
          <w:tcPr>
            <w:tcW w:w="80" w:type="dxa"/>
            <w:vAlign w:val="bottom"/>
            <w:tcBorders>
              <w:bottom w:val="single" w:sz="8" w:color="D2DCE5"/>
            </w:tcBorders>
          </w:tcPr>
          <w:p>
            <w:pPr>
              <w:spacing w:after="0"/>
              <w:rPr>
                <w:sz w:val="24"/>
                <w:szCs w:val="24"/>
                <w:color w:val="auto"/>
              </w:rPr>
            </w:pPr>
          </w:p>
        </w:tc>
        <w:tc>
          <w:tcPr>
            <w:tcW w:w="80" w:type="dxa"/>
            <w:vAlign w:val="bottom"/>
            <w:tcBorders>
              <w:bottom w:val="single" w:sz="8" w:color="131E29"/>
            </w:tcBorders>
          </w:tcPr>
          <w:p>
            <w:pPr>
              <w:spacing w:after="0"/>
              <w:rPr>
                <w:sz w:val="24"/>
                <w:szCs w:val="24"/>
                <w:color w:val="auto"/>
              </w:rPr>
            </w:pPr>
          </w:p>
        </w:tc>
        <w:tc>
          <w:tcPr>
            <w:tcW w:w="1240" w:type="dxa"/>
            <w:vAlign w:val="bottom"/>
            <w:tcBorders>
              <w:bottom w:val="single" w:sz="8" w:color="131E29"/>
            </w:tcBorders>
          </w:tcPr>
          <w:p>
            <w:pPr>
              <w:jc w:val="right"/>
              <w:ind w:right="433"/>
              <w:spacing w:after="0"/>
              <w:rPr>
                <w:sz w:val="20"/>
                <w:szCs w:val="20"/>
                <w:color w:val="auto"/>
              </w:rPr>
            </w:pPr>
            <w:r>
              <w:rPr>
                <w:rFonts w:ascii="Arial" w:cs="Arial" w:eastAsia="Arial" w:hAnsi="Arial"/>
                <w:sz w:val="14"/>
                <w:szCs w:val="14"/>
                <w:b w:val="1"/>
                <w:bCs w:val="1"/>
                <w:color w:val="131E29"/>
              </w:rPr>
              <w:t>BPS</w:t>
            </w:r>
          </w:p>
        </w:tc>
        <w:tc>
          <w:tcPr>
            <w:tcW w:w="0" w:type="dxa"/>
            <w:vAlign w:val="bottom"/>
          </w:tcPr>
          <w:p>
            <w:pPr>
              <w:spacing w:after="0"/>
              <w:rPr>
                <w:sz w:val="1"/>
                <w:szCs w:val="1"/>
                <w:color w:val="auto"/>
              </w:rPr>
            </w:pPr>
          </w:p>
        </w:tc>
      </w:tr>
      <w:tr>
        <w:trPr>
          <w:trHeight w:val="212"/>
        </w:trPr>
        <w:tc>
          <w:tcPr>
            <w:tcW w:w="2960" w:type="dxa"/>
            <w:vAlign w:val="bottom"/>
            <w:gridSpan w:val="3"/>
            <w:shd w:val="clear" w:color="auto" w:fill="D2DCE5"/>
          </w:tcPr>
          <w:p>
            <w:pPr>
              <w:ind w:left="20"/>
              <w:spacing w:after="0"/>
              <w:rPr>
                <w:sz w:val="20"/>
                <w:szCs w:val="20"/>
                <w:color w:val="auto"/>
              </w:rPr>
            </w:pPr>
            <w:r>
              <w:rPr>
                <w:rFonts w:ascii="Arial" w:cs="Arial" w:eastAsia="Arial" w:hAnsi="Arial"/>
                <w:sz w:val="13"/>
                <w:szCs w:val="13"/>
                <w:color w:val="131E29"/>
              </w:rPr>
              <w:t>Shop weeks</w:t>
            </w:r>
          </w:p>
        </w:tc>
        <w:tc>
          <w:tcPr>
            <w:tcW w:w="40" w:type="dxa"/>
            <w:vAlign w:val="bottom"/>
            <w:shd w:val="clear" w:color="auto" w:fill="D2DCE5"/>
          </w:tcPr>
          <w:p>
            <w:pPr>
              <w:spacing w:after="0"/>
              <w:rPr>
                <w:sz w:val="18"/>
                <w:szCs w:val="18"/>
                <w:color w:val="auto"/>
              </w:rPr>
            </w:pPr>
          </w:p>
        </w:tc>
        <w:tc>
          <w:tcPr>
            <w:tcW w:w="40" w:type="dxa"/>
            <w:vAlign w:val="bottom"/>
            <w:shd w:val="clear" w:color="auto" w:fill="D2DCE5"/>
          </w:tcPr>
          <w:p>
            <w:pPr>
              <w:spacing w:after="0"/>
              <w:rPr>
                <w:sz w:val="18"/>
                <w:szCs w:val="18"/>
                <w:color w:val="auto"/>
              </w:rPr>
            </w:pPr>
          </w:p>
        </w:tc>
        <w:tc>
          <w:tcPr>
            <w:tcW w:w="180" w:type="dxa"/>
            <w:vAlign w:val="bottom"/>
            <w:shd w:val="clear" w:color="auto" w:fill="D2DCE5"/>
          </w:tcPr>
          <w:p>
            <w:pPr>
              <w:spacing w:after="0"/>
              <w:rPr>
                <w:sz w:val="18"/>
                <w:szCs w:val="18"/>
                <w:color w:val="auto"/>
              </w:rPr>
            </w:pPr>
          </w:p>
        </w:tc>
        <w:tc>
          <w:tcPr>
            <w:tcW w:w="840" w:type="dxa"/>
            <w:vAlign w:val="bottom"/>
            <w:shd w:val="clear" w:color="auto" w:fill="D2DCE5"/>
          </w:tcPr>
          <w:p>
            <w:pPr>
              <w:spacing w:after="0"/>
              <w:rPr>
                <w:sz w:val="18"/>
                <w:szCs w:val="18"/>
                <w:color w:val="auto"/>
              </w:rPr>
            </w:pPr>
          </w:p>
        </w:tc>
        <w:tc>
          <w:tcPr>
            <w:tcW w:w="60" w:type="dxa"/>
            <w:vAlign w:val="bottom"/>
            <w:shd w:val="clear" w:color="auto" w:fill="D2DCE5"/>
          </w:tcPr>
          <w:p>
            <w:pPr>
              <w:spacing w:after="0"/>
              <w:rPr>
                <w:sz w:val="18"/>
                <w:szCs w:val="18"/>
                <w:color w:val="auto"/>
              </w:rPr>
            </w:pPr>
          </w:p>
        </w:tc>
        <w:tc>
          <w:tcPr>
            <w:tcW w:w="20" w:type="dxa"/>
            <w:vAlign w:val="bottom"/>
            <w:shd w:val="clear" w:color="auto" w:fill="D2DCE5"/>
          </w:tcPr>
          <w:p>
            <w:pPr>
              <w:spacing w:after="0"/>
              <w:rPr>
                <w:sz w:val="18"/>
                <w:szCs w:val="18"/>
                <w:color w:val="auto"/>
              </w:rPr>
            </w:pPr>
          </w:p>
        </w:tc>
        <w:tc>
          <w:tcPr>
            <w:tcW w:w="60" w:type="dxa"/>
            <w:vAlign w:val="bottom"/>
            <w:shd w:val="clear" w:color="auto" w:fill="D2DCE5"/>
          </w:tcPr>
          <w:p>
            <w:pPr>
              <w:spacing w:after="0"/>
              <w:rPr>
                <w:sz w:val="18"/>
                <w:szCs w:val="18"/>
                <w:color w:val="auto"/>
              </w:rPr>
            </w:pPr>
          </w:p>
        </w:tc>
        <w:tc>
          <w:tcPr>
            <w:tcW w:w="200" w:type="dxa"/>
            <w:vAlign w:val="bottom"/>
            <w:shd w:val="clear" w:color="auto" w:fill="D2DCE5"/>
          </w:tcPr>
          <w:p>
            <w:pPr>
              <w:spacing w:after="0"/>
              <w:rPr>
                <w:sz w:val="18"/>
                <w:szCs w:val="18"/>
                <w:color w:val="auto"/>
              </w:rPr>
            </w:pPr>
          </w:p>
        </w:tc>
        <w:tc>
          <w:tcPr>
            <w:tcW w:w="820" w:type="dxa"/>
            <w:vAlign w:val="bottom"/>
            <w:shd w:val="clear" w:color="auto" w:fill="D2DCE5"/>
          </w:tcPr>
          <w:p>
            <w:pPr>
              <w:spacing w:after="0"/>
              <w:rPr>
                <w:sz w:val="18"/>
                <w:szCs w:val="18"/>
                <w:color w:val="auto"/>
              </w:rPr>
            </w:pPr>
          </w:p>
        </w:tc>
        <w:tc>
          <w:tcPr>
            <w:tcW w:w="40" w:type="dxa"/>
            <w:vAlign w:val="bottom"/>
            <w:shd w:val="clear" w:color="auto" w:fill="D2DCE5"/>
          </w:tcPr>
          <w:p>
            <w:pPr>
              <w:spacing w:after="0"/>
              <w:rPr>
                <w:sz w:val="18"/>
                <w:szCs w:val="18"/>
                <w:color w:val="auto"/>
              </w:rPr>
            </w:pPr>
          </w:p>
        </w:tc>
        <w:tc>
          <w:tcPr>
            <w:tcW w:w="40" w:type="dxa"/>
            <w:vAlign w:val="bottom"/>
            <w:shd w:val="clear" w:color="auto" w:fill="D2DCE5"/>
          </w:tcPr>
          <w:p>
            <w:pPr>
              <w:spacing w:after="0"/>
              <w:rPr>
                <w:sz w:val="18"/>
                <w:szCs w:val="18"/>
                <w:color w:val="auto"/>
              </w:rPr>
            </w:pPr>
          </w:p>
        </w:tc>
        <w:tc>
          <w:tcPr>
            <w:tcW w:w="60" w:type="dxa"/>
            <w:vAlign w:val="bottom"/>
            <w:shd w:val="clear" w:color="auto" w:fill="D2DCE5"/>
          </w:tcPr>
          <w:p>
            <w:pPr>
              <w:spacing w:after="0"/>
              <w:rPr>
                <w:sz w:val="18"/>
                <w:szCs w:val="18"/>
                <w:color w:val="auto"/>
              </w:rPr>
            </w:pPr>
          </w:p>
        </w:tc>
        <w:tc>
          <w:tcPr>
            <w:tcW w:w="180" w:type="dxa"/>
            <w:vAlign w:val="bottom"/>
            <w:shd w:val="clear" w:color="auto" w:fill="D2DCE5"/>
          </w:tcPr>
          <w:p>
            <w:pPr>
              <w:spacing w:after="0"/>
              <w:rPr>
                <w:sz w:val="18"/>
                <w:szCs w:val="18"/>
                <w:color w:val="auto"/>
              </w:rPr>
            </w:pPr>
          </w:p>
        </w:tc>
        <w:tc>
          <w:tcPr>
            <w:tcW w:w="860" w:type="dxa"/>
            <w:vAlign w:val="bottom"/>
            <w:shd w:val="clear" w:color="auto" w:fill="D2DCE5"/>
          </w:tcPr>
          <w:p>
            <w:pPr>
              <w:spacing w:after="0"/>
              <w:rPr>
                <w:sz w:val="18"/>
                <w:szCs w:val="18"/>
                <w:color w:val="auto"/>
              </w:rPr>
            </w:pPr>
          </w:p>
        </w:tc>
        <w:tc>
          <w:tcPr>
            <w:tcW w:w="20" w:type="dxa"/>
            <w:vAlign w:val="bottom"/>
            <w:shd w:val="clear" w:color="auto" w:fill="D2DCE5"/>
          </w:tcPr>
          <w:p>
            <w:pPr>
              <w:spacing w:after="0"/>
              <w:rPr>
                <w:sz w:val="18"/>
                <w:szCs w:val="18"/>
                <w:color w:val="auto"/>
              </w:rPr>
            </w:pPr>
          </w:p>
        </w:tc>
        <w:tc>
          <w:tcPr>
            <w:tcW w:w="60" w:type="dxa"/>
            <w:vAlign w:val="bottom"/>
            <w:shd w:val="clear" w:color="auto" w:fill="D2DCE5"/>
          </w:tcPr>
          <w:p>
            <w:pPr>
              <w:spacing w:after="0"/>
              <w:rPr>
                <w:sz w:val="18"/>
                <w:szCs w:val="18"/>
                <w:color w:val="auto"/>
              </w:rPr>
            </w:pPr>
          </w:p>
        </w:tc>
        <w:tc>
          <w:tcPr>
            <w:tcW w:w="20" w:type="dxa"/>
            <w:vAlign w:val="bottom"/>
            <w:shd w:val="clear" w:color="auto" w:fill="D2DCE5"/>
          </w:tcPr>
          <w:p>
            <w:pPr>
              <w:spacing w:after="0"/>
              <w:rPr>
                <w:sz w:val="18"/>
                <w:szCs w:val="18"/>
                <w:color w:val="auto"/>
              </w:rPr>
            </w:pPr>
          </w:p>
        </w:tc>
        <w:tc>
          <w:tcPr>
            <w:tcW w:w="240" w:type="dxa"/>
            <w:vAlign w:val="bottom"/>
            <w:shd w:val="clear" w:color="auto" w:fill="D2DCE5"/>
          </w:tcPr>
          <w:p>
            <w:pPr>
              <w:spacing w:after="0"/>
              <w:rPr>
                <w:sz w:val="18"/>
                <w:szCs w:val="18"/>
                <w:color w:val="auto"/>
              </w:rPr>
            </w:pPr>
          </w:p>
        </w:tc>
        <w:tc>
          <w:tcPr>
            <w:tcW w:w="980" w:type="dxa"/>
            <w:vAlign w:val="bottom"/>
            <w:shd w:val="clear" w:color="auto" w:fill="D2DCE5"/>
          </w:tcPr>
          <w:p>
            <w:pPr>
              <w:spacing w:after="0"/>
              <w:rPr>
                <w:sz w:val="18"/>
                <w:szCs w:val="18"/>
                <w:color w:val="auto"/>
              </w:rPr>
            </w:pPr>
          </w:p>
        </w:tc>
        <w:tc>
          <w:tcPr>
            <w:tcW w:w="36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240" w:type="dxa"/>
            <w:vAlign w:val="bottom"/>
            <w:shd w:val="clear" w:color="auto" w:fill="D2DCE5"/>
          </w:tcPr>
          <w:p>
            <w:pPr>
              <w:jc w:val="right"/>
              <w:ind w:right="72"/>
              <w:spacing w:after="0"/>
              <w:rPr>
                <w:sz w:val="20"/>
                <w:szCs w:val="20"/>
                <w:color w:val="auto"/>
              </w:rPr>
            </w:pPr>
            <w:r>
              <w:rPr>
                <w:rFonts w:ascii="Arial" w:cs="Arial" w:eastAsia="Arial" w:hAnsi="Arial"/>
                <w:sz w:val="13"/>
                <w:szCs w:val="13"/>
                <w:color w:val="131E29"/>
              </w:rPr>
              <w:t>$</w:t>
            </w:r>
          </w:p>
        </w:tc>
        <w:tc>
          <w:tcPr>
            <w:tcW w:w="80" w:type="dxa"/>
            <w:vAlign w:val="bottom"/>
            <w:shd w:val="clear" w:color="auto" w:fill="D2DCE5"/>
          </w:tcPr>
          <w:p>
            <w:pPr>
              <w:spacing w:after="0"/>
              <w:rPr>
                <w:sz w:val="18"/>
                <w:szCs w:val="18"/>
                <w:color w:val="auto"/>
              </w:rPr>
            </w:pPr>
          </w:p>
        </w:tc>
        <w:tc>
          <w:tcPr>
            <w:tcW w:w="180" w:type="dxa"/>
            <w:vAlign w:val="bottom"/>
            <w:shd w:val="clear" w:color="auto" w:fill="D2DCE5"/>
          </w:tcPr>
          <w:p>
            <w:pPr>
              <w:spacing w:after="0"/>
              <w:rPr>
                <w:sz w:val="18"/>
                <w:szCs w:val="18"/>
                <w:color w:val="auto"/>
              </w:rPr>
            </w:pPr>
          </w:p>
        </w:tc>
        <w:tc>
          <w:tcPr>
            <w:tcW w:w="820" w:type="dxa"/>
            <w:vAlign w:val="bottom"/>
            <w:gridSpan w:val="3"/>
            <w:shd w:val="clear" w:color="auto" w:fill="D2DCE5"/>
          </w:tcPr>
          <w:p>
            <w:pPr>
              <w:jc w:val="right"/>
              <w:ind w:right="60"/>
              <w:spacing w:after="0"/>
              <w:rPr>
                <w:sz w:val="20"/>
                <w:szCs w:val="20"/>
                <w:color w:val="auto"/>
              </w:rPr>
            </w:pPr>
            <w:r>
              <w:rPr>
                <w:rFonts w:ascii="Arial" w:cs="Arial" w:eastAsia="Arial" w:hAnsi="Arial"/>
                <w:sz w:val="13"/>
                <w:szCs w:val="13"/>
                <w:color w:val="131E29"/>
              </w:rPr>
              <w:t>52,907</w:t>
            </w:r>
          </w:p>
        </w:tc>
        <w:tc>
          <w:tcPr>
            <w:tcW w:w="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2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N/A</w:t>
            </w:r>
          </w:p>
        </w:tc>
        <w:tc>
          <w:tcPr>
            <w:tcW w:w="0" w:type="dxa"/>
            <w:vAlign w:val="bottom"/>
          </w:tcPr>
          <w:p>
            <w:pPr>
              <w:spacing w:after="0"/>
              <w:rPr>
                <w:sz w:val="1"/>
                <w:szCs w:val="1"/>
                <w:color w:val="auto"/>
              </w:rPr>
            </w:pPr>
          </w:p>
        </w:tc>
      </w:tr>
      <w:tr>
        <w:trPr>
          <w:trHeight w:val="205"/>
        </w:trPr>
        <w:tc>
          <w:tcPr>
            <w:tcW w:w="2960" w:type="dxa"/>
            <w:vAlign w:val="bottom"/>
            <w:gridSpan w:val="3"/>
          </w:tcPr>
          <w:p>
            <w:pPr>
              <w:ind w:left="20"/>
              <w:spacing w:after="0"/>
              <w:rPr>
                <w:sz w:val="20"/>
                <w:szCs w:val="20"/>
                <w:color w:val="auto"/>
              </w:rPr>
            </w:pPr>
            <w:r>
              <w:rPr>
                <w:rFonts w:ascii="Arial" w:cs="Arial" w:eastAsia="Arial" w:hAnsi="Arial"/>
                <w:sz w:val="13"/>
                <w:szCs w:val="13"/>
                <w:color w:val="131E29"/>
              </w:rPr>
              <w:t>Higher ingredient costs</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3"/>
                <w:szCs w:val="13"/>
                <w:color w:val="131E29"/>
              </w:rPr>
              <w:t>22,040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131E29"/>
              </w:rPr>
              <w:t>350</w:t>
            </w:r>
          </w:p>
        </w:tc>
        <w:tc>
          <w:tcPr>
            <w:tcW w:w="0" w:type="dxa"/>
            <w:vAlign w:val="bottom"/>
          </w:tcPr>
          <w:p>
            <w:pPr>
              <w:spacing w:after="0"/>
              <w:rPr>
                <w:sz w:val="1"/>
                <w:szCs w:val="1"/>
                <w:color w:val="auto"/>
              </w:rPr>
            </w:pPr>
          </w:p>
        </w:tc>
      </w:tr>
      <w:tr>
        <w:trPr>
          <w:trHeight w:val="220"/>
        </w:trPr>
        <w:tc>
          <w:tcPr>
            <w:tcW w:w="2960" w:type="dxa"/>
            <w:vAlign w:val="bottom"/>
            <w:gridSpan w:val="3"/>
            <w:shd w:val="clear" w:color="auto" w:fill="D2DCE5"/>
          </w:tcPr>
          <w:p>
            <w:pPr>
              <w:ind w:left="20"/>
              <w:spacing w:after="0"/>
              <w:rPr>
                <w:sz w:val="20"/>
                <w:szCs w:val="20"/>
                <w:color w:val="auto"/>
              </w:rPr>
            </w:pPr>
            <w:r>
              <w:rPr>
                <w:rFonts w:ascii="Arial" w:cs="Arial" w:eastAsia="Arial" w:hAnsi="Arial"/>
                <w:sz w:val="13"/>
                <w:szCs w:val="13"/>
                <w:color w:val="131E29"/>
              </w:rPr>
              <w:t>Volume</w:t>
            </w:r>
          </w:p>
        </w:tc>
        <w:tc>
          <w:tcPr>
            <w:tcW w:w="40" w:type="dxa"/>
            <w:vAlign w:val="bottom"/>
            <w:shd w:val="clear" w:color="auto" w:fill="D2DCE5"/>
          </w:tcPr>
          <w:p>
            <w:pPr>
              <w:spacing w:after="0"/>
              <w:rPr>
                <w:sz w:val="19"/>
                <w:szCs w:val="19"/>
                <w:color w:val="auto"/>
              </w:rPr>
            </w:pPr>
          </w:p>
        </w:tc>
        <w:tc>
          <w:tcPr>
            <w:tcW w:w="40" w:type="dxa"/>
            <w:vAlign w:val="bottom"/>
            <w:shd w:val="clear" w:color="auto" w:fill="D2DCE5"/>
          </w:tcPr>
          <w:p>
            <w:pPr>
              <w:spacing w:after="0"/>
              <w:rPr>
                <w:sz w:val="19"/>
                <w:szCs w:val="19"/>
                <w:color w:val="auto"/>
              </w:rPr>
            </w:pPr>
          </w:p>
        </w:tc>
        <w:tc>
          <w:tcPr>
            <w:tcW w:w="180" w:type="dxa"/>
            <w:vAlign w:val="bottom"/>
            <w:shd w:val="clear" w:color="auto" w:fill="D2DCE5"/>
          </w:tcPr>
          <w:p>
            <w:pPr>
              <w:spacing w:after="0"/>
              <w:rPr>
                <w:sz w:val="19"/>
                <w:szCs w:val="19"/>
                <w:color w:val="auto"/>
              </w:rPr>
            </w:pPr>
          </w:p>
        </w:tc>
        <w:tc>
          <w:tcPr>
            <w:tcW w:w="840" w:type="dxa"/>
            <w:vAlign w:val="bottom"/>
            <w:shd w:val="clear" w:color="auto" w:fill="D2DCE5"/>
          </w:tcPr>
          <w:p>
            <w:pPr>
              <w:spacing w:after="0"/>
              <w:rPr>
                <w:sz w:val="19"/>
                <w:szCs w:val="19"/>
                <w:color w:val="auto"/>
              </w:rPr>
            </w:pPr>
          </w:p>
        </w:tc>
        <w:tc>
          <w:tcPr>
            <w:tcW w:w="60" w:type="dxa"/>
            <w:vAlign w:val="bottom"/>
            <w:shd w:val="clear" w:color="auto" w:fill="D2DCE5"/>
          </w:tcPr>
          <w:p>
            <w:pPr>
              <w:spacing w:after="0"/>
              <w:rPr>
                <w:sz w:val="19"/>
                <w:szCs w:val="19"/>
                <w:color w:val="auto"/>
              </w:rPr>
            </w:pPr>
          </w:p>
        </w:tc>
        <w:tc>
          <w:tcPr>
            <w:tcW w:w="20" w:type="dxa"/>
            <w:vAlign w:val="bottom"/>
            <w:shd w:val="clear" w:color="auto" w:fill="D2DCE5"/>
          </w:tcPr>
          <w:p>
            <w:pPr>
              <w:spacing w:after="0"/>
              <w:rPr>
                <w:sz w:val="19"/>
                <w:szCs w:val="19"/>
                <w:color w:val="auto"/>
              </w:rPr>
            </w:pPr>
          </w:p>
        </w:tc>
        <w:tc>
          <w:tcPr>
            <w:tcW w:w="60" w:type="dxa"/>
            <w:vAlign w:val="bottom"/>
            <w:shd w:val="clear" w:color="auto" w:fill="D2DCE5"/>
          </w:tcPr>
          <w:p>
            <w:pPr>
              <w:spacing w:after="0"/>
              <w:rPr>
                <w:sz w:val="19"/>
                <w:szCs w:val="19"/>
                <w:color w:val="auto"/>
              </w:rPr>
            </w:pPr>
          </w:p>
        </w:tc>
        <w:tc>
          <w:tcPr>
            <w:tcW w:w="200" w:type="dxa"/>
            <w:vAlign w:val="bottom"/>
            <w:shd w:val="clear" w:color="auto" w:fill="D2DCE5"/>
          </w:tcPr>
          <w:p>
            <w:pPr>
              <w:spacing w:after="0"/>
              <w:rPr>
                <w:sz w:val="19"/>
                <w:szCs w:val="19"/>
                <w:color w:val="auto"/>
              </w:rPr>
            </w:pPr>
          </w:p>
        </w:tc>
        <w:tc>
          <w:tcPr>
            <w:tcW w:w="820" w:type="dxa"/>
            <w:vAlign w:val="bottom"/>
            <w:shd w:val="clear" w:color="auto" w:fill="D2DCE5"/>
          </w:tcPr>
          <w:p>
            <w:pPr>
              <w:spacing w:after="0"/>
              <w:rPr>
                <w:sz w:val="19"/>
                <w:szCs w:val="19"/>
                <w:color w:val="auto"/>
              </w:rPr>
            </w:pPr>
          </w:p>
        </w:tc>
        <w:tc>
          <w:tcPr>
            <w:tcW w:w="40" w:type="dxa"/>
            <w:vAlign w:val="bottom"/>
            <w:shd w:val="clear" w:color="auto" w:fill="D2DCE5"/>
          </w:tcPr>
          <w:p>
            <w:pPr>
              <w:spacing w:after="0"/>
              <w:rPr>
                <w:sz w:val="19"/>
                <w:szCs w:val="19"/>
                <w:color w:val="auto"/>
              </w:rPr>
            </w:pPr>
          </w:p>
        </w:tc>
        <w:tc>
          <w:tcPr>
            <w:tcW w:w="40" w:type="dxa"/>
            <w:vAlign w:val="bottom"/>
            <w:shd w:val="clear" w:color="auto" w:fill="D2DCE5"/>
          </w:tcPr>
          <w:p>
            <w:pPr>
              <w:spacing w:after="0"/>
              <w:rPr>
                <w:sz w:val="19"/>
                <w:szCs w:val="19"/>
                <w:color w:val="auto"/>
              </w:rPr>
            </w:pPr>
          </w:p>
        </w:tc>
        <w:tc>
          <w:tcPr>
            <w:tcW w:w="60" w:type="dxa"/>
            <w:vAlign w:val="bottom"/>
            <w:shd w:val="clear" w:color="auto" w:fill="D2DCE5"/>
          </w:tcPr>
          <w:p>
            <w:pPr>
              <w:spacing w:after="0"/>
              <w:rPr>
                <w:sz w:val="19"/>
                <w:szCs w:val="19"/>
                <w:color w:val="auto"/>
              </w:rPr>
            </w:pPr>
          </w:p>
        </w:tc>
        <w:tc>
          <w:tcPr>
            <w:tcW w:w="180" w:type="dxa"/>
            <w:vAlign w:val="bottom"/>
            <w:shd w:val="clear" w:color="auto" w:fill="D2DCE5"/>
          </w:tcPr>
          <w:p>
            <w:pPr>
              <w:spacing w:after="0"/>
              <w:rPr>
                <w:sz w:val="19"/>
                <w:szCs w:val="19"/>
                <w:color w:val="auto"/>
              </w:rPr>
            </w:pPr>
          </w:p>
        </w:tc>
        <w:tc>
          <w:tcPr>
            <w:tcW w:w="860" w:type="dxa"/>
            <w:vAlign w:val="bottom"/>
            <w:shd w:val="clear" w:color="auto" w:fill="D2DCE5"/>
          </w:tcPr>
          <w:p>
            <w:pPr>
              <w:spacing w:after="0"/>
              <w:rPr>
                <w:sz w:val="19"/>
                <w:szCs w:val="19"/>
                <w:color w:val="auto"/>
              </w:rPr>
            </w:pPr>
          </w:p>
        </w:tc>
        <w:tc>
          <w:tcPr>
            <w:tcW w:w="20" w:type="dxa"/>
            <w:vAlign w:val="bottom"/>
            <w:shd w:val="clear" w:color="auto" w:fill="D2DCE5"/>
          </w:tcPr>
          <w:p>
            <w:pPr>
              <w:spacing w:after="0"/>
              <w:rPr>
                <w:sz w:val="19"/>
                <w:szCs w:val="19"/>
                <w:color w:val="auto"/>
              </w:rPr>
            </w:pPr>
          </w:p>
        </w:tc>
        <w:tc>
          <w:tcPr>
            <w:tcW w:w="60" w:type="dxa"/>
            <w:vAlign w:val="bottom"/>
            <w:shd w:val="clear" w:color="auto" w:fill="D2DCE5"/>
          </w:tcPr>
          <w:p>
            <w:pPr>
              <w:spacing w:after="0"/>
              <w:rPr>
                <w:sz w:val="19"/>
                <w:szCs w:val="19"/>
                <w:color w:val="auto"/>
              </w:rPr>
            </w:pPr>
          </w:p>
        </w:tc>
        <w:tc>
          <w:tcPr>
            <w:tcW w:w="20" w:type="dxa"/>
            <w:vAlign w:val="bottom"/>
            <w:shd w:val="clear" w:color="auto" w:fill="D2DCE5"/>
          </w:tcPr>
          <w:p>
            <w:pPr>
              <w:spacing w:after="0"/>
              <w:rPr>
                <w:sz w:val="19"/>
                <w:szCs w:val="19"/>
                <w:color w:val="auto"/>
              </w:rPr>
            </w:pPr>
          </w:p>
        </w:tc>
        <w:tc>
          <w:tcPr>
            <w:tcW w:w="240" w:type="dxa"/>
            <w:vAlign w:val="bottom"/>
            <w:shd w:val="clear" w:color="auto" w:fill="D2DCE5"/>
          </w:tcPr>
          <w:p>
            <w:pPr>
              <w:spacing w:after="0"/>
              <w:rPr>
                <w:sz w:val="19"/>
                <w:szCs w:val="19"/>
                <w:color w:val="auto"/>
              </w:rPr>
            </w:pPr>
          </w:p>
        </w:tc>
        <w:tc>
          <w:tcPr>
            <w:tcW w:w="980" w:type="dxa"/>
            <w:vAlign w:val="bottom"/>
            <w:shd w:val="clear" w:color="auto" w:fill="D2DCE5"/>
          </w:tcPr>
          <w:p>
            <w:pPr>
              <w:spacing w:after="0"/>
              <w:rPr>
                <w:sz w:val="19"/>
                <w:szCs w:val="19"/>
                <w:color w:val="auto"/>
              </w:rPr>
            </w:pPr>
          </w:p>
        </w:tc>
        <w:tc>
          <w:tcPr>
            <w:tcW w:w="36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24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180" w:type="dxa"/>
            <w:vAlign w:val="bottom"/>
            <w:shd w:val="clear" w:color="auto" w:fill="D2DCE5"/>
          </w:tcPr>
          <w:p>
            <w:pPr>
              <w:spacing w:after="0"/>
              <w:rPr>
                <w:sz w:val="19"/>
                <w:szCs w:val="19"/>
                <w:color w:val="auto"/>
              </w:rPr>
            </w:pPr>
          </w:p>
        </w:tc>
        <w:tc>
          <w:tcPr>
            <w:tcW w:w="820" w:type="dxa"/>
            <w:vAlign w:val="bottom"/>
            <w:gridSpan w:val="3"/>
            <w:shd w:val="clear" w:color="auto" w:fill="D2DCE5"/>
          </w:tcPr>
          <w:p>
            <w:pPr>
              <w:jc w:val="right"/>
              <w:ind w:right="20"/>
              <w:spacing w:after="0"/>
              <w:rPr>
                <w:sz w:val="20"/>
                <w:szCs w:val="20"/>
                <w:color w:val="auto"/>
              </w:rPr>
            </w:pPr>
            <w:r>
              <w:rPr>
                <w:rFonts w:ascii="Arial" w:cs="Arial" w:eastAsia="Arial" w:hAnsi="Arial"/>
                <w:sz w:val="13"/>
                <w:szCs w:val="13"/>
                <w:color w:val="131E29"/>
              </w:rPr>
              <w:t>(3,690)</w:t>
            </w:r>
          </w:p>
        </w:tc>
        <w:tc>
          <w:tcPr>
            <w:tcW w:w="8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12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N/A</w:t>
            </w:r>
          </w:p>
        </w:tc>
        <w:tc>
          <w:tcPr>
            <w:tcW w:w="0" w:type="dxa"/>
            <w:vAlign w:val="bottom"/>
          </w:tcPr>
          <w:p>
            <w:pPr>
              <w:spacing w:after="0"/>
              <w:rPr>
                <w:sz w:val="1"/>
                <w:szCs w:val="1"/>
                <w:color w:val="auto"/>
              </w:rPr>
            </w:pPr>
          </w:p>
        </w:tc>
      </w:tr>
      <w:tr>
        <w:trPr>
          <w:trHeight w:val="205"/>
        </w:trPr>
        <w:tc>
          <w:tcPr>
            <w:tcW w:w="2960" w:type="dxa"/>
            <w:vAlign w:val="bottom"/>
            <w:gridSpan w:val="3"/>
          </w:tcPr>
          <w:p>
            <w:pPr>
              <w:ind w:left="20"/>
              <w:spacing w:after="0"/>
              <w:rPr>
                <w:sz w:val="20"/>
                <w:szCs w:val="20"/>
                <w:color w:val="auto"/>
              </w:rPr>
            </w:pPr>
            <w:r>
              <w:rPr>
                <w:rFonts w:ascii="Arial" w:cs="Arial" w:eastAsia="Arial" w:hAnsi="Arial"/>
                <w:sz w:val="13"/>
                <w:szCs w:val="13"/>
                <w:color w:val="131E29"/>
              </w:rPr>
              <w:t>New shop impact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3"/>
                <w:szCs w:val="13"/>
                <w:color w:val="131E29"/>
              </w:rPr>
              <w:t>(424)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131E29"/>
              </w:rPr>
              <w:t>(10)</w:t>
            </w:r>
          </w:p>
        </w:tc>
        <w:tc>
          <w:tcPr>
            <w:tcW w:w="0" w:type="dxa"/>
            <w:vAlign w:val="bottom"/>
          </w:tcPr>
          <w:p>
            <w:pPr>
              <w:spacing w:after="0"/>
              <w:rPr>
                <w:sz w:val="1"/>
                <w:szCs w:val="1"/>
                <w:color w:val="auto"/>
              </w:rPr>
            </w:pPr>
          </w:p>
        </w:tc>
      </w:tr>
      <w:tr>
        <w:trPr>
          <w:trHeight w:val="220"/>
        </w:trPr>
        <w:tc>
          <w:tcPr>
            <w:tcW w:w="2960" w:type="dxa"/>
            <w:vAlign w:val="bottom"/>
            <w:gridSpan w:val="3"/>
            <w:shd w:val="clear" w:color="auto" w:fill="D2DCE5"/>
          </w:tcPr>
          <w:p>
            <w:pPr>
              <w:ind w:left="20"/>
              <w:spacing w:after="0"/>
              <w:rPr>
                <w:sz w:val="20"/>
                <w:szCs w:val="20"/>
                <w:color w:val="auto"/>
              </w:rPr>
            </w:pPr>
            <w:r>
              <w:rPr>
                <w:rFonts w:ascii="Arial" w:cs="Arial" w:eastAsia="Arial" w:hAnsi="Arial"/>
                <w:sz w:val="13"/>
                <w:szCs w:val="13"/>
                <w:color w:val="131E29"/>
              </w:rPr>
              <w:t>Pricing impacts</w:t>
            </w:r>
          </w:p>
        </w:tc>
        <w:tc>
          <w:tcPr>
            <w:tcW w:w="40" w:type="dxa"/>
            <w:vAlign w:val="bottom"/>
            <w:shd w:val="clear" w:color="auto" w:fill="D2DCE5"/>
          </w:tcPr>
          <w:p>
            <w:pPr>
              <w:spacing w:after="0"/>
              <w:rPr>
                <w:sz w:val="19"/>
                <w:szCs w:val="19"/>
                <w:color w:val="auto"/>
              </w:rPr>
            </w:pPr>
          </w:p>
        </w:tc>
        <w:tc>
          <w:tcPr>
            <w:tcW w:w="40" w:type="dxa"/>
            <w:vAlign w:val="bottom"/>
            <w:shd w:val="clear" w:color="auto" w:fill="D2DCE5"/>
          </w:tcPr>
          <w:p>
            <w:pPr>
              <w:spacing w:after="0"/>
              <w:rPr>
                <w:sz w:val="19"/>
                <w:szCs w:val="19"/>
                <w:color w:val="auto"/>
              </w:rPr>
            </w:pPr>
          </w:p>
        </w:tc>
        <w:tc>
          <w:tcPr>
            <w:tcW w:w="180" w:type="dxa"/>
            <w:vAlign w:val="bottom"/>
            <w:shd w:val="clear" w:color="auto" w:fill="D2DCE5"/>
          </w:tcPr>
          <w:p>
            <w:pPr>
              <w:spacing w:after="0"/>
              <w:rPr>
                <w:sz w:val="19"/>
                <w:szCs w:val="19"/>
                <w:color w:val="auto"/>
              </w:rPr>
            </w:pPr>
          </w:p>
        </w:tc>
        <w:tc>
          <w:tcPr>
            <w:tcW w:w="840" w:type="dxa"/>
            <w:vAlign w:val="bottom"/>
            <w:shd w:val="clear" w:color="auto" w:fill="D2DCE5"/>
          </w:tcPr>
          <w:p>
            <w:pPr>
              <w:spacing w:after="0"/>
              <w:rPr>
                <w:sz w:val="19"/>
                <w:szCs w:val="19"/>
                <w:color w:val="auto"/>
              </w:rPr>
            </w:pPr>
          </w:p>
        </w:tc>
        <w:tc>
          <w:tcPr>
            <w:tcW w:w="60" w:type="dxa"/>
            <w:vAlign w:val="bottom"/>
            <w:shd w:val="clear" w:color="auto" w:fill="D2DCE5"/>
          </w:tcPr>
          <w:p>
            <w:pPr>
              <w:spacing w:after="0"/>
              <w:rPr>
                <w:sz w:val="19"/>
                <w:szCs w:val="19"/>
                <w:color w:val="auto"/>
              </w:rPr>
            </w:pPr>
          </w:p>
        </w:tc>
        <w:tc>
          <w:tcPr>
            <w:tcW w:w="20" w:type="dxa"/>
            <w:vAlign w:val="bottom"/>
            <w:shd w:val="clear" w:color="auto" w:fill="D2DCE5"/>
          </w:tcPr>
          <w:p>
            <w:pPr>
              <w:spacing w:after="0"/>
              <w:rPr>
                <w:sz w:val="19"/>
                <w:szCs w:val="19"/>
                <w:color w:val="auto"/>
              </w:rPr>
            </w:pPr>
          </w:p>
        </w:tc>
        <w:tc>
          <w:tcPr>
            <w:tcW w:w="60" w:type="dxa"/>
            <w:vAlign w:val="bottom"/>
            <w:shd w:val="clear" w:color="auto" w:fill="D2DCE5"/>
          </w:tcPr>
          <w:p>
            <w:pPr>
              <w:spacing w:after="0"/>
              <w:rPr>
                <w:sz w:val="19"/>
                <w:szCs w:val="19"/>
                <w:color w:val="auto"/>
              </w:rPr>
            </w:pPr>
          </w:p>
        </w:tc>
        <w:tc>
          <w:tcPr>
            <w:tcW w:w="200" w:type="dxa"/>
            <w:vAlign w:val="bottom"/>
            <w:shd w:val="clear" w:color="auto" w:fill="D2DCE5"/>
          </w:tcPr>
          <w:p>
            <w:pPr>
              <w:spacing w:after="0"/>
              <w:rPr>
                <w:sz w:val="19"/>
                <w:szCs w:val="19"/>
                <w:color w:val="auto"/>
              </w:rPr>
            </w:pPr>
          </w:p>
        </w:tc>
        <w:tc>
          <w:tcPr>
            <w:tcW w:w="820" w:type="dxa"/>
            <w:vAlign w:val="bottom"/>
            <w:shd w:val="clear" w:color="auto" w:fill="D2DCE5"/>
          </w:tcPr>
          <w:p>
            <w:pPr>
              <w:spacing w:after="0"/>
              <w:rPr>
                <w:sz w:val="19"/>
                <w:szCs w:val="19"/>
                <w:color w:val="auto"/>
              </w:rPr>
            </w:pPr>
          </w:p>
        </w:tc>
        <w:tc>
          <w:tcPr>
            <w:tcW w:w="40" w:type="dxa"/>
            <w:vAlign w:val="bottom"/>
            <w:shd w:val="clear" w:color="auto" w:fill="D2DCE5"/>
          </w:tcPr>
          <w:p>
            <w:pPr>
              <w:spacing w:after="0"/>
              <w:rPr>
                <w:sz w:val="19"/>
                <w:szCs w:val="19"/>
                <w:color w:val="auto"/>
              </w:rPr>
            </w:pPr>
          </w:p>
        </w:tc>
        <w:tc>
          <w:tcPr>
            <w:tcW w:w="40" w:type="dxa"/>
            <w:vAlign w:val="bottom"/>
            <w:shd w:val="clear" w:color="auto" w:fill="D2DCE5"/>
          </w:tcPr>
          <w:p>
            <w:pPr>
              <w:spacing w:after="0"/>
              <w:rPr>
                <w:sz w:val="19"/>
                <w:szCs w:val="19"/>
                <w:color w:val="auto"/>
              </w:rPr>
            </w:pPr>
          </w:p>
        </w:tc>
        <w:tc>
          <w:tcPr>
            <w:tcW w:w="60" w:type="dxa"/>
            <w:vAlign w:val="bottom"/>
            <w:shd w:val="clear" w:color="auto" w:fill="D2DCE5"/>
          </w:tcPr>
          <w:p>
            <w:pPr>
              <w:spacing w:after="0"/>
              <w:rPr>
                <w:sz w:val="19"/>
                <w:szCs w:val="19"/>
                <w:color w:val="auto"/>
              </w:rPr>
            </w:pPr>
          </w:p>
        </w:tc>
        <w:tc>
          <w:tcPr>
            <w:tcW w:w="180" w:type="dxa"/>
            <w:vAlign w:val="bottom"/>
            <w:shd w:val="clear" w:color="auto" w:fill="D2DCE5"/>
          </w:tcPr>
          <w:p>
            <w:pPr>
              <w:spacing w:after="0"/>
              <w:rPr>
                <w:sz w:val="19"/>
                <w:szCs w:val="19"/>
                <w:color w:val="auto"/>
              </w:rPr>
            </w:pPr>
          </w:p>
        </w:tc>
        <w:tc>
          <w:tcPr>
            <w:tcW w:w="860" w:type="dxa"/>
            <w:vAlign w:val="bottom"/>
            <w:shd w:val="clear" w:color="auto" w:fill="D2DCE5"/>
          </w:tcPr>
          <w:p>
            <w:pPr>
              <w:spacing w:after="0"/>
              <w:rPr>
                <w:sz w:val="19"/>
                <w:szCs w:val="19"/>
                <w:color w:val="auto"/>
              </w:rPr>
            </w:pPr>
          </w:p>
        </w:tc>
        <w:tc>
          <w:tcPr>
            <w:tcW w:w="20" w:type="dxa"/>
            <w:vAlign w:val="bottom"/>
            <w:shd w:val="clear" w:color="auto" w:fill="D2DCE5"/>
          </w:tcPr>
          <w:p>
            <w:pPr>
              <w:spacing w:after="0"/>
              <w:rPr>
                <w:sz w:val="19"/>
                <w:szCs w:val="19"/>
                <w:color w:val="auto"/>
              </w:rPr>
            </w:pPr>
          </w:p>
        </w:tc>
        <w:tc>
          <w:tcPr>
            <w:tcW w:w="60" w:type="dxa"/>
            <w:vAlign w:val="bottom"/>
            <w:shd w:val="clear" w:color="auto" w:fill="D2DCE5"/>
          </w:tcPr>
          <w:p>
            <w:pPr>
              <w:spacing w:after="0"/>
              <w:rPr>
                <w:sz w:val="19"/>
                <w:szCs w:val="19"/>
                <w:color w:val="auto"/>
              </w:rPr>
            </w:pPr>
          </w:p>
        </w:tc>
        <w:tc>
          <w:tcPr>
            <w:tcW w:w="20" w:type="dxa"/>
            <w:vAlign w:val="bottom"/>
            <w:shd w:val="clear" w:color="auto" w:fill="D2DCE5"/>
          </w:tcPr>
          <w:p>
            <w:pPr>
              <w:spacing w:after="0"/>
              <w:rPr>
                <w:sz w:val="19"/>
                <w:szCs w:val="19"/>
                <w:color w:val="auto"/>
              </w:rPr>
            </w:pPr>
          </w:p>
        </w:tc>
        <w:tc>
          <w:tcPr>
            <w:tcW w:w="240" w:type="dxa"/>
            <w:vAlign w:val="bottom"/>
            <w:shd w:val="clear" w:color="auto" w:fill="D2DCE5"/>
          </w:tcPr>
          <w:p>
            <w:pPr>
              <w:spacing w:after="0"/>
              <w:rPr>
                <w:sz w:val="19"/>
                <w:szCs w:val="19"/>
                <w:color w:val="auto"/>
              </w:rPr>
            </w:pPr>
          </w:p>
        </w:tc>
        <w:tc>
          <w:tcPr>
            <w:tcW w:w="980" w:type="dxa"/>
            <w:vAlign w:val="bottom"/>
            <w:shd w:val="clear" w:color="auto" w:fill="D2DCE5"/>
          </w:tcPr>
          <w:p>
            <w:pPr>
              <w:spacing w:after="0"/>
              <w:rPr>
                <w:sz w:val="19"/>
                <w:szCs w:val="19"/>
                <w:color w:val="auto"/>
              </w:rPr>
            </w:pPr>
          </w:p>
        </w:tc>
        <w:tc>
          <w:tcPr>
            <w:tcW w:w="36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24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180" w:type="dxa"/>
            <w:vAlign w:val="bottom"/>
            <w:shd w:val="clear" w:color="auto" w:fill="D2DCE5"/>
          </w:tcPr>
          <w:p>
            <w:pPr>
              <w:spacing w:after="0"/>
              <w:rPr>
                <w:sz w:val="19"/>
                <w:szCs w:val="19"/>
                <w:color w:val="auto"/>
              </w:rPr>
            </w:pPr>
          </w:p>
        </w:tc>
        <w:tc>
          <w:tcPr>
            <w:tcW w:w="540" w:type="dxa"/>
            <w:vAlign w:val="bottom"/>
            <w:shd w:val="clear" w:color="auto" w:fill="D2DCE5"/>
          </w:tcPr>
          <w:p>
            <w:pPr>
              <w:spacing w:after="0"/>
              <w:rPr>
                <w:sz w:val="19"/>
                <w:szCs w:val="19"/>
                <w:color w:val="auto"/>
              </w:rPr>
            </w:pPr>
          </w:p>
        </w:tc>
        <w:tc>
          <w:tcPr>
            <w:tcW w:w="440" w:type="dxa"/>
            <w:vAlign w:val="bottom"/>
            <w:gridSpan w:val="4"/>
            <w:shd w:val="clear" w:color="auto" w:fill="D2DCE5"/>
          </w:tcPr>
          <w:p>
            <w:pPr>
              <w:jc w:val="center"/>
              <w:ind w:right="120"/>
              <w:spacing w:after="0"/>
              <w:rPr>
                <w:sz w:val="20"/>
                <w:szCs w:val="20"/>
                <w:color w:val="auto"/>
              </w:rPr>
            </w:pPr>
            <w:r>
              <w:rPr>
                <w:rFonts w:ascii="Arial" w:cs="Arial" w:eastAsia="Arial" w:hAnsi="Arial"/>
                <w:sz w:val="13"/>
                <w:szCs w:val="13"/>
                <w:color w:val="131E29"/>
                <w:w w:val="92"/>
              </w:rPr>
              <w:t>N/A</w:t>
            </w:r>
          </w:p>
        </w:tc>
        <w:tc>
          <w:tcPr>
            <w:tcW w:w="12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(150)</w:t>
            </w:r>
          </w:p>
        </w:tc>
        <w:tc>
          <w:tcPr>
            <w:tcW w:w="0" w:type="dxa"/>
            <w:vAlign w:val="bottom"/>
          </w:tcPr>
          <w:p>
            <w:pPr>
              <w:spacing w:after="0"/>
              <w:rPr>
                <w:sz w:val="1"/>
                <w:szCs w:val="1"/>
                <w:color w:val="auto"/>
              </w:rPr>
            </w:pPr>
          </w:p>
        </w:tc>
      </w:tr>
      <w:tr>
        <w:trPr>
          <w:trHeight w:val="205"/>
        </w:trPr>
        <w:tc>
          <w:tcPr>
            <w:tcW w:w="2960" w:type="dxa"/>
            <w:vAlign w:val="bottom"/>
            <w:gridSpan w:val="3"/>
          </w:tcPr>
          <w:p>
            <w:pPr>
              <w:ind w:left="20"/>
              <w:spacing w:after="0"/>
              <w:rPr>
                <w:sz w:val="20"/>
                <w:szCs w:val="20"/>
                <w:color w:val="auto"/>
              </w:rPr>
            </w:pPr>
            <w:r>
              <w:rPr>
                <w:rFonts w:ascii="Arial" w:cs="Arial" w:eastAsia="Arial" w:hAnsi="Arial"/>
                <w:sz w:val="13"/>
                <w:szCs w:val="13"/>
                <w:color w:val="131E29"/>
              </w:rPr>
              <w:t>Promotional discounts</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gridSpan w:val="4"/>
          </w:tcPr>
          <w:p>
            <w:pPr>
              <w:jc w:val="center"/>
              <w:ind w:right="120"/>
              <w:spacing w:after="0"/>
              <w:rPr>
                <w:sz w:val="20"/>
                <w:szCs w:val="20"/>
                <w:color w:val="auto"/>
              </w:rPr>
            </w:pPr>
            <w:r>
              <w:rPr>
                <w:rFonts w:ascii="Arial" w:cs="Arial" w:eastAsia="Arial" w:hAnsi="Arial"/>
                <w:sz w:val="13"/>
                <w:szCs w:val="13"/>
                <w:color w:val="131E29"/>
                <w:w w:val="92"/>
              </w:rPr>
              <w:t>N/A</w:t>
            </w:r>
          </w:p>
        </w:tc>
        <w:tc>
          <w:tcPr>
            <w:tcW w:w="1240" w:type="dxa"/>
            <w:vAlign w:val="bottom"/>
          </w:tcPr>
          <w:p>
            <w:pPr>
              <w:jc w:val="right"/>
              <w:spacing w:after="0"/>
              <w:rPr>
                <w:sz w:val="20"/>
                <w:szCs w:val="20"/>
                <w:color w:val="auto"/>
              </w:rPr>
            </w:pPr>
            <w:r>
              <w:rPr>
                <w:rFonts w:ascii="Arial" w:cs="Arial" w:eastAsia="Arial" w:hAnsi="Arial"/>
                <w:sz w:val="14"/>
                <w:szCs w:val="14"/>
                <w:color w:val="131E29"/>
              </w:rPr>
              <w:t>(20)</w:t>
            </w:r>
          </w:p>
        </w:tc>
        <w:tc>
          <w:tcPr>
            <w:tcW w:w="0" w:type="dxa"/>
            <w:vAlign w:val="bottom"/>
          </w:tcPr>
          <w:p>
            <w:pPr>
              <w:spacing w:after="0"/>
              <w:rPr>
                <w:sz w:val="1"/>
                <w:szCs w:val="1"/>
                <w:color w:val="auto"/>
              </w:rPr>
            </w:pPr>
          </w:p>
        </w:tc>
      </w:tr>
      <w:tr>
        <w:trPr>
          <w:trHeight w:val="191"/>
        </w:trPr>
        <w:tc>
          <w:tcPr>
            <w:tcW w:w="2960" w:type="dxa"/>
            <w:vAlign w:val="bottom"/>
            <w:tcBorders>
              <w:bottom w:val="single" w:sz="8" w:color="131E29"/>
            </w:tcBorders>
            <w:gridSpan w:val="3"/>
            <w:shd w:val="clear" w:color="auto" w:fill="D2DCE5"/>
          </w:tcPr>
          <w:p>
            <w:pPr>
              <w:ind w:left="20"/>
              <w:spacing w:after="0"/>
              <w:rPr>
                <w:sz w:val="20"/>
                <w:szCs w:val="20"/>
                <w:color w:val="auto"/>
              </w:rPr>
            </w:pPr>
            <w:r>
              <w:rPr>
                <w:rFonts w:ascii="Arial" w:cs="Arial" w:eastAsia="Arial" w:hAnsi="Arial"/>
                <w:sz w:val="13"/>
                <w:szCs w:val="13"/>
                <w:color w:val="131E29"/>
              </w:rPr>
              <w:t>Other</w:t>
            </w:r>
          </w:p>
        </w:tc>
        <w:tc>
          <w:tcPr>
            <w:tcW w:w="40" w:type="dxa"/>
            <w:vAlign w:val="bottom"/>
            <w:tcBorders>
              <w:bottom w:val="single" w:sz="8" w:color="131E29"/>
            </w:tcBorders>
            <w:shd w:val="clear" w:color="auto" w:fill="D2DCE5"/>
          </w:tcPr>
          <w:p>
            <w:pPr>
              <w:spacing w:after="0"/>
              <w:rPr>
                <w:sz w:val="16"/>
                <w:szCs w:val="16"/>
                <w:color w:val="auto"/>
              </w:rPr>
            </w:pPr>
          </w:p>
        </w:tc>
        <w:tc>
          <w:tcPr>
            <w:tcW w:w="40" w:type="dxa"/>
            <w:vAlign w:val="bottom"/>
            <w:tcBorders>
              <w:bottom w:val="single" w:sz="8" w:color="131E29"/>
            </w:tcBorders>
            <w:shd w:val="clear" w:color="auto" w:fill="D2DCE5"/>
          </w:tcPr>
          <w:p>
            <w:pPr>
              <w:spacing w:after="0"/>
              <w:rPr>
                <w:sz w:val="16"/>
                <w:szCs w:val="16"/>
                <w:color w:val="auto"/>
              </w:rPr>
            </w:pPr>
          </w:p>
        </w:tc>
        <w:tc>
          <w:tcPr>
            <w:tcW w:w="180" w:type="dxa"/>
            <w:vAlign w:val="bottom"/>
            <w:tcBorders>
              <w:bottom w:val="single" w:sz="8" w:color="131E29"/>
            </w:tcBorders>
            <w:shd w:val="clear" w:color="auto" w:fill="D2DCE5"/>
          </w:tcPr>
          <w:p>
            <w:pPr>
              <w:spacing w:after="0"/>
              <w:rPr>
                <w:sz w:val="16"/>
                <w:szCs w:val="16"/>
                <w:color w:val="auto"/>
              </w:rPr>
            </w:pPr>
          </w:p>
        </w:tc>
        <w:tc>
          <w:tcPr>
            <w:tcW w:w="840" w:type="dxa"/>
            <w:vAlign w:val="bottom"/>
            <w:tcBorders>
              <w:bottom w:val="single" w:sz="8" w:color="131E29"/>
            </w:tcBorders>
            <w:shd w:val="clear" w:color="auto" w:fill="D2DCE5"/>
          </w:tcPr>
          <w:p>
            <w:pPr>
              <w:spacing w:after="0"/>
              <w:rPr>
                <w:sz w:val="16"/>
                <w:szCs w:val="16"/>
                <w:color w:val="auto"/>
              </w:rPr>
            </w:pPr>
          </w:p>
        </w:tc>
        <w:tc>
          <w:tcPr>
            <w:tcW w:w="60" w:type="dxa"/>
            <w:vAlign w:val="bottom"/>
            <w:tcBorders>
              <w:bottom w:val="single" w:sz="8" w:color="131E29"/>
            </w:tcBorders>
            <w:shd w:val="clear" w:color="auto" w:fill="D2DCE5"/>
          </w:tcPr>
          <w:p>
            <w:pPr>
              <w:spacing w:after="0"/>
              <w:rPr>
                <w:sz w:val="16"/>
                <w:szCs w:val="16"/>
                <w:color w:val="auto"/>
              </w:rPr>
            </w:pPr>
          </w:p>
        </w:tc>
        <w:tc>
          <w:tcPr>
            <w:tcW w:w="20" w:type="dxa"/>
            <w:vAlign w:val="bottom"/>
            <w:tcBorders>
              <w:bottom w:val="single" w:sz="8" w:color="131E29"/>
            </w:tcBorders>
            <w:shd w:val="clear" w:color="auto" w:fill="D2DCE5"/>
          </w:tcPr>
          <w:p>
            <w:pPr>
              <w:spacing w:after="0"/>
              <w:rPr>
                <w:sz w:val="16"/>
                <w:szCs w:val="16"/>
                <w:color w:val="auto"/>
              </w:rPr>
            </w:pPr>
          </w:p>
        </w:tc>
        <w:tc>
          <w:tcPr>
            <w:tcW w:w="60" w:type="dxa"/>
            <w:vAlign w:val="bottom"/>
            <w:tcBorders>
              <w:bottom w:val="single" w:sz="8" w:color="131E29"/>
            </w:tcBorders>
            <w:shd w:val="clear" w:color="auto" w:fill="D2DCE5"/>
          </w:tcPr>
          <w:p>
            <w:pPr>
              <w:spacing w:after="0"/>
              <w:rPr>
                <w:sz w:val="16"/>
                <w:szCs w:val="16"/>
                <w:color w:val="auto"/>
              </w:rPr>
            </w:pPr>
          </w:p>
        </w:tc>
        <w:tc>
          <w:tcPr>
            <w:tcW w:w="200" w:type="dxa"/>
            <w:vAlign w:val="bottom"/>
            <w:tcBorders>
              <w:bottom w:val="single" w:sz="8" w:color="131E29"/>
            </w:tcBorders>
            <w:shd w:val="clear" w:color="auto" w:fill="D2DCE5"/>
          </w:tcPr>
          <w:p>
            <w:pPr>
              <w:spacing w:after="0"/>
              <w:rPr>
                <w:sz w:val="16"/>
                <w:szCs w:val="16"/>
                <w:color w:val="auto"/>
              </w:rPr>
            </w:pPr>
          </w:p>
        </w:tc>
        <w:tc>
          <w:tcPr>
            <w:tcW w:w="820" w:type="dxa"/>
            <w:vAlign w:val="bottom"/>
            <w:tcBorders>
              <w:bottom w:val="single" w:sz="8" w:color="131E29"/>
            </w:tcBorders>
            <w:shd w:val="clear" w:color="auto" w:fill="D2DCE5"/>
          </w:tcPr>
          <w:p>
            <w:pPr>
              <w:spacing w:after="0"/>
              <w:rPr>
                <w:sz w:val="16"/>
                <w:szCs w:val="16"/>
                <w:color w:val="auto"/>
              </w:rPr>
            </w:pPr>
          </w:p>
        </w:tc>
        <w:tc>
          <w:tcPr>
            <w:tcW w:w="40" w:type="dxa"/>
            <w:vAlign w:val="bottom"/>
            <w:tcBorders>
              <w:bottom w:val="single" w:sz="8" w:color="131E29"/>
            </w:tcBorders>
            <w:shd w:val="clear" w:color="auto" w:fill="D2DCE5"/>
          </w:tcPr>
          <w:p>
            <w:pPr>
              <w:spacing w:after="0"/>
              <w:rPr>
                <w:sz w:val="16"/>
                <w:szCs w:val="16"/>
                <w:color w:val="auto"/>
              </w:rPr>
            </w:pPr>
          </w:p>
        </w:tc>
        <w:tc>
          <w:tcPr>
            <w:tcW w:w="40" w:type="dxa"/>
            <w:vAlign w:val="bottom"/>
            <w:tcBorders>
              <w:bottom w:val="single" w:sz="8" w:color="131E29"/>
            </w:tcBorders>
            <w:shd w:val="clear" w:color="auto" w:fill="D2DCE5"/>
          </w:tcPr>
          <w:p>
            <w:pPr>
              <w:spacing w:after="0"/>
              <w:rPr>
                <w:sz w:val="16"/>
                <w:szCs w:val="16"/>
                <w:color w:val="auto"/>
              </w:rPr>
            </w:pPr>
          </w:p>
        </w:tc>
        <w:tc>
          <w:tcPr>
            <w:tcW w:w="60" w:type="dxa"/>
            <w:vAlign w:val="bottom"/>
            <w:tcBorders>
              <w:bottom w:val="single" w:sz="8" w:color="131E29"/>
            </w:tcBorders>
            <w:shd w:val="clear" w:color="auto" w:fill="D2DCE5"/>
          </w:tcPr>
          <w:p>
            <w:pPr>
              <w:spacing w:after="0"/>
              <w:rPr>
                <w:sz w:val="16"/>
                <w:szCs w:val="16"/>
                <w:color w:val="auto"/>
              </w:rPr>
            </w:pPr>
          </w:p>
        </w:tc>
        <w:tc>
          <w:tcPr>
            <w:tcW w:w="180" w:type="dxa"/>
            <w:vAlign w:val="bottom"/>
            <w:tcBorders>
              <w:bottom w:val="single" w:sz="8" w:color="131E29"/>
            </w:tcBorders>
            <w:shd w:val="clear" w:color="auto" w:fill="D2DCE5"/>
          </w:tcPr>
          <w:p>
            <w:pPr>
              <w:spacing w:after="0"/>
              <w:rPr>
                <w:sz w:val="16"/>
                <w:szCs w:val="16"/>
                <w:color w:val="auto"/>
              </w:rPr>
            </w:pPr>
          </w:p>
        </w:tc>
        <w:tc>
          <w:tcPr>
            <w:tcW w:w="860" w:type="dxa"/>
            <w:vAlign w:val="bottom"/>
            <w:tcBorders>
              <w:bottom w:val="single" w:sz="8" w:color="131E29"/>
            </w:tcBorders>
            <w:shd w:val="clear" w:color="auto" w:fill="D2DCE5"/>
          </w:tcPr>
          <w:p>
            <w:pPr>
              <w:spacing w:after="0"/>
              <w:rPr>
                <w:sz w:val="16"/>
                <w:szCs w:val="16"/>
                <w:color w:val="auto"/>
              </w:rPr>
            </w:pPr>
          </w:p>
        </w:tc>
        <w:tc>
          <w:tcPr>
            <w:tcW w:w="20" w:type="dxa"/>
            <w:vAlign w:val="bottom"/>
            <w:tcBorders>
              <w:bottom w:val="single" w:sz="8" w:color="131E29"/>
            </w:tcBorders>
            <w:shd w:val="clear" w:color="auto" w:fill="D2DCE5"/>
          </w:tcPr>
          <w:p>
            <w:pPr>
              <w:spacing w:after="0"/>
              <w:rPr>
                <w:sz w:val="16"/>
                <w:szCs w:val="16"/>
                <w:color w:val="auto"/>
              </w:rPr>
            </w:pPr>
          </w:p>
        </w:tc>
        <w:tc>
          <w:tcPr>
            <w:tcW w:w="60" w:type="dxa"/>
            <w:vAlign w:val="bottom"/>
            <w:tcBorders>
              <w:bottom w:val="single" w:sz="8" w:color="131E29"/>
            </w:tcBorders>
            <w:shd w:val="clear" w:color="auto" w:fill="D2DCE5"/>
          </w:tcPr>
          <w:p>
            <w:pPr>
              <w:spacing w:after="0"/>
              <w:rPr>
                <w:sz w:val="16"/>
                <w:szCs w:val="16"/>
                <w:color w:val="auto"/>
              </w:rPr>
            </w:pPr>
          </w:p>
        </w:tc>
        <w:tc>
          <w:tcPr>
            <w:tcW w:w="20" w:type="dxa"/>
            <w:vAlign w:val="bottom"/>
            <w:tcBorders>
              <w:bottom w:val="single" w:sz="8" w:color="131E29"/>
            </w:tcBorders>
            <w:shd w:val="clear" w:color="auto" w:fill="D2DCE5"/>
          </w:tcPr>
          <w:p>
            <w:pPr>
              <w:spacing w:after="0"/>
              <w:rPr>
                <w:sz w:val="16"/>
                <w:szCs w:val="16"/>
                <w:color w:val="auto"/>
              </w:rPr>
            </w:pPr>
          </w:p>
        </w:tc>
        <w:tc>
          <w:tcPr>
            <w:tcW w:w="240" w:type="dxa"/>
            <w:vAlign w:val="bottom"/>
            <w:tcBorders>
              <w:bottom w:val="single" w:sz="8" w:color="131E29"/>
            </w:tcBorders>
            <w:shd w:val="clear" w:color="auto" w:fill="D2DCE5"/>
          </w:tcPr>
          <w:p>
            <w:pPr>
              <w:spacing w:after="0"/>
              <w:rPr>
                <w:sz w:val="16"/>
                <w:szCs w:val="16"/>
                <w:color w:val="auto"/>
              </w:rPr>
            </w:pPr>
          </w:p>
        </w:tc>
        <w:tc>
          <w:tcPr>
            <w:tcW w:w="980" w:type="dxa"/>
            <w:vAlign w:val="bottom"/>
            <w:tcBorders>
              <w:bottom w:val="single" w:sz="8" w:color="131E29"/>
            </w:tcBorders>
            <w:shd w:val="clear" w:color="auto" w:fill="D2DCE5"/>
          </w:tcPr>
          <w:p>
            <w:pPr>
              <w:spacing w:after="0"/>
              <w:rPr>
                <w:sz w:val="16"/>
                <w:szCs w:val="16"/>
                <w:color w:val="auto"/>
              </w:rPr>
            </w:pPr>
          </w:p>
        </w:tc>
        <w:tc>
          <w:tcPr>
            <w:tcW w:w="360" w:type="dxa"/>
            <w:vAlign w:val="bottom"/>
            <w:tcBorders>
              <w:bottom w:val="single" w:sz="8" w:color="131E29"/>
            </w:tcBorders>
            <w:shd w:val="clear" w:color="auto" w:fill="D2DCE5"/>
          </w:tcPr>
          <w:p>
            <w:pPr>
              <w:spacing w:after="0"/>
              <w:rPr>
                <w:sz w:val="16"/>
                <w:szCs w:val="16"/>
                <w:color w:val="auto"/>
              </w:rPr>
            </w:pPr>
          </w:p>
        </w:tc>
        <w:tc>
          <w:tcPr>
            <w:tcW w:w="100" w:type="dxa"/>
            <w:vAlign w:val="bottom"/>
            <w:tcBorders>
              <w:bottom w:val="single" w:sz="8" w:color="131E29"/>
            </w:tcBorders>
            <w:shd w:val="clear" w:color="auto" w:fill="D2DCE5"/>
          </w:tcPr>
          <w:p>
            <w:pPr>
              <w:spacing w:after="0"/>
              <w:rPr>
                <w:sz w:val="16"/>
                <w:szCs w:val="16"/>
                <w:color w:val="auto"/>
              </w:rPr>
            </w:pPr>
          </w:p>
        </w:tc>
        <w:tc>
          <w:tcPr>
            <w:tcW w:w="300" w:type="dxa"/>
            <w:vAlign w:val="bottom"/>
            <w:tcBorders>
              <w:bottom w:val="single" w:sz="8" w:color="131E29"/>
            </w:tcBorders>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240" w:type="dxa"/>
            <w:vAlign w:val="bottom"/>
            <w:tcBorders>
              <w:bottom w:val="single" w:sz="8" w:color="131E29"/>
            </w:tcBorders>
            <w:shd w:val="clear" w:color="auto" w:fill="D2DCE5"/>
          </w:tcPr>
          <w:p>
            <w:pPr>
              <w:spacing w:after="0"/>
              <w:rPr>
                <w:sz w:val="16"/>
                <w:szCs w:val="16"/>
                <w:color w:val="auto"/>
              </w:rPr>
            </w:pPr>
          </w:p>
        </w:tc>
        <w:tc>
          <w:tcPr>
            <w:tcW w:w="80" w:type="dxa"/>
            <w:vAlign w:val="bottom"/>
            <w:tcBorders>
              <w:bottom w:val="single" w:sz="8" w:color="131E29"/>
            </w:tcBorders>
            <w:shd w:val="clear" w:color="auto" w:fill="D2DCE5"/>
          </w:tcPr>
          <w:p>
            <w:pPr>
              <w:spacing w:after="0"/>
              <w:rPr>
                <w:sz w:val="16"/>
                <w:szCs w:val="16"/>
                <w:color w:val="auto"/>
              </w:rPr>
            </w:pPr>
          </w:p>
        </w:tc>
        <w:tc>
          <w:tcPr>
            <w:tcW w:w="180" w:type="dxa"/>
            <w:vAlign w:val="bottom"/>
            <w:tcBorders>
              <w:bottom w:val="single" w:sz="8" w:color="131E29"/>
            </w:tcBorders>
            <w:shd w:val="clear" w:color="auto" w:fill="D2DCE5"/>
          </w:tcPr>
          <w:p>
            <w:pPr>
              <w:spacing w:after="0"/>
              <w:rPr>
                <w:sz w:val="16"/>
                <w:szCs w:val="16"/>
                <w:color w:val="auto"/>
              </w:rPr>
            </w:pPr>
          </w:p>
        </w:tc>
        <w:tc>
          <w:tcPr>
            <w:tcW w:w="820" w:type="dxa"/>
            <w:vAlign w:val="bottom"/>
            <w:tcBorders>
              <w:bottom w:val="single" w:sz="8" w:color="131E29"/>
            </w:tcBorders>
            <w:gridSpan w:val="3"/>
            <w:shd w:val="clear" w:color="auto" w:fill="D2DCE5"/>
          </w:tcPr>
          <w:p>
            <w:pPr>
              <w:jc w:val="right"/>
              <w:ind w:right="20"/>
              <w:spacing w:after="0"/>
              <w:rPr>
                <w:sz w:val="20"/>
                <w:szCs w:val="20"/>
                <w:color w:val="auto"/>
              </w:rPr>
            </w:pPr>
            <w:r>
              <w:rPr>
                <w:rFonts w:ascii="Arial" w:cs="Arial" w:eastAsia="Arial" w:hAnsi="Arial"/>
                <w:sz w:val="13"/>
                <w:szCs w:val="13"/>
                <w:color w:val="131E29"/>
              </w:rPr>
              <w:t>(1,191)</w:t>
            </w:r>
          </w:p>
        </w:tc>
        <w:tc>
          <w:tcPr>
            <w:tcW w:w="80" w:type="dxa"/>
            <w:vAlign w:val="bottom"/>
            <w:shd w:val="clear" w:color="auto" w:fill="D2DCE5"/>
          </w:tcPr>
          <w:p>
            <w:pPr>
              <w:spacing w:after="0"/>
              <w:rPr>
                <w:sz w:val="16"/>
                <w:szCs w:val="16"/>
                <w:color w:val="auto"/>
              </w:rPr>
            </w:pPr>
          </w:p>
        </w:tc>
        <w:tc>
          <w:tcPr>
            <w:tcW w:w="80" w:type="dxa"/>
            <w:vAlign w:val="bottom"/>
            <w:tcBorders>
              <w:bottom w:val="single" w:sz="8" w:color="131E29"/>
            </w:tcBorders>
            <w:shd w:val="clear" w:color="auto" w:fill="D2DCE5"/>
          </w:tcPr>
          <w:p>
            <w:pPr>
              <w:spacing w:after="0"/>
              <w:rPr>
                <w:sz w:val="16"/>
                <w:szCs w:val="16"/>
                <w:color w:val="auto"/>
              </w:rPr>
            </w:pPr>
          </w:p>
        </w:tc>
        <w:tc>
          <w:tcPr>
            <w:tcW w:w="124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3"/>
                <w:szCs w:val="13"/>
                <w:color w:val="131E29"/>
              </w:rPr>
              <w:t>(10)</w:t>
            </w:r>
          </w:p>
        </w:tc>
        <w:tc>
          <w:tcPr>
            <w:tcW w:w="0" w:type="dxa"/>
            <w:vAlign w:val="bottom"/>
          </w:tcPr>
          <w:p>
            <w:pPr>
              <w:spacing w:after="0"/>
              <w:rPr>
                <w:sz w:val="1"/>
                <w:szCs w:val="1"/>
                <w:color w:val="auto"/>
              </w:rPr>
            </w:pPr>
          </w:p>
        </w:tc>
      </w:tr>
      <w:tr>
        <w:trPr>
          <w:trHeight w:val="182"/>
        </w:trPr>
        <w:tc>
          <w:tcPr>
            <w:tcW w:w="2960" w:type="dxa"/>
            <w:vAlign w:val="bottom"/>
            <w:tcBorders>
              <w:bottom w:val="single" w:sz="8" w:color="131E29"/>
            </w:tcBorders>
            <w:gridSpan w:val="3"/>
          </w:tcPr>
          <w:p>
            <w:pPr>
              <w:ind w:left="100"/>
              <w:spacing w:after="0"/>
              <w:rPr>
                <w:sz w:val="20"/>
                <w:szCs w:val="20"/>
                <w:color w:val="auto"/>
              </w:rPr>
            </w:pPr>
            <w:r>
              <w:rPr>
                <w:rFonts w:ascii="Arial" w:cs="Arial" w:eastAsia="Arial" w:hAnsi="Arial"/>
                <w:sz w:val="13"/>
                <w:szCs w:val="13"/>
                <w:b w:val="1"/>
                <w:bCs w:val="1"/>
                <w:color w:val="131E29"/>
              </w:rPr>
              <w:t>Total change</w:t>
            </w:r>
          </w:p>
        </w:tc>
        <w:tc>
          <w:tcPr>
            <w:tcW w:w="40" w:type="dxa"/>
            <w:vAlign w:val="bottom"/>
            <w:tcBorders>
              <w:bottom w:val="single" w:sz="8" w:color="131E29"/>
            </w:tcBorders>
          </w:tcPr>
          <w:p>
            <w:pPr>
              <w:spacing w:after="0"/>
              <w:rPr>
                <w:sz w:val="15"/>
                <w:szCs w:val="15"/>
                <w:color w:val="auto"/>
              </w:rPr>
            </w:pPr>
          </w:p>
        </w:tc>
        <w:tc>
          <w:tcPr>
            <w:tcW w:w="40" w:type="dxa"/>
            <w:vAlign w:val="bottom"/>
            <w:tcBorders>
              <w:bottom w:val="single" w:sz="8" w:color="131E29"/>
            </w:tcBorders>
          </w:tcPr>
          <w:p>
            <w:pPr>
              <w:spacing w:after="0"/>
              <w:rPr>
                <w:sz w:val="15"/>
                <w:szCs w:val="15"/>
                <w:color w:val="auto"/>
              </w:rPr>
            </w:pPr>
          </w:p>
        </w:tc>
        <w:tc>
          <w:tcPr>
            <w:tcW w:w="180" w:type="dxa"/>
            <w:vAlign w:val="bottom"/>
            <w:tcBorders>
              <w:bottom w:val="single" w:sz="8" w:color="131E29"/>
            </w:tcBorders>
          </w:tcPr>
          <w:p>
            <w:pPr>
              <w:spacing w:after="0"/>
              <w:rPr>
                <w:sz w:val="15"/>
                <w:szCs w:val="15"/>
                <w:color w:val="auto"/>
              </w:rPr>
            </w:pPr>
          </w:p>
        </w:tc>
        <w:tc>
          <w:tcPr>
            <w:tcW w:w="840" w:type="dxa"/>
            <w:vAlign w:val="bottom"/>
            <w:tcBorders>
              <w:bottom w:val="single" w:sz="8" w:color="131E29"/>
            </w:tcBorders>
          </w:tcPr>
          <w:p>
            <w:pPr>
              <w:spacing w:after="0"/>
              <w:rPr>
                <w:sz w:val="15"/>
                <w:szCs w:val="15"/>
                <w:color w:val="auto"/>
              </w:rPr>
            </w:pPr>
          </w:p>
        </w:tc>
        <w:tc>
          <w:tcPr>
            <w:tcW w:w="60" w:type="dxa"/>
            <w:vAlign w:val="bottom"/>
            <w:tcBorders>
              <w:bottom w:val="single" w:sz="8" w:color="131E29"/>
            </w:tcBorders>
          </w:tcPr>
          <w:p>
            <w:pPr>
              <w:spacing w:after="0"/>
              <w:rPr>
                <w:sz w:val="15"/>
                <w:szCs w:val="15"/>
                <w:color w:val="auto"/>
              </w:rPr>
            </w:pPr>
          </w:p>
        </w:tc>
        <w:tc>
          <w:tcPr>
            <w:tcW w:w="20" w:type="dxa"/>
            <w:vAlign w:val="bottom"/>
            <w:tcBorders>
              <w:bottom w:val="single" w:sz="8" w:color="131E29"/>
            </w:tcBorders>
          </w:tcPr>
          <w:p>
            <w:pPr>
              <w:spacing w:after="0"/>
              <w:rPr>
                <w:sz w:val="15"/>
                <w:szCs w:val="15"/>
                <w:color w:val="auto"/>
              </w:rPr>
            </w:pPr>
          </w:p>
        </w:tc>
        <w:tc>
          <w:tcPr>
            <w:tcW w:w="60" w:type="dxa"/>
            <w:vAlign w:val="bottom"/>
            <w:tcBorders>
              <w:bottom w:val="single" w:sz="8" w:color="131E29"/>
            </w:tcBorders>
          </w:tcPr>
          <w:p>
            <w:pPr>
              <w:spacing w:after="0"/>
              <w:rPr>
                <w:sz w:val="15"/>
                <w:szCs w:val="15"/>
                <w:color w:val="auto"/>
              </w:rPr>
            </w:pPr>
          </w:p>
        </w:tc>
        <w:tc>
          <w:tcPr>
            <w:tcW w:w="200" w:type="dxa"/>
            <w:vAlign w:val="bottom"/>
            <w:tcBorders>
              <w:bottom w:val="single" w:sz="8" w:color="131E29"/>
            </w:tcBorders>
          </w:tcPr>
          <w:p>
            <w:pPr>
              <w:spacing w:after="0"/>
              <w:rPr>
                <w:sz w:val="15"/>
                <w:szCs w:val="15"/>
                <w:color w:val="auto"/>
              </w:rPr>
            </w:pPr>
          </w:p>
        </w:tc>
        <w:tc>
          <w:tcPr>
            <w:tcW w:w="820" w:type="dxa"/>
            <w:vAlign w:val="bottom"/>
            <w:tcBorders>
              <w:bottom w:val="single" w:sz="8" w:color="131E29"/>
            </w:tcBorders>
          </w:tcPr>
          <w:p>
            <w:pPr>
              <w:spacing w:after="0"/>
              <w:rPr>
                <w:sz w:val="15"/>
                <w:szCs w:val="15"/>
                <w:color w:val="auto"/>
              </w:rPr>
            </w:pPr>
          </w:p>
        </w:tc>
        <w:tc>
          <w:tcPr>
            <w:tcW w:w="40" w:type="dxa"/>
            <w:vAlign w:val="bottom"/>
            <w:tcBorders>
              <w:bottom w:val="single" w:sz="8" w:color="131E29"/>
            </w:tcBorders>
          </w:tcPr>
          <w:p>
            <w:pPr>
              <w:spacing w:after="0"/>
              <w:rPr>
                <w:sz w:val="15"/>
                <w:szCs w:val="15"/>
                <w:color w:val="auto"/>
              </w:rPr>
            </w:pPr>
          </w:p>
        </w:tc>
        <w:tc>
          <w:tcPr>
            <w:tcW w:w="40" w:type="dxa"/>
            <w:vAlign w:val="bottom"/>
            <w:tcBorders>
              <w:bottom w:val="single" w:sz="8" w:color="131E29"/>
            </w:tcBorders>
          </w:tcPr>
          <w:p>
            <w:pPr>
              <w:spacing w:after="0"/>
              <w:rPr>
                <w:sz w:val="15"/>
                <w:szCs w:val="15"/>
                <w:color w:val="auto"/>
              </w:rPr>
            </w:pPr>
          </w:p>
        </w:tc>
        <w:tc>
          <w:tcPr>
            <w:tcW w:w="60" w:type="dxa"/>
            <w:vAlign w:val="bottom"/>
            <w:tcBorders>
              <w:bottom w:val="single" w:sz="8" w:color="131E29"/>
            </w:tcBorders>
          </w:tcPr>
          <w:p>
            <w:pPr>
              <w:spacing w:after="0"/>
              <w:rPr>
                <w:sz w:val="15"/>
                <w:szCs w:val="15"/>
                <w:color w:val="auto"/>
              </w:rPr>
            </w:pPr>
          </w:p>
        </w:tc>
        <w:tc>
          <w:tcPr>
            <w:tcW w:w="180" w:type="dxa"/>
            <w:vAlign w:val="bottom"/>
            <w:tcBorders>
              <w:bottom w:val="single" w:sz="8" w:color="131E29"/>
            </w:tcBorders>
          </w:tcPr>
          <w:p>
            <w:pPr>
              <w:spacing w:after="0"/>
              <w:rPr>
                <w:sz w:val="15"/>
                <w:szCs w:val="15"/>
                <w:color w:val="auto"/>
              </w:rPr>
            </w:pPr>
          </w:p>
        </w:tc>
        <w:tc>
          <w:tcPr>
            <w:tcW w:w="860" w:type="dxa"/>
            <w:vAlign w:val="bottom"/>
            <w:tcBorders>
              <w:bottom w:val="single" w:sz="8" w:color="131E29"/>
            </w:tcBorders>
          </w:tcPr>
          <w:p>
            <w:pPr>
              <w:spacing w:after="0"/>
              <w:rPr>
                <w:sz w:val="15"/>
                <w:szCs w:val="15"/>
                <w:color w:val="auto"/>
              </w:rPr>
            </w:pPr>
          </w:p>
        </w:tc>
        <w:tc>
          <w:tcPr>
            <w:tcW w:w="20" w:type="dxa"/>
            <w:vAlign w:val="bottom"/>
            <w:tcBorders>
              <w:bottom w:val="single" w:sz="8" w:color="131E29"/>
            </w:tcBorders>
          </w:tcPr>
          <w:p>
            <w:pPr>
              <w:spacing w:after="0"/>
              <w:rPr>
                <w:sz w:val="15"/>
                <w:szCs w:val="15"/>
                <w:color w:val="auto"/>
              </w:rPr>
            </w:pPr>
          </w:p>
        </w:tc>
        <w:tc>
          <w:tcPr>
            <w:tcW w:w="60" w:type="dxa"/>
            <w:vAlign w:val="bottom"/>
            <w:tcBorders>
              <w:bottom w:val="single" w:sz="8" w:color="131E29"/>
            </w:tcBorders>
          </w:tcPr>
          <w:p>
            <w:pPr>
              <w:spacing w:after="0"/>
              <w:rPr>
                <w:sz w:val="15"/>
                <w:szCs w:val="15"/>
                <w:color w:val="auto"/>
              </w:rPr>
            </w:pPr>
          </w:p>
        </w:tc>
        <w:tc>
          <w:tcPr>
            <w:tcW w:w="20" w:type="dxa"/>
            <w:vAlign w:val="bottom"/>
            <w:tcBorders>
              <w:bottom w:val="single" w:sz="8" w:color="131E29"/>
            </w:tcBorders>
          </w:tcPr>
          <w:p>
            <w:pPr>
              <w:spacing w:after="0"/>
              <w:rPr>
                <w:sz w:val="15"/>
                <w:szCs w:val="15"/>
                <w:color w:val="auto"/>
              </w:rPr>
            </w:pPr>
          </w:p>
        </w:tc>
        <w:tc>
          <w:tcPr>
            <w:tcW w:w="240" w:type="dxa"/>
            <w:vAlign w:val="bottom"/>
            <w:tcBorders>
              <w:bottom w:val="single" w:sz="8" w:color="131E29"/>
            </w:tcBorders>
          </w:tcPr>
          <w:p>
            <w:pPr>
              <w:spacing w:after="0"/>
              <w:rPr>
                <w:sz w:val="15"/>
                <w:szCs w:val="15"/>
                <w:color w:val="auto"/>
              </w:rPr>
            </w:pPr>
          </w:p>
        </w:tc>
        <w:tc>
          <w:tcPr>
            <w:tcW w:w="980" w:type="dxa"/>
            <w:vAlign w:val="bottom"/>
            <w:tcBorders>
              <w:bottom w:val="single" w:sz="8" w:color="131E29"/>
            </w:tcBorders>
          </w:tcPr>
          <w:p>
            <w:pPr>
              <w:spacing w:after="0"/>
              <w:rPr>
                <w:sz w:val="15"/>
                <w:szCs w:val="15"/>
                <w:color w:val="auto"/>
              </w:rPr>
            </w:pPr>
          </w:p>
        </w:tc>
        <w:tc>
          <w:tcPr>
            <w:tcW w:w="360" w:type="dxa"/>
            <w:vAlign w:val="bottom"/>
            <w:tcBorders>
              <w:bottom w:val="single" w:sz="8" w:color="131E29"/>
            </w:tcBorders>
          </w:tcPr>
          <w:p>
            <w:pPr>
              <w:spacing w:after="0"/>
              <w:rPr>
                <w:sz w:val="15"/>
                <w:szCs w:val="15"/>
                <w:color w:val="auto"/>
              </w:rPr>
            </w:pPr>
          </w:p>
        </w:tc>
        <w:tc>
          <w:tcPr>
            <w:tcW w:w="100" w:type="dxa"/>
            <w:vAlign w:val="bottom"/>
            <w:tcBorders>
              <w:bottom w:val="single" w:sz="8" w:color="131E29"/>
            </w:tcBorders>
          </w:tcPr>
          <w:p>
            <w:pPr>
              <w:spacing w:after="0"/>
              <w:rPr>
                <w:sz w:val="15"/>
                <w:szCs w:val="15"/>
                <w:color w:val="auto"/>
              </w:rPr>
            </w:pPr>
          </w:p>
        </w:tc>
        <w:tc>
          <w:tcPr>
            <w:tcW w:w="300" w:type="dxa"/>
            <w:vAlign w:val="bottom"/>
            <w:tcBorders>
              <w:bottom w:val="single" w:sz="8" w:color="131E29"/>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131E29"/>
            </w:tcBorders>
          </w:tcPr>
          <w:p>
            <w:pPr>
              <w:jc w:val="right"/>
              <w:ind w:right="72"/>
              <w:spacing w:after="0"/>
              <w:rPr>
                <w:sz w:val="20"/>
                <w:szCs w:val="20"/>
                <w:color w:val="auto"/>
              </w:rPr>
            </w:pPr>
            <w:r>
              <w:rPr>
                <w:rFonts w:ascii="Arial" w:cs="Arial" w:eastAsia="Arial" w:hAnsi="Arial"/>
                <w:sz w:val="13"/>
                <w:szCs w:val="13"/>
                <w:b w:val="1"/>
                <w:bCs w:val="1"/>
                <w:color w:val="131E29"/>
              </w:rPr>
              <w:t>$</w:t>
            </w:r>
          </w:p>
        </w:tc>
        <w:tc>
          <w:tcPr>
            <w:tcW w:w="80" w:type="dxa"/>
            <w:vAlign w:val="bottom"/>
            <w:tcBorders>
              <w:bottom w:val="single" w:sz="8" w:color="131E29"/>
            </w:tcBorders>
          </w:tcPr>
          <w:p>
            <w:pPr>
              <w:spacing w:after="0"/>
              <w:rPr>
                <w:sz w:val="15"/>
                <w:szCs w:val="15"/>
                <w:color w:val="auto"/>
              </w:rPr>
            </w:pPr>
          </w:p>
        </w:tc>
        <w:tc>
          <w:tcPr>
            <w:tcW w:w="180" w:type="dxa"/>
            <w:vAlign w:val="bottom"/>
            <w:tcBorders>
              <w:bottom w:val="single" w:sz="8" w:color="131E29"/>
            </w:tcBorders>
          </w:tcPr>
          <w:p>
            <w:pPr>
              <w:spacing w:after="0"/>
              <w:rPr>
                <w:sz w:val="15"/>
                <w:szCs w:val="15"/>
                <w:color w:val="auto"/>
              </w:rPr>
            </w:pPr>
          </w:p>
        </w:tc>
        <w:tc>
          <w:tcPr>
            <w:tcW w:w="820" w:type="dxa"/>
            <w:vAlign w:val="bottom"/>
            <w:tcBorders>
              <w:bottom w:val="single" w:sz="8" w:color="131E29"/>
            </w:tcBorders>
            <w:gridSpan w:val="3"/>
          </w:tcPr>
          <w:p>
            <w:pPr>
              <w:jc w:val="right"/>
              <w:ind w:right="60"/>
              <w:spacing w:after="0"/>
              <w:rPr>
                <w:sz w:val="20"/>
                <w:szCs w:val="20"/>
                <w:color w:val="auto"/>
              </w:rPr>
            </w:pPr>
            <w:r>
              <w:rPr>
                <w:rFonts w:ascii="Arial" w:cs="Arial" w:eastAsia="Arial" w:hAnsi="Arial"/>
                <w:sz w:val="13"/>
                <w:szCs w:val="13"/>
                <w:b w:val="1"/>
                <w:bCs w:val="1"/>
                <w:color w:val="131E29"/>
              </w:rPr>
              <w:t>69,642</w:t>
            </w:r>
          </w:p>
        </w:tc>
        <w:tc>
          <w:tcPr>
            <w:tcW w:w="80" w:type="dxa"/>
            <w:vAlign w:val="bottom"/>
          </w:tcPr>
          <w:p>
            <w:pPr>
              <w:spacing w:after="0"/>
              <w:rPr>
                <w:sz w:val="15"/>
                <w:szCs w:val="15"/>
                <w:color w:val="auto"/>
              </w:rPr>
            </w:pPr>
          </w:p>
        </w:tc>
        <w:tc>
          <w:tcPr>
            <w:tcW w:w="80" w:type="dxa"/>
            <w:vAlign w:val="bottom"/>
            <w:tcBorders>
              <w:bottom w:val="single" w:sz="8" w:color="131E29"/>
            </w:tcBorders>
          </w:tcPr>
          <w:p>
            <w:pPr>
              <w:spacing w:after="0"/>
              <w:rPr>
                <w:sz w:val="15"/>
                <w:szCs w:val="15"/>
                <w:color w:val="auto"/>
              </w:rPr>
            </w:pPr>
          </w:p>
        </w:tc>
        <w:tc>
          <w:tcPr>
            <w:tcW w:w="1240" w:type="dxa"/>
            <w:vAlign w:val="bottom"/>
            <w:tcBorders>
              <w:bottom w:val="single" w:sz="8" w:color="131E29"/>
            </w:tcBorders>
          </w:tcPr>
          <w:p>
            <w:pPr>
              <w:jc w:val="right"/>
              <w:spacing w:after="0"/>
              <w:rPr>
                <w:sz w:val="20"/>
                <w:szCs w:val="20"/>
                <w:color w:val="auto"/>
              </w:rPr>
            </w:pPr>
            <w:r>
              <w:rPr>
                <w:rFonts w:ascii="Arial" w:cs="Arial" w:eastAsia="Arial" w:hAnsi="Arial"/>
                <w:sz w:val="13"/>
                <w:szCs w:val="13"/>
                <w:b w:val="1"/>
                <w:bCs w:val="1"/>
                <w:color w:val="131E29"/>
              </w:rPr>
              <w:t>160</w:t>
            </w:r>
          </w:p>
        </w:tc>
        <w:tc>
          <w:tcPr>
            <w:tcW w:w="0" w:type="dxa"/>
            <w:vAlign w:val="bottom"/>
          </w:tcPr>
          <w:p>
            <w:pPr>
              <w:spacing w:after="0"/>
              <w:rPr>
                <w:sz w:val="1"/>
                <w:szCs w:val="1"/>
                <w:color w:val="auto"/>
              </w:rPr>
            </w:pPr>
          </w:p>
        </w:tc>
      </w:tr>
      <w:tr>
        <w:trPr>
          <w:trHeight w:val="358"/>
        </w:trPr>
        <w:tc>
          <w:tcPr>
            <w:tcW w:w="2960" w:type="dxa"/>
            <w:vAlign w:val="bottom"/>
            <w:gridSpan w:val="3"/>
          </w:tcPr>
          <w:p>
            <w:pPr>
              <w:spacing w:after="0"/>
              <w:rPr>
                <w:sz w:val="20"/>
                <w:szCs w:val="20"/>
                <w:color w:val="auto"/>
              </w:rPr>
            </w:pPr>
            <w:r>
              <w:rPr>
                <w:rFonts w:ascii="Arial" w:cs="Arial" w:eastAsia="Arial" w:hAnsi="Arial"/>
                <w:sz w:val="14"/>
                <w:szCs w:val="14"/>
                <w:b w:val="1"/>
                <w:bCs w:val="1"/>
                <w:i w:val="1"/>
                <w:iCs w:val="1"/>
                <w:color w:val="006098"/>
              </w:rPr>
              <w:t>Labor Costs</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20" w:type="dxa"/>
            <w:vAlign w:val="bottom"/>
            <w:gridSpan w:val="10"/>
          </w:tcPr>
          <w:p>
            <w:pPr>
              <w:ind w:left="740"/>
              <w:spacing w:after="0"/>
              <w:rPr>
                <w:sz w:val="20"/>
                <w:szCs w:val="20"/>
                <w:color w:val="auto"/>
              </w:rPr>
            </w:pPr>
            <w:r>
              <w:rPr>
                <w:rFonts w:ascii="Arial" w:cs="Arial" w:eastAsia="Arial" w:hAnsi="Arial"/>
                <w:sz w:val="14"/>
                <w:szCs w:val="14"/>
                <w:b w:val="1"/>
                <w:bCs w:val="1"/>
                <w:color w:val="131E29"/>
              </w:rPr>
              <w:t>Year Ended December 31,</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9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292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131E29"/>
              </w:rPr>
              <w:t>(in thousands; unaudited)</w:t>
            </w:r>
          </w:p>
        </w:tc>
        <w:tc>
          <w:tcPr>
            <w:tcW w:w="40" w:type="dxa"/>
            <w:vAlign w:val="bottom"/>
            <w:tcBorders>
              <w:bottom w:val="single" w:sz="8" w:color="D2DCE5"/>
            </w:tcBorders>
          </w:tcPr>
          <w:p>
            <w:pPr>
              <w:spacing w:after="0"/>
              <w:rPr>
                <w:sz w:val="16"/>
                <w:szCs w:val="16"/>
                <w:color w:val="auto"/>
              </w:rPr>
            </w:pPr>
          </w:p>
        </w:tc>
        <w:tc>
          <w:tcPr>
            <w:tcW w:w="40" w:type="dxa"/>
            <w:vAlign w:val="bottom"/>
            <w:tcBorders>
              <w:bottom w:val="single" w:sz="8" w:color="D2DCE5"/>
            </w:tcBorders>
          </w:tcPr>
          <w:p>
            <w:pPr>
              <w:spacing w:after="0"/>
              <w:rPr>
                <w:sz w:val="16"/>
                <w:szCs w:val="16"/>
                <w:color w:val="auto"/>
              </w:rPr>
            </w:pPr>
          </w:p>
        </w:tc>
        <w:tc>
          <w:tcPr>
            <w:tcW w:w="40" w:type="dxa"/>
            <w:vAlign w:val="bottom"/>
            <w:tcBorders>
              <w:bottom w:val="single" w:sz="8" w:color="131E29"/>
            </w:tcBorders>
          </w:tcPr>
          <w:p>
            <w:pPr>
              <w:spacing w:after="0"/>
              <w:rPr>
                <w:sz w:val="16"/>
                <w:szCs w:val="16"/>
                <w:color w:val="auto"/>
              </w:rPr>
            </w:pPr>
          </w:p>
        </w:tc>
        <w:tc>
          <w:tcPr>
            <w:tcW w:w="180" w:type="dxa"/>
            <w:vAlign w:val="bottom"/>
            <w:tcBorders>
              <w:bottom w:val="single" w:sz="8" w:color="131E29"/>
            </w:tcBorders>
          </w:tcPr>
          <w:p>
            <w:pPr>
              <w:spacing w:after="0"/>
              <w:rPr>
                <w:sz w:val="16"/>
                <w:szCs w:val="16"/>
                <w:color w:val="auto"/>
              </w:rPr>
            </w:pPr>
          </w:p>
        </w:tc>
        <w:tc>
          <w:tcPr>
            <w:tcW w:w="840" w:type="dxa"/>
            <w:vAlign w:val="bottom"/>
            <w:tcBorders>
              <w:bottom w:val="single" w:sz="8" w:color="131E29"/>
            </w:tcBorders>
          </w:tcPr>
          <w:p>
            <w:pPr>
              <w:jc w:val="right"/>
              <w:ind w:right="309"/>
              <w:spacing w:after="0"/>
              <w:rPr>
                <w:sz w:val="20"/>
                <w:szCs w:val="20"/>
                <w:color w:val="auto"/>
              </w:rPr>
            </w:pPr>
            <w:r>
              <w:rPr>
                <w:rFonts w:ascii="Arial" w:cs="Arial" w:eastAsia="Arial" w:hAnsi="Arial"/>
                <w:sz w:val="14"/>
                <w:szCs w:val="14"/>
                <w:b w:val="1"/>
                <w:bCs w:val="1"/>
                <w:color w:val="131E29"/>
              </w:rPr>
              <w:t>2022</w:t>
            </w:r>
          </w:p>
        </w:tc>
        <w:tc>
          <w:tcPr>
            <w:tcW w:w="60" w:type="dxa"/>
            <w:vAlign w:val="bottom"/>
            <w:tcBorders>
              <w:bottom w:val="single" w:sz="8" w:color="D2DCE5"/>
            </w:tcBorders>
          </w:tcPr>
          <w:p>
            <w:pPr>
              <w:spacing w:after="0"/>
              <w:rPr>
                <w:sz w:val="16"/>
                <w:szCs w:val="16"/>
                <w:color w:val="auto"/>
              </w:rPr>
            </w:pPr>
          </w:p>
        </w:tc>
        <w:tc>
          <w:tcPr>
            <w:tcW w:w="20" w:type="dxa"/>
            <w:vAlign w:val="bottom"/>
            <w:tcBorders>
              <w:bottom w:val="single" w:sz="8" w:color="D2DCE5"/>
            </w:tcBorders>
          </w:tcPr>
          <w:p>
            <w:pPr>
              <w:spacing w:after="0"/>
              <w:rPr>
                <w:sz w:val="16"/>
                <w:szCs w:val="16"/>
                <w:color w:val="auto"/>
              </w:rPr>
            </w:pPr>
          </w:p>
        </w:tc>
        <w:tc>
          <w:tcPr>
            <w:tcW w:w="60" w:type="dxa"/>
            <w:vAlign w:val="bottom"/>
            <w:tcBorders>
              <w:bottom w:val="single" w:sz="8" w:color="131E29"/>
            </w:tcBorders>
          </w:tcPr>
          <w:p>
            <w:pPr>
              <w:spacing w:after="0"/>
              <w:rPr>
                <w:sz w:val="16"/>
                <w:szCs w:val="16"/>
                <w:color w:val="auto"/>
              </w:rPr>
            </w:pPr>
          </w:p>
        </w:tc>
        <w:tc>
          <w:tcPr>
            <w:tcW w:w="200" w:type="dxa"/>
            <w:vAlign w:val="bottom"/>
            <w:tcBorders>
              <w:bottom w:val="single" w:sz="8" w:color="131E29"/>
            </w:tcBorders>
          </w:tcPr>
          <w:p>
            <w:pPr>
              <w:spacing w:after="0"/>
              <w:rPr>
                <w:sz w:val="16"/>
                <w:szCs w:val="16"/>
                <w:color w:val="auto"/>
              </w:rPr>
            </w:pPr>
          </w:p>
        </w:tc>
        <w:tc>
          <w:tcPr>
            <w:tcW w:w="820" w:type="dxa"/>
            <w:vAlign w:val="bottom"/>
            <w:tcBorders>
              <w:bottom w:val="single" w:sz="8" w:color="131E29"/>
            </w:tcBorders>
          </w:tcPr>
          <w:p>
            <w:pPr>
              <w:jc w:val="right"/>
              <w:ind w:right="309"/>
              <w:spacing w:after="0"/>
              <w:rPr>
                <w:sz w:val="20"/>
                <w:szCs w:val="20"/>
                <w:color w:val="auto"/>
              </w:rPr>
            </w:pPr>
            <w:r>
              <w:rPr>
                <w:rFonts w:ascii="Arial" w:cs="Arial" w:eastAsia="Arial" w:hAnsi="Arial"/>
                <w:sz w:val="14"/>
                <w:szCs w:val="14"/>
                <w:b w:val="1"/>
                <w:bCs w:val="1"/>
                <w:color w:val="131E29"/>
              </w:rPr>
              <w:t>2021</w:t>
            </w:r>
          </w:p>
        </w:tc>
        <w:tc>
          <w:tcPr>
            <w:tcW w:w="40" w:type="dxa"/>
            <w:vAlign w:val="bottom"/>
            <w:tcBorders>
              <w:bottom w:val="single" w:sz="8" w:color="D2DCE5"/>
            </w:tcBorders>
          </w:tcPr>
          <w:p>
            <w:pPr>
              <w:spacing w:after="0"/>
              <w:rPr>
                <w:sz w:val="16"/>
                <w:szCs w:val="16"/>
                <w:color w:val="auto"/>
              </w:rPr>
            </w:pPr>
          </w:p>
        </w:tc>
        <w:tc>
          <w:tcPr>
            <w:tcW w:w="40" w:type="dxa"/>
            <w:vAlign w:val="bottom"/>
            <w:tcBorders>
              <w:bottom w:val="single" w:sz="8" w:color="D2DCE5"/>
            </w:tcBorders>
          </w:tcPr>
          <w:p>
            <w:pPr>
              <w:spacing w:after="0"/>
              <w:rPr>
                <w:sz w:val="16"/>
                <w:szCs w:val="16"/>
                <w:color w:val="auto"/>
              </w:rPr>
            </w:pPr>
          </w:p>
        </w:tc>
        <w:tc>
          <w:tcPr>
            <w:tcW w:w="60" w:type="dxa"/>
            <w:vAlign w:val="bottom"/>
            <w:tcBorders>
              <w:bottom w:val="single" w:sz="8" w:color="131E29"/>
            </w:tcBorders>
          </w:tcPr>
          <w:p>
            <w:pPr>
              <w:spacing w:after="0"/>
              <w:rPr>
                <w:sz w:val="16"/>
                <w:szCs w:val="16"/>
                <w:color w:val="auto"/>
              </w:rPr>
            </w:pPr>
          </w:p>
        </w:tc>
        <w:tc>
          <w:tcPr>
            <w:tcW w:w="180" w:type="dxa"/>
            <w:vAlign w:val="bottom"/>
            <w:tcBorders>
              <w:bottom w:val="single" w:sz="8" w:color="131E29"/>
            </w:tcBorders>
          </w:tcPr>
          <w:p>
            <w:pPr>
              <w:spacing w:after="0"/>
              <w:rPr>
                <w:sz w:val="16"/>
                <w:szCs w:val="16"/>
                <w:color w:val="auto"/>
              </w:rPr>
            </w:pPr>
          </w:p>
        </w:tc>
        <w:tc>
          <w:tcPr>
            <w:tcW w:w="860" w:type="dxa"/>
            <w:vAlign w:val="bottom"/>
            <w:tcBorders>
              <w:bottom w:val="single" w:sz="8" w:color="131E29"/>
            </w:tcBorders>
          </w:tcPr>
          <w:p>
            <w:pPr>
              <w:jc w:val="right"/>
              <w:ind w:right="329"/>
              <w:spacing w:after="0"/>
              <w:rPr>
                <w:sz w:val="20"/>
                <w:szCs w:val="20"/>
                <w:color w:val="auto"/>
              </w:rPr>
            </w:pPr>
            <w:r>
              <w:rPr>
                <w:rFonts w:ascii="Arial" w:cs="Arial" w:eastAsia="Arial" w:hAnsi="Arial"/>
                <w:sz w:val="14"/>
                <w:szCs w:val="14"/>
                <w:b w:val="1"/>
                <w:bCs w:val="1"/>
                <w:color w:val="131E29"/>
              </w:rPr>
              <w:t>2020</w:t>
            </w:r>
          </w:p>
        </w:tc>
        <w:tc>
          <w:tcPr>
            <w:tcW w:w="20" w:type="dxa"/>
            <w:vAlign w:val="bottom"/>
            <w:tcBorders>
              <w:bottom w:val="single" w:sz="8" w:color="D2DCE5"/>
            </w:tcBorders>
          </w:tcPr>
          <w:p>
            <w:pPr>
              <w:spacing w:after="0"/>
              <w:rPr>
                <w:sz w:val="16"/>
                <w:szCs w:val="16"/>
                <w:color w:val="auto"/>
              </w:rPr>
            </w:pPr>
          </w:p>
        </w:tc>
        <w:tc>
          <w:tcPr>
            <w:tcW w:w="60" w:type="dxa"/>
            <w:vAlign w:val="bottom"/>
            <w:tcBorders>
              <w:bottom w:val="single" w:sz="8" w:color="D2DCE5"/>
            </w:tcBorders>
          </w:tcPr>
          <w:p>
            <w:pPr>
              <w:spacing w:after="0"/>
              <w:rPr>
                <w:sz w:val="16"/>
                <w:szCs w:val="16"/>
                <w:color w:val="auto"/>
              </w:rPr>
            </w:pPr>
          </w:p>
        </w:tc>
        <w:tc>
          <w:tcPr>
            <w:tcW w:w="20" w:type="dxa"/>
            <w:vAlign w:val="bottom"/>
            <w:tcBorders>
              <w:bottom w:val="single" w:sz="8" w:color="131E29"/>
            </w:tcBorders>
          </w:tcPr>
          <w:p>
            <w:pPr>
              <w:spacing w:after="0"/>
              <w:rPr>
                <w:sz w:val="16"/>
                <w:szCs w:val="16"/>
                <w:color w:val="auto"/>
              </w:rPr>
            </w:pPr>
          </w:p>
        </w:tc>
        <w:tc>
          <w:tcPr>
            <w:tcW w:w="240" w:type="dxa"/>
            <w:vAlign w:val="bottom"/>
            <w:tcBorders>
              <w:bottom w:val="single" w:sz="8" w:color="131E29"/>
            </w:tcBorders>
          </w:tcPr>
          <w:p>
            <w:pPr>
              <w:spacing w:after="0"/>
              <w:rPr>
                <w:sz w:val="16"/>
                <w:szCs w:val="16"/>
                <w:color w:val="auto"/>
              </w:rPr>
            </w:pPr>
          </w:p>
        </w:tc>
        <w:tc>
          <w:tcPr>
            <w:tcW w:w="1820" w:type="dxa"/>
            <w:vAlign w:val="bottom"/>
            <w:tcBorders>
              <w:bottom w:val="single" w:sz="8" w:color="131E29"/>
            </w:tcBorders>
            <w:gridSpan w:val="5"/>
          </w:tcPr>
          <w:p>
            <w:pPr>
              <w:ind w:left="500"/>
              <w:spacing w:after="0"/>
              <w:rPr>
                <w:sz w:val="20"/>
                <w:szCs w:val="20"/>
                <w:color w:val="auto"/>
              </w:rPr>
            </w:pPr>
            <w:r>
              <w:rPr>
                <w:rFonts w:ascii="Arial" w:cs="Arial" w:eastAsia="Arial" w:hAnsi="Arial"/>
                <w:sz w:val="14"/>
                <w:szCs w:val="14"/>
                <w:b w:val="1"/>
                <w:bCs w:val="1"/>
                <w:color w:val="131E29"/>
              </w:rPr>
              <w:t>2022 v. 2021</w:t>
            </w:r>
          </w:p>
        </w:tc>
        <w:tc>
          <w:tcPr>
            <w:tcW w:w="240" w:type="dxa"/>
            <w:vAlign w:val="bottom"/>
            <w:tcBorders>
              <w:bottom w:val="single" w:sz="8" w:color="131E29"/>
            </w:tcBorders>
          </w:tcPr>
          <w:p>
            <w:pPr>
              <w:spacing w:after="0"/>
              <w:rPr>
                <w:sz w:val="16"/>
                <w:szCs w:val="16"/>
                <w:color w:val="auto"/>
              </w:rPr>
            </w:pPr>
          </w:p>
        </w:tc>
        <w:tc>
          <w:tcPr>
            <w:tcW w:w="80" w:type="dxa"/>
            <w:vAlign w:val="bottom"/>
            <w:tcBorders>
              <w:bottom w:val="single" w:sz="8" w:color="D2DCE5"/>
            </w:tcBorders>
          </w:tcPr>
          <w:p>
            <w:pPr>
              <w:spacing w:after="0"/>
              <w:rPr>
                <w:sz w:val="16"/>
                <w:szCs w:val="16"/>
                <w:color w:val="auto"/>
              </w:rPr>
            </w:pPr>
          </w:p>
        </w:tc>
        <w:tc>
          <w:tcPr>
            <w:tcW w:w="180" w:type="dxa"/>
            <w:vAlign w:val="bottom"/>
            <w:tcBorders>
              <w:bottom w:val="single" w:sz="8" w:color="131E29"/>
            </w:tcBorders>
          </w:tcPr>
          <w:p>
            <w:pPr>
              <w:spacing w:after="0"/>
              <w:rPr>
                <w:sz w:val="16"/>
                <w:szCs w:val="16"/>
                <w:color w:val="auto"/>
              </w:rPr>
            </w:pPr>
          </w:p>
        </w:tc>
        <w:tc>
          <w:tcPr>
            <w:tcW w:w="540" w:type="dxa"/>
            <w:vAlign w:val="bottom"/>
            <w:tcBorders>
              <w:bottom w:val="single" w:sz="8" w:color="131E29"/>
            </w:tcBorders>
          </w:tcPr>
          <w:p>
            <w:pPr>
              <w:spacing w:after="0"/>
              <w:rPr>
                <w:sz w:val="16"/>
                <w:szCs w:val="16"/>
                <w:color w:val="auto"/>
              </w:rPr>
            </w:pPr>
          </w:p>
        </w:tc>
        <w:tc>
          <w:tcPr>
            <w:tcW w:w="1680" w:type="dxa"/>
            <w:vAlign w:val="bottom"/>
            <w:tcBorders>
              <w:bottom w:val="single" w:sz="8" w:color="131E29"/>
            </w:tcBorders>
            <w:gridSpan w:val="5"/>
          </w:tcPr>
          <w:p>
            <w:pPr>
              <w:jc w:val="right"/>
              <w:ind w:right="713"/>
              <w:spacing w:after="0"/>
              <w:rPr>
                <w:sz w:val="20"/>
                <w:szCs w:val="20"/>
                <w:color w:val="auto"/>
              </w:rPr>
            </w:pPr>
            <w:r>
              <w:rPr>
                <w:rFonts w:ascii="Arial" w:cs="Arial" w:eastAsia="Arial" w:hAnsi="Arial"/>
                <w:sz w:val="14"/>
                <w:szCs w:val="14"/>
                <w:b w:val="1"/>
                <w:bCs w:val="1"/>
                <w:color w:val="131E29"/>
              </w:rPr>
              <w:t>2021 v. 2020</w:t>
            </w:r>
          </w:p>
        </w:tc>
        <w:tc>
          <w:tcPr>
            <w:tcW w:w="0" w:type="dxa"/>
            <w:vAlign w:val="bottom"/>
          </w:tcPr>
          <w:p>
            <w:pPr>
              <w:spacing w:after="0"/>
              <w:rPr>
                <w:sz w:val="1"/>
                <w:szCs w:val="1"/>
                <w:color w:val="auto"/>
              </w:rPr>
            </w:pPr>
          </w:p>
        </w:tc>
      </w:tr>
      <w:tr>
        <w:trPr>
          <w:trHeight w:val="212"/>
        </w:trPr>
        <w:tc>
          <w:tcPr>
            <w:tcW w:w="2960" w:type="dxa"/>
            <w:vAlign w:val="bottom"/>
            <w:gridSpan w:val="3"/>
            <w:shd w:val="clear" w:color="auto" w:fill="D2DCE5"/>
          </w:tcPr>
          <w:p>
            <w:pPr>
              <w:ind w:left="20"/>
              <w:spacing w:after="0"/>
              <w:rPr>
                <w:sz w:val="20"/>
                <w:szCs w:val="20"/>
                <w:color w:val="auto"/>
              </w:rPr>
            </w:pPr>
            <w:r>
              <w:rPr>
                <w:rFonts w:ascii="Arial" w:cs="Arial" w:eastAsia="Arial" w:hAnsi="Arial"/>
                <w:sz w:val="13"/>
                <w:szCs w:val="13"/>
                <w:color w:val="131E29"/>
              </w:rPr>
              <w:t>Labor costs</w:t>
            </w:r>
          </w:p>
        </w:tc>
        <w:tc>
          <w:tcPr>
            <w:tcW w:w="260" w:type="dxa"/>
            <w:vAlign w:val="bottom"/>
            <w:gridSpan w:val="3"/>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8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182,861</w:t>
            </w:r>
          </w:p>
        </w:tc>
        <w:tc>
          <w:tcPr>
            <w:tcW w:w="60" w:type="dxa"/>
            <w:vAlign w:val="bottom"/>
            <w:shd w:val="clear" w:color="auto" w:fill="D2DCE5"/>
          </w:tcPr>
          <w:p>
            <w:pPr>
              <w:spacing w:after="0"/>
              <w:rPr>
                <w:sz w:val="18"/>
                <w:szCs w:val="18"/>
                <w:color w:val="auto"/>
              </w:rPr>
            </w:pPr>
          </w:p>
        </w:tc>
        <w:tc>
          <w:tcPr>
            <w:tcW w:w="280" w:type="dxa"/>
            <w:vAlign w:val="bottom"/>
            <w:gridSpan w:val="3"/>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8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122,161</w:t>
            </w:r>
          </w:p>
        </w:tc>
        <w:tc>
          <w:tcPr>
            <w:tcW w:w="40" w:type="dxa"/>
            <w:vAlign w:val="bottom"/>
            <w:shd w:val="clear" w:color="auto" w:fill="D2DCE5"/>
          </w:tcPr>
          <w:p>
            <w:pPr>
              <w:spacing w:after="0"/>
              <w:rPr>
                <w:sz w:val="18"/>
                <w:szCs w:val="18"/>
                <w:color w:val="auto"/>
              </w:rPr>
            </w:pPr>
          </w:p>
        </w:tc>
        <w:tc>
          <w:tcPr>
            <w:tcW w:w="280" w:type="dxa"/>
            <w:vAlign w:val="bottom"/>
            <w:gridSpan w:val="3"/>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8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71,473</w:t>
            </w:r>
          </w:p>
        </w:tc>
        <w:tc>
          <w:tcPr>
            <w:tcW w:w="20" w:type="dxa"/>
            <w:vAlign w:val="bottom"/>
            <w:shd w:val="clear" w:color="auto" w:fill="D2DCE5"/>
          </w:tcPr>
          <w:p>
            <w:pPr>
              <w:spacing w:after="0"/>
              <w:rPr>
                <w:sz w:val="18"/>
                <w:szCs w:val="18"/>
                <w:color w:val="auto"/>
              </w:rPr>
            </w:pPr>
          </w:p>
        </w:tc>
        <w:tc>
          <w:tcPr>
            <w:tcW w:w="320" w:type="dxa"/>
            <w:vAlign w:val="bottom"/>
            <w:gridSpan w:val="3"/>
            <w:shd w:val="clear" w:color="auto" w:fill="D2DCE5"/>
          </w:tcPr>
          <w:p>
            <w:pPr>
              <w:jc w:val="right"/>
              <w:ind w:right="180"/>
              <w:spacing w:after="0"/>
              <w:rPr>
                <w:sz w:val="20"/>
                <w:szCs w:val="20"/>
                <w:color w:val="auto"/>
              </w:rPr>
            </w:pPr>
            <w:r>
              <w:rPr>
                <w:rFonts w:ascii="Arial" w:cs="Arial" w:eastAsia="Arial" w:hAnsi="Arial"/>
                <w:sz w:val="14"/>
                <w:szCs w:val="14"/>
                <w:color w:val="131E29"/>
              </w:rPr>
              <w:t>$</w:t>
            </w:r>
          </w:p>
        </w:tc>
        <w:tc>
          <w:tcPr>
            <w:tcW w:w="980" w:type="dxa"/>
            <w:vAlign w:val="bottom"/>
            <w:shd w:val="clear" w:color="auto" w:fill="D2DCE5"/>
          </w:tcPr>
          <w:p>
            <w:pPr>
              <w:jc w:val="right"/>
              <w:ind w:right="149"/>
              <w:spacing w:after="0"/>
              <w:rPr>
                <w:sz w:val="20"/>
                <w:szCs w:val="20"/>
                <w:color w:val="auto"/>
              </w:rPr>
            </w:pPr>
            <w:r>
              <w:rPr>
                <w:rFonts w:ascii="Arial" w:cs="Arial" w:eastAsia="Arial" w:hAnsi="Arial"/>
                <w:sz w:val="14"/>
                <w:szCs w:val="14"/>
                <w:color w:val="131E29"/>
              </w:rPr>
              <w:t>60,700</w:t>
            </w:r>
          </w:p>
        </w:tc>
        <w:tc>
          <w:tcPr>
            <w:tcW w:w="760" w:type="dxa"/>
            <w:vAlign w:val="bottom"/>
            <w:gridSpan w:val="3"/>
            <w:shd w:val="clear" w:color="auto" w:fill="D2DCE5"/>
          </w:tcPr>
          <w:p>
            <w:pPr>
              <w:jc w:val="center"/>
              <w:ind w:left="171"/>
              <w:spacing w:after="0"/>
              <w:rPr>
                <w:sz w:val="20"/>
                <w:szCs w:val="20"/>
                <w:color w:val="auto"/>
              </w:rPr>
            </w:pPr>
            <w:r>
              <w:rPr>
                <w:rFonts w:ascii="Arial" w:cs="Arial" w:eastAsia="Arial" w:hAnsi="Arial"/>
                <w:sz w:val="14"/>
                <w:szCs w:val="14"/>
                <w:color w:val="131E29"/>
              </w:rPr>
              <w:t>49.7%</w:t>
            </w:r>
          </w:p>
        </w:tc>
        <w:tc>
          <w:tcPr>
            <w:tcW w:w="80" w:type="dxa"/>
            <w:vAlign w:val="bottom"/>
            <w:shd w:val="clear" w:color="auto" w:fill="D2DCE5"/>
          </w:tcPr>
          <w:p>
            <w:pPr>
              <w:spacing w:after="0"/>
              <w:rPr>
                <w:sz w:val="18"/>
                <w:szCs w:val="18"/>
                <w:color w:val="auto"/>
              </w:rPr>
            </w:pPr>
          </w:p>
        </w:tc>
        <w:tc>
          <w:tcPr>
            <w:tcW w:w="500" w:type="dxa"/>
            <w:vAlign w:val="bottom"/>
            <w:gridSpan w:val="3"/>
            <w:shd w:val="clear" w:color="auto" w:fill="D2DCE5"/>
          </w:tcPr>
          <w:p>
            <w:pPr>
              <w:jc w:val="right"/>
              <w:ind w:right="80"/>
              <w:spacing w:after="0"/>
              <w:rPr>
                <w:sz w:val="20"/>
                <w:szCs w:val="20"/>
                <w:color w:val="auto"/>
              </w:rPr>
            </w:pPr>
            <w:r>
              <w:rPr>
                <w:rFonts w:ascii="Arial" w:cs="Arial" w:eastAsia="Arial" w:hAnsi="Arial"/>
                <w:sz w:val="14"/>
                <w:szCs w:val="14"/>
                <w:color w:val="131E29"/>
              </w:rPr>
              <w:t>$</w:t>
            </w:r>
          </w:p>
        </w:tc>
        <w:tc>
          <w:tcPr>
            <w:tcW w:w="980" w:type="dxa"/>
            <w:vAlign w:val="bottom"/>
            <w:gridSpan w:val="5"/>
            <w:shd w:val="clear" w:color="auto" w:fill="D2DCE5"/>
          </w:tcPr>
          <w:p>
            <w:pPr>
              <w:jc w:val="center"/>
              <w:ind w:left="355"/>
              <w:spacing w:after="0"/>
              <w:rPr>
                <w:sz w:val="20"/>
                <w:szCs w:val="20"/>
                <w:color w:val="auto"/>
              </w:rPr>
            </w:pPr>
            <w:r>
              <w:rPr>
                <w:rFonts w:ascii="Arial" w:cs="Arial" w:eastAsia="Arial" w:hAnsi="Arial"/>
                <w:sz w:val="14"/>
                <w:szCs w:val="14"/>
                <w:color w:val="131E29"/>
              </w:rPr>
              <w:t>50,688</w:t>
            </w:r>
          </w:p>
        </w:tc>
        <w:tc>
          <w:tcPr>
            <w:tcW w:w="1240" w:type="dxa"/>
            <w:vAlign w:val="bottom"/>
            <w:shd w:val="clear" w:color="auto" w:fill="D2DCE5"/>
          </w:tcPr>
          <w:p>
            <w:pPr>
              <w:jc w:val="center"/>
              <w:ind w:left="13"/>
              <w:spacing w:after="0"/>
              <w:rPr>
                <w:sz w:val="20"/>
                <w:szCs w:val="20"/>
                <w:color w:val="auto"/>
              </w:rPr>
            </w:pPr>
            <w:r>
              <w:rPr>
                <w:rFonts w:ascii="Arial" w:cs="Arial" w:eastAsia="Arial" w:hAnsi="Arial"/>
                <w:sz w:val="14"/>
                <w:szCs w:val="14"/>
                <w:color w:val="131E29"/>
              </w:rPr>
              <w:t>70.9%</w:t>
            </w:r>
          </w:p>
        </w:tc>
        <w:tc>
          <w:tcPr>
            <w:tcW w:w="0" w:type="dxa"/>
            <w:vAlign w:val="bottom"/>
          </w:tcPr>
          <w:p>
            <w:pPr>
              <w:spacing w:after="0"/>
              <w:rPr>
                <w:sz w:val="1"/>
                <w:szCs w:val="1"/>
                <w:color w:val="auto"/>
              </w:rPr>
            </w:pPr>
          </w:p>
        </w:tc>
      </w:tr>
      <w:tr>
        <w:trPr>
          <w:trHeight w:val="170"/>
        </w:trPr>
        <w:tc>
          <w:tcPr>
            <w:tcW w:w="2960" w:type="dxa"/>
            <w:vAlign w:val="bottom"/>
            <w:gridSpan w:val="3"/>
          </w:tcPr>
          <w:p>
            <w:pPr>
              <w:ind w:left="20"/>
              <w:spacing w:after="0"/>
              <w:rPr>
                <w:sz w:val="20"/>
                <w:szCs w:val="20"/>
                <w:color w:val="auto"/>
              </w:rPr>
            </w:pPr>
            <w:r>
              <w:rPr>
                <w:rFonts w:ascii="Arial" w:cs="Arial" w:eastAsia="Arial" w:hAnsi="Arial"/>
                <w:sz w:val="13"/>
                <w:szCs w:val="13"/>
                <w:i w:val="1"/>
                <w:iCs w:val="1"/>
                <w:color w:val="131E29"/>
              </w:rPr>
              <w:t>As a percentage of company-operated shop</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jc w:val="right"/>
              <w:ind w:right="269"/>
              <w:spacing w:after="0"/>
              <w:rPr>
                <w:sz w:val="20"/>
                <w:szCs w:val="20"/>
                <w:color w:val="auto"/>
              </w:rPr>
            </w:pPr>
            <w:r>
              <w:rPr>
                <w:rFonts w:ascii="Arial" w:cs="Arial" w:eastAsia="Arial" w:hAnsi="Arial"/>
                <w:sz w:val="14"/>
                <w:szCs w:val="14"/>
                <w:color w:val="131E29"/>
              </w:rPr>
              <w:t>28.6%</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ind w:right="269"/>
              <w:spacing w:after="0"/>
              <w:rPr>
                <w:sz w:val="20"/>
                <w:szCs w:val="20"/>
                <w:color w:val="auto"/>
              </w:rPr>
            </w:pPr>
            <w:r>
              <w:rPr>
                <w:rFonts w:ascii="Arial" w:cs="Arial" w:eastAsia="Arial" w:hAnsi="Arial"/>
                <w:sz w:val="14"/>
                <w:szCs w:val="14"/>
                <w:color w:val="131E29"/>
              </w:rPr>
              <w:t>30.3%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ind w:right="269"/>
              <w:spacing w:after="0"/>
              <w:rPr>
                <w:sz w:val="20"/>
                <w:szCs w:val="20"/>
                <w:color w:val="auto"/>
              </w:rPr>
            </w:pPr>
            <w:r>
              <w:rPr>
                <w:rFonts w:ascii="Arial" w:cs="Arial" w:eastAsia="Arial" w:hAnsi="Arial"/>
                <w:sz w:val="14"/>
                <w:szCs w:val="14"/>
                <w:color w:val="131E29"/>
              </w:rPr>
              <w:t>29.2%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vMerge w:val="restart"/>
          </w:tcPr>
          <w:p>
            <w:pPr>
              <w:jc w:val="right"/>
              <w:ind w:right="509"/>
              <w:spacing w:after="0"/>
              <w:rPr>
                <w:sz w:val="20"/>
                <w:szCs w:val="20"/>
                <w:color w:val="auto"/>
              </w:rPr>
            </w:pPr>
            <w:r>
              <w:rPr>
                <w:rFonts w:ascii="Arial" w:cs="Arial" w:eastAsia="Arial" w:hAnsi="Arial"/>
                <w:sz w:val="14"/>
                <w:szCs w:val="14"/>
                <w:color w:val="131E29"/>
              </w:rPr>
              <w:t>N/A</w:t>
            </w:r>
          </w:p>
        </w:tc>
        <w:tc>
          <w:tcPr>
            <w:tcW w:w="840" w:type="dxa"/>
            <w:vAlign w:val="bottom"/>
            <w:gridSpan w:val="4"/>
            <w:vMerge w:val="restart"/>
          </w:tcPr>
          <w:p>
            <w:pPr>
              <w:jc w:val="center"/>
              <w:ind w:left="91"/>
              <w:spacing w:after="0"/>
              <w:rPr>
                <w:sz w:val="20"/>
                <w:szCs w:val="20"/>
                <w:color w:val="auto"/>
              </w:rPr>
            </w:pPr>
            <w:r>
              <w:rPr>
                <w:rFonts w:ascii="Arial" w:cs="Arial" w:eastAsia="Arial" w:hAnsi="Arial"/>
                <w:sz w:val="14"/>
                <w:szCs w:val="14"/>
                <w:color w:val="131E29"/>
              </w:rPr>
              <w:t>(170) bps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5"/>
            <w:vMerge w:val="restart"/>
          </w:tcPr>
          <w:p>
            <w:pPr>
              <w:jc w:val="right"/>
              <w:ind w:right="460"/>
              <w:spacing w:after="0"/>
              <w:rPr>
                <w:sz w:val="20"/>
                <w:szCs w:val="20"/>
                <w:color w:val="auto"/>
              </w:rPr>
            </w:pPr>
            <w:r>
              <w:rPr>
                <w:rFonts w:ascii="Arial" w:cs="Arial" w:eastAsia="Arial" w:hAnsi="Arial"/>
                <w:sz w:val="14"/>
                <w:szCs w:val="14"/>
                <w:color w:val="131E29"/>
              </w:rPr>
              <w:t>N/A</w:t>
            </w:r>
          </w:p>
        </w:tc>
        <w:tc>
          <w:tcPr>
            <w:tcW w:w="1240" w:type="dxa"/>
            <w:vAlign w:val="bottom"/>
            <w:vMerge w:val="restart"/>
          </w:tcPr>
          <w:p>
            <w:pPr>
              <w:jc w:val="center"/>
              <w:ind w:left="33"/>
              <w:spacing w:after="0"/>
              <w:rPr>
                <w:sz w:val="20"/>
                <w:szCs w:val="20"/>
                <w:color w:val="auto"/>
              </w:rPr>
            </w:pPr>
            <w:r>
              <w:rPr>
                <w:rFonts w:ascii="Arial" w:cs="Arial" w:eastAsia="Arial" w:hAnsi="Arial"/>
                <w:sz w:val="14"/>
                <w:szCs w:val="14"/>
                <w:color w:val="131E29"/>
              </w:rPr>
              <w:t>110 bps</w:t>
            </w:r>
          </w:p>
        </w:tc>
        <w:tc>
          <w:tcPr>
            <w:tcW w:w="0" w:type="dxa"/>
            <w:vAlign w:val="bottom"/>
          </w:tcPr>
          <w:p>
            <w:pPr>
              <w:spacing w:after="0"/>
              <w:rPr>
                <w:sz w:val="1"/>
                <w:szCs w:val="1"/>
                <w:color w:val="auto"/>
              </w:rPr>
            </w:pPr>
          </w:p>
        </w:tc>
      </w:tr>
      <w:tr>
        <w:trPr>
          <w:trHeight w:val="165"/>
        </w:trPr>
        <w:tc>
          <w:tcPr>
            <w:tcW w:w="2960" w:type="dxa"/>
            <w:vAlign w:val="bottom"/>
            <w:gridSpan w:val="3"/>
          </w:tcPr>
          <w:p>
            <w:pPr>
              <w:ind w:left="20"/>
              <w:spacing w:after="0"/>
              <w:rPr>
                <w:sz w:val="20"/>
                <w:szCs w:val="20"/>
                <w:color w:val="auto"/>
              </w:rPr>
            </w:pPr>
            <w:r>
              <w:rPr>
                <w:rFonts w:ascii="Arial" w:cs="Arial" w:eastAsia="Arial" w:hAnsi="Arial"/>
                <w:sz w:val="13"/>
                <w:szCs w:val="13"/>
                <w:i w:val="1"/>
                <w:iCs w:val="1"/>
                <w:color w:val="131E29"/>
              </w:rPr>
              <w:t>revenues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5"/>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5"/>
        </w:trPr>
        <w:tc>
          <w:tcPr>
            <w:tcW w:w="2960" w:type="dxa"/>
            <w:vAlign w:val="bottom"/>
            <w:gridSpan w:val="3"/>
          </w:tcPr>
          <w:p>
            <w:pPr>
              <w:spacing w:after="0"/>
              <w:rPr>
                <w:sz w:val="20"/>
                <w:szCs w:val="20"/>
                <w:color w:val="auto"/>
              </w:rPr>
            </w:pPr>
            <w:r>
              <w:rPr>
                <w:rFonts w:ascii="Arial" w:cs="Arial" w:eastAsia="Arial" w:hAnsi="Arial"/>
                <w:sz w:val="14"/>
                <w:szCs w:val="14"/>
                <w:color w:val="006098"/>
              </w:rPr>
              <w:t>Year Ended December 31, 2022 v 2021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80" w:type="dxa"/>
            <w:vAlign w:val="bottom"/>
            <w:shd w:val="clear" w:color="auto" w:fill="006098"/>
          </w:tcPr>
          <w:p>
            <w:pPr>
              <w:spacing w:after="0" w:line="20" w:lineRule="exact"/>
              <w:rPr>
                <w:sz w:val="1"/>
                <w:szCs w:val="1"/>
                <w:color w:val="auto"/>
              </w:rPr>
            </w:pPr>
          </w:p>
        </w:tc>
        <w:tc>
          <w:tcPr>
            <w:tcW w:w="5240" w:type="dxa"/>
            <w:vAlign w:val="bottom"/>
            <w:gridSpan w:val="2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7720" w:type="dxa"/>
            <w:vAlign w:val="bottom"/>
            <w:gridSpan w:val="22"/>
          </w:tcPr>
          <w:p>
            <w:pPr>
              <w:spacing w:after="0"/>
              <w:rPr>
                <w:sz w:val="20"/>
                <w:szCs w:val="20"/>
                <w:color w:val="auto"/>
              </w:rPr>
            </w:pPr>
            <w:r>
              <w:rPr>
                <w:rFonts w:ascii="Arial" w:cs="Arial" w:eastAsia="Arial" w:hAnsi="Arial"/>
                <w:sz w:val="14"/>
                <w:szCs w:val="14"/>
                <w:color w:val="131E29"/>
              </w:rPr>
              <w:t>The labor costs impacts for the year-over-year comparison were driven by the following (in dollars and basis points):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2"/>
        </w:trPr>
        <w:tc>
          <w:tcPr>
            <w:tcW w:w="296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color w:val="131E29"/>
              </w:rPr>
              <w:t>(in thousands; unaudited)</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D2DCE5"/>
            </w:tcBorders>
          </w:tcPr>
          <w:p>
            <w:pPr>
              <w:spacing w:after="0"/>
              <w:rPr>
                <w:sz w:val="24"/>
                <w:szCs w:val="24"/>
                <w:color w:val="auto"/>
              </w:rPr>
            </w:pPr>
          </w:p>
        </w:tc>
        <w:tc>
          <w:tcPr>
            <w:tcW w:w="300" w:type="dxa"/>
            <w:vAlign w:val="bottom"/>
            <w:tcBorders>
              <w:bottom w:val="single" w:sz="8" w:color="131E29"/>
            </w:tcBorders>
          </w:tcPr>
          <w:p>
            <w:pPr>
              <w:spacing w:after="0"/>
              <w:rPr>
                <w:sz w:val="24"/>
                <w:szCs w:val="24"/>
                <w:color w:val="auto"/>
              </w:rPr>
            </w:pPr>
          </w:p>
        </w:tc>
        <w:tc>
          <w:tcPr>
            <w:tcW w:w="80" w:type="dxa"/>
            <w:vAlign w:val="bottom"/>
            <w:tcBorders>
              <w:bottom w:val="single" w:sz="8" w:color="131E29"/>
            </w:tcBorders>
          </w:tcPr>
          <w:p>
            <w:pPr>
              <w:spacing w:after="0"/>
              <w:rPr>
                <w:sz w:val="24"/>
                <w:szCs w:val="24"/>
                <w:color w:val="auto"/>
              </w:rPr>
            </w:pPr>
          </w:p>
        </w:tc>
        <w:tc>
          <w:tcPr>
            <w:tcW w:w="500" w:type="dxa"/>
            <w:vAlign w:val="bottom"/>
            <w:tcBorders>
              <w:bottom w:val="single" w:sz="8" w:color="131E29"/>
            </w:tcBorders>
            <w:gridSpan w:val="3"/>
          </w:tcPr>
          <w:p>
            <w:pPr>
              <w:jc w:val="right"/>
              <w:ind w:right="140"/>
              <w:spacing w:after="0"/>
              <w:rPr>
                <w:sz w:val="20"/>
                <w:szCs w:val="20"/>
                <w:color w:val="auto"/>
              </w:rPr>
            </w:pPr>
            <w:r>
              <w:rPr>
                <w:rFonts w:ascii="Arial" w:cs="Arial" w:eastAsia="Arial" w:hAnsi="Arial"/>
                <w:sz w:val="14"/>
                <w:szCs w:val="14"/>
                <w:b w:val="1"/>
                <w:bCs w:val="1"/>
                <w:color w:val="131E29"/>
              </w:rPr>
              <w:t>$</w:t>
            </w:r>
          </w:p>
        </w:tc>
        <w:tc>
          <w:tcPr>
            <w:tcW w:w="540" w:type="dxa"/>
            <w:vAlign w:val="bottom"/>
            <w:tcBorders>
              <w:bottom w:val="single" w:sz="8" w:color="131E29"/>
            </w:tcBorders>
          </w:tcPr>
          <w:p>
            <w:pPr>
              <w:spacing w:after="0"/>
              <w:rPr>
                <w:sz w:val="24"/>
                <w:szCs w:val="24"/>
                <w:color w:val="auto"/>
              </w:rPr>
            </w:pPr>
          </w:p>
        </w:tc>
        <w:tc>
          <w:tcPr>
            <w:tcW w:w="80" w:type="dxa"/>
            <w:vAlign w:val="bottom"/>
            <w:tcBorders>
              <w:bottom w:val="single" w:sz="8" w:color="D2DCE5"/>
            </w:tcBorders>
          </w:tcPr>
          <w:p>
            <w:pPr>
              <w:spacing w:after="0"/>
              <w:rPr>
                <w:sz w:val="24"/>
                <w:szCs w:val="24"/>
                <w:color w:val="auto"/>
              </w:rPr>
            </w:pPr>
          </w:p>
        </w:tc>
        <w:tc>
          <w:tcPr>
            <w:tcW w:w="200" w:type="dxa"/>
            <w:vAlign w:val="bottom"/>
            <w:tcBorders>
              <w:bottom w:val="single" w:sz="8" w:color="131E29"/>
            </w:tcBorders>
          </w:tcPr>
          <w:p>
            <w:pPr>
              <w:spacing w:after="0"/>
              <w:rPr>
                <w:sz w:val="24"/>
                <w:szCs w:val="24"/>
                <w:color w:val="auto"/>
              </w:rPr>
            </w:pPr>
          </w:p>
        </w:tc>
        <w:tc>
          <w:tcPr>
            <w:tcW w:w="80" w:type="dxa"/>
            <w:vAlign w:val="bottom"/>
            <w:tcBorders>
              <w:bottom w:val="single" w:sz="8" w:color="131E29"/>
            </w:tcBorders>
          </w:tcPr>
          <w:p>
            <w:pPr>
              <w:spacing w:after="0"/>
              <w:rPr>
                <w:sz w:val="24"/>
                <w:szCs w:val="24"/>
                <w:color w:val="auto"/>
              </w:rPr>
            </w:pPr>
          </w:p>
        </w:tc>
        <w:tc>
          <w:tcPr>
            <w:tcW w:w="80" w:type="dxa"/>
            <w:vAlign w:val="bottom"/>
            <w:tcBorders>
              <w:bottom w:val="single" w:sz="8" w:color="131E29"/>
            </w:tcBorders>
          </w:tcPr>
          <w:p>
            <w:pPr>
              <w:spacing w:after="0"/>
              <w:rPr>
                <w:sz w:val="24"/>
                <w:szCs w:val="24"/>
                <w:color w:val="auto"/>
              </w:rPr>
            </w:pPr>
          </w:p>
        </w:tc>
        <w:tc>
          <w:tcPr>
            <w:tcW w:w="1240" w:type="dxa"/>
            <w:vAlign w:val="bottom"/>
            <w:tcBorders>
              <w:bottom w:val="single" w:sz="8" w:color="131E29"/>
            </w:tcBorders>
          </w:tcPr>
          <w:p>
            <w:pPr>
              <w:jc w:val="right"/>
              <w:ind w:right="593"/>
              <w:spacing w:after="0"/>
              <w:rPr>
                <w:sz w:val="20"/>
                <w:szCs w:val="20"/>
                <w:color w:val="auto"/>
              </w:rPr>
            </w:pPr>
            <w:r>
              <w:rPr>
                <w:rFonts w:ascii="Arial" w:cs="Arial" w:eastAsia="Arial" w:hAnsi="Arial"/>
                <w:sz w:val="14"/>
                <w:szCs w:val="14"/>
                <w:b w:val="1"/>
                <w:bCs w:val="1"/>
                <w:color w:val="131E29"/>
              </w:rPr>
              <w:t>BPS</w:t>
            </w:r>
          </w:p>
        </w:tc>
        <w:tc>
          <w:tcPr>
            <w:tcW w:w="0" w:type="dxa"/>
            <w:vAlign w:val="bottom"/>
          </w:tcPr>
          <w:p>
            <w:pPr>
              <w:spacing w:after="0"/>
              <w:rPr>
                <w:sz w:val="1"/>
                <w:szCs w:val="1"/>
                <w:color w:val="auto"/>
              </w:rPr>
            </w:pPr>
          </w:p>
        </w:tc>
      </w:tr>
      <w:tr>
        <w:trPr>
          <w:trHeight w:val="191"/>
        </w:trPr>
        <w:tc>
          <w:tcPr>
            <w:tcW w:w="2960" w:type="dxa"/>
            <w:vAlign w:val="bottom"/>
            <w:gridSpan w:val="3"/>
            <w:shd w:val="clear" w:color="auto" w:fill="D2DCE5"/>
          </w:tcPr>
          <w:p>
            <w:pPr>
              <w:ind w:left="20"/>
              <w:spacing w:after="0"/>
              <w:rPr>
                <w:sz w:val="20"/>
                <w:szCs w:val="20"/>
                <w:color w:val="auto"/>
              </w:rPr>
            </w:pPr>
            <w:r>
              <w:rPr>
                <w:rFonts w:ascii="Arial" w:cs="Arial" w:eastAsia="Arial" w:hAnsi="Arial"/>
                <w:sz w:val="13"/>
                <w:szCs w:val="13"/>
                <w:color w:val="131E29"/>
              </w:rPr>
              <w:t>Shop weeks</w:t>
            </w:r>
          </w:p>
        </w:tc>
        <w:tc>
          <w:tcPr>
            <w:tcW w:w="40" w:type="dxa"/>
            <w:vAlign w:val="bottom"/>
            <w:shd w:val="clear" w:color="auto" w:fill="D2DCE5"/>
          </w:tcPr>
          <w:p>
            <w:pPr>
              <w:spacing w:after="0"/>
              <w:rPr>
                <w:sz w:val="16"/>
                <w:szCs w:val="16"/>
                <w:color w:val="auto"/>
              </w:rPr>
            </w:pPr>
          </w:p>
        </w:tc>
        <w:tc>
          <w:tcPr>
            <w:tcW w:w="40" w:type="dxa"/>
            <w:vAlign w:val="bottom"/>
            <w:shd w:val="clear" w:color="auto" w:fill="D2DCE5"/>
          </w:tcPr>
          <w:p>
            <w:pPr>
              <w:spacing w:after="0"/>
              <w:rPr>
                <w:sz w:val="16"/>
                <w:szCs w:val="16"/>
                <w:color w:val="auto"/>
              </w:rPr>
            </w:pPr>
          </w:p>
        </w:tc>
        <w:tc>
          <w:tcPr>
            <w:tcW w:w="180" w:type="dxa"/>
            <w:vAlign w:val="bottom"/>
            <w:shd w:val="clear" w:color="auto" w:fill="D2DCE5"/>
          </w:tcPr>
          <w:p>
            <w:pPr>
              <w:spacing w:after="0"/>
              <w:rPr>
                <w:sz w:val="16"/>
                <w:szCs w:val="16"/>
                <w:color w:val="auto"/>
              </w:rPr>
            </w:pPr>
          </w:p>
        </w:tc>
        <w:tc>
          <w:tcPr>
            <w:tcW w:w="840" w:type="dxa"/>
            <w:vAlign w:val="bottom"/>
            <w:shd w:val="clear" w:color="auto" w:fill="D2DCE5"/>
          </w:tcPr>
          <w:p>
            <w:pPr>
              <w:spacing w:after="0"/>
              <w:rPr>
                <w:sz w:val="16"/>
                <w:szCs w:val="16"/>
                <w:color w:val="auto"/>
              </w:rPr>
            </w:pPr>
          </w:p>
        </w:tc>
        <w:tc>
          <w:tcPr>
            <w:tcW w:w="60" w:type="dxa"/>
            <w:vAlign w:val="bottom"/>
            <w:shd w:val="clear" w:color="auto" w:fill="D2DCE5"/>
          </w:tcPr>
          <w:p>
            <w:pPr>
              <w:spacing w:after="0"/>
              <w:rPr>
                <w:sz w:val="16"/>
                <w:szCs w:val="16"/>
                <w:color w:val="auto"/>
              </w:rPr>
            </w:pPr>
          </w:p>
        </w:tc>
        <w:tc>
          <w:tcPr>
            <w:tcW w:w="20" w:type="dxa"/>
            <w:vAlign w:val="bottom"/>
            <w:shd w:val="clear" w:color="auto" w:fill="D2DCE5"/>
          </w:tcPr>
          <w:p>
            <w:pPr>
              <w:spacing w:after="0"/>
              <w:rPr>
                <w:sz w:val="16"/>
                <w:szCs w:val="16"/>
                <w:color w:val="auto"/>
              </w:rPr>
            </w:pPr>
          </w:p>
        </w:tc>
        <w:tc>
          <w:tcPr>
            <w:tcW w:w="60" w:type="dxa"/>
            <w:vAlign w:val="bottom"/>
            <w:shd w:val="clear" w:color="auto" w:fill="D2DCE5"/>
          </w:tcPr>
          <w:p>
            <w:pPr>
              <w:spacing w:after="0"/>
              <w:rPr>
                <w:sz w:val="16"/>
                <w:szCs w:val="16"/>
                <w:color w:val="auto"/>
              </w:rPr>
            </w:pPr>
          </w:p>
        </w:tc>
        <w:tc>
          <w:tcPr>
            <w:tcW w:w="200" w:type="dxa"/>
            <w:vAlign w:val="bottom"/>
            <w:shd w:val="clear" w:color="auto" w:fill="D2DCE5"/>
          </w:tcPr>
          <w:p>
            <w:pPr>
              <w:spacing w:after="0"/>
              <w:rPr>
                <w:sz w:val="16"/>
                <w:szCs w:val="16"/>
                <w:color w:val="auto"/>
              </w:rPr>
            </w:pPr>
          </w:p>
        </w:tc>
        <w:tc>
          <w:tcPr>
            <w:tcW w:w="820" w:type="dxa"/>
            <w:vAlign w:val="bottom"/>
            <w:shd w:val="clear" w:color="auto" w:fill="D2DCE5"/>
          </w:tcPr>
          <w:p>
            <w:pPr>
              <w:spacing w:after="0"/>
              <w:rPr>
                <w:sz w:val="16"/>
                <w:szCs w:val="16"/>
                <w:color w:val="auto"/>
              </w:rPr>
            </w:pPr>
          </w:p>
        </w:tc>
        <w:tc>
          <w:tcPr>
            <w:tcW w:w="40" w:type="dxa"/>
            <w:vAlign w:val="bottom"/>
            <w:shd w:val="clear" w:color="auto" w:fill="D2DCE5"/>
          </w:tcPr>
          <w:p>
            <w:pPr>
              <w:spacing w:after="0"/>
              <w:rPr>
                <w:sz w:val="16"/>
                <w:szCs w:val="16"/>
                <w:color w:val="auto"/>
              </w:rPr>
            </w:pPr>
          </w:p>
        </w:tc>
        <w:tc>
          <w:tcPr>
            <w:tcW w:w="40" w:type="dxa"/>
            <w:vAlign w:val="bottom"/>
            <w:shd w:val="clear" w:color="auto" w:fill="D2DCE5"/>
          </w:tcPr>
          <w:p>
            <w:pPr>
              <w:spacing w:after="0"/>
              <w:rPr>
                <w:sz w:val="16"/>
                <w:szCs w:val="16"/>
                <w:color w:val="auto"/>
              </w:rPr>
            </w:pPr>
          </w:p>
        </w:tc>
        <w:tc>
          <w:tcPr>
            <w:tcW w:w="60" w:type="dxa"/>
            <w:vAlign w:val="bottom"/>
            <w:shd w:val="clear" w:color="auto" w:fill="D2DCE5"/>
          </w:tcPr>
          <w:p>
            <w:pPr>
              <w:spacing w:after="0"/>
              <w:rPr>
                <w:sz w:val="16"/>
                <w:szCs w:val="16"/>
                <w:color w:val="auto"/>
              </w:rPr>
            </w:pPr>
          </w:p>
        </w:tc>
        <w:tc>
          <w:tcPr>
            <w:tcW w:w="180" w:type="dxa"/>
            <w:vAlign w:val="bottom"/>
            <w:shd w:val="clear" w:color="auto" w:fill="D2DCE5"/>
          </w:tcPr>
          <w:p>
            <w:pPr>
              <w:spacing w:after="0"/>
              <w:rPr>
                <w:sz w:val="16"/>
                <w:szCs w:val="16"/>
                <w:color w:val="auto"/>
              </w:rPr>
            </w:pPr>
          </w:p>
        </w:tc>
        <w:tc>
          <w:tcPr>
            <w:tcW w:w="860" w:type="dxa"/>
            <w:vAlign w:val="bottom"/>
            <w:shd w:val="clear" w:color="auto" w:fill="D2DCE5"/>
          </w:tcPr>
          <w:p>
            <w:pPr>
              <w:spacing w:after="0"/>
              <w:rPr>
                <w:sz w:val="16"/>
                <w:szCs w:val="16"/>
                <w:color w:val="auto"/>
              </w:rPr>
            </w:pPr>
          </w:p>
        </w:tc>
        <w:tc>
          <w:tcPr>
            <w:tcW w:w="20" w:type="dxa"/>
            <w:vAlign w:val="bottom"/>
            <w:shd w:val="clear" w:color="auto" w:fill="D2DCE5"/>
          </w:tcPr>
          <w:p>
            <w:pPr>
              <w:spacing w:after="0"/>
              <w:rPr>
                <w:sz w:val="16"/>
                <w:szCs w:val="16"/>
                <w:color w:val="auto"/>
              </w:rPr>
            </w:pPr>
          </w:p>
        </w:tc>
        <w:tc>
          <w:tcPr>
            <w:tcW w:w="60" w:type="dxa"/>
            <w:vAlign w:val="bottom"/>
            <w:shd w:val="clear" w:color="auto" w:fill="D2DCE5"/>
          </w:tcPr>
          <w:p>
            <w:pPr>
              <w:spacing w:after="0"/>
              <w:rPr>
                <w:sz w:val="16"/>
                <w:szCs w:val="16"/>
                <w:color w:val="auto"/>
              </w:rPr>
            </w:pPr>
          </w:p>
        </w:tc>
        <w:tc>
          <w:tcPr>
            <w:tcW w:w="20" w:type="dxa"/>
            <w:vAlign w:val="bottom"/>
            <w:shd w:val="clear" w:color="auto" w:fill="D2DCE5"/>
          </w:tcPr>
          <w:p>
            <w:pPr>
              <w:spacing w:after="0"/>
              <w:rPr>
                <w:sz w:val="16"/>
                <w:szCs w:val="16"/>
                <w:color w:val="auto"/>
              </w:rPr>
            </w:pPr>
          </w:p>
        </w:tc>
        <w:tc>
          <w:tcPr>
            <w:tcW w:w="240" w:type="dxa"/>
            <w:vAlign w:val="bottom"/>
            <w:shd w:val="clear" w:color="auto" w:fill="D2DCE5"/>
          </w:tcPr>
          <w:p>
            <w:pPr>
              <w:spacing w:after="0"/>
              <w:rPr>
                <w:sz w:val="16"/>
                <w:szCs w:val="16"/>
                <w:color w:val="auto"/>
              </w:rPr>
            </w:pPr>
          </w:p>
        </w:tc>
        <w:tc>
          <w:tcPr>
            <w:tcW w:w="980" w:type="dxa"/>
            <w:vAlign w:val="bottom"/>
            <w:shd w:val="clear" w:color="auto" w:fill="D2DCE5"/>
          </w:tcPr>
          <w:p>
            <w:pPr>
              <w:spacing w:after="0"/>
              <w:rPr>
                <w:sz w:val="16"/>
                <w:szCs w:val="16"/>
                <w:color w:val="auto"/>
              </w:rPr>
            </w:pPr>
          </w:p>
        </w:tc>
        <w:tc>
          <w:tcPr>
            <w:tcW w:w="760" w:type="dxa"/>
            <w:vAlign w:val="bottom"/>
            <w:gridSpan w:val="3"/>
            <w:shd w:val="clear" w:color="auto" w:fill="D2DCE5"/>
          </w:tcPr>
          <w:p>
            <w:pPr>
              <w:jc w:val="center"/>
              <w:ind w:left="171"/>
              <w:spacing w:after="0"/>
              <w:rPr>
                <w:sz w:val="20"/>
                <w:szCs w:val="20"/>
                <w:color w:val="auto"/>
              </w:rPr>
            </w:pPr>
            <w:r>
              <w:rPr>
                <w:rFonts w:ascii="Arial" w:cs="Arial" w:eastAsia="Arial" w:hAnsi="Arial"/>
                <w:sz w:val="13"/>
                <w:szCs w:val="13"/>
                <w:color w:val="131E29"/>
              </w:rPr>
              <w:t>$</w:t>
            </w:r>
          </w:p>
        </w:tc>
        <w:tc>
          <w:tcPr>
            <w:tcW w:w="80" w:type="dxa"/>
            <w:vAlign w:val="bottom"/>
            <w:shd w:val="clear" w:color="auto" w:fill="D2DCE5"/>
          </w:tcPr>
          <w:p>
            <w:pPr>
              <w:spacing w:after="0"/>
              <w:rPr>
                <w:sz w:val="16"/>
                <w:szCs w:val="16"/>
                <w:color w:val="auto"/>
              </w:rPr>
            </w:pPr>
          </w:p>
        </w:tc>
        <w:tc>
          <w:tcPr>
            <w:tcW w:w="2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80" w:type="dxa"/>
            <w:vAlign w:val="bottom"/>
            <w:shd w:val="clear" w:color="auto" w:fill="D2DCE5"/>
          </w:tcPr>
          <w:p>
            <w:pPr>
              <w:spacing w:after="0"/>
              <w:rPr>
                <w:sz w:val="16"/>
                <w:szCs w:val="16"/>
                <w:color w:val="auto"/>
              </w:rPr>
            </w:pPr>
          </w:p>
        </w:tc>
        <w:tc>
          <w:tcPr>
            <w:tcW w:w="5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60,973</w:t>
            </w:r>
          </w:p>
        </w:tc>
        <w:tc>
          <w:tcPr>
            <w:tcW w:w="80" w:type="dxa"/>
            <w:vAlign w:val="bottom"/>
            <w:shd w:val="clear" w:color="auto" w:fill="D2DCE5"/>
          </w:tcPr>
          <w:p>
            <w:pPr>
              <w:spacing w:after="0"/>
              <w:rPr>
                <w:sz w:val="16"/>
                <w:szCs w:val="16"/>
                <w:color w:val="auto"/>
              </w:rPr>
            </w:pPr>
          </w:p>
        </w:tc>
        <w:tc>
          <w:tcPr>
            <w:tcW w:w="2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2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N/A</w:t>
            </w:r>
          </w:p>
        </w:tc>
        <w:tc>
          <w:tcPr>
            <w:tcW w:w="0" w:type="dxa"/>
            <w:vAlign w:val="bottom"/>
          </w:tcPr>
          <w:p>
            <w:pPr>
              <w:spacing w:after="0"/>
              <w:rPr>
                <w:sz w:val="1"/>
                <w:szCs w:val="1"/>
                <w:color w:val="auto"/>
              </w:rPr>
            </w:pPr>
          </w:p>
        </w:tc>
      </w:tr>
      <w:tr>
        <w:trPr>
          <w:trHeight w:val="183"/>
        </w:trPr>
        <w:tc>
          <w:tcPr>
            <w:tcW w:w="4400" w:type="dxa"/>
            <w:vAlign w:val="bottom"/>
            <w:gridSpan w:val="11"/>
          </w:tcPr>
          <w:p>
            <w:pPr>
              <w:ind w:left="20"/>
              <w:spacing w:after="0"/>
              <w:rPr>
                <w:sz w:val="20"/>
                <w:szCs w:val="20"/>
                <w:color w:val="auto"/>
              </w:rPr>
            </w:pPr>
            <w:r>
              <w:rPr>
                <w:rFonts w:ascii="Arial" w:cs="Arial" w:eastAsia="Arial" w:hAnsi="Arial"/>
                <w:sz w:val="13"/>
                <w:szCs w:val="13"/>
                <w:color w:val="131E29"/>
                <w:w w:val="99"/>
              </w:rPr>
              <w:t>Legislated minimum wage increases and higher minimum staffing standards</w:t>
            </w: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131E29"/>
              </w:rPr>
              <w:t>6,115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131E29"/>
              </w:rPr>
              <w:t>100</w:t>
            </w:r>
          </w:p>
        </w:tc>
        <w:tc>
          <w:tcPr>
            <w:tcW w:w="0" w:type="dxa"/>
            <w:vAlign w:val="bottom"/>
          </w:tcPr>
          <w:p>
            <w:pPr>
              <w:spacing w:after="0"/>
              <w:rPr>
                <w:sz w:val="1"/>
                <w:szCs w:val="1"/>
                <w:color w:val="auto"/>
              </w:rPr>
            </w:pPr>
          </w:p>
        </w:tc>
      </w:tr>
      <w:tr>
        <w:trPr>
          <w:trHeight w:val="199"/>
        </w:trPr>
        <w:tc>
          <w:tcPr>
            <w:tcW w:w="2960" w:type="dxa"/>
            <w:vAlign w:val="bottom"/>
            <w:gridSpan w:val="3"/>
            <w:shd w:val="clear" w:color="auto" w:fill="D2DCE5"/>
          </w:tcPr>
          <w:p>
            <w:pPr>
              <w:ind w:left="20"/>
              <w:spacing w:after="0"/>
              <w:rPr>
                <w:sz w:val="20"/>
                <w:szCs w:val="20"/>
                <w:color w:val="auto"/>
              </w:rPr>
            </w:pPr>
            <w:r>
              <w:rPr>
                <w:rFonts w:ascii="Arial" w:cs="Arial" w:eastAsia="Arial" w:hAnsi="Arial"/>
                <w:sz w:val="13"/>
                <w:szCs w:val="13"/>
                <w:color w:val="131E29"/>
              </w:rPr>
              <w:t>Volume</w:t>
            </w:r>
          </w:p>
        </w:tc>
        <w:tc>
          <w:tcPr>
            <w:tcW w:w="40" w:type="dxa"/>
            <w:vAlign w:val="bottom"/>
            <w:shd w:val="clear" w:color="auto" w:fill="D2DCE5"/>
          </w:tcPr>
          <w:p>
            <w:pPr>
              <w:spacing w:after="0"/>
              <w:rPr>
                <w:sz w:val="17"/>
                <w:szCs w:val="17"/>
                <w:color w:val="auto"/>
              </w:rPr>
            </w:pPr>
          </w:p>
        </w:tc>
        <w:tc>
          <w:tcPr>
            <w:tcW w:w="40" w:type="dxa"/>
            <w:vAlign w:val="bottom"/>
            <w:shd w:val="clear" w:color="auto" w:fill="D2DCE5"/>
          </w:tcPr>
          <w:p>
            <w:pPr>
              <w:spacing w:after="0"/>
              <w:rPr>
                <w:sz w:val="17"/>
                <w:szCs w:val="17"/>
                <w:color w:val="auto"/>
              </w:rPr>
            </w:pPr>
          </w:p>
        </w:tc>
        <w:tc>
          <w:tcPr>
            <w:tcW w:w="180" w:type="dxa"/>
            <w:vAlign w:val="bottom"/>
            <w:shd w:val="clear" w:color="auto" w:fill="D2DCE5"/>
          </w:tcPr>
          <w:p>
            <w:pPr>
              <w:spacing w:after="0"/>
              <w:rPr>
                <w:sz w:val="17"/>
                <w:szCs w:val="17"/>
                <w:color w:val="auto"/>
              </w:rPr>
            </w:pPr>
          </w:p>
        </w:tc>
        <w:tc>
          <w:tcPr>
            <w:tcW w:w="840" w:type="dxa"/>
            <w:vAlign w:val="bottom"/>
            <w:shd w:val="clear" w:color="auto" w:fill="D2DCE5"/>
          </w:tcPr>
          <w:p>
            <w:pPr>
              <w:spacing w:after="0"/>
              <w:rPr>
                <w:sz w:val="17"/>
                <w:szCs w:val="17"/>
                <w:color w:val="auto"/>
              </w:rPr>
            </w:pPr>
          </w:p>
        </w:tc>
        <w:tc>
          <w:tcPr>
            <w:tcW w:w="60" w:type="dxa"/>
            <w:vAlign w:val="bottom"/>
            <w:shd w:val="clear" w:color="auto" w:fill="D2DCE5"/>
          </w:tcPr>
          <w:p>
            <w:pPr>
              <w:spacing w:after="0"/>
              <w:rPr>
                <w:sz w:val="17"/>
                <w:szCs w:val="17"/>
                <w:color w:val="auto"/>
              </w:rPr>
            </w:pPr>
          </w:p>
        </w:tc>
        <w:tc>
          <w:tcPr>
            <w:tcW w:w="20" w:type="dxa"/>
            <w:vAlign w:val="bottom"/>
            <w:shd w:val="clear" w:color="auto" w:fill="D2DCE5"/>
          </w:tcPr>
          <w:p>
            <w:pPr>
              <w:spacing w:after="0"/>
              <w:rPr>
                <w:sz w:val="17"/>
                <w:szCs w:val="17"/>
                <w:color w:val="auto"/>
              </w:rPr>
            </w:pPr>
          </w:p>
        </w:tc>
        <w:tc>
          <w:tcPr>
            <w:tcW w:w="60" w:type="dxa"/>
            <w:vAlign w:val="bottom"/>
            <w:shd w:val="clear" w:color="auto" w:fill="D2DCE5"/>
          </w:tcPr>
          <w:p>
            <w:pPr>
              <w:spacing w:after="0"/>
              <w:rPr>
                <w:sz w:val="17"/>
                <w:szCs w:val="17"/>
                <w:color w:val="auto"/>
              </w:rPr>
            </w:pPr>
          </w:p>
        </w:tc>
        <w:tc>
          <w:tcPr>
            <w:tcW w:w="200" w:type="dxa"/>
            <w:vAlign w:val="bottom"/>
            <w:shd w:val="clear" w:color="auto" w:fill="D2DCE5"/>
          </w:tcPr>
          <w:p>
            <w:pPr>
              <w:spacing w:after="0"/>
              <w:rPr>
                <w:sz w:val="17"/>
                <w:szCs w:val="17"/>
                <w:color w:val="auto"/>
              </w:rPr>
            </w:pPr>
          </w:p>
        </w:tc>
        <w:tc>
          <w:tcPr>
            <w:tcW w:w="820" w:type="dxa"/>
            <w:vAlign w:val="bottom"/>
            <w:shd w:val="clear" w:color="auto" w:fill="D2DCE5"/>
          </w:tcPr>
          <w:p>
            <w:pPr>
              <w:spacing w:after="0"/>
              <w:rPr>
                <w:sz w:val="17"/>
                <w:szCs w:val="17"/>
                <w:color w:val="auto"/>
              </w:rPr>
            </w:pPr>
          </w:p>
        </w:tc>
        <w:tc>
          <w:tcPr>
            <w:tcW w:w="40" w:type="dxa"/>
            <w:vAlign w:val="bottom"/>
            <w:shd w:val="clear" w:color="auto" w:fill="D2DCE5"/>
          </w:tcPr>
          <w:p>
            <w:pPr>
              <w:spacing w:after="0"/>
              <w:rPr>
                <w:sz w:val="17"/>
                <w:szCs w:val="17"/>
                <w:color w:val="auto"/>
              </w:rPr>
            </w:pPr>
          </w:p>
        </w:tc>
        <w:tc>
          <w:tcPr>
            <w:tcW w:w="40" w:type="dxa"/>
            <w:vAlign w:val="bottom"/>
            <w:shd w:val="clear" w:color="auto" w:fill="D2DCE5"/>
          </w:tcPr>
          <w:p>
            <w:pPr>
              <w:spacing w:after="0"/>
              <w:rPr>
                <w:sz w:val="17"/>
                <w:szCs w:val="17"/>
                <w:color w:val="auto"/>
              </w:rPr>
            </w:pPr>
          </w:p>
        </w:tc>
        <w:tc>
          <w:tcPr>
            <w:tcW w:w="60" w:type="dxa"/>
            <w:vAlign w:val="bottom"/>
            <w:shd w:val="clear" w:color="auto" w:fill="D2DCE5"/>
          </w:tcPr>
          <w:p>
            <w:pPr>
              <w:spacing w:after="0"/>
              <w:rPr>
                <w:sz w:val="17"/>
                <w:szCs w:val="17"/>
                <w:color w:val="auto"/>
              </w:rPr>
            </w:pPr>
          </w:p>
        </w:tc>
        <w:tc>
          <w:tcPr>
            <w:tcW w:w="180" w:type="dxa"/>
            <w:vAlign w:val="bottom"/>
            <w:shd w:val="clear" w:color="auto" w:fill="D2DCE5"/>
          </w:tcPr>
          <w:p>
            <w:pPr>
              <w:spacing w:after="0"/>
              <w:rPr>
                <w:sz w:val="17"/>
                <w:szCs w:val="17"/>
                <w:color w:val="auto"/>
              </w:rPr>
            </w:pPr>
          </w:p>
        </w:tc>
        <w:tc>
          <w:tcPr>
            <w:tcW w:w="860" w:type="dxa"/>
            <w:vAlign w:val="bottom"/>
            <w:shd w:val="clear" w:color="auto" w:fill="D2DCE5"/>
          </w:tcPr>
          <w:p>
            <w:pPr>
              <w:spacing w:after="0"/>
              <w:rPr>
                <w:sz w:val="17"/>
                <w:szCs w:val="17"/>
                <w:color w:val="auto"/>
              </w:rPr>
            </w:pPr>
          </w:p>
        </w:tc>
        <w:tc>
          <w:tcPr>
            <w:tcW w:w="20" w:type="dxa"/>
            <w:vAlign w:val="bottom"/>
            <w:shd w:val="clear" w:color="auto" w:fill="D2DCE5"/>
          </w:tcPr>
          <w:p>
            <w:pPr>
              <w:spacing w:after="0"/>
              <w:rPr>
                <w:sz w:val="17"/>
                <w:szCs w:val="17"/>
                <w:color w:val="auto"/>
              </w:rPr>
            </w:pPr>
          </w:p>
        </w:tc>
        <w:tc>
          <w:tcPr>
            <w:tcW w:w="60" w:type="dxa"/>
            <w:vAlign w:val="bottom"/>
            <w:shd w:val="clear" w:color="auto" w:fill="D2DCE5"/>
          </w:tcPr>
          <w:p>
            <w:pPr>
              <w:spacing w:after="0"/>
              <w:rPr>
                <w:sz w:val="17"/>
                <w:szCs w:val="17"/>
                <w:color w:val="auto"/>
              </w:rPr>
            </w:pPr>
          </w:p>
        </w:tc>
        <w:tc>
          <w:tcPr>
            <w:tcW w:w="2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980" w:type="dxa"/>
            <w:vAlign w:val="bottom"/>
            <w:shd w:val="clear" w:color="auto" w:fill="D2DCE5"/>
          </w:tcPr>
          <w:p>
            <w:pPr>
              <w:spacing w:after="0"/>
              <w:rPr>
                <w:sz w:val="17"/>
                <w:szCs w:val="17"/>
                <w:color w:val="auto"/>
              </w:rPr>
            </w:pPr>
          </w:p>
        </w:tc>
        <w:tc>
          <w:tcPr>
            <w:tcW w:w="36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80" w:type="dxa"/>
            <w:vAlign w:val="bottom"/>
            <w:shd w:val="clear" w:color="auto" w:fill="D2DCE5"/>
          </w:tcPr>
          <w:p>
            <w:pPr>
              <w:spacing w:after="0"/>
              <w:rPr>
                <w:sz w:val="17"/>
                <w:szCs w:val="17"/>
                <w:color w:val="auto"/>
              </w:rPr>
            </w:pPr>
          </w:p>
        </w:tc>
        <w:tc>
          <w:tcPr>
            <w:tcW w:w="5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(1,502)</w:t>
            </w:r>
          </w:p>
        </w:tc>
        <w:tc>
          <w:tcPr>
            <w:tcW w:w="80" w:type="dxa"/>
            <w:vAlign w:val="bottom"/>
            <w:shd w:val="clear" w:color="auto" w:fill="D2DCE5"/>
          </w:tcPr>
          <w:p>
            <w:pPr>
              <w:spacing w:after="0"/>
              <w:rPr>
                <w:sz w:val="17"/>
                <w:szCs w:val="17"/>
                <w:color w:val="auto"/>
              </w:rPr>
            </w:pPr>
          </w:p>
        </w:tc>
        <w:tc>
          <w:tcPr>
            <w:tcW w:w="2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2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N/A</w:t>
            </w:r>
          </w:p>
        </w:tc>
        <w:tc>
          <w:tcPr>
            <w:tcW w:w="0" w:type="dxa"/>
            <w:vAlign w:val="bottom"/>
          </w:tcPr>
          <w:p>
            <w:pPr>
              <w:spacing w:after="0"/>
              <w:rPr>
                <w:sz w:val="1"/>
                <w:szCs w:val="1"/>
                <w:color w:val="auto"/>
              </w:rPr>
            </w:pPr>
          </w:p>
        </w:tc>
      </w:tr>
      <w:tr>
        <w:trPr>
          <w:trHeight w:val="183"/>
        </w:trPr>
        <w:tc>
          <w:tcPr>
            <w:tcW w:w="2960" w:type="dxa"/>
            <w:vAlign w:val="bottom"/>
            <w:gridSpan w:val="3"/>
          </w:tcPr>
          <w:p>
            <w:pPr>
              <w:ind w:left="20"/>
              <w:spacing w:after="0"/>
              <w:rPr>
                <w:sz w:val="20"/>
                <w:szCs w:val="20"/>
                <w:color w:val="auto"/>
              </w:rPr>
            </w:pPr>
            <w:r>
              <w:rPr>
                <w:rFonts w:ascii="Arial" w:cs="Arial" w:eastAsia="Arial" w:hAnsi="Arial"/>
                <w:sz w:val="13"/>
                <w:szCs w:val="13"/>
                <w:color w:val="131E29"/>
              </w:rPr>
              <w:t>Lower COVID-19 leave expenses</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131E29"/>
              </w:rPr>
              <w:t>(2,024)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131E29"/>
              </w:rPr>
              <w:t>(30)</w:t>
            </w:r>
          </w:p>
        </w:tc>
        <w:tc>
          <w:tcPr>
            <w:tcW w:w="0" w:type="dxa"/>
            <w:vAlign w:val="bottom"/>
          </w:tcPr>
          <w:p>
            <w:pPr>
              <w:spacing w:after="0"/>
              <w:rPr>
                <w:sz w:val="1"/>
                <w:szCs w:val="1"/>
                <w:color w:val="auto"/>
              </w:rPr>
            </w:pPr>
          </w:p>
        </w:tc>
      </w:tr>
      <w:tr>
        <w:trPr>
          <w:trHeight w:val="199"/>
        </w:trPr>
        <w:tc>
          <w:tcPr>
            <w:tcW w:w="2960" w:type="dxa"/>
            <w:vAlign w:val="bottom"/>
            <w:gridSpan w:val="3"/>
            <w:shd w:val="clear" w:color="auto" w:fill="D2DCE5"/>
          </w:tcPr>
          <w:p>
            <w:pPr>
              <w:ind w:left="20"/>
              <w:spacing w:after="0"/>
              <w:rPr>
                <w:sz w:val="20"/>
                <w:szCs w:val="20"/>
                <w:color w:val="auto"/>
              </w:rPr>
            </w:pPr>
            <w:r>
              <w:rPr>
                <w:rFonts w:ascii="Arial" w:cs="Arial" w:eastAsia="Arial" w:hAnsi="Arial"/>
                <w:sz w:val="13"/>
                <w:szCs w:val="13"/>
                <w:color w:val="131E29"/>
              </w:rPr>
              <w:t>New shop impact</w:t>
            </w:r>
          </w:p>
        </w:tc>
        <w:tc>
          <w:tcPr>
            <w:tcW w:w="40" w:type="dxa"/>
            <w:vAlign w:val="bottom"/>
            <w:shd w:val="clear" w:color="auto" w:fill="D2DCE5"/>
          </w:tcPr>
          <w:p>
            <w:pPr>
              <w:spacing w:after="0"/>
              <w:rPr>
                <w:sz w:val="17"/>
                <w:szCs w:val="17"/>
                <w:color w:val="auto"/>
              </w:rPr>
            </w:pPr>
          </w:p>
        </w:tc>
        <w:tc>
          <w:tcPr>
            <w:tcW w:w="40" w:type="dxa"/>
            <w:vAlign w:val="bottom"/>
            <w:shd w:val="clear" w:color="auto" w:fill="D2DCE5"/>
          </w:tcPr>
          <w:p>
            <w:pPr>
              <w:spacing w:after="0"/>
              <w:rPr>
                <w:sz w:val="17"/>
                <w:szCs w:val="17"/>
                <w:color w:val="auto"/>
              </w:rPr>
            </w:pPr>
          </w:p>
        </w:tc>
        <w:tc>
          <w:tcPr>
            <w:tcW w:w="180" w:type="dxa"/>
            <w:vAlign w:val="bottom"/>
            <w:shd w:val="clear" w:color="auto" w:fill="D2DCE5"/>
          </w:tcPr>
          <w:p>
            <w:pPr>
              <w:spacing w:after="0"/>
              <w:rPr>
                <w:sz w:val="17"/>
                <w:szCs w:val="17"/>
                <w:color w:val="auto"/>
              </w:rPr>
            </w:pPr>
          </w:p>
        </w:tc>
        <w:tc>
          <w:tcPr>
            <w:tcW w:w="840" w:type="dxa"/>
            <w:vAlign w:val="bottom"/>
            <w:shd w:val="clear" w:color="auto" w:fill="D2DCE5"/>
          </w:tcPr>
          <w:p>
            <w:pPr>
              <w:spacing w:after="0"/>
              <w:rPr>
                <w:sz w:val="17"/>
                <w:szCs w:val="17"/>
                <w:color w:val="auto"/>
              </w:rPr>
            </w:pPr>
          </w:p>
        </w:tc>
        <w:tc>
          <w:tcPr>
            <w:tcW w:w="60" w:type="dxa"/>
            <w:vAlign w:val="bottom"/>
            <w:shd w:val="clear" w:color="auto" w:fill="D2DCE5"/>
          </w:tcPr>
          <w:p>
            <w:pPr>
              <w:spacing w:after="0"/>
              <w:rPr>
                <w:sz w:val="17"/>
                <w:szCs w:val="17"/>
                <w:color w:val="auto"/>
              </w:rPr>
            </w:pPr>
          </w:p>
        </w:tc>
        <w:tc>
          <w:tcPr>
            <w:tcW w:w="20" w:type="dxa"/>
            <w:vAlign w:val="bottom"/>
            <w:shd w:val="clear" w:color="auto" w:fill="D2DCE5"/>
          </w:tcPr>
          <w:p>
            <w:pPr>
              <w:spacing w:after="0"/>
              <w:rPr>
                <w:sz w:val="17"/>
                <w:szCs w:val="17"/>
                <w:color w:val="auto"/>
              </w:rPr>
            </w:pPr>
          </w:p>
        </w:tc>
        <w:tc>
          <w:tcPr>
            <w:tcW w:w="60" w:type="dxa"/>
            <w:vAlign w:val="bottom"/>
            <w:shd w:val="clear" w:color="auto" w:fill="D2DCE5"/>
          </w:tcPr>
          <w:p>
            <w:pPr>
              <w:spacing w:after="0"/>
              <w:rPr>
                <w:sz w:val="17"/>
                <w:szCs w:val="17"/>
                <w:color w:val="auto"/>
              </w:rPr>
            </w:pPr>
          </w:p>
        </w:tc>
        <w:tc>
          <w:tcPr>
            <w:tcW w:w="200" w:type="dxa"/>
            <w:vAlign w:val="bottom"/>
            <w:shd w:val="clear" w:color="auto" w:fill="D2DCE5"/>
          </w:tcPr>
          <w:p>
            <w:pPr>
              <w:spacing w:after="0"/>
              <w:rPr>
                <w:sz w:val="17"/>
                <w:szCs w:val="17"/>
                <w:color w:val="auto"/>
              </w:rPr>
            </w:pPr>
          </w:p>
        </w:tc>
        <w:tc>
          <w:tcPr>
            <w:tcW w:w="820" w:type="dxa"/>
            <w:vAlign w:val="bottom"/>
            <w:shd w:val="clear" w:color="auto" w:fill="D2DCE5"/>
          </w:tcPr>
          <w:p>
            <w:pPr>
              <w:spacing w:after="0"/>
              <w:rPr>
                <w:sz w:val="17"/>
                <w:szCs w:val="17"/>
                <w:color w:val="auto"/>
              </w:rPr>
            </w:pPr>
          </w:p>
        </w:tc>
        <w:tc>
          <w:tcPr>
            <w:tcW w:w="40" w:type="dxa"/>
            <w:vAlign w:val="bottom"/>
            <w:shd w:val="clear" w:color="auto" w:fill="D2DCE5"/>
          </w:tcPr>
          <w:p>
            <w:pPr>
              <w:spacing w:after="0"/>
              <w:rPr>
                <w:sz w:val="17"/>
                <w:szCs w:val="17"/>
                <w:color w:val="auto"/>
              </w:rPr>
            </w:pPr>
          </w:p>
        </w:tc>
        <w:tc>
          <w:tcPr>
            <w:tcW w:w="40" w:type="dxa"/>
            <w:vAlign w:val="bottom"/>
            <w:shd w:val="clear" w:color="auto" w:fill="D2DCE5"/>
          </w:tcPr>
          <w:p>
            <w:pPr>
              <w:spacing w:after="0"/>
              <w:rPr>
                <w:sz w:val="17"/>
                <w:szCs w:val="17"/>
                <w:color w:val="auto"/>
              </w:rPr>
            </w:pPr>
          </w:p>
        </w:tc>
        <w:tc>
          <w:tcPr>
            <w:tcW w:w="60" w:type="dxa"/>
            <w:vAlign w:val="bottom"/>
            <w:shd w:val="clear" w:color="auto" w:fill="D2DCE5"/>
          </w:tcPr>
          <w:p>
            <w:pPr>
              <w:spacing w:after="0"/>
              <w:rPr>
                <w:sz w:val="17"/>
                <w:szCs w:val="17"/>
                <w:color w:val="auto"/>
              </w:rPr>
            </w:pPr>
          </w:p>
        </w:tc>
        <w:tc>
          <w:tcPr>
            <w:tcW w:w="180" w:type="dxa"/>
            <w:vAlign w:val="bottom"/>
            <w:shd w:val="clear" w:color="auto" w:fill="D2DCE5"/>
          </w:tcPr>
          <w:p>
            <w:pPr>
              <w:spacing w:after="0"/>
              <w:rPr>
                <w:sz w:val="17"/>
                <w:szCs w:val="17"/>
                <w:color w:val="auto"/>
              </w:rPr>
            </w:pPr>
          </w:p>
        </w:tc>
        <w:tc>
          <w:tcPr>
            <w:tcW w:w="860" w:type="dxa"/>
            <w:vAlign w:val="bottom"/>
            <w:shd w:val="clear" w:color="auto" w:fill="D2DCE5"/>
          </w:tcPr>
          <w:p>
            <w:pPr>
              <w:spacing w:after="0"/>
              <w:rPr>
                <w:sz w:val="17"/>
                <w:szCs w:val="17"/>
                <w:color w:val="auto"/>
              </w:rPr>
            </w:pPr>
          </w:p>
        </w:tc>
        <w:tc>
          <w:tcPr>
            <w:tcW w:w="20" w:type="dxa"/>
            <w:vAlign w:val="bottom"/>
            <w:shd w:val="clear" w:color="auto" w:fill="D2DCE5"/>
          </w:tcPr>
          <w:p>
            <w:pPr>
              <w:spacing w:after="0"/>
              <w:rPr>
                <w:sz w:val="17"/>
                <w:szCs w:val="17"/>
                <w:color w:val="auto"/>
              </w:rPr>
            </w:pPr>
          </w:p>
        </w:tc>
        <w:tc>
          <w:tcPr>
            <w:tcW w:w="60" w:type="dxa"/>
            <w:vAlign w:val="bottom"/>
            <w:shd w:val="clear" w:color="auto" w:fill="D2DCE5"/>
          </w:tcPr>
          <w:p>
            <w:pPr>
              <w:spacing w:after="0"/>
              <w:rPr>
                <w:sz w:val="17"/>
                <w:szCs w:val="17"/>
                <w:color w:val="auto"/>
              </w:rPr>
            </w:pPr>
          </w:p>
        </w:tc>
        <w:tc>
          <w:tcPr>
            <w:tcW w:w="2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980" w:type="dxa"/>
            <w:vAlign w:val="bottom"/>
            <w:shd w:val="clear" w:color="auto" w:fill="D2DCE5"/>
          </w:tcPr>
          <w:p>
            <w:pPr>
              <w:spacing w:after="0"/>
              <w:rPr>
                <w:sz w:val="17"/>
                <w:szCs w:val="17"/>
                <w:color w:val="auto"/>
              </w:rPr>
            </w:pPr>
          </w:p>
        </w:tc>
        <w:tc>
          <w:tcPr>
            <w:tcW w:w="36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80" w:type="dxa"/>
            <w:vAlign w:val="bottom"/>
            <w:shd w:val="clear" w:color="auto" w:fill="D2DCE5"/>
          </w:tcPr>
          <w:p>
            <w:pPr>
              <w:spacing w:after="0"/>
              <w:rPr>
                <w:sz w:val="17"/>
                <w:szCs w:val="17"/>
                <w:color w:val="auto"/>
              </w:rPr>
            </w:pPr>
          </w:p>
        </w:tc>
        <w:tc>
          <w:tcPr>
            <w:tcW w:w="5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21</w:t>
            </w:r>
          </w:p>
        </w:tc>
        <w:tc>
          <w:tcPr>
            <w:tcW w:w="80" w:type="dxa"/>
            <w:vAlign w:val="bottom"/>
            <w:shd w:val="clear" w:color="auto" w:fill="D2DCE5"/>
          </w:tcPr>
          <w:p>
            <w:pPr>
              <w:spacing w:after="0"/>
              <w:rPr>
                <w:sz w:val="17"/>
                <w:szCs w:val="17"/>
                <w:color w:val="auto"/>
              </w:rPr>
            </w:pPr>
          </w:p>
        </w:tc>
        <w:tc>
          <w:tcPr>
            <w:tcW w:w="2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2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w:t>
            </w:r>
          </w:p>
        </w:tc>
        <w:tc>
          <w:tcPr>
            <w:tcW w:w="0" w:type="dxa"/>
            <w:vAlign w:val="bottom"/>
          </w:tcPr>
          <w:p>
            <w:pPr>
              <w:spacing w:after="0"/>
              <w:rPr>
                <w:sz w:val="1"/>
                <w:szCs w:val="1"/>
                <w:color w:val="auto"/>
              </w:rPr>
            </w:pPr>
          </w:p>
        </w:tc>
      </w:tr>
      <w:tr>
        <w:trPr>
          <w:trHeight w:val="183"/>
        </w:trPr>
        <w:tc>
          <w:tcPr>
            <w:tcW w:w="2960" w:type="dxa"/>
            <w:vAlign w:val="bottom"/>
            <w:gridSpan w:val="3"/>
          </w:tcPr>
          <w:p>
            <w:pPr>
              <w:ind w:left="20"/>
              <w:spacing w:after="0"/>
              <w:rPr>
                <w:sz w:val="20"/>
                <w:szCs w:val="20"/>
                <w:color w:val="auto"/>
              </w:rPr>
            </w:pPr>
            <w:r>
              <w:rPr>
                <w:rFonts w:ascii="Arial" w:cs="Arial" w:eastAsia="Arial" w:hAnsi="Arial"/>
                <w:sz w:val="13"/>
                <w:szCs w:val="13"/>
                <w:color w:val="131E29"/>
              </w:rPr>
              <w:t>Pricing impacts</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5"/>
          </w:tcPr>
          <w:p>
            <w:pPr>
              <w:jc w:val="right"/>
              <w:ind w:right="460"/>
              <w:spacing w:after="0"/>
              <w:rPr>
                <w:sz w:val="20"/>
                <w:szCs w:val="20"/>
                <w:color w:val="auto"/>
              </w:rPr>
            </w:pPr>
            <w:r>
              <w:rPr>
                <w:rFonts w:ascii="Arial" w:cs="Arial" w:eastAsia="Arial" w:hAnsi="Arial"/>
                <w:sz w:val="13"/>
                <w:szCs w:val="13"/>
                <w:color w:val="131E29"/>
              </w:rPr>
              <w:t>N/A</w:t>
            </w:r>
          </w:p>
        </w:tc>
        <w:tc>
          <w:tcPr>
            <w:tcW w:w="1240" w:type="dxa"/>
            <w:vAlign w:val="bottom"/>
          </w:tcPr>
          <w:p>
            <w:pPr>
              <w:jc w:val="right"/>
              <w:spacing w:after="0"/>
              <w:rPr>
                <w:sz w:val="20"/>
                <w:szCs w:val="20"/>
                <w:color w:val="auto"/>
              </w:rPr>
            </w:pPr>
            <w:r>
              <w:rPr>
                <w:rFonts w:ascii="Arial" w:cs="Arial" w:eastAsia="Arial" w:hAnsi="Arial"/>
                <w:sz w:val="13"/>
                <w:szCs w:val="13"/>
                <w:color w:val="131E29"/>
              </w:rPr>
              <w:t>(180)</w:t>
            </w:r>
          </w:p>
        </w:tc>
        <w:tc>
          <w:tcPr>
            <w:tcW w:w="0" w:type="dxa"/>
            <w:vAlign w:val="bottom"/>
          </w:tcPr>
          <w:p>
            <w:pPr>
              <w:spacing w:after="0"/>
              <w:rPr>
                <w:sz w:val="1"/>
                <w:szCs w:val="1"/>
                <w:color w:val="auto"/>
              </w:rPr>
            </w:pPr>
          </w:p>
        </w:tc>
      </w:tr>
      <w:tr>
        <w:trPr>
          <w:trHeight w:val="199"/>
        </w:trPr>
        <w:tc>
          <w:tcPr>
            <w:tcW w:w="2960" w:type="dxa"/>
            <w:vAlign w:val="bottom"/>
            <w:gridSpan w:val="3"/>
            <w:shd w:val="clear" w:color="auto" w:fill="D2DCE5"/>
          </w:tcPr>
          <w:p>
            <w:pPr>
              <w:ind w:left="20"/>
              <w:spacing w:after="0"/>
              <w:rPr>
                <w:sz w:val="20"/>
                <w:szCs w:val="20"/>
                <w:color w:val="auto"/>
              </w:rPr>
            </w:pPr>
            <w:r>
              <w:rPr>
                <w:rFonts w:ascii="Arial" w:cs="Arial" w:eastAsia="Arial" w:hAnsi="Arial"/>
                <w:sz w:val="13"/>
                <w:szCs w:val="13"/>
                <w:color w:val="131E29"/>
              </w:rPr>
              <w:t>Promotional discounts</w:t>
            </w:r>
          </w:p>
        </w:tc>
        <w:tc>
          <w:tcPr>
            <w:tcW w:w="40" w:type="dxa"/>
            <w:vAlign w:val="bottom"/>
            <w:shd w:val="clear" w:color="auto" w:fill="D2DCE5"/>
          </w:tcPr>
          <w:p>
            <w:pPr>
              <w:spacing w:after="0"/>
              <w:rPr>
                <w:sz w:val="17"/>
                <w:szCs w:val="17"/>
                <w:color w:val="auto"/>
              </w:rPr>
            </w:pPr>
          </w:p>
        </w:tc>
        <w:tc>
          <w:tcPr>
            <w:tcW w:w="40" w:type="dxa"/>
            <w:vAlign w:val="bottom"/>
            <w:shd w:val="clear" w:color="auto" w:fill="D2DCE5"/>
          </w:tcPr>
          <w:p>
            <w:pPr>
              <w:spacing w:after="0"/>
              <w:rPr>
                <w:sz w:val="17"/>
                <w:szCs w:val="17"/>
                <w:color w:val="auto"/>
              </w:rPr>
            </w:pPr>
          </w:p>
        </w:tc>
        <w:tc>
          <w:tcPr>
            <w:tcW w:w="180" w:type="dxa"/>
            <w:vAlign w:val="bottom"/>
            <w:shd w:val="clear" w:color="auto" w:fill="D2DCE5"/>
          </w:tcPr>
          <w:p>
            <w:pPr>
              <w:spacing w:after="0"/>
              <w:rPr>
                <w:sz w:val="17"/>
                <w:szCs w:val="17"/>
                <w:color w:val="auto"/>
              </w:rPr>
            </w:pPr>
          </w:p>
        </w:tc>
        <w:tc>
          <w:tcPr>
            <w:tcW w:w="840" w:type="dxa"/>
            <w:vAlign w:val="bottom"/>
            <w:shd w:val="clear" w:color="auto" w:fill="D2DCE5"/>
          </w:tcPr>
          <w:p>
            <w:pPr>
              <w:spacing w:after="0"/>
              <w:rPr>
                <w:sz w:val="17"/>
                <w:szCs w:val="17"/>
                <w:color w:val="auto"/>
              </w:rPr>
            </w:pPr>
          </w:p>
        </w:tc>
        <w:tc>
          <w:tcPr>
            <w:tcW w:w="60" w:type="dxa"/>
            <w:vAlign w:val="bottom"/>
            <w:shd w:val="clear" w:color="auto" w:fill="D2DCE5"/>
          </w:tcPr>
          <w:p>
            <w:pPr>
              <w:spacing w:after="0"/>
              <w:rPr>
                <w:sz w:val="17"/>
                <w:szCs w:val="17"/>
                <w:color w:val="auto"/>
              </w:rPr>
            </w:pPr>
          </w:p>
        </w:tc>
        <w:tc>
          <w:tcPr>
            <w:tcW w:w="20" w:type="dxa"/>
            <w:vAlign w:val="bottom"/>
            <w:shd w:val="clear" w:color="auto" w:fill="D2DCE5"/>
          </w:tcPr>
          <w:p>
            <w:pPr>
              <w:spacing w:after="0"/>
              <w:rPr>
                <w:sz w:val="17"/>
                <w:szCs w:val="17"/>
                <w:color w:val="auto"/>
              </w:rPr>
            </w:pPr>
          </w:p>
        </w:tc>
        <w:tc>
          <w:tcPr>
            <w:tcW w:w="60" w:type="dxa"/>
            <w:vAlign w:val="bottom"/>
            <w:shd w:val="clear" w:color="auto" w:fill="D2DCE5"/>
          </w:tcPr>
          <w:p>
            <w:pPr>
              <w:spacing w:after="0"/>
              <w:rPr>
                <w:sz w:val="17"/>
                <w:szCs w:val="17"/>
                <w:color w:val="auto"/>
              </w:rPr>
            </w:pPr>
          </w:p>
        </w:tc>
        <w:tc>
          <w:tcPr>
            <w:tcW w:w="200" w:type="dxa"/>
            <w:vAlign w:val="bottom"/>
            <w:shd w:val="clear" w:color="auto" w:fill="D2DCE5"/>
          </w:tcPr>
          <w:p>
            <w:pPr>
              <w:spacing w:after="0"/>
              <w:rPr>
                <w:sz w:val="17"/>
                <w:szCs w:val="17"/>
                <w:color w:val="auto"/>
              </w:rPr>
            </w:pPr>
          </w:p>
        </w:tc>
        <w:tc>
          <w:tcPr>
            <w:tcW w:w="820" w:type="dxa"/>
            <w:vAlign w:val="bottom"/>
            <w:shd w:val="clear" w:color="auto" w:fill="D2DCE5"/>
          </w:tcPr>
          <w:p>
            <w:pPr>
              <w:spacing w:after="0"/>
              <w:rPr>
                <w:sz w:val="17"/>
                <w:szCs w:val="17"/>
                <w:color w:val="auto"/>
              </w:rPr>
            </w:pPr>
          </w:p>
        </w:tc>
        <w:tc>
          <w:tcPr>
            <w:tcW w:w="40" w:type="dxa"/>
            <w:vAlign w:val="bottom"/>
            <w:shd w:val="clear" w:color="auto" w:fill="D2DCE5"/>
          </w:tcPr>
          <w:p>
            <w:pPr>
              <w:spacing w:after="0"/>
              <w:rPr>
                <w:sz w:val="17"/>
                <w:szCs w:val="17"/>
                <w:color w:val="auto"/>
              </w:rPr>
            </w:pPr>
          </w:p>
        </w:tc>
        <w:tc>
          <w:tcPr>
            <w:tcW w:w="40" w:type="dxa"/>
            <w:vAlign w:val="bottom"/>
            <w:shd w:val="clear" w:color="auto" w:fill="D2DCE5"/>
          </w:tcPr>
          <w:p>
            <w:pPr>
              <w:spacing w:after="0"/>
              <w:rPr>
                <w:sz w:val="17"/>
                <w:szCs w:val="17"/>
                <w:color w:val="auto"/>
              </w:rPr>
            </w:pPr>
          </w:p>
        </w:tc>
        <w:tc>
          <w:tcPr>
            <w:tcW w:w="60" w:type="dxa"/>
            <w:vAlign w:val="bottom"/>
            <w:shd w:val="clear" w:color="auto" w:fill="D2DCE5"/>
          </w:tcPr>
          <w:p>
            <w:pPr>
              <w:spacing w:after="0"/>
              <w:rPr>
                <w:sz w:val="17"/>
                <w:szCs w:val="17"/>
                <w:color w:val="auto"/>
              </w:rPr>
            </w:pPr>
          </w:p>
        </w:tc>
        <w:tc>
          <w:tcPr>
            <w:tcW w:w="180" w:type="dxa"/>
            <w:vAlign w:val="bottom"/>
            <w:shd w:val="clear" w:color="auto" w:fill="D2DCE5"/>
          </w:tcPr>
          <w:p>
            <w:pPr>
              <w:spacing w:after="0"/>
              <w:rPr>
                <w:sz w:val="17"/>
                <w:szCs w:val="17"/>
                <w:color w:val="auto"/>
              </w:rPr>
            </w:pPr>
          </w:p>
        </w:tc>
        <w:tc>
          <w:tcPr>
            <w:tcW w:w="860" w:type="dxa"/>
            <w:vAlign w:val="bottom"/>
            <w:shd w:val="clear" w:color="auto" w:fill="D2DCE5"/>
          </w:tcPr>
          <w:p>
            <w:pPr>
              <w:spacing w:after="0"/>
              <w:rPr>
                <w:sz w:val="17"/>
                <w:szCs w:val="17"/>
                <w:color w:val="auto"/>
              </w:rPr>
            </w:pPr>
          </w:p>
        </w:tc>
        <w:tc>
          <w:tcPr>
            <w:tcW w:w="20" w:type="dxa"/>
            <w:vAlign w:val="bottom"/>
            <w:shd w:val="clear" w:color="auto" w:fill="D2DCE5"/>
          </w:tcPr>
          <w:p>
            <w:pPr>
              <w:spacing w:after="0"/>
              <w:rPr>
                <w:sz w:val="17"/>
                <w:szCs w:val="17"/>
                <w:color w:val="auto"/>
              </w:rPr>
            </w:pPr>
          </w:p>
        </w:tc>
        <w:tc>
          <w:tcPr>
            <w:tcW w:w="60" w:type="dxa"/>
            <w:vAlign w:val="bottom"/>
            <w:shd w:val="clear" w:color="auto" w:fill="D2DCE5"/>
          </w:tcPr>
          <w:p>
            <w:pPr>
              <w:spacing w:after="0"/>
              <w:rPr>
                <w:sz w:val="17"/>
                <w:szCs w:val="17"/>
                <w:color w:val="auto"/>
              </w:rPr>
            </w:pPr>
          </w:p>
        </w:tc>
        <w:tc>
          <w:tcPr>
            <w:tcW w:w="2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980" w:type="dxa"/>
            <w:vAlign w:val="bottom"/>
            <w:shd w:val="clear" w:color="auto" w:fill="D2DCE5"/>
          </w:tcPr>
          <w:p>
            <w:pPr>
              <w:spacing w:after="0"/>
              <w:rPr>
                <w:sz w:val="17"/>
                <w:szCs w:val="17"/>
                <w:color w:val="auto"/>
              </w:rPr>
            </w:pPr>
          </w:p>
        </w:tc>
        <w:tc>
          <w:tcPr>
            <w:tcW w:w="36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80" w:type="dxa"/>
            <w:vAlign w:val="bottom"/>
            <w:shd w:val="clear" w:color="auto" w:fill="D2DCE5"/>
          </w:tcPr>
          <w:p>
            <w:pPr>
              <w:spacing w:after="0"/>
              <w:rPr>
                <w:sz w:val="17"/>
                <w:szCs w:val="17"/>
                <w:color w:val="auto"/>
              </w:rPr>
            </w:pPr>
          </w:p>
        </w:tc>
        <w:tc>
          <w:tcPr>
            <w:tcW w:w="980" w:type="dxa"/>
            <w:vAlign w:val="bottom"/>
            <w:gridSpan w:val="5"/>
            <w:shd w:val="clear" w:color="auto" w:fill="D2DCE5"/>
          </w:tcPr>
          <w:p>
            <w:pPr>
              <w:jc w:val="right"/>
              <w:ind w:right="460"/>
              <w:spacing w:after="0"/>
              <w:rPr>
                <w:sz w:val="20"/>
                <w:szCs w:val="20"/>
                <w:color w:val="auto"/>
              </w:rPr>
            </w:pPr>
            <w:r>
              <w:rPr>
                <w:rFonts w:ascii="Arial" w:cs="Arial" w:eastAsia="Arial" w:hAnsi="Arial"/>
                <w:sz w:val="13"/>
                <w:szCs w:val="13"/>
                <w:color w:val="131E29"/>
              </w:rPr>
              <w:t>N/A</w:t>
            </w:r>
          </w:p>
        </w:tc>
        <w:tc>
          <w:tcPr>
            <w:tcW w:w="12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(10)</w:t>
            </w:r>
          </w:p>
        </w:tc>
        <w:tc>
          <w:tcPr>
            <w:tcW w:w="0" w:type="dxa"/>
            <w:vAlign w:val="bottom"/>
          </w:tcPr>
          <w:p>
            <w:pPr>
              <w:spacing w:after="0"/>
              <w:rPr>
                <w:sz w:val="1"/>
                <w:szCs w:val="1"/>
                <w:color w:val="auto"/>
              </w:rPr>
            </w:pPr>
          </w:p>
        </w:tc>
      </w:tr>
      <w:tr>
        <w:trPr>
          <w:trHeight w:val="183"/>
        </w:trPr>
        <w:tc>
          <w:tcPr>
            <w:tcW w:w="2960" w:type="dxa"/>
            <w:vAlign w:val="bottom"/>
            <w:tcBorders>
              <w:bottom w:val="single" w:sz="8" w:color="131E29"/>
            </w:tcBorders>
            <w:gridSpan w:val="3"/>
          </w:tcPr>
          <w:p>
            <w:pPr>
              <w:ind w:left="20"/>
              <w:spacing w:after="0"/>
              <w:rPr>
                <w:sz w:val="20"/>
                <w:szCs w:val="20"/>
                <w:color w:val="auto"/>
              </w:rPr>
            </w:pPr>
            <w:r>
              <w:rPr>
                <w:rFonts w:ascii="Arial" w:cs="Arial" w:eastAsia="Arial" w:hAnsi="Arial"/>
                <w:sz w:val="13"/>
                <w:szCs w:val="13"/>
                <w:color w:val="131E29"/>
              </w:rPr>
              <w:t>Other</w:t>
            </w:r>
          </w:p>
        </w:tc>
        <w:tc>
          <w:tcPr>
            <w:tcW w:w="40" w:type="dxa"/>
            <w:vAlign w:val="bottom"/>
            <w:tcBorders>
              <w:bottom w:val="single" w:sz="8" w:color="131E29"/>
            </w:tcBorders>
          </w:tcPr>
          <w:p>
            <w:pPr>
              <w:spacing w:after="0"/>
              <w:rPr>
                <w:sz w:val="15"/>
                <w:szCs w:val="15"/>
                <w:color w:val="auto"/>
              </w:rPr>
            </w:pPr>
          </w:p>
        </w:tc>
        <w:tc>
          <w:tcPr>
            <w:tcW w:w="40" w:type="dxa"/>
            <w:vAlign w:val="bottom"/>
            <w:tcBorders>
              <w:bottom w:val="single" w:sz="8" w:color="131E29"/>
            </w:tcBorders>
          </w:tcPr>
          <w:p>
            <w:pPr>
              <w:spacing w:after="0"/>
              <w:rPr>
                <w:sz w:val="15"/>
                <w:szCs w:val="15"/>
                <w:color w:val="auto"/>
              </w:rPr>
            </w:pPr>
          </w:p>
        </w:tc>
        <w:tc>
          <w:tcPr>
            <w:tcW w:w="180" w:type="dxa"/>
            <w:vAlign w:val="bottom"/>
            <w:tcBorders>
              <w:bottom w:val="single" w:sz="8" w:color="131E29"/>
            </w:tcBorders>
          </w:tcPr>
          <w:p>
            <w:pPr>
              <w:spacing w:after="0"/>
              <w:rPr>
                <w:sz w:val="15"/>
                <w:szCs w:val="15"/>
                <w:color w:val="auto"/>
              </w:rPr>
            </w:pPr>
          </w:p>
        </w:tc>
        <w:tc>
          <w:tcPr>
            <w:tcW w:w="840" w:type="dxa"/>
            <w:vAlign w:val="bottom"/>
            <w:tcBorders>
              <w:bottom w:val="single" w:sz="8" w:color="131E29"/>
            </w:tcBorders>
          </w:tcPr>
          <w:p>
            <w:pPr>
              <w:spacing w:after="0"/>
              <w:rPr>
                <w:sz w:val="15"/>
                <w:szCs w:val="15"/>
                <w:color w:val="auto"/>
              </w:rPr>
            </w:pPr>
          </w:p>
        </w:tc>
        <w:tc>
          <w:tcPr>
            <w:tcW w:w="60" w:type="dxa"/>
            <w:vAlign w:val="bottom"/>
            <w:tcBorders>
              <w:bottom w:val="single" w:sz="8" w:color="131E29"/>
            </w:tcBorders>
          </w:tcPr>
          <w:p>
            <w:pPr>
              <w:spacing w:after="0"/>
              <w:rPr>
                <w:sz w:val="15"/>
                <w:szCs w:val="15"/>
                <w:color w:val="auto"/>
              </w:rPr>
            </w:pPr>
          </w:p>
        </w:tc>
        <w:tc>
          <w:tcPr>
            <w:tcW w:w="20" w:type="dxa"/>
            <w:vAlign w:val="bottom"/>
            <w:tcBorders>
              <w:bottom w:val="single" w:sz="8" w:color="131E29"/>
            </w:tcBorders>
          </w:tcPr>
          <w:p>
            <w:pPr>
              <w:spacing w:after="0"/>
              <w:rPr>
                <w:sz w:val="15"/>
                <w:szCs w:val="15"/>
                <w:color w:val="auto"/>
              </w:rPr>
            </w:pPr>
          </w:p>
        </w:tc>
        <w:tc>
          <w:tcPr>
            <w:tcW w:w="60" w:type="dxa"/>
            <w:vAlign w:val="bottom"/>
            <w:tcBorders>
              <w:bottom w:val="single" w:sz="8" w:color="131E29"/>
            </w:tcBorders>
          </w:tcPr>
          <w:p>
            <w:pPr>
              <w:spacing w:after="0"/>
              <w:rPr>
                <w:sz w:val="15"/>
                <w:szCs w:val="15"/>
                <w:color w:val="auto"/>
              </w:rPr>
            </w:pPr>
          </w:p>
        </w:tc>
        <w:tc>
          <w:tcPr>
            <w:tcW w:w="200" w:type="dxa"/>
            <w:vAlign w:val="bottom"/>
            <w:tcBorders>
              <w:bottom w:val="single" w:sz="8" w:color="131E29"/>
            </w:tcBorders>
          </w:tcPr>
          <w:p>
            <w:pPr>
              <w:spacing w:after="0"/>
              <w:rPr>
                <w:sz w:val="15"/>
                <w:szCs w:val="15"/>
                <w:color w:val="auto"/>
              </w:rPr>
            </w:pPr>
          </w:p>
        </w:tc>
        <w:tc>
          <w:tcPr>
            <w:tcW w:w="820" w:type="dxa"/>
            <w:vAlign w:val="bottom"/>
            <w:tcBorders>
              <w:bottom w:val="single" w:sz="8" w:color="131E29"/>
            </w:tcBorders>
          </w:tcPr>
          <w:p>
            <w:pPr>
              <w:spacing w:after="0"/>
              <w:rPr>
                <w:sz w:val="15"/>
                <w:szCs w:val="15"/>
                <w:color w:val="auto"/>
              </w:rPr>
            </w:pPr>
          </w:p>
        </w:tc>
        <w:tc>
          <w:tcPr>
            <w:tcW w:w="40" w:type="dxa"/>
            <w:vAlign w:val="bottom"/>
            <w:tcBorders>
              <w:bottom w:val="single" w:sz="8" w:color="131E29"/>
            </w:tcBorders>
          </w:tcPr>
          <w:p>
            <w:pPr>
              <w:spacing w:after="0"/>
              <w:rPr>
                <w:sz w:val="15"/>
                <w:szCs w:val="15"/>
                <w:color w:val="auto"/>
              </w:rPr>
            </w:pPr>
          </w:p>
        </w:tc>
        <w:tc>
          <w:tcPr>
            <w:tcW w:w="40" w:type="dxa"/>
            <w:vAlign w:val="bottom"/>
            <w:tcBorders>
              <w:bottom w:val="single" w:sz="8" w:color="131E29"/>
            </w:tcBorders>
          </w:tcPr>
          <w:p>
            <w:pPr>
              <w:spacing w:after="0"/>
              <w:rPr>
                <w:sz w:val="15"/>
                <w:szCs w:val="15"/>
                <w:color w:val="auto"/>
              </w:rPr>
            </w:pPr>
          </w:p>
        </w:tc>
        <w:tc>
          <w:tcPr>
            <w:tcW w:w="60" w:type="dxa"/>
            <w:vAlign w:val="bottom"/>
            <w:tcBorders>
              <w:bottom w:val="single" w:sz="8" w:color="131E29"/>
            </w:tcBorders>
          </w:tcPr>
          <w:p>
            <w:pPr>
              <w:spacing w:after="0"/>
              <w:rPr>
                <w:sz w:val="15"/>
                <w:szCs w:val="15"/>
                <w:color w:val="auto"/>
              </w:rPr>
            </w:pPr>
          </w:p>
        </w:tc>
        <w:tc>
          <w:tcPr>
            <w:tcW w:w="180" w:type="dxa"/>
            <w:vAlign w:val="bottom"/>
            <w:tcBorders>
              <w:bottom w:val="single" w:sz="8" w:color="131E29"/>
            </w:tcBorders>
          </w:tcPr>
          <w:p>
            <w:pPr>
              <w:spacing w:after="0"/>
              <w:rPr>
                <w:sz w:val="15"/>
                <w:szCs w:val="15"/>
                <w:color w:val="auto"/>
              </w:rPr>
            </w:pPr>
          </w:p>
        </w:tc>
        <w:tc>
          <w:tcPr>
            <w:tcW w:w="860" w:type="dxa"/>
            <w:vAlign w:val="bottom"/>
            <w:tcBorders>
              <w:bottom w:val="single" w:sz="8" w:color="131E29"/>
            </w:tcBorders>
          </w:tcPr>
          <w:p>
            <w:pPr>
              <w:spacing w:after="0"/>
              <w:rPr>
                <w:sz w:val="15"/>
                <w:szCs w:val="15"/>
                <w:color w:val="auto"/>
              </w:rPr>
            </w:pPr>
          </w:p>
        </w:tc>
        <w:tc>
          <w:tcPr>
            <w:tcW w:w="20" w:type="dxa"/>
            <w:vAlign w:val="bottom"/>
            <w:tcBorders>
              <w:bottom w:val="single" w:sz="8" w:color="131E29"/>
            </w:tcBorders>
          </w:tcPr>
          <w:p>
            <w:pPr>
              <w:spacing w:after="0"/>
              <w:rPr>
                <w:sz w:val="15"/>
                <w:szCs w:val="15"/>
                <w:color w:val="auto"/>
              </w:rPr>
            </w:pPr>
          </w:p>
        </w:tc>
        <w:tc>
          <w:tcPr>
            <w:tcW w:w="60" w:type="dxa"/>
            <w:vAlign w:val="bottom"/>
            <w:tcBorders>
              <w:bottom w:val="single" w:sz="8" w:color="131E29"/>
            </w:tcBorders>
          </w:tcPr>
          <w:p>
            <w:pPr>
              <w:spacing w:after="0"/>
              <w:rPr>
                <w:sz w:val="15"/>
                <w:szCs w:val="15"/>
                <w:color w:val="auto"/>
              </w:rPr>
            </w:pPr>
          </w:p>
        </w:tc>
        <w:tc>
          <w:tcPr>
            <w:tcW w:w="20" w:type="dxa"/>
            <w:vAlign w:val="bottom"/>
            <w:tcBorders>
              <w:bottom w:val="single" w:sz="8" w:color="131E29"/>
            </w:tcBorders>
          </w:tcPr>
          <w:p>
            <w:pPr>
              <w:spacing w:after="0"/>
              <w:rPr>
                <w:sz w:val="15"/>
                <w:szCs w:val="15"/>
                <w:color w:val="auto"/>
              </w:rPr>
            </w:pPr>
          </w:p>
        </w:tc>
        <w:tc>
          <w:tcPr>
            <w:tcW w:w="240" w:type="dxa"/>
            <w:vAlign w:val="bottom"/>
            <w:tcBorders>
              <w:bottom w:val="single" w:sz="8" w:color="131E29"/>
            </w:tcBorders>
          </w:tcPr>
          <w:p>
            <w:pPr>
              <w:spacing w:after="0"/>
              <w:rPr>
                <w:sz w:val="15"/>
                <w:szCs w:val="15"/>
                <w:color w:val="auto"/>
              </w:rPr>
            </w:pPr>
          </w:p>
        </w:tc>
        <w:tc>
          <w:tcPr>
            <w:tcW w:w="980" w:type="dxa"/>
            <w:vAlign w:val="bottom"/>
            <w:tcBorders>
              <w:bottom w:val="single" w:sz="8" w:color="131E29"/>
            </w:tcBorders>
          </w:tcPr>
          <w:p>
            <w:pPr>
              <w:spacing w:after="0"/>
              <w:rPr>
                <w:sz w:val="15"/>
                <w:szCs w:val="15"/>
                <w:color w:val="auto"/>
              </w:rPr>
            </w:pPr>
          </w:p>
        </w:tc>
        <w:tc>
          <w:tcPr>
            <w:tcW w:w="360" w:type="dxa"/>
            <w:vAlign w:val="bottom"/>
            <w:tcBorders>
              <w:bottom w:val="single" w:sz="8" w:color="131E29"/>
            </w:tcBorders>
          </w:tcPr>
          <w:p>
            <w:pPr>
              <w:spacing w:after="0"/>
              <w:rPr>
                <w:sz w:val="15"/>
                <w:szCs w:val="15"/>
                <w:color w:val="auto"/>
              </w:rPr>
            </w:pPr>
          </w:p>
        </w:tc>
        <w:tc>
          <w:tcPr>
            <w:tcW w:w="100" w:type="dxa"/>
            <w:vAlign w:val="bottom"/>
            <w:tcBorders>
              <w:bottom w:val="single" w:sz="8" w:color="D2DCE5"/>
            </w:tcBorders>
          </w:tcPr>
          <w:p>
            <w:pPr>
              <w:spacing w:after="0"/>
              <w:rPr>
                <w:sz w:val="15"/>
                <w:szCs w:val="15"/>
                <w:color w:val="auto"/>
              </w:rPr>
            </w:pPr>
          </w:p>
        </w:tc>
        <w:tc>
          <w:tcPr>
            <w:tcW w:w="300" w:type="dxa"/>
            <w:vAlign w:val="bottom"/>
            <w:tcBorders>
              <w:bottom w:val="single" w:sz="8" w:color="131E29"/>
            </w:tcBorders>
          </w:tcPr>
          <w:p>
            <w:pPr>
              <w:spacing w:after="0"/>
              <w:rPr>
                <w:sz w:val="15"/>
                <w:szCs w:val="15"/>
                <w:color w:val="auto"/>
              </w:rPr>
            </w:pPr>
          </w:p>
        </w:tc>
        <w:tc>
          <w:tcPr>
            <w:tcW w:w="80" w:type="dxa"/>
            <w:vAlign w:val="bottom"/>
            <w:tcBorders>
              <w:bottom w:val="single" w:sz="8" w:color="131E29"/>
            </w:tcBorders>
          </w:tcPr>
          <w:p>
            <w:pPr>
              <w:spacing w:after="0"/>
              <w:rPr>
                <w:sz w:val="15"/>
                <w:szCs w:val="15"/>
                <w:color w:val="auto"/>
              </w:rPr>
            </w:pPr>
          </w:p>
        </w:tc>
        <w:tc>
          <w:tcPr>
            <w:tcW w:w="240" w:type="dxa"/>
            <w:vAlign w:val="bottom"/>
            <w:tcBorders>
              <w:bottom w:val="single" w:sz="8" w:color="131E29"/>
            </w:tcBorders>
          </w:tcPr>
          <w:p>
            <w:pPr>
              <w:spacing w:after="0"/>
              <w:rPr>
                <w:sz w:val="15"/>
                <w:szCs w:val="15"/>
                <w:color w:val="auto"/>
              </w:rPr>
            </w:pPr>
          </w:p>
        </w:tc>
        <w:tc>
          <w:tcPr>
            <w:tcW w:w="80" w:type="dxa"/>
            <w:vAlign w:val="bottom"/>
            <w:tcBorders>
              <w:bottom w:val="single" w:sz="8" w:color="131E29"/>
            </w:tcBorders>
          </w:tcPr>
          <w:p>
            <w:pPr>
              <w:spacing w:after="0"/>
              <w:rPr>
                <w:sz w:val="15"/>
                <w:szCs w:val="15"/>
                <w:color w:val="auto"/>
              </w:rPr>
            </w:pPr>
          </w:p>
        </w:tc>
        <w:tc>
          <w:tcPr>
            <w:tcW w:w="180" w:type="dxa"/>
            <w:vAlign w:val="bottom"/>
            <w:tcBorders>
              <w:bottom w:val="single" w:sz="8" w:color="131E29"/>
            </w:tcBorders>
          </w:tcPr>
          <w:p>
            <w:pPr>
              <w:spacing w:after="0"/>
              <w:rPr>
                <w:sz w:val="15"/>
                <w:szCs w:val="15"/>
                <w:color w:val="auto"/>
              </w:rPr>
            </w:pPr>
          </w:p>
        </w:tc>
        <w:tc>
          <w:tcPr>
            <w:tcW w:w="540" w:type="dxa"/>
            <w:vAlign w:val="bottom"/>
            <w:tcBorders>
              <w:bottom w:val="single" w:sz="8" w:color="131E29"/>
            </w:tcBorders>
          </w:tcPr>
          <w:p>
            <w:pPr>
              <w:jc w:val="right"/>
              <w:spacing w:after="0"/>
              <w:rPr>
                <w:sz w:val="20"/>
                <w:szCs w:val="20"/>
                <w:color w:val="auto"/>
              </w:rPr>
            </w:pPr>
            <w:r>
              <w:rPr>
                <w:rFonts w:ascii="Arial" w:cs="Arial" w:eastAsia="Arial" w:hAnsi="Arial"/>
                <w:sz w:val="13"/>
                <w:szCs w:val="13"/>
                <w:color w:val="131E29"/>
              </w:rPr>
              <w:t>(2,883)</w:t>
            </w:r>
          </w:p>
        </w:tc>
        <w:tc>
          <w:tcPr>
            <w:tcW w:w="80" w:type="dxa"/>
            <w:vAlign w:val="bottom"/>
            <w:tcBorders>
              <w:bottom w:val="single" w:sz="8" w:color="D2DCE5"/>
            </w:tcBorders>
          </w:tcPr>
          <w:p>
            <w:pPr>
              <w:spacing w:after="0"/>
              <w:rPr>
                <w:sz w:val="15"/>
                <w:szCs w:val="15"/>
                <w:color w:val="auto"/>
              </w:rPr>
            </w:pPr>
          </w:p>
        </w:tc>
        <w:tc>
          <w:tcPr>
            <w:tcW w:w="200" w:type="dxa"/>
            <w:vAlign w:val="bottom"/>
            <w:tcBorders>
              <w:bottom w:val="single" w:sz="8" w:color="131E29"/>
            </w:tcBorders>
          </w:tcPr>
          <w:p>
            <w:pPr>
              <w:spacing w:after="0"/>
              <w:rPr>
                <w:sz w:val="15"/>
                <w:szCs w:val="15"/>
                <w:color w:val="auto"/>
              </w:rPr>
            </w:pPr>
          </w:p>
        </w:tc>
        <w:tc>
          <w:tcPr>
            <w:tcW w:w="80" w:type="dxa"/>
            <w:vAlign w:val="bottom"/>
            <w:tcBorders>
              <w:bottom w:val="single" w:sz="8" w:color="131E29"/>
            </w:tcBorders>
          </w:tcPr>
          <w:p>
            <w:pPr>
              <w:spacing w:after="0"/>
              <w:rPr>
                <w:sz w:val="15"/>
                <w:szCs w:val="15"/>
                <w:color w:val="auto"/>
              </w:rPr>
            </w:pPr>
          </w:p>
        </w:tc>
        <w:tc>
          <w:tcPr>
            <w:tcW w:w="80" w:type="dxa"/>
            <w:vAlign w:val="bottom"/>
            <w:tcBorders>
              <w:bottom w:val="single" w:sz="8" w:color="131E29"/>
            </w:tcBorders>
          </w:tcPr>
          <w:p>
            <w:pPr>
              <w:spacing w:after="0"/>
              <w:rPr>
                <w:sz w:val="15"/>
                <w:szCs w:val="15"/>
                <w:color w:val="auto"/>
              </w:rPr>
            </w:pPr>
          </w:p>
        </w:tc>
        <w:tc>
          <w:tcPr>
            <w:tcW w:w="1240" w:type="dxa"/>
            <w:vAlign w:val="bottom"/>
            <w:tcBorders>
              <w:bottom w:val="single" w:sz="8" w:color="131E29"/>
            </w:tcBorders>
          </w:tcPr>
          <w:p>
            <w:pPr>
              <w:jc w:val="right"/>
              <w:spacing w:after="0"/>
              <w:rPr>
                <w:sz w:val="20"/>
                <w:szCs w:val="20"/>
                <w:color w:val="auto"/>
              </w:rPr>
            </w:pPr>
            <w:r>
              <w:rPr>
                <w:rFonts w:ascii="Arial" w:cs="Arial" w:eastAsia="Arial" w:hAnsi="Arial"/>
                <w:sz w:val="13"/>
                <w:szCs w:val="13"/>
                <w:color w:val="131E29"/>
              </w:rPr>
              <w:t>(50)</w:t>
            </w:r>
          </w:p>
        </w:tc>
        <w:tc>
          <w:tcPr>
            <w:tcW w:w="0" w:type="dxa"/>
            <w:vAlign w:val="bottom"/>
          </w:tcPr>
          <w:p>
            <w:pPr>
              <w:spacing w:after="0"/>
              <w:rPr>
                <w:sz w:val="1"/>
                <w:szCs w:val="1"/>
                <w:color w:val="auto"/>
              </w:rPr>
            </w:pPr>
          </w:p>
        </w:tc>
      </w:tr>
      <w:tr>
        <w:trPr>
          <w:trHeight w:val="182"/>
        </w:trPr>
        <w:tc>
          <w:tcPr>
            <w:tcW w:w="2960" w:type="dxa"/>
            <w:vAlign w:val="bottom"/>
            <w:tcBorders>
              <w:bottom w:val="single" w:sz="8" w:color="131E29"/>
            </w:tcBorders>
            <w:gridSpan w:val="3"/>
            <w:shd w:val="clear" w:color="auto" w:fill="D2DCE5"/>
          </w:tcPr>
          <w:p>
            <w:pPr>
              <w:ind w:left="100"/>
              <w:spacing w:after="0"/>
              <w:rPr>
                <w:sz w:val="20"/>
                <w:szCs w:val="20"/>
                <w:color w:val="auto"/>
              </w:rPr>
            </w:pPr>
            <w:r>
              <w:rPr>
                <w:rFonts w:ascii="Arial" w:cs="Arial" w:eastAsia="Arial" w:hAnsi="Arial"/>
                <w:sz w:val="13"/>
                <w:szCs w:val="13"/>
                <w:b w:val="1"/>
                <w:bCs w:val="1"/>
                <w:color w:val="131E29"/>
              </w:rPr>
              <w:t>Total change</w:t>
            </w:r>
          </w:p>
        </w:tc>
        <w:tc>
          <w:tcPr>
            <w:tcW w:w="40" w:type="dxa"/>
            <w:vAlign w:val="bottom"/>
            <w:tcBorders>
              <w:bottom w:val="single" w:sz="8" w:color="131E29"/>
            </w:tcBorders>
            <w:shd w:val="clear" w:color="auto" w:fill="D2DCE5"/>
          </w:tcPr>
          <w:p>
            <w:pPr>
              <w:spacing w:after="0"/>
              <w:rPr>
                <w:sz w:val="15"/>
                <w:szCs w:val="15"/>
                <w:color w:val="auto"/>
              </w:rPr>
            </w:pPr>
          </w:p>
        </w:tc>
        <w:tc>
          <w:tcPr>
            <w:tcW w:w="40" w:type="dxa"/>
            <w:vAlign w:val="bottom"/>
            <w:tcBorders>
              <w:bottom w:val="single" w:sz="8" w:color="131E29"/>
            </w:tcBorders>
            <w:shd w:val="clear" w:color="auto" w:fill="D2DCE5"/>
          </w:tcPr>
          <w:p>
            <w:pPr>
              <w:spacing w:after="0"/>
              <w:rPr>
                <w:sz w:val="15"/>
                <w:szCs w:val="15"/>
                <w:color w:val="auto"/>
              </w:rPr>
            </w:pPr>
          </w:p>
        </w:tc>
        <w:tc>
          <w:tcPr>
            <w:tcW w:w="180" w:type="dxa"/>
            <w:vAlign w:val="bottom"/>
            <w:tcBorders>
              <w:bottom w:val="single" w:sz="8" w:color="131E29"/>
            </w:tcBorders>
            <w:shd w:val="clear" w:color="auto" w:fill="D2DCE5"/>
          </w:tcPr>
          <w:p>
            <w:pPr>
              <w:spacing w:after="0"/>
              <w:rPr>
                <w:sz w:val="15"/>
                <w:szCs w:val="15"/>
                <w:color w:val="auto"/>
              </w:rPr>
            </w:pPr>
          </w:p>
        </w:tc>
        <w:tc>
          <w:tcPr>
            <w:tcW w:w="840" w:type="dxa"/>
            <w:vAlign w:val="bottom"/>
            <w:tcBorders>
              <w:bottom w:val="single" w:sz="8" w:color="131E29"/>
            </w:tcBorders>
            <w:shd w:val="clear" w:color="auto" w:fill="D2DCE5"/>
          </w:tcPr>
          <w:p>
            <w:pPr>
              <w:spacing w:after="0"/>
              <w:rPr>
                <w:sz w:val="15"/>
                <w:szCs w:val="15"/>
                <w:color w:val="auto"/>
              </w:rPr>
            </w:pPr>
          </w:p>
        </w:tc>
        <w:tc>
          <w:tcPr>
            <w:tcW w:w="60" w:type="dxa"/>
            <w:vAlign w:val="bottom"/>
            <w:tcBorders>
              <w:bottom w:val="single" w:sz="8" w:color="131E29"/>
            </w:tcBorders>
            <w:shd w:val="clear" w:color="auto" w:fill="D2DCE5"/>
          </w:tcPr>
          <w:p>
            <w:pPr>
              <w:spacing w:after="0"/>
              <w:rPr>
                <w:sz w:val="15"/>
                <w:szCs w:val="15"/>
                <w:color w:val="auto"/>
              </w:rPr>
            </w:pPr>
          </w:p>
        </w:tc>
        <w:tc>
          <w:tcPr>
            <w:tcW w:w="20" w:type="dxa"/>
            <w:vAlign w:val="bottom"/>
            <w:tcBorders>
              <w:bottom w:val="single" w:sz="8" w:color="131E29"/>
            </w:tcBorders>
            <w:shd w:val="clear" w:color="auto" w:fill="D2DCE5"/>
          </w:tcPr>
          <w:p>
            <w:pPr>
              <w:spacing w:after="0"/>
              <w:rPr>
                <w:sz w:val="15"/>
                <w:szCs w:val="15"/>
                <w:color w:val="auto"/>
              </w:rPr>
            </w:pPr>
          </w:p>
        </w:tc>
        <w:tc>
          <w:tcPr>
            <w:tcW w:w="60" w:type="dxa"/>
            <w:vAlign w:val="bottom"/>
            <w:tcBorders>
              <w:bottom w:val="single" w:sz="8" w:color="131E29"/>
            </w:tcBorders>
            <w:shd w:val="clear" w:color="auto" w:fill="D2DCE5"/>
          </w:tcPr>
          <w:p>
            <w:pPr>
              <w:spacing w:after="0"/>
              <w:rPr>
                <w:sz w:val="15"/>
                <w:szCs w:val="15"/>
                <w:color w:val="auto"/>
              </w:rPr>
            </w:pPr>
          </w:p>
        </w:tc>
        <w:tc>
          <w:tcPr>
            <w:tcW w:w="200" w:type="dxa"/>
            <w:vAlign w:val="bottom"/>
            <w:tcBorders>
              <w:bottom w:val="single" w:sz="8" w:color="131E29"/>
            </w:tcBorders>
            <w:shd w:val="clear" w:color="auto" w:fill="D2DCE5"/>
          </w:tcPr>
          <w:p>
            <w:pPr>
              <w:spacing w:after="0"/>
              <w:rPr>
                <w:sz w:val="15"/>
                <w:szCs w:val="15"/>
                <w:color w:val="auto"/>
              </w:rPr>
            </w:pPr>
          </w:p>
        </w:tc>
        <w:tc>
          <w:tcPr>
            <w:tcW w:w="820" w:type="dxa"/>
            <w:vAlign w:val="bottom"/>
            <w:tcBorders>
              <w:bottom w:val="single" w:sz="8" w:color="131E29"/>
            </w:tcBorders>
            <w:shd w:val="clear" w:color="auto" w:fill="D2DCE5"/>
          </w:tcPr>
          <w:p>
            <w:pPr>
              <w:spacing w:after="0"/>
              <w:rPr>
                <w:sz w:val="15"/>
                <w:szCs w:val="15"/>
                <w:color w:val="auto"/>
              </w:rPr>
            </w:pPr>
          </w:p>
        </w:tc>
        <w:tc>
          <w:tcPr>
            <w:tcW w:w="40" w:type="dxa"/>
            <w:vAlign w:val="bottom"/>
            <w:tcBorders>
              <w:bottom w:val="single" w:sz="8" w:color="131E29"/>
            </w:tcBorders>
            <w:shd w:val="clear" w:color="auto" w:fill="D2DCE5"/>
          </w:tcPr>
          <w:p>
            <w:pPr>
              <w:spacing w:after="0"/>
              <w:rPr>
                <w:sz w:val="15"/>
                <w:szCs w:val="15"/>
                <w:color w:val="auto"/>
              </w:rPr>
            </w:pPr>
          </w:p>
        </w:tc>
        <w:tc>
          <w:tcPr>
            <w:tcW w:w="40" w:type="dxa"/>
            <w:vAlign w:val="bottom"/>
            <w:tcBorders>
              <w:bottom w:val="single" w:sz="8" w:color="131E29"/>
            </w:tcBorders>
            <w:shd w:val="clear" w:color="auto" w:fill="D2DCE5"/>
          </w:tcPr>
          <w:p>
            <w:pPr>
              <w:spacing w:after="0"/>
              <w:rPr>
                <w:sz w:val="15"/>
                <w:szCs w:val="15"/>
                <w:color w:val="auto"/>
              </w:rPr>
            </w:pPr>
          </w:p>
        </w:tc>
        <w:tc>
          <w:tcPr>
            <w:tcW w:w="60" w:type="dxa"/>
            <w:vAlign w:val="bottom"/>
            <w:tcBorders>
              <w:bottom w:val="single" w:sz="8" w:color="131E29"/>
            </w:tcBorders>
            <w:shd w:val="clear" w:color="auto" w:fill="D2DCE5"/>
          </w:tcPr>
          <w:p>
            <w:pPr>
              <w:spacing w:after="0"/>
              <w:rPr>
                <w:sz w:val="15"/>
                <w:szCs w:val="15"/>
                <w:color w:val="auto"/>
              </w:rPr>
            </w:pPr>
          </w:p>
        </w:tc>
        <w:tc>
          <w:tcPr>
            <w:tcW w:w="180" w:type="dxa"/>
            <w:vAlign w:val="bottom"/>
            <w:tcBorders>
              <w:bottom w:val="single" w:sz="8" w:color="131E29"/>
            </w:tcBorders>
            <w:shd w:val="clear" w:color="auto" w:fill="D2DCE5"/>
          </w:tcPr>
          <w:p>
            <w:pPr>
              <w:spacing w:after="0"/>
              <w:rPr>
                <w:sz w:val="15"/>
                <w:szCs w:val="15"/>
                <w:color w:val="auto"/>
              </w:rPr>
            </w:pPr>
          </w:p>
        </w:tc>
        <w:tc>
          <w:tcPr>
            <w:tcW w:w="860" w:type="dxa"/>
            <w:vAlign w:val="bottom"/>
            <w:tcBorders>
              <w:bottom w:val="single" w:sz="8" w:color="131E29"/>
            </w:tcBorders>
            <w:shd w:val="clear" w:color="auto" w:fill="D2DCE5"/>
          </w:tcPr>
          <w:p>
            <w:pPr>
              <w:spacing w:after="0"/>
              <w:rPr>
                <w:sz w:val="15"/>
                <w:szCs w:val="15"/>
                <w:color w:val="auto"/>
              </w:rPr>
            </w:pPr>
          </w:p>
        </w:tc>
        <w:tc>
          <w:tcPr>
            <w:tcW w:w="20" w:type="dxa"/>
            <w:vAlign w:val="bottom"/>
            <w:tcBorders>
              <w:bottom w:val="single" w:sz="8" w:color="131E29"/>
            </w:tcBorders>
            <w:shd w:val="clear" w:color="auto" w:fill="D2DCE5"/>
          </w:tcPr>
          <w:p>
            <w:pPr>
              <w:spacing w:after="0"/>
              <w:rPr>
                <w:sz w:val="15"/>
                <w:szCs w:val="15"/>
                <w:color w:val="auto"/>
              </w:rPr>
            </w:pPr>
          </w:p>
        </w:tc>
        <w:tc>
          <w:tcPr>
            <w:tcW w:w="60" w:type="dxa"/>
            <w:vAlign w:val="bottom"/>
            <w:tcBorders>
              <w:bottom w:val="single" w:sz="8" w:color="131E29"/>
            </w:tcBorders>
            <w:shd w:val="clear" w:color="auto" w:fill="D2DCE5"/>
          </w:tcPr>
          <w:p>
            <w:pPr>
              <w:spacing w:after="0"/>
              <w:rPr>
                <w:sz w:val="15"/>
                <w:szCs w:val="15"/>
                <w:color w:val="auto"/>
              </w:rPr>
            </w:pPr>
          </w:p>
        </w:tc>
        <w:tc>
          <w:tcPr>
            <w:tcW w:w="20" w:type="dxa"/>
            <w:vAlign w:val="bottom"/>
            <w:tcBorders>
              <w:bottom w:val="single" w:sz="8" w:color="131E29"/>
            </w:tcBorders>
            <w:shd w:val="clear" w:color="auto" w:fill="D2DCE5"/>
          </w:tcPr>
          <w:p>
            <w:pPr>
              <w:spacing w:after="0"/>
              <w:rPr>
                <w:sz w:val="15"/>
                <w:szCs w:val="15"/>
                <w:color w:val="auto"/>
              </w:rPr>
            </w:pPr>
          </w:p>
        </w:tc>
        <w:tc>
          <w:tcPr>
            <w:tcW w:w="240" w:type="dxa"/>
            <w:vAlign w:val="bottom"/>
            <w:tcBorders>
              <w:bottom w:val="single" w:sz="8" w:color="131E29"/>
            </w:tcBorders>
            <w:shd w:val="clear" w:color="auto" w:fill="D2DCE5"/>
          </w:tcPr>
          <w:p>
            <w:pPr>
              <w:spacing w:after="0"/>
              <w:rPr>
                <w:sz w:val="15"/>
                <w:szCs w:val="15"/>
                <w:color w:val="auto"/>
              </w:rPr>
            </w:pPr>
          </w:p>
        </w:tc>
        <w:tc>
          <w:tcPr>
            <w:tcW w:w="980" w:type="dxa"/>
            <w:vAlign w:val="bottom"/>
            <w:tcBorders>
              <w:bottom w:val="single" w:sz="8" w:color="131E29"/>
            </w:tcBorders>
            <w:shd w:val="clear" w:color="auto" w:fill="D2DCE5"/>
          </w:tcPr>
          <w:p>
            <w:pPr>
              <w:spacing w:after="0"/>
              <w:rPr>
                <w:sz w:val="15"/>
                <w:szCs w:val="15"/>
                <w:color w:val="auto"/>
              </w:rPr>
            </w:pPr>
          </w:p>
        </w:tc>
        <w:tc>
          <w:tcPr>
            <w:tcW w:w="360" w:type="dxa"/>
            <w:vAlign w:val="bottom"/>
            <w:tcBorders>
              <w:bottom w:val="single" w:sz="8" w:color="131E29"/>
            </w:tcBorders>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300" w:type="dxa"/>
            <w:vAlign w:val="bottom"/>
            <w:tcBorders>
              <w:bottom w:val="single" w:sz="8" w:color="131E29"/>
            </w:tcBorders>
            <w:shd w:val="clear" w:color="auto" w:fill="D2DCE5"/>
          </w:tcPr>
          <w:p>
            <w:pPr>
              <w:jc w:val="center"/>
              <w:ind w:right="156"/>
              <w:spacing w:after="0"/>
              <w:rPr>
                <w:sz w:val="20"/>
                <w:szCs w:val="20"/>
                <w:color w:val="auto"/>
              </w:rPr>
            </w:pPr>
            <w:r>
              <w:rPr>
                <w:rFonts w:ascii="Arial" w:cs="Arial" w:eastAsia="Arial" w:hAnsi="Arial"/>
                <w:sz w:val="13"/>
                <w:szCs w:val="13"/>
                <w:b w:val="1"/>
                <w:bCs w:val="1"/>
                <w:color w:val="131E29"/>
              </w:rPr>
              <w:t>$</w:t>
            </w:r>
          </w:p>
        </w:tc>
        <w:tc>
          <w:tcPr>
            <w:tcW w:w="80" w:type="dxa"/>
            <w:vAlign w:val="bottom"/>
            <w:tcBorders>
              <w:bottom w:val="single" w:sz="8" w:color="131E29"/>
            </w:tcBorders>
            <w:shd w:val="clear" w:color="auto" w:fill="D2DCE5"/>
          </w:tcPr>
          <w:p>
            <w:pPr>
              <w:spacing w:after="0"/>
              <w:rPr>
                <w:sz w:val="15"/>
                <w:szCs w:val="15"/>
                <w:color w:val="auto"/>
              </w:rPr>
            </w:pPr>
          </w:p>
        </w:tc>
        <w:tc>
          <w:tcPr>
            <w:tcW w:w="240" w:type="dxa"/>
            <w:vAlign w:val="bottom"/>
            <w:tcBorders>
              <w:bottom w:val="single" w:sz="8" w:color="131E29"/>
            </w:tcBorders>
            <w:shd w:val="clear" w:color="auto" w:fill="D2DCE5"/>
          </w:tcPr>
          <w:p>
            <w:pPr>
              <w:spacing w:after="0"/>
              <w:rPr>
                <w:sz w:val="15"/>
                <w:szCs w:val="15"/>
                <w:color w:val="auto"/>
              </w:rPr>
            </w:pPr>
          </w:p>
        </w:tc>
        <w:tc>
          <w:tcPr>
            <w:tcW w:w="80" w:type="dxa"/>
            <w:vAlign w:val="bottom"/>
            <w:tcBorders>
              <w:bottom w:val="single" w:sz="8" w:color="131E29"/>
            </w:tcBorders>
            <w:shd w:val="clear" w:color="auto" w:fill="D2DCE5"/>
          </w:tcPr>
          <w:p>
            <w:pPr>
              <w:spacing w:after="0"/>
              <w:rPr>
                <w:sz w:val="15"/>
                <w:szCs w:val="15"/>
                <w:color w:val="auto"/>
              </w:rPr>
            </w:pPr>
          </w:p>
        </w:tc>
        <w:tc>
          <w:tcPr>
            <w:tcW w:w="180" w:type="dxa"/>
            <w:vAlign w:val="bottom"/>
            <w:tcBorders>
              <w:bottom w:val="single" w:sz="8" w:color="131E29"/>
            </w:tcBorders>
            <w:shd w:val="clear" w:color="auto" w:fill="D2DCE5"/>
          </w:tcPr>
          <w:p>
            <w:pPr>
              <w:spacing w:after="0"/>
              <w:rPr>
                <w:sz w:val="15"/>
                <w:szCs w:val="15"/>
                <w:color w:val="auto"/>
              </w:rPr>
            </w:pPr>
          </w:p>
        </w:tc>
        <w:tc>
          <w:tcPr>
            <w:tcW w:w="54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3"/>
                <w:szCs w:val="13"/>
                <w:b w:val="1"/>
                <w:bCs w:val="1"/>
                <w:color w:val="131E29"/>
              </w:rPr>
              <w:t>60,700</w:t>
            </w:r>
          </w:p>
        </w:tc>
        <w:tc>
          <w:tcPr>
            <w:tcW w:w="80" w:type="dxa"/>
            <w:vAlign w:val="bottom"/>
            <w:shd w:val="clear" w:color="auto" w:fill="D2DCE5"/>
          </w:tcPr>
          <w:p>
            <w:pPr>
              <w:spacing w:after="0"/>
              <w:rPr>
                <w:sz w:val="15"/>
                <w:szCs w:val="15"/>
                <w:color w:val="auto"/>
              </w:rPr>
            </w:pPr>
          </w:p>
        </w:tc>
        <w:tc>
          <w:tcPr>
            <w:tcW w:w="200" w:type="dxa"/>
            <w:vAlign w:val="bottom"/>
            <w:tcBorders>
              <w:bottom w:val="single" w:sz="8" w:color="131E29"/>
            </w:tcBorders>
            <w:shd w:val="clear" w:color="auto" w:fill="D2DCE5"/>
          </w:tcPr>
          <w:p>
            <w:pPr>
              <w:spacing w:after="0"/>
              <w:rPr>
                <w:sz w:val="15"/>
                <w:szCs w:val="15"/>
                <w:color w:val="auto"/>
              </w:rPr>
            </w:pPr>
          </w:p>
        </w:tc>
        <w:tc>
          <w:tcPr>
            <w:tcW w:w="80" w:type="dxa"/>
            <w:vAlign w:val="bottom"/>
            <w:tcBorders>
              <w:bottom w:val="single" w:sz="8" w:color="131E29"/>
            </w:tcBorders>
            <w:shd w:val="clear" w:color="auto" w:fill="D2DCE5"/>
          </w:tcPr>
          <w:p>
            <w:pPr>
              <w:spacing w:after="0"/>
              <w:rPr>
                <w:sz w:val="15"/>
                <w:szCs w:val="15"/>
                <w:color w:val="auto"/>
              </w:rPr>
            </w:pPr>
          </w:p>
        </w:tc>
        <w:tc>
          <w:tcPr>
            <w:tcW w:w="80" w:type="dxa"/>
            <w:vAlign w:val="bottom"/>
            <w:tcBorders>
              <w:bottom w:val="single" w:sz="8" w:color="131E29"/>
            </w:tcBorders>
            <w:shd w:val="clear" w:color="auto" w:fill="D2DCE5"/>
          </w:tcPr>
          <w:p>
            <w:pPr>
              <w:spacing w:after="0"/>
              <w:rPr>
                <w:sz w:val="15"/>
                <w:szCs w:val="15"/>
                <w:color w:val="auto"/>
              </w:rPr>
            </w:pPr>
          </w:p>
        </w:tc>
        <w:tc>
          <w:tcPr>
            <w:tcW w:w="124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3"/>
                <w:szCs w:val="13"/>
                <w:b w:val="1"/>
                <w:bCs w:val="1"/>
                <w:color w:val="131E29"/>
              </w:rPr>
              <w:t>(170)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75" w:name="page76"/>
    <w:bookmarkEnd w:id="75"/>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60" w:type="dxa"/>
            <w:vAlign w:val="bottom"/>
            <w:gridSpan w:val="3"/>
          </w:tcPr>
          <w:p>
            <w:pPr>
              <w:spacing w:after="0"/>
              <w:rPr>
                <w:sz w:val="20"/>
                <w:szCs w:val="20"/>
                <w:color w:val="auto"/>
              </w:rPr>
            </w:pPr>
            <w:r>
              <w:rPr>
                <w:rFonts w:ascii="Arial" w:cs="Arial" w:eastAsia="Arial" w:hAnsi="Arial"/>
                <w:sz w:val="14"/>
                <w:szCs w:val="14"/>
                <w:b w:val="1"/>
                <w:bCs w:val="1"/>
                <w:i w:val="1"/>
                <w:iCs w:val="1"/>
                <w:color w:val="006098"/>
              </w:rPr>
              <w:t>Occupancy and Other Costs</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40"/>
        </w:trPr>
        <w:tc>
          <w:tcPr>
            <w:tcW w:w="2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20" w:type="dxa"/>
            <w:vAlign w:val="bottom"/>
            <w:gridSpan w:val="9"/>
          </w:tcPr>
          <w:p>
            <w:pPr>
              <w:jc w:val="center"/>
              <w:ind w:right="60"/>
              <w:spacing w:after="0"/>
              <w:rPr>
                <w:sz w:val="20"/>
                <w:szCs w:val="20"/>
                <w:color w:val="auto"/>
              </w:rPr>
            </w:pPr>
            <w:r>
              <w:rPr>
                <w:rFonts w:ascii="Arial" w:cs="Arial" w:eastAsia="Arial" w:hAnsi="Arial"/>
                <w:sz w:val="14"/>
                <w:szCs w:val="14"/>
                <w:b w:val="1"/>
                <w:bCs w:val="1"/>
                <w:color w:val="131E29"/>
              </w:rPr>
              <w:t>Year Ended December 31,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2"/>
        </w:trPr>
        <w:tc>
          <w:tcPr>
            <w:tcW w:w="24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3"/>
        </w:trPr>
        <w:tc>
          <w:tcPr>
            <w:tcW w:w="316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131E29"/>
              </w:rPr>
              <w:t>(in thousands; unaudited)</w:t>
            </w:r>
          </w:p>
        </w:tc>
        <w:tc>
          <w:tcPr>
            <w:tcW w:w="100" w:type="dxa"/>
            <w:vAlign w:val="bottom"/>
            <w:tcBorders>
              <w:bottom w:val="single" w:sz="8" w:color="D2DCE5"/>
            </w:tcBorders>
          </w:tcPr>
          <w:p>
            <w:pPr>
              <w:spacing w:after="0"/>
              <w:rPr>
                <w:sz w:val="16"/>
                <w:szCs w:val="16"/>
                <w:color w:val="auto"/>
              </w:rPr>
            </w:pPr>
          </w:p>
        </w:tc>
        <w:tc>
          <w:tcPr>
            <w:tcW w:w="1080" w:type="dxa"/>
            <w:vAlign w:val="bottom"/>
            <w:tcBorders>
              <w:bottom w:val="single" w:sz="8" w:color="131E29"/>
            </w:tcBorders>
            <w:gridSpan w:val="4"/>
          </w:tcPr>
          <w:p>
            <w:pPr>
              <w:jc w:val="right"/>
              <w:ind w:right="329"/>
              <w:spacing w:after="0"/>
              <w:rPr>
                <w:sz w:val="20"/>
                <w:szCs w:val="20"/>
                <w:color w:val="auto"/>
              </w:rPr>
            </w:pPr>
            <w:r>
              <w:rPr>
                <w:rFonts w:ascii="Arial" w:cs="Arial" w:eastAsia="Arial" w:hAnsi="Arial"/>
                <w:sz w:val="14"/>
                <w:szCs w:val="14"/>
                <w:b w:val="1"/>
                <w:bCs w:val="1"/>
                <w:color w:val="131E29"/>
              </w:rPr>
              <w:t>2022</w:t>
            </w:r>
          </w:p>
        </w:tc>
        <w:tc>
          <w:tcPr>
            <w:tcW w:w="80" w:type="dxa"/>
            <w:vAlign w:val="bottom"/>
            <w:tcBorders>
              <w:bottom w:val="single" w:sz="8" w:color="D2DCE5"/>
            </w:tcBorders>
          </w:tcPr>
          <w:p>
            <w:pPr>
              <w:spacing w:after="0"/>
              <w:rPr>
                <w:sz w:val="16"/>
                <w:szCs w:val="16"/>
                <w:color w:val="auto"/>
              </w:rPr>
            </w:pPr>
          </w:p>
        </w:tc>
        <w:tc>
          <w:tcPr>
            <w:tcW w:w="140" w:type="dxa"/>
            <w:vAlign w:val="bottom"/>
            <w:tcBorders>
              <w:bottom w:val="single" w:sz="8" w:color="131E29"/>
            </w:tcBorders>
          </w:tcPr>
          <w:p>
            <w:pPr>
              <w:spacing w:after="0"/>
              <w:rPr>
                <w:sz w:val="16"/>
                <w:szCs w:val="16"/>
                <w:color w:val="auto"/>
              </w:rPr>
            </w:pPr>
          </w:p>
        </w:tc>
        <w:tc>
          <w:tcPr>
            <w:tcW w:w="80" w:type="dxa"/>
            <w:vAlign w:val="bottom"/>
            <w:tcBorders>
              <w:bottom w:val="single" w:sz="8" w:color="131E29"/>
            </w:tcBorders>
          </w:tcPr>
          <w:p>
            <w:pPr>
              <w:spacing w:after="0"/>
              <w:rPr>
                <w:sz w:val="16"/>
                <w:szCs w:val="16"/>
                <w:color w:val="auto"/>
              </w:rPr>
            </w:pPr>
          </w:p>
        </w:tc>
        <w:tc>
          <w:tcPr>
            <w:tcW w:w="100" w:type="dxa"/>
            <w:vAlign w:val="bottom"/>
            <w:tcBorders>
              <w:bottom w:val="single" w:sz="8" w:color="131E29"/>
            </w:tcBorders>
          </w:tcPr>
          <w:p>
            <w:pPr>
              <w:spacing w:after="0"/>
              <w:rPr>
                <w:sz w:val="16"/>
                <w:szCs w:val="16"/>
                <w:color w:val="auto"/>
              </w:rPr>
            </w:pPr>
          </w:p>
        </w:tc>
        <w:tc>
          <w:tcPr>
            <w:tcW w:w="760" w:type="dxa"/>
            <w:vAlign w:val="bottom"/>
            <w:tcBorders>
              <w:bottom w:val="single" w:sz="8" w:color="131E29"/>
            </w:tcBorders>
          </w:tcPr>
          <w:p>
            <w:pPr>
              <w:jc w:val="right"/>
              <w:ind w:right="309"/>
              <w:spacing w:after="0"/>
              <w:rPr>
                <w:sz w:val="20"/>
                <w:szCs w:val="20"/>
                <w:color w:val="auto"/>
              </w:rPr>
            </w:pPr>
            <w:r>
              <w:rPr>
                <w:rFonts w:ascii="Arial" w:cs="Arial" w:eastAsia="Arial" w:hAnsi="Arial"/>
                <w:sz w:val="14"/>
                <w:szCs w:val="14"/>
                <w:b w:val="1"/>
                <w:bCs w:val="1"/>
                <w:color w:val="131E29"/>
              </w:rPr>
              <w:t>2021</w:t>
            </w:r>
          </w:p>
        </w:tc>
        <w:tc>
          <w:tcPr>
            <w:tcW w:w="80" w:type="dxa"/>
            <w:vAlign w:val="bottom"/>
            <w:tcBorders>
              <w:bottom w:val="single" w:sz="8" w:color="D2DCE5"/>
            </w:tcBorders>
          </w:tcPr>
          <w:p>
            <w:pPr>
              <w:spacing w:after="0"/>
              <w:rPr>
                <w:sz w:val="16"/>
                <w:szCs w:val="16"/>
                <w:color w:val="auto"/>
              </w:rPr>
            </w:pPr>
          </w:p>
        </w:tc>
        <w:tc>
          <w:tcPr>
            <w:tcW w:w="20" w:type="dxa"/>
            <w:vAlign w:val="bottom"/>
            <w:tcBorders>
              <w:bottom w:val="single" w:sz="8" w:color="131E29"/>
            </w:tcBorders>
          </w:tcPr>
          <w:p>
            <w:pPr>
              <w:spacing w:after="0"/>
              <w:rPr>
                <w:sz w:val="16"/>
                <w:szCs w:val="16"/>
                <w:color w:val="auto"/>
              </w:rPr>
            </w:pPr>
          </w:p>
        </w:tc>
        <w:tc>
          <w:tcPr>
            <w:tcW w:w="80" w:type="dxa"/>
            <w:vAlign w:val="bottom"/>
            <w:tcBorders>
              <w:bottom w:val="single" w:sz="8" w:color="131E29"/>
            </w:tcBorders>
          </w:tcPr>
          <w:p>
            <w:pPr>
              <w:spacing w:after="0"/>
              <w:rPr>
                <w:sz w:val="16"/>
                <w:szCs w:val="16"/>
                <w:color w:val="auto"/>
              </w:rPr>
            </w:pPr>
          </w:p>
        </w:tc>
        <w:tc>
          <w:tcPr>
            <w:tcW w:w="160" w:type="dxa"/>
            <w:vAlign w:val="bottom"/>
            <w:tcBorders>
              <w:bottom w:val="single" w:sz="8" w:color="131E29"/>
            </w:tcBorders>
          </w:tcPr>
          <w:p>
            <w:pPr>
              <w:spacing w:after="0"/>
              <w:rPr>
                <w:sz w:val="16"/>
                <w:szCs w:val="16"/>
                <w:color w:val="auto"/>
              </w:rPr>
            </w:pPr>
          </w:p>
        </w:tc>
        <w:tc>
          <w:tcPr>
            <w:tcW w:w="760" w:type="dxa"/>
            <w:vAlign w:val="bottom"/>
            <w:tcBorders>
              <w:bottom w:val="single" w:sz="8" w:color="131E29"/>
            </w:tcBorders>
          </w:tcPr>
          <w:p>
            <w:pPr>
              <w:jc w:val="right"/>
              <w:ind w:right="289"/>
              <w:spacing w:after="0"/>
              <w:rPr>
                <w:sz w:val="20"/>
                <w:szCs w:val="20"/>
                <w:color w:val="auto"/>
              </w:rPr>
            </w:pPr>
            <w:r>
              <w:rPr>
                <w:rFonts w:ascii="Arial" w:cs="Arial" w:eastAsia="Arial" w:hAnsi="Arial"/>
                <w:sz w:val="14"/>
                <w:szCs w:val="14"/>
                <w:b w:val="1"/>
                <w:bCs w:val="1"/>
                <w:color w:val="131E29"/>
              </w:rPr>
              <w:t>2020</w:t>
            </w:r>
          </w:p>
        </w:tc>
        <w:tc>
          <w:tcPr>
            <w:tcW w:w="80" w:type="dxa"/>
            <w:vAlign w:val="bottom"/>
            <w:tcBorders>
              <w:bottom w:val="single" w:sz="8" w:color="D2DCE5"/>
            </w:tcBorders>
          </w:tcPr>
          <w:p>
            <w:pPr>
              <w:spacing w:after="0"/>
              <w:rPr>
                <w:sz w:val="16"/>
                <w:szCs w:val="16"/>
                <w:color w:val="auto"/>
              </w:rPr>
            </w:pPr>
          </w:p>
        </w:tc>
        <w:tc>
          <w:tcPr>
            <w:tcW w:w="20" w:type="dxa"/>
            <w:vAlign w:val="bottom"/>
            <w:tcBorders>
              <w:bottom w:val="single" w:sz="8" w:color="131E29"/>
            </w:tcBorders>
          </w:tcPr>
          <w:p>
            <w:pPr>
              <w:spacing w:after="0"/>
              <w:rPr>
                <w:sz w:val="16"/>
                <w:szCs w:val="16"/>
                <w:color w:val="auto"/>
              </w:rPr>
            </w:pPr>
          </w:p>
        </w:tc>
        <w:tc>
          <w:tcPr>
            <w:tcW w:w="80" w:type="dxa"/>
            <w:vAlign w:val="bottom"/>
            <w:tcBorders>
              <w:bottom w:val="single" w:sz="8" w:color="131E29"/>
            </w:tcBorders>
          </w:tcPr>
          <w:p>
            <w:pPr>
              <w:spacing w:after="0"/>
              <w:rPr>
                <w:sz w:val="16"/>
                <w:szCs w:val="16"/>
                <w:color w:val="auto"/>
              </w:rPr>
            </w:pPr>
          </w:p>
        </w:tc>
        <w:tc>
          <w:tcPr>
            <w:tcW w:w="180" w:type="dxa"/>
            <w:vAlign w:val="bottom"/>
            <w:tcBorders>
              <w:bottom w:val="single" w:sz="8" w:color="131E29"/>
            </w:tcBorders>
          </w:tcPr>
          <w:p>
            <w:pPr>
              <w:spacing w:after="0"/>
              <w:rPr>
                <w:sz w:val="16"/>
                <w:szCs w:val="16"/>
                <w:color w:val="auto"/>
              </w:rPr>
            </w:pPr>
          </w:p>
        </w:tc>
        <w:tc>
          <w:tcPr>
            <w:tcW w:w="1800" w:type="dxa"/>
            <w:vAlign w:val="bottom"/>
            <w:tcBorders>
              <w:bottom w:val="single" w:sz="8" w:color="131E29"/>
            </w:tcBorders>
            <w:gridSpan w:val="4"/>
          </w:tcPr>
          <w:p>
            <w:pPr>
              <w:ind w:left="420"/>
              <w:spacing w:after="0"/>
              <w:rPr>
                <w:sz w:val="20"/>
                <w:szCs w:val="20"/>
                <w:color w:val="auto"/>
              </w:rPr>
            </w:pPr>
            <w:r>
              <w:rPr>
                <w:rFonts w:ascii="Arial" w:cs="Arial" w:eastAsia="Arial" w:hAnsi="Arial"/>
                <w:sz w:val="14"/>
                <w:szCs w:val="14"/>
                <w:b w:val="1"/>
                <w:bCs w:val="1"/>
                <w:color w:val="131E29"/>
              </w:rPr>
              <w:t>2022 v. 2021</w:t>
            </w:r>
          </w:p>
        </w:tc>
        <w:tc>
          <w:tcPr>
            <w:tcW w:w="120" w:type="dxa"/>
            <w:vAlign w:val="bottom"/>
            <w:tcBorders>
              <w:bottom w:val="single" w:sz="8" w:color="131E29"/>
            </w:tcBorders>
          </w:tcPr>
          <w:p>
            <w:pPr>
              <w:spacing w:after="0"/>
              <w:rPr>
                <w:sz w:val="16"/>
                <w:szCs w:val="16"/>
                <w:color w:val="auto"/>
              </w:rPr>
            </w:pPr>
          </w:p>
        </w:tc>
        <w:tc>
          <w:tcPr>
            <w:tcW w:w="60" w:type="dxa"/>
            <w:vAlign w:val="bottom"/>
            <w:tcBorders>
              <w:bottom w:val="single" w:sz="8" w:color="D2DCE5"/>
            </w:tcBorders>
          </w:tcPr>
          <w:p>
            <w:pPr>
              <w:spacing w:after="0"/>
              <w:rPr>
                <w:sz w:val="16"/>
                <w:szCs w:val="16"/>
                <w:color w:val="auto"/>
              </w:rPr>
            </w:pPr>
          </w:p>
        </w:tc>
        <w:tc>
          <w:tcPr>
            <w:tcW w:w="40" w:type="dxa"/>
            <w:vAlign w:val="bottom"/>
            <w:tcBorders>
              <w:bottom w:val="single" w:sz="8" w:color="D2DCE5"/>
            </w:tcBorders>
          </w:tcPr>
          <w:p>
            <w:pPr>
              <w:spacing w:after="0"/>
              <w:rPr>
                <w:sz w:val="16"/>
                <w:szCs w:val="16"/>
                <w:color w:val="auto"/>
              </w:rPr>
            </w:pPr>
          </w:p>
        </w:tc>
        <w:tc>
          <w:tcPr>
            <w:tcW w:w="60" w:type="dxa"/>
            <w:vAlign w:val="bottom"/>
            <w:tcBorders>
              <w:bottom w:val="single" w:sz="8" w:color="131E29"/>
            </w:tcBorders>
          </w:tcPr>
          <w:p>
            <w:pPr>
              <w:spacing w:after="0"/>
              <w:rPr>
                <w:sz w:val="16"/>
                <w:szCs w:val="16"/>
                <w:color w:val="auto"/>
              </w:rPr>
            </w:pPr>
          </w:p>
        </w:tc>
        <w:tc>
          <w:tcPr>
            <w:tcW w:w="100" w:type="dxa"/>
            <w:vAlign w:val="bottom"/>
            <w:tcBorders>
              <w:bottom w:val="single" w:sz="8" w:color="131E29"/>
            </w:tcBorders>
          </w:tcPr>
          <w:p>
            <w:pPr>
              <w:spacing w:after="0"/>
              <w:rPr>
                <w:sz w:val="16"/>
                <w:szCs w:val="16"/>
                <w:color w:val="auto"/>
              </w:rPr>
            </w:pPr>
          </w:p>
        </w:tc>
        <w:tc>
          <w:tcPr>
            <w:tcW w:w="460" w:type="dxa"/>
            <w:vAlign w:val="bottom"/>
            <w:tcBorders>
              <w:bottom w:val="single" w:sz="8" w:color="131E29"/>
            </w:tcBorders>
          </w:tcPr>
          <w:p>
            <w:pPr>
              <w:spacing w:after="0"/>
              <w:rPr>
                <w:sz w:val="16"/>
                <w:szCs w:val="16"/>
                <w:color w:val="auto"/>
              </w:rPr>
            </w:pPr>
          </w:p>
        </w:tc>
        <w:tc>
          <w:tcPr>
            <w:tcW w:w="80" w:type="dxa"/>
            <w:vAlign w:val="bottom"/>
            <w:tcBorders>
              <w:bottom w:val="single" w:sz="8" w:color="131E29"/>
            </w:tcBorders>
          </w:tcPr>
          <w:p>
            <w:pPr>
              <w:spacing w:after="0"/>
              <w:rPr>
                <w:sz w:val="16"/>
                <w:szCs w:val="16"/>
                <w:color w:val="auto"/>
              </w:rPr>
            </w:pPr>
          </w:p>
        </w:tc>
        <w:tc>
          <w:tcPr>
            <w:tcW w:w="1600" w:type="dxa"/>
            <w:vAlign w:val="bottom"/>
            <w:tcBorders>
              <w:bottom w:val="single" w:sz="8" w:color="131E29"/>
            </w:tcBorders>
            <w:gridSpan w:val="2"/>
          </w:tcPr>
          <w:p>
            <w:pPr>
              <w:jc w:val="right"/>
              <w:ind w:right="674"/>
              <w:spacing w:after="0"/>
              <w:rPr>
                <w:sz w:val="20"/>
                <w:szCs w:val="20"/>
                <w:color w:val="auto"/>
              </w:rPr>
            </w:pPr>
            <w:r>
              <w:rPr>
                <w:rFonts w:ascii="Arial" w:cs="Arial" w:eastAsia="Arial" w:hAnsi="Arial"/>
                <w:sz w:val="14"/>
                <w:szCs w:val="14"/>
                <w:b w:val="1"/>
                <w:bCs w:val="1"/>
                <w:color w:val="131E29"/>
              </w:rPr>
              <w:t>2021 v. 2020</w:t>
            </w:r>
          </w:p>
        </w:tc>
      </w:tr>
      <w:tr>
        <w:trPr>
          <w:trHeight w:val="212"/>
        </w:trPr>
        <w:tc>
          <w:tcPr>
            <w:tcW w:w="3260" w:type="dxa"/>
            <w:vAlign w:val="bottom"/>
            <w:gridSpan w:val="3"/>
            <w:shd w:val="clear" w:color="auto" w:fill="D2DCE5"/>
          </w:tcPr>
          <w:p>
            <w:pPr>
              <w:ind w:left="20"/>
              <w:spacing w:after="0"/>
              <w:rPr>
                <w:sz w:val="20"/>
                <w:szCs w:val="20"/>
                <w:color w:val="auto"/>
              </w:rPr>
            </w:pPr>
            <w:r>
              <w:rPr>
                <w:rFonts w:ascii="Arial" w:cs="Arial" w:eastAsia="Arial" w:hAnsi="Arial"/>
                <w:sz w:val="13"/>
                <w:szCs w:val="13"/>
                <w:color w:val="131E29"/>
              </w:rPr>
              <w:t>Occupancy and other costs</w:t>
            </w:r>
          </w:p>
        </w:tc>
        <w:tc>
          <w:tcPr>
            <w:tcW w:w="220" w:type="dxa"/>
            <w:vAlign w:val="bottom"/>
            <w:shd w:val="clear" w:color="auto" w:fill="D2DCE5"/>
          </w:tcPr>
          <w:p>
            <w:pPr>
              <w:jc w:val="right"/>
              <w:ind w:right="69"/>
              <w:spacing w:after="0"/>
              <w:rPr>
                <w:sz w:val="20"/>
                <w:szCs w:val="20"/>
                <w:color w:val="auto"/>
              </w:rPr>
            </w:pPr>
            <w:r>
              <w:rPr>
                <w:rFonts w:ascii="Arial" w:cs="Arial" w:eastAsia="Arial" w:hAnsi="Arial"/>
                <w:sz w:val="14"/>
                <w:szCs w:val="14"/>
                <w:color w:val="131E29"/>
                <w:w w:val="76"/>
              </w:rPr>
              <w:t>$</w:t>
            </w:r>
          </w:p>
        </w:tc>
        <w:tc>
          <w:tcPr>
            <w:tcW w:w="80" w:type="dxa"/>
            <w:vAlign w:val="bottom"/>
            <w:shd w:val="clear" w:color="auto" w:fill="D2DCE5"/>
          </w:tcPr>
          <w:p>
            <w:pPr>
              <w:spacing w:after="0"/>
              <w:rPr>
                <w:sz w:val="18"/>
                <w:szCs w:val="18"/>
                <w:color w:val="auto"/>
              </w:rPr>
            </w:pPr>
          </w:p>
        </w:tc>
        <w:tc>
          <w:tcPr>
            <w:tcW w:w="160" w:type="dxa"/>
            <w:vAlign w:val="bottom"/>
            <w:shd w:val="clear" w:color="auto" w:fill="D2DCE5"/>
          </w:tcPr>
          <w:p>
            <w:pPr>
              <w:spacing w:after="0"/>
              <w:rPr>
                <w:sz w:val="18"/>
                <w:szCs w:val="18"/>
                <w:color w:val="auto"/>
              </w:rPr>
            </w:pPr>
          </w:p>
        </w:tc>
        <w:tc>
          <w:tcPr>
            <w:tcW w:w="6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109,366</w:t>
            </w:r>
          </w:p>
        </w:tc>
        <w:tc>
          <w:tcPr>
            <w:tcW w:w="80" w:type="dxa"/>
            <w:vAlign w:val="bottom"/>
            <w:shd w:val="clear" w:color="auto" w:fill="D2DCE5"/>
          </w:tcPr>
          <w:p>
            <w:pPr>
              <w:spacing w:after="0"/>
              <w:rPr>
                <w:sz w:val="18"/>
                <w:szCs w:val="18"/>
                <w:color w:val="auto"/>
              </w:rPr>
            </w:pPr>
          </w:p>
        </w:tc>
        <w:tc>
          <w:tcPr>
            <w:tcW w:w="1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7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63,570</w:t>
            </w:r>
          </w:p>
        </w:tc>
        <w:tc>
          <w:tcPr>
            <w:tcW w:w="80" w:type="dxa"/>
            <w:vAlign w:val="bottom"/>
            <w:shd w:val="clear" w:color="auto" w:fill="D2DCE5"/>
          </w:tcPr>
          <w:p>
            <w:pPr>
              <w:spacing w:after="0"/>
              <w:rPr>
                <w:sz w:val="18"/>
                <w:szCs w:val="18"/>
                <w:color w:val="auto"/>
              </w:rPr>
            </w:pPr>
          </w:p>
        </w:tc>
        <w:tc>
          <w:tcPr>
            <w:tcW w:w="100" w:type="dxa"/>
            <w:vAlign w:val="bottom"/>
            <w:gridSpan w:val="2"/>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60" w:type="dxa"/>
            <w:vAlign w:val="bottom"/>
            <w:shd w:val="clear" w:color="auto" w:fill="D2DCE5"/>
          </w:tcPr>
          <w:p>
            <w:pPr>
              <w:spacing w:after="0"/>
              <w:rPr>
                <w:sz w:val="18"/>
                <w:szCs w:val="18"/>
                <w:color w:val="auto"/>
              </w:rPr>
            </w:pPr>
          </w:p>
        </w:tc>
        <w:tc>
          <w:tcPr>
            <w:tcW w:w="7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38,611</w:t>
            </w:r>
          </w:p>
        </w:tc>
        <w:tc>
          <w:tcPr>
            <w:tcW w:w="80" w:type="dxa"/>
            <w:vAlign w:val="bottom"/>
            <w:shd w:val="clear" w:color="auto" w:fill="D2DCE5"/>
          </w:tcPr>
          <w:p>
            <w:pPr>
              <w:spacing w:after="0"/>
              <w:rPr>
                <w:sz w:val="18"/>
                <w:szCs w:val="18"/>
                <w:color w:val="auto"/>
              </w:rPr>
            </w:pPr>
          </w:p>
        </w:tc>
        <w:tc>
          <w:tcPr>
            <w:tcW w:w="100" w:type="dxa"/>
            <w:vAlign w:val="bottom"/>
            <w:gridSpan w:val="2"/>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80" w:type="dxa"/>
            <w:vAlign w:val="bottom"/>
            <w:shd w:val="clear" w:color="auto" w:fill="D2DCE5"/>
          </w:tcPr>
          <w:p>
            <w:pPr>
              <w:spacing w:after="0"/>
              <w:rPr>
                <w:sz w:val="18"/>
                <w:szCs w:val="18"/>
                <w:color w:val="auto"/>
              </w:rPr>
            </w:pPr>
          </w:p>
        </w:tc>
        <w:tc>
          <w:tcPr>
            <w:tcW w:w="940" w:type="dxa"/>
            <w:vAlign w:val="bottom"/>
            <w:shd w:val="clear" w:color="auto" w:fill="D2DCE5"/>
          </w:tcPr>
          <w:p>
            <w:pPr>
              <w:jc w:val="right"/>
              <w:ind w:right="209"/>
              <w:spacing w:after="0"/>
              <w:rPr>
                <w:sz w:val="20"/>
                <w:szCs w:val="20"/>
                <w:color w:val="auto"/>
              </w:rPr>
            </w:pPr>
            <w:r>
              <w:rPr>
                <w:rFonts w:ascii="Arial" w:cs="Arial" w:eastAsia="Arial" w:hAnsi="Arial"/>
                <w:sz w:val="14"/>
                <w:szCs w:val="14"/>
                <w:color w:val="131E29"/>
              </w:rPr>
              <w:t>45,796</w:t>
            </w:r>
          </w:p>
        </w:tc>
        <w:tc>
          <w:tcPr>
            <w:tcW w:w="860" w:type="dxa"/>
            <w:vAlign w:val="bottom"/>
            <w:gridSpan w:val="3"/>
            <w:shd w:val="clear" w:color="auto" w:fill="D2DCE5"/>
          </w:tcPr>
          <w:p>
            <w:pPr>
              <w:jc w:val="right"/>
              <w:ind w:right="240"/>
              <w:spacing w:after="0"/>
              <w:rPr>
                <w:sz w:val="20"/>
                <w:szCs w:val="20"/>
                <w:color w:val="auto"/>
              </w:rPr>
            </w:pPr>
            <w:r>
              <w:rPr>
                <w:rFonts w:ascii="Arial" w:cs="Arial" w:eastAsia="Arial" w:hAnsi="Arial"/>
                <w:sz w:val="14"/>
                <w:szCs w:val="14"/>
                <w:color w:val="131E29"/>
              </w:rPr>
              <w:t>72.0%</w:t>
            </w:r>
          </w:p>
        </w:tc>
        <w:tc>
          <w:tcPr>
            <w:tcW w:w="380" w:type="dxa"/>
            <w:vAlign w:val="bottom"/>
            <w:gridSpan w:val="5"/>
            <w:shd w:val="clear" w:color="auto" w:fill="D2DCE5"/>
          </w:tcPr>
          <w:p>
            <w:pPr>
              <w:jc w:val="right"/>
              <w:ind w:right="80"/>
              <w:spacing w:after="0"/>
              <w:rPr>
                <w:sz w:val="20"/>
                <w:szCs w:val="20"/>
                <w:color w:val="auto"/>
              </w:rPr>
            </w:pPr>
            <w:r>
              <w:rPr>
                <w:rFonts w:ascii="Arial" w:cs="Arial" w:eastAsia="Arial" w:hAnsi="Arial"/>
                <w:sz w:val="14"/>
                <w:szCs w:val="14"/>
                <w:color w:val="131E29"/>
              </w:rPr>
              <w:t>$</w:t>
            </w:r>
          </w:p>
        </w:tc>
        <w:tc>
          <w:tcPr>
            <w:tcW w:w="940" w:type="dxa"/>
            <w:vAlign w:val="bottom"/>
            <w:gridSpan w:val="3"/>
            <w:shd w:val="clear" w:color="auto" w:fill="D2DCE5"/>
          </w:tcPr>
          <w:p>
            <w:pPr>
              <w:jc w:val="right"/>
              <w:spacing w:after="0"/>
              <w:rPr>
                <w:sz w:val="20"/>
                <w:szCs w:val="20"/>
                <w:color w:val="auto"/>
              </w:rPr>
            </w:pPr>
            <w:r>
              <w:rPr>
                <w:rFonts w:ascii="Arial" w:cs="Arial" w:eastAsia="Arial" w:hAnsi="Arial"/>
                <w:sz w:val="14"/>
                <w:szCs w:val="14"/>
                <w:color w:val="131E29"/>
              </w:rPr>
              <w:t>24,959</w:t>
            </w:r>
          </w:p>
        </w:tc>
        <w:tc>
          <w:tcPr>
            <w:tcW w:w="1200" w:type="dxa"/>
            <w:vAlign w:val="bottom"/>
            <w:shd w:val="clear" w:color="auto" w:fill="D2DCE5"/>
          </w:tcPr>
          <w:p>
            <w:pPr>
              <w:jc w:val="center"/>
              <w:ind w:left="14"/>
              <w:spacing w:after="0"/>
              <w:rPr>
                <w:sz w:val="20"/>
                <w:szCs w:val="20"/>
                <w:color w:val="auto"/>
              </w:rPr>
            </w:pPr>
            <w:r>
              <w:rPr>
                <w:rFonts w:ascii="Arial" w:cs="Arial" w:eastAsia="Arial" w:hAnsi="Arial"/>
                <w:sz w:val="14"/>
                <w:szCs w:val="14"/>
                <w:color w:val="131E29"/>
              </w:rPr>
              <w:t>64.6%</w:t>
            </w:r>
          </w:p>
        </w:tc>
      </w:tr>
      <w:tr>
        <w:trPr>
          <w:trHeight w:val="197"/>
        </w:trPr>
        <w:tc>
          <w:tcPr>
            <w:tcW w:w="3260" w:type="dxa"/>
            <w:vAlign w:val="bottom"/>
            <w:gridSpan w:val="3"/>
          </w:tcPr>
          <w:p>
            <w:pPr>
              <w:ind w:left="20"/>
              <w:spacing w:after="0"/>
              <w:rPr>
                <w:sz w:val="20"/>
                <w:szCs w:val="20"/>
                <w:color w:val="auto"/>
              </w:rPr>
            </w:pPr>
            <w:r>
              <w:rPr>
                <w:rFonts w:ascii="Arial" w:cs="Arial" w:eastAsia="Arial" w:hAnsi="Arial"/>
                <w:sz w:val="13"/>
                <w:szCs w:val="13"/>
                <w:i w:val="1"/>
                <w:iCs w:val="1"/>
                <w:color w:val="131E29"/>
              </w:rPr>
              <w:t>As a percentage of company-operated shop revenues</w:t>
            </w:r>
          </w:p>
        </w:tc>
        <w:tc>
          <w:tcPr>
            <w:tcW w:w="1080" w:type="dxa"/>
            <w:vAlign w:val="bottom"/>
            <w:gridSpan w:val="4"/>
          </w:tcPr>
          <w:p>
            <w:pPr>
              <w:jc w:val="right"/>
              <w:ind w:right="269"/>
              <w:spacing w:after="0"/>
              <w:rPr>
                <w:sz w:val="20"/>
                <w:szCs w:val="20"/>
                <w:color w:val="auto"/>
              </w:rPr>
            </w:pPr>
            <w:r>
              <w:rPr>
                <w:rFonts w:ascii="Arial" w:cs="Arial" w:eastAsia="Arial" w:hAnsi="Arial"/>
                <w:sz w:val="14"/>
                <w:szCs w:val="14"/>
                <w:color w:val="131E29"/>
              </w:rPr>
              <w:t>17.1%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269"/>
              <w:spacing w:after="0"/>
              <w:rPr>
                <w:sz w:val="20"/>
                <w:szCs w:val="20"/>
                <w:color w:val="auto"/>
              </w:rPr>
            </w:pPr>
            <w:r>
              <w:rPr>
                <w:rFonts w:ascii="Arial" w:cs="Arial" w:eastAsia="Arial" w:hAnsi="Arial"/>
                <w:sz w:val="14"/>
                <w:szCs w:val="14"/>
                <w:color w:val="131E29"/>
              </w:rPr>
              <w:t>15.7%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229"/>
              <w:spacing w:after="0"/>
              <w:rPr>
                <w:sz w:val="20"/>
                <w:szCs w:val="20"/>
                <w:color w:val="auto"/>
              </w:rPr>
            </w:pPr>
            <w:r>
              <w:rPr>
                <w:rFonts w:ascii="Arial" w:cs="Arial" w:eastAsia="Arial" w:hAnsi="Arial"/>
                <w:sz w:val="14"/>
                <w:szCs w:val="14"/>
                <w:color w:val="131E29"/>
              </w:rPr>
              <w:t>15.8%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ind w:left="100"/>
              <w:spacing w:after="0"/>
              <w:rPr>
                <w:sz w:val="20"/>
                <w:szCs w:val="20"/>
                <w:color w:val="auto"/>
              </w:rPr>
            </w:pPr>
            <w:r>
              <w:rPr>
                <w:rFonts w:ascii="Arial" w:cs="Arial" w:eastAsia="Arial" w:hAnsi="Arial"/>
                <w:sz w:val="14"/>
                <w:szCs w:val="14"/>
                <w:color w:val="131E29"/>
              </w:rPr>
              <w:t>N/A</w:t>
            </w: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131E29"/>
              </w:rPr>
              <w:t>140 bps</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369"/>
              <w:spacing w:after="0"/>
              <w:rPr>
                <w:sz w:val="20"/>
                <w:szCs w:val="20"/>
                <w:color w:val="auto"/>
              </w:rPr>
            </w:pPr>
            <w:r>
              <w:rPr>
                <w:rFonts w:ascii="Arial" w:cs="Arial" w:eastAsia="Arial" w:hAnsi="Arial"/>
                <w:sz w:val="14"/>
                <w:szCs w:val="14"/>
                <w:color w:val="131E29"/>
              </w:rPr>
              <w:t>N/A</w:t>
            </w:r>
          </w:p>
        </w:tc>
        <w:tc>
          <w:tcPr>
            <w:tcW w:w="1200" w:type="dxa"/>
            <w:vAlign w:val="bottom"/>
          </w:tcPr>
          <w:p>
            <w:pPr>
              <w:jc w:val="center"/>
              <w:ind w:left="14"/>
              <w:spacing w:after="0"/>
              <w:rPr>
                <w:sz w:val="20"/>
                <w:szCs w:val="20"/>
                <w:color w:val="auto"/>
              </w:rPr>
            </w:pPr>
            <w:r>
              <w:rPr>
                <w:rFonts w:ascii="Arial" w:cs="Arial" w:eastAsia="Arial" w:hAnsi="Arial"/>
                <w:sz w:val="14"/>
                <w:szCs w:val="14"/>
                <w:color w:val="131E29"/>
              </w:rPr>
              <w:t>(10) bps</w:t>
            </w:r>
          </w:p>
        </w:tc>
      </w:tr>
      <w:tr>
        <w:trPr>
          <w:trHeight w:val="355"/>
        </w:trPr>
        <w:tc>
          <w:tcPr>
            <w:tcW w:w="3260" w:type="dxa"/>
            <w:vAlign w:val="bottom"/>
            <w:gridSpan w:val="3"/>
          </w:tcPr>
          <w:p>
            <w:pPr>
              <w:spacing w:after="0"/>
              <w:rPr>
                <w:sz w:val="20"/>
                <w:szCs w:val="20"/>
                <w:color w:val="auto"/>
              </w:rPr>
            </w:pPr>
            <w:r>
              <w:rPr>
                <w:rFonts w:ascii="Arial" w:cs="Arial" w:eastAsia="Arial" w:hAnsi="Arial"/>
                <w:sz w:val="14"/>
                <w:szCs w:val="14"/>
                <w:color w:val="006098"/>
              </w:rPr>
              <w:t>Year Ended December 31, 2022 v 2021</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
        </w:trPr>
        <w:tc>
          <w:tcPr>
            <w:tcW w:w="2480" w:type="dxa"/>
            <w:vAlign w:val="bottom"/>
            <w:shd w:val="clear" w:color="auto" w:fill="006098"/>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81"/>
        </w:trPr>
        <w:tc>
          <w:tcPr>
            <w:tcW w:w="8760" w:type="dxa"/>
            <w:vAlign w:val="bottom"/>
            <w:gridSpan w:val="25"/>
          </w:tcPr>
          <w:p>
            <w:pPr>
              <w:spacing w:after="0"/>
              <w:rPr>
                <w:sz w:val="20"/>
                <w:szCs w:val="20"/>
                <w:color w:val="auto"/>
              </w:rPr>
            </w:pPr>
            <w:r>
              <w:rPr>
                <w:rFonts w:ascii="Arial" w:cs="Arial" w:eastAsia="Arial" w:hAnsi="Arial"/>
                <w:sz w:val="14"/>
                <w:szCs w:val="14"/>
                <w:color w:val="131E29"/>
              </w:rPr>
              <w:t>The occupancy and other costs impacts for the year-over-year comparison were driven by the following (in dollars and basis points):</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352"/>
        </w:trPr>
        <w:tc>
          <w:tcPr>
            <w:tcW w:w="326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color w:val="131E29"/>
              </w:rPr>
              <w:t>(in thousands; unaudited)</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D2DCE5"/>
            </w:tcBorders>
          </w:tcPr>
          <w:p>
            <w:pPr>
              <w:spacing w:after="0"/>
              <w:rPr>
                <w:sz w:val="24"/>
                <w:szCs w:val="24"/>
                <w:color w:val="auto"/>
              </w:rPr>
            </w:pPr>
          </w:p>
        </w:tc>
        <w:tc>
          <w:tcPr>
            <w:tcW w:w="580" w:type="dxa"/>
            <w:vAlign w:val="bottom"/>
            <w:tcBorders>
              <w:bottom w:val="single" w:sz="8" w:color="131E29"/>
            </w:tcBorders>
          </w:tcPr>
          <w:p>
            <w:pPr>
              <w:spacing w:after="0"/>
              <w:rPr>
                <w:sz w:val="24"/>
                <w:szCs w:val="24"/>
                <w:color w:val="auto"/>
              </w:rPr>
            </w:pPr>
          </w:p>
        </w:tc>
        <w:tc>
          <w:tcPr>
            <w:tcW w:w="180" w:type="dxa"/>
            <w:vAlign w:val="bottom"/>
            <w:tcBorders>
              <w:bottom w:val="single" w:sz="8" w:color="131E29"/>
            </w:tcBorders>
            <w:gridSpan w:val="2"/>
          </w:tcPr>
          <w:p>
            <w:pPr>
              <w:jc w:val="right"/>
              <w:ind w:right="20"/>
              <w:spacing w:after="0"/>
              <w:rPr>
                <w:sz w:val="20"/>
                <w:szCs w:val="20"/>
                <w:color w:val="auto"/>
              </w:rPr>
            </w:pPr>
            <w:r>
              <w:rPr>
                <w:rFonts w:ascii="Arial" w:cs="Arial" w:eastAsia="Arial" w:hAnsi="Arial"/>
                <w:sz w:val="14"/>
                <w:szCs w:val="14"/>
                <w:b w:val="1"/>
                <w:bCs w:val="1"/>
                <w:color w:val="131E29"/>
              </w:rPr>
              <w:t>$</w:t>
            </w:r>
          </w:p>
        </w:tc>
        <w:tc>
          <w:tcPr>
            <w:tcW w:w="40" w:type="dxa"/>
            <w:vAlign w:val="bottom"/>
            <w:tcBorders>
              <w:bottom w:val="single" w:sz="8" w:color="131E29"/>
            </w:tcBorders>
          </w:tcPr>
          <w:p>
            <w:pPr>
              <w:spacing w:after="0"/>
              <w:rPr>
                <w:sz w:val="24"/>
                <w:szCs w:val="24"/>
                <w:color w:val="auto"/>
              </w:rPr>
            </w:pPr>
          </w:p>
        </w:tc>
        <w:tc>
          <w:tcPr>
            <w:tcW w:w="60" w:type="dxa"/>
            <w:vAlign w:val="bottom"/>
            <w:tcBorders>
              <w:bottom w:val="single" w:sz="8" w:color="131E29"/>
            </w:tcBorders>
          </w:tcPr>
          <w:p>
            <w:pPr>
              <w:spacing w:after="0"/>
              <w:rPr>
                <w:sz w:val="24"/>
                <w:szCs w:val="24"/>
                <w:color w:val="auto"/>
              </w:rPr>
            </w:pPr>
          </w:p>
        </w:tc>
        <w:tc>
          <w:tcPr>
            <w:tcW w:w="100" w:type="dxa"/>
            <w:vAlign w:val="bottom"/>
            <w:tcBorders>
              <w:bottom w:val="single" w:sz="8" w:color="131E29"/>
            </w:tcBorders>
          </w:tcPr>
          <w:p>
            <w:pPr>
              <w:spacing w:after="0"/>
              <w:rPr>
                <w:sz w:val="24"/>
                <w:szCs w:val="24"/>
                <w:color w:val="auto"/>
              </w:rPr>
            </w:pPr>
          </w:p>
        </w:tc>
        <w:tc>
          <w:tcPr>
            <w:tcW w:w="460" w:type="dxa"/>
            <w:vAlign w:val="bottom"/>
            <w:tcBorders>
              <w:bottom w:val="single" w:sz="8" w:color="131E29"/>
            </w:tcBorders>
          </w:tcPr>
          <w:p>
            <w:pPr>
              <w:spacing w:after="0"/>
              <w:rPr>
                <w:sz w:val="24"/>
                <w:szCs w:val="24"/>
                <w:color w:val="auto"/>
              </w:rPr>
            </w:pPr>
          </w:p>
        </w:tc>
        <w:tc>
          <w:tcPr>
            <w:tcW w:w="80" w:type="dxa"/>
            <w:vAlign w:val="bottom"/>
            <w:tcBorders>
              <w:bottom w:val="single" w:sz="8" w:color="D2DCE5"/>
            </w:tcBorders>
          </w:tcPr>
          <w:p>
            <w:pPr>
              <w:spacing w:after="0"/>
              <w:rPr>
                <w:sz w:val="24"/>
                <w:szCs w:val="24"/>
                <w:color w:val="auto"/>
              </w:rPr>
            </w:pPr>
          </w:p>
        </w:tc>
        <w:tc>
          <w:tcPr>
            <w:tcW w:w="400" w:type="dxa"/>
            <w:vAlign w:val="bottom"/>
            <w:tcBorders>
              <w:bottom w:val="single" w:sz="8" w:color="131E29"/>
            </w:tcBorders>
          </w:tcPr>
          <w:p>
            <w:pPr>
              <w:spacing w:after="0"/>
              <w:rPr>
                <w:sz w:val="24"/>
                <w:szCs w:val="24"/>
                <w:color w:val="auto"/>
              </w:rPr>
            </w:pPr>
          </w:p>
        </w:tc>
        <w:tc>
          <w:tcPr>
            <w:tcW w:w="1200" w:type="dxa"/>
            <w:vAlign w:val="bottom"/>
            <w:tcBorders>
              <w:bottom w:val="single" w:sz="8" w:color="131E29"/>
            </w:tcBorders>
          </w:tcPr>
          <w:p>
            <w:pPr>
              <w:jc w:val="right"/>
              <w:ind w:right="594"/>
              <w:spacing w:after="0"/>
              <w:rPr>
                <w:sz w:val="20"/>
                <w:szCs w:val="20"/>
                <w:color w:val="auto"/>
              </w:rPr>
            </w:pPr>
            <w:r>
              <w:rPr>
                <w:rFonts w:ascii="Arial" w:cs="Arial" w:eastAsia="Arial" w:hAnsi="Arial"/>
                <w:sz w:val="14"/>
                <w:szCs w:val="14"/>
                <w:b w:val="1"/>
                <w:bCs w:val="1"/>
                <w:color w:val="131E29"/>
              </w:rPr>
              <w:t>BPS</w:t>
            </w:r>
          </w:p>
        </w:tc>
      </w:tr>
      <w:tr>
        <w:trPr>
          <w:trHeight w:val="191"/>
        </w:trPr>
        <w:tc>
          <w:tcPr>
            <w:tcW w:w="3260" w:type="dxa"/>
            <w:vAlign w:val="bottom"/>
            <w:gridSpan w:val="3"/>
            <w:shd w:val="clear" w:color="auto" w:fill="D2DCE5"/>
          </w:tcPr>
          <w:p>
            <w:pPr>
              <w:ind w:left="20"/>
              <w:spacing w:after="0"/>
              <w:rPr>
                <w:sz w:val="20"/>
                <w:szCs w:val="20"/>
                <w:color w:val="auto"/>
              </w:rPr>
            </w:pPr>
            <w:r>
              <w:rPr>
                <w:rFonts w:ascii="Arial" w:cs="Arial" w:eastAsia="Arial" w:hAnsi="Arial"/>
                <w:sz w:val="13"/>
                <w:szCs w:val="13"/>
                <w:color w:val="131E29"/>
              </w:rPr>
              <w:t>Shop weeks</w:t>
            </w:r>
          </w:p>
        </w:tc>
        <w:tc>
          <w:tcPr>
            <w:tcW w:w="22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60" w:type="dxa"/>
            <w:vAlign w:val="bottom"/>
            <w:shd w:val="clear" w:color="auto" w:fill="D2DCE5"/>
          </w:tcPr>
          <w:p>
            <w:pPr>
              <w:spacing w:after="0"/>
              <w:rPr>
                <w:sz w:val="16"/>
                <w:szCs w:val="16"/>
                <w:color w:val="auto"/>
              </w:rPr>
            </w:pPr>
          </w:p>
        </w:tc>
        <w:tc>
          <w:tcPr>
            <w:tcW w:w="62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7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2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60" w:type="dxa"/>
            <w:vAlign w:val="bottom"/>
            <w:shd w:val="clear" w:color="auto" w:fill="D2DCE5"/>
          </w:tcPr>
          <w:p>
            <w:pPr>
              <w:spacing w:after="0"/>
              <w:rPr>
                <w:sz w:val="16"/>
                <w:szCs w:val="16"/>
                <w:color w:val="auto"/>
              </w:rPr>
            </w:pPr>
          </w:p>
        </w:tc>
        <w:tc>
          <w:tcPr>
            <w:tcW w:w="7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2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80" w:type="dxa"/>
            <w:vAlign w:val="bottom"/>
            <w:shd w:val="clear" w:color="auto" w:fill="D2DCE5"/>
          </w:tcPr>
          <w:p>
            <w:pPr>
              <w:spacing w:after="0"/>
              <w:rPr>
                <w:sz w:val="16"/>
                <w:szCs w:val="16"/>
                <w:color w:val="auto"/>
              </w:rPr>
            </w:pPr>
          </w:p>
        </w:tc>
        <w:tc>
          <w:tcPr>
            <w:tcW w:w="940" w:type="dxa"/>
            <w:vAlign w:val="bottom"/>
            <w:shd w:val="clear" w:color="auto" w:fill="D2DCE5"/>
          </w:tcPr>
          <w:p>
            <w:pPr>
              <w:spacing w:after="0"/>
              <w:rPr>
                <w:sz w:val="16"/>
                <w:szCs w:val="16"/>
                <w:color w:val="auto"/>
              </w:rPr>
            </w:pPr>
          </w:p>
        </w:tc>
        <w:tc>
          <w:tcPr>
            <w:tcW w:w="860" w:type="dxa"/>
            <w:vAlign w:val="bottom"/>
            <w:gridSpan w:val="3"/>
            <w:shd w:val="clear" w:color="auto" w:fill="D2DCE5"/>
          </w:tcPr>
          <w:p>
            <w:pPr>
              <w:jc w:val="right"/>
              <w:ind w:right="500"/>
              <w:spacing w:after="0"/>
              <w:rPr>
                <w:sz w:val="20"/>
                <w:szCs w:val="20"/>
                <w:color w:val="auto"/>
              </w:rPr>
            </w:pPr>
            <w:r>
              <w:rPr>
                <w:rFonts w:ascii="Arial" w:cs="Arial" w:eastAsia="Arial" w:hAnsi="Arial"/>
                <w:sz w:val="13"/>
                <w:szCs w:val="13"/>
                <w:color w:val="131E29"/>
              </w:rPr>
              <w:t>$</w:t>
            </w:r>
          </w:p>
        </w:tc>
        <w:tc>
          <w:tcPr>
            <w:tcW w:w="120" w:type="dxa"/>
            <w:vAlign w:val="bottom"/>
            <w:shd w:val="clear" w:color="auto" w:fill="D2DCE5"/>
          </w:tcPr>
          <w:p>
            <w:pPr>
              <w:spacing w:after="0"/>
              <w:rPr>
                <w:sz w:val="16"/>
                <w:szCs w:val="16"/>
                <w:color w:val="auto"/>
              </w:rPr>
            </w:pPr>
          </w:p>
        </w:tc>
        <w:tc>
          <w:tcPr>
            <w:tcW w:w="60" w:type="dxa"/>
            <w:vAlign w:val="bottom"/>
            <w:shd w:val="clear" w:color="auto" w:fill="D2DCE5"/>
          </w:tcPr>
          <w:p>
            <w:pPr>
              <w:spacing w:after="0"/>
              <w:rPr>
                <w:sz w:val="16"/>
                <w:szCs w:val="16"/>
                <w:color w:val="auto"/>
              </w:rPr>
            </w:pPr>
          </w:p>
        </w:tc>
        <w:tc>
          <w:tcPr>
            <w:tcW w:w="40" w:type="dxa"/>
            <w:vAlign w:val="bottom"/>
            <w:shd w:val="clear" w:color="auto" w:fill="D2DCE5"/>
          </w:tcPr>
          <w:p>
            <w:pPr>
              <w:spacing w:after="0"/>
              <w:rPr>
                <w:sz w:val="16"/>
                <w:szCs w:val="16"/>
                <w:color w:val="auto"/>
              </w:rPr>
            </w:pPr>
          </w:p>
        </w:tc>
        <w:tc>
          <w:tcPr>
            <w:tcW w:w="6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460" w:type="dxa"/>
            <w:vAlign w:val="bottom"/>
            <w:shd w:val="clear" w:color="auto" w:fill="D2DCE5"/>
          </w:tcPr>
          <w:p>
            <w:pPr>
              <w:jc w:val="right"/>
              <w:spacing w:after="0"/>
              <w:rPr>
                <w:sz w:val="20"/>
                <w:szCs w:val="20"/>
                <w:color w:val="auto"/>
              </w:rPr>
            </w:pPr>
            <w:r>
              <w:rPr>
                <w:rFonts w:ascii="Arial" w:cs="Arial" w:eastAsia="Arial" w:hAnsi="Arial"/>
                <w:sz w:val="13"/>
                <w:szCs w:val="13"/>
                <w:color w:val="131E29"/>
                <w:w w:val="95"/>
              </w:rPr>
              <w:t>35,654</w:t>
            </w:r>
          </w:p>
        </w:tc>
        <w:tc>
          <w:tcPr>
            <w:tcW w:w="80" w:type="dxa"/>
            <w:vAlign w:val="bottom"/>
            <w:shd w:val="clear" w:color="auto" w:fill="D2DCE5"/>
          </w:tcPr>
          <w:p>
            <w:pPr>
              <w:spacing w:after="0"/>
              <w:rPr>
                <w:sz w:val="16"/>
                <w:szCs w:val="16"/>
                <w:color w:val="auto"/>
              </w:rPr>
            </w:pPr>
          </w:p>
        </w:tc>
        <w:tc>
          <w:tcPr>
            <w:tcW w:w="400" w:type="dxa"/>
            <w:vAlign w:val="bottom"/>
            <w:shd w:val="clear" w:color="auto" w:fill="D2DCE5"/>
          </w:tcPr>
          <w:p>
            <w:pPr>
              <w:spacing w:after="0"/>
              <w:rPr>
                <w:sz w:val="16"/>
                <w:szCs w:val="16"/>
                <w:color w:val="auto"/>
              </w:rPr>
            </w:pPr>
          </w:p>
        </w:tc>
        <w:tc>
          <w:tcPr>
            <w:tcW w:w="120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N/A</w:t>
            </w:r>
          </w:p>
        </w:tc>
      </w:tr>
      <w:tr>
        <w:trPr>
          <w:trHeight w:val="183"/>
        </w:trPr>
        <w:tc>
          <w:tcPr>
            <w:tcW w:w="3260" w:type="dxa"/>
            <w:vAlign w:val="bottom"/>
            <w:gridSpan w:val="3"/>
          </w:tcPr>
          <w:p>
            <w:pPr>
              <w:ind w:left="20"/>
              <w:spacing w:after="0"/>
              <w:rPr>
                <w:sz w:val="20"/>
                <w:szCs w:val="20"/>
                <w:color w:val="auto"/>
              </w:rPr>
            </w:pPr>
            <w:r>
              <w:rPr>
                <w:rFonts w:ascii="Arial" w:cs="Arial" w:eastAsia="Arial" w:hAnsi="Arial"/>
                <w:sz w:val="13"/>
                <w:szCs w:val="13"/>
                <w:color w:val="131E29"/>
              </w:rPr>
              <w:t>Occupancy cost escalation</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131E29"/>
              </w:rPr>
              <w:t>8,733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131E29"/>
              </w:rPr>
              <w:t>140</w:t>
            </w:r>
          </w:p>
        </w:tc>
      </w:tr>
      <w:tr>
        <w:trPr>
          <w:trHeight w:val="199"/>
        </w:trPr>
        <w:tc>
          <w:tcPr>
            <w:tcW w:w="3260" w:type="dxa"/>
            <w:vAlign w:val="bottom"/>
            <w:gridSpan w:val="3"/>
            <w:shd w:val="clear" w:color="auto" w:fill="D2DCE5"/>
          </w:tcPr>
          <w:p>
            <w:pPr>
              <w:ind w:left="20"/>
              <w:spacing w:after="0"/>
              <w:rPr>
                <w:sz w:val="20"/>
                <w:szCs w:val="20"/>
                <w:color w:val="auto"/>
              </w:rPr>
            </w:pPr>
            <w:r>
              <w:rPr>
                <w:rFonts w:ascii="Arial" w:cs="Arial" w:eastAsia="Arial" w:hAnsi="Arial"/>
                <w:sz w:val="13"/>
                <w:szCs w:val="13"/>
                <w:color w:val="131E29"/>
              </w:rPr>
              <w:t>Higher preventative maintenance programs</w:t>
            </w:r>
          </w:p>
        </w:tc>
        <w:tc>
          <w:tcPr>
            <w:tcW w:w="2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60" w:type="dxa"/>
            <w:vAlign w:val="bottom"/>
            <w:shd w:val="clear" w:color="auto" w:fill="D2DCE5"/>
          </w:tcPr>
          <w:p>
            <w:pPr>
              <w:spacing w:after="0"/>
              <w:rPr>
                <w:sz w:val="17"/>
                <w:szCs w:val="17"/>
                <w:color w:val="auto"/>
              </w:rPr>
            </w:pPr>
          </w:p>
        </w:tc>
        <w:tc>
          <w:tcPr>
            <w:tcW w:w="6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7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60" w:type="dxa"/>
            <w:vAlign w:val="bottom"/>
            <w:shd w:val="clear" w:color="auto" w:fill="D2DCE5"/>
          </w:tcPr>
          <w:p>
            <w:pPr>
              <w:spacing w:after="0"/>
              <w:rPr>
                <w:sz w:val="17"/>
                <w:szCs w:val="17"/>
                <w:color w:val="auto"/>
              </w:rPr>
            </w:pPr>
          </w:p>
        </w:tc>
        <w:tc>
          <w:tcPr>
            <w:tcW w:w="7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80" w:type="dxa"/>
            <w:vAlign w:val="bottom"/>
            <w:shd w:val="clear" w:color="auto" w:fill="D2DCE5"/>
          </w:tcPr>
          <w:p>
            <w:pPr>
              <w:spacing w:after="0"/>
              <w:rPr>
                <w:sz w:val="17"/>
                <w:szCs w:val="17"/>
                <w:color w:val="auto"/>
              </w:rPr>
            </w:pPr>
          </w:p>
        </w:tc>
        <w:tc>
          <w:tcPr>
            <w:tcW w:w="940" w:type="dxa"/>
            <w:vAlign w:val="bottom"/>
            <w:shd w:val="clear" w:color="auto" w:fill="D2DCE5"/>
          </w:tcPr>
          <w:p>
            <w:pPr>
              <w:spacing w:after="0"/>
              <w:rPr>
                <w:sz w:val="17"/>
                <w:szCs w:val="17"/>
                <w:color w:val="auto"/>
              </w:rPr>
            </w:pPr>
          </w:p>
        </w:tc>
        <w:tc>
          <w:tcPr>
            <w:tcW w:w="1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580" w:type="dxa"/>
            <w:vAlign w:val="bottom"/>
            <w:shd w:val="clear" w:color="auto" w:fill="D2DCE5"/>
          </w:tcPr>
          <w:p>
            <w:pPr>
              <w:spacing w:after="0"/>
              <w:rPr>
                <w:sz w:val="17"/>
                <w:szCs w:val="17"/>
                <w:color w:val="auto"/>
              </w:rPr>
            </w:pPr>
          </w:p>
        </w:tc>
        <w:tc>
          <w:tcPr>
            <w:tcW w:w="120" w:type="dxa"/>
            <w:vAlign w:val="bottom"/>
            <w:shd w:val="clear" w:color="auto" w:fill="D2DCE5"/>
          </w:tcPr>
          <w:p>
            <w:pPr>
              <w:spacing w:after="0"/>
              <w:rPr>
                <w:sz w:val="17"/>
                <w:szCs w:val="17"/>
                <w:color w:val="auto"/>
              </w:rPr>
            </w:pPr>
          </w:p>
        </w:tc>
        <w:tc>
          <w:tcPr>
            <w:tcW w:w="60" w:type="dxa"/>
            <w:vAlign w:val="bottom"/>
            <w:shd w:val="clear" w:color="auto" w:fill="D2DCE5"/>
          </w:tcPr>
          <w:p>
            <w:pPr>
              <w:spacing w:after="0"/>
              <w:rPr>
                <w:sz w:val="17"/>
                <w:szCs w:val="17"/>
                <w:color w:val="auto"/>
              </w:rPr>
            </w:pPr>
          </w:p>
        </w:tc>
        <w:tc>
          <w:tcPr>
            <w:tcW w:w="40" w:type="dxa"/>
            <w:vAlign w:val="bottom"/>
            <w:shd w:val="clear" w:color="auto" w:fill="D2DCE5"/>
          </w:tcPr>
          <w:p>
            <w:pPr>
              <w:spacing w:after="0"/>
              <w:rPr>
                <w:sz w:val="17"/>
                <w:szCs w:val="17"/>
                <w:color w:val="auto"/>
              </w:rPr>
            </w:pPr>
          </w:p>
        </w:tc>
        <w:tc>
          <w:tcPr>
            <w:tcW w:w="6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4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2,816</w:t>
            </w:r>
          </w:p>
        </w:tc>
        <w:tc>
          <w:tcPr>
            <w:tcW w:w="80" w:type="dxa"/>
            <w:vAlign w:val="bottom"/>
            <w:shd w:val="clear" w:color="auto" w:fill="D2DCE5"/>
          </w:tcPr>
          <w:p>
            <w:pPr>
              <w:spacing w:after="0"/>
              <w:rPr>
                <w:sz w:val="17"/>
                <w:szCs w:val="17"/>
                <w:color w:val="auto"/>
              </w:rPr>
            </w:pPr>
          </w:p>
        </w:tc>
        <w:tc>
          <w:tcPr>
            <w:tcW w:w="400" w:type="dxa"/>
            <w:vAlign w:val="bottom"/>
            <w:shd w:val="clear" w:color="auto" w:fill="D2DCE5"/>
          </w:tcPr>
          <w:p>
            <w:pPr>
              <w:spacing w:after="0"/>
              <w:rPr>
                <w:sz w:val="17"/>
                <w:szCs w:val="17"/>
                <w:color w:val="auto"/>
              </w:rPr>
            </w:pPr>
          </w:p>
        </w:tc>
        <w:tc>
          <w:tcPr>
            <w:tcW w:w="120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40</w:t>
            </w:r>
          </w:p>
        </w:tc>
      </w:tr>
      <w:tr>
        <w:trPr>
          <w:trHeight w:val="183"/>
        </w:trPr>
        <w:tc>
          <w:tcPr>
            <w:tcW w:w="3260" w:type="dxa"/>
            <w:vAlign w:val="bottom"/>
            <w:gridSpan w:val="3"/>
          </w:tcPr>
          <w:p>
            <w:pPr>
              <w:ind w:left="20"/>
              <w:spacing w:after="0"/>
              <w:rPr>
                <w:sz w:val="20"/>
                <w:szCs w:val="20"/>
                <w:color w:val="auto"/>
              </w:rPr>
            </w:pPr>
            <w:r>
              <w:rPr>
                <w:rFonts w:ascii="Arial" w:cs="Arial" w:eastAsia="Arial" w:hAnsi="Arial"/>
                <w:sz w:val="13"/>
                <w:szCs w:val="13"/>
                <w:color w:val="131E29"/>
              </w:rPr>
              <w:t>Rent/CAMS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131E29"/>
              </w:rPr>
              <w:t>2,232</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131E29"/>
              </w:rPr>
              <w:t>30</w:t>
            </w:r>
          </w:p>
        </w:tc>
      </w:tr>
      <w:tr>
        <w:trPr>
          <w:trHeight w:val="199"/>
        </w:trPr>
        <w:tc>
          <w:tcPr>
            <w:tcW w:w="3260" w:type="dxa"/>
            <w:vAlign w:val="bottom"/>
            <w:gridSpan w:val="3"/>
            <w:shd w:val="clear" w:color="auto" w:fill="D2DCE5"/>
          </w:tcPr>
          <w:p>
            <w:pPr>
              <w:ind w:left="20"/>
              <w:spacing w:after="0"/>
              <w:rPr>
                <w:sz w:val="20"/>
                <w:szCs w:val="20"/>
                <w:color w:val="auto"/>
              </w:rPr>
            </w:pPr>
            <w:r>
              <w:rPr>
                <w:rFonts w:ascii="Arial" w:cs="Arial" w:eastAsia="Arial" w:hAnsi="Arial"/>
                <w:sz w:val="13"/>
                <w:szCs w:val="13"/>
                <w:color w:val="131E29"/>
              </w:rPr>
              <w:t>New shop impact</w:t>
            </w:r>
          </w:p>
        </w:tc>
        <w:tc>
          <w:tcPr>
            <w:tcW w:w="2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60" w:type="dxa"/>
            <w:vAlign w:val="bottom"/>
            <w:shd w:val="clear" w:color="auto" w:fill="D2DCE5"/>
          </w:tcPr>
          <w:p>
            <w:pPr>
              <w:spacing w:after="0"/>
              <w:rPr>
                <w:sz w:val="17"/>
                <w:szCs w:val="17"/>
                <w:color w:val="auto"/>
              </w:rPr>
            </w:pPr>
          </w:p>
        </w:tc>
        <w:tc>
          <w:tcPr>
            <w:tcW w:w="6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7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60" w:type="dxa"/>
            <w:vAlign w:val="bottom"/>
            <w:shd w:val="clear" w:color="auto" w:fill="D2DCE5"/>
          </w:tcPr>
          <w:p>
            <w:pPr>
              <w:spacing w:after="0"/>
              <w:rPr>
                <w:sz w:val="17"/>
                <w:szCs w:val="17"/>
                <w:color w:val="auto"/>
              </w:rPr>
            </w:pPr>
          </w:p>
        </w:tc>
        <w:tc>
          <w:tcPr>
            <w:tcW w:w="7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80" w:type="dxa"/>
            <w:vAlign w:val="bottom"/>
            <w:shd w:val="clear" w:color="auto" w:fill="D2DCE5"/>
          </w:tcPr>
          <w:p>
            <w:pPr>
              <w:spacing w:after="0"/>
              <w:rPr>
                <w:sz w:val="17"/>
                <w:szCs w:val="17"/>
                <w:color w:val="auto"/>
              </w:rPr>
            </w:pPr>
          </w:p>
        </w:tc>
        <w:tc>
          <w:tcPr>
            <w:tcW w:w="940" w:type="dxa"/>
            <w:vAlign w:val="bottom"/>
            <w:shd w:val="clear" w:color="auto" w:fill="D2DCE5"/>
          </w:tcPr>
          <w:p>
            <w:pPr>
              <w:spacing w:after="0"/>
              <w:rPr>
                <w:sz w:val="17"/>
                <w:szCs w:val="17"/>
                <w:color w:val="auto"/>
              </w:rPr>
            </w:pPr>
          </w:p>
        </w:tc>
        <w:tc>
          <w:tcPr>
            <w:tcW w:w="1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580" w:type="dxa"/>
            <w:vAlign w:val="bottom"/>
            <w:shd w:val="clear" w:color="auto" w:fill="D2DCE5"/>
          </w:tcPr>
          <w:p>
            <w:pPr>
              <w:spacing w:after="0"/>
              <w:rPr>
                <w:sz w:val="17"/>
                <w:szCs w:val="17"/>
                <w:color w:val="auto"/>
              </w:rPr>
            </w:pPr>
          </w:p>
        </w:tc>
        <w:tc>
          <w:tcPr>
            <w:tcW w:w="120" w:type="dxa"/>
            <w:vAlign w:val="bottom"/>
            <w:shd w:val="clear" w:color="auto" w:fill="D2DCE5"/>
          </w:tcPr>
          <w:p>
            <w:pPr>
              <w:spacing w:after="0"/>
              <w:rPr>
                <w:sz w:val="17"/>
                <w:szCs w:val="17"/>
                <w:color w:val="auto"/>
              </w:rPr>
            </w:pPr>
          </w:p>
        </w:tc>
        <w:tc>
          <w:tcPr>
            <w:tcW w:w="60" w:type="dxa"/>
            <w:vAlign w:val="bottom"/>
            <w:shd w:val="clear" w:color="auto" w:fill="D2DCE5"/>
          </w:tcPr>
          <w:p>
            <w:pPr>
              <w:spacing w:after="0"/>
              <w:rPr>
                <w:sz w:val="17"/>
                <w:szCs w:val="17"/>
                <w:color w:val="auto"/>
              </w:rPr>
            </w:pPr>
          </w:p>
        </w:tc>
        <w:tc>
          <w:tcPr>
            <w:tcW w:w="40" w:type="dxa"/>
            <w:vAlign w:val="bottom"/>
            <w:shd w:val="clear" w:color="auto" w:fill="D2DCE5"/>
          </w:tcPr>
          <w:p>
            <w:pPr>
              <w:spacing w:after="0"/>
              <w:rPr>
                <w:sz w:val="17"/>
                <w:szCs w:val="17"/>
                <w:color w:val="auto"/>
              </w:rPr>
            </w:pPr>
          </w:p>
        </w:tc>
        <w:tc>
          <w:tcPr>
            <w:tcW w:w="6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4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1,086</w:t>
            </w:r>
          </w:p>
        </w:tc>
        <w:tc>
          <w:tcPr>
            <w:tcW w:w="80" w:type="dxa"/>
            <w:vAlign w:val="bottom"/>
            <w:shd w:val="clear" w:color="auto" w:fill="D2DCE5"/>
          </w:tcPr>
          <w:p>
            <w:pPr>
              <w:spacing w:after="0"/>
              <w:rPr>
                <w:sz w:val="17"/>
                <w:szCs w:val="17"/>
                <w:color w:val="auto"/>
              </w:rPr>
            </w:pPr>
          </w:p>
        </w:tc>
        <w:tc>
          <w:tcPr>
            <w:tcW w:w="400" w:type="dxa"/>
            <w:vAlign w:val="bottom"/>
            <w:shd w:val="clear" w:color="auto" w:fill="D2DCE5"/>
          </w:tcPr>
          <w:p>
            <w:pPr>
              <w:spacing w:after="0"/>
              <w:rPr>
                <w:sz w:val="17"/>
                <w:szCs w:val="17"/>
                <w:color w:val="auto"/>
              </w:rPr>
            </w:pPr>
          </w:p>
        </w:tc>
        <w:tc>
          <w:tcPr>
            <w:tcW w:w="120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20</w:t>
            </w:r>
          </w:p>
        </w:tc>
      </w:tr>
      <w:tr>
        <w:trPr>
          <w:trHeight w:val="183"/>
        </w:trPr>
        <w:tc>
          <w:tcPr>
            <w:tcW w:w="3260" w:type="dxa"/>
            <w:vAlign w:val="bottom"/>
            <w:gridSpan w:val="3"/>
          </w:tcPr>
          <w:p>
            <w:pPr>
              <w:ind w:left="20"/>
              <w:spacing w:after="0"/>
              <w:rPr>
                <w:sz w:val="20"/>
                <w:szCs w:val="20"/>
                <w:color w:val="auto"/>
              </w:rPr>
            </w:pPr>
            <w:r>
              <w:rPr>
                <w:rFonts w:ascii="Arial" w:cs="Arial" w:eastAsia="Arial" w:hAnsi="Arial"/>
                <w:sz w:val="13"/>
                <w:szCs w:val="13"/>
                <w:color w:val="131E29"/>
              </w:rPr>
              <w:t>Volume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131E29"/>
              </w:rPr>
              <w:t>36</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131E29"/>
              </w:rPr>
              <w:t>N/A</w:t>
            </w:r>
          </w:p>
        </w:tc>
      </w:tr>
      <w:tr>
        <w:trPr>
          <w:trHeight w:val="199"/>
        </w:trPr>
        <w:tc>
          <w:tcPr>
            <w:tcW w:w="3260" w:type="dxa"/>
            <w:vAlign w:val="bottom"/>
            <w:gridSpan w:val="3"/>
            <w:shd w:val="clear" w:color="auto" w:fill="D2DCE5"/>
          </w:tcPr>
          <w:p>
            <w:pPr>
              <w:ind w:left="20"/>
              <w:spacing w:after="0"/>
              <w:rPr>
                <w:sz w:val="20"/>
                <w:szCs w:val="20"/>
                <w:color w:val="auto"/>
              </w:rPr>
            </w:pPr>
            <w:r>
              <w:rPr>
                <w:rFonts w:ascii="Arial" w:cs="Arial" w:eastAsia="Arial" w:hAnsi="Arial"/>
                <w:sz w:val="13"/>
                <w:szCs w:val="13"/>
                <w:color w:val="131E29"/>
              </w:rPr>
              <w:t>Reinstitution of accepting cash at shops</w:t>
            </w:r>
          </w:p>
        </w:tc>
        <w:tc>
          <w:tcPr>
            <w:tcW w:w="2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60" w:type="dxa"/>
            <w:vAlign w:val="bottom"/>
            <w:shd w:val="clear" w:color="auto" w:fill="D2DCE5"/>
          </w:tcPr>
          <w:p>
            <w:pPr>
              <w:spacing w:after="0"/>
              <w:rPr>
                <w:sz w:val="17"/>
                <w:szCs w:val="17"/>
                <w:color w:val="auto"/>
              </w:rPr>
            </w:pPr>
          </w:p>
        </w:tc>
        <w:tc>
          <w:tcPr>
            <w:tcW w:w="6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7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60" w:type="dxa"/>
            <w:vAlign w:val="bottom"/>
            <w:shd w:val="clear" w:color="auto" w:fill="D2DCE5"/>
          </w:tcPr>
          <w:p>
            <w:pPr>
              <w:spacing w:after="0"/>
              <w:rPr>
                <w:sz w:val="17"/>
                <w:szCs w:val="17"/>
                <w:color w:val="auto"/>
              </w:rPr>
            </w:pPr>
          </w:p>
        </w:tc>
        <w:tc>
          <w:tcPr>
            <w:tcW w:w="7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80" w:type="dxa"/>
            <w:vAlign w:val="bottom"/>
            <w:shd w:val="clear" w:color="auto" w:fill="D2DCE5"/>
          </w:tcPr>
          <w:p>
            <w:pPr>
              <w:spacing w:after="0"/>
              <w:rPr>
                <w:sz w:val="17"/>
                <w:szCs w:val="17"/>
                <w:color w:val="auto"/>
              </w:rPr>
            </w:pPr>
          </w:p>
        </w:tc>
        <w:tc>
          <w:tcPr>
            <w:tcW w:w="940" w:type="dxa"/>
            <w:vAlign w:val="bottom"/>
            <w:shd w:val="clear" w:color="auto" w:fill="D2DCE5"/>
          </w:tcPr>
          <w:p>
            <w:pPr>
              <w:spacing w:after="0"/>
              <w:rPr>
                <w:sz w:val="17"/>
                <w:szCs w:val="17"/>
                <w:color w:val="auto"/>
              </w:rPr>
            </w:pPr>
          </w:p>
        </w:tc>
        <w:tc>
          <w:tcPr>
            <w:tcW w:w="1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580" w:type="dxa"/>
            <w:vAlign w:val="bottom"/>
            <w:shd w:val="clear" w:color="auto" w:fill="D2DCE5"/>
          </w:tcPr>
          <w:p>
            <w:pPr>
              <w:spacing w:after="0"/>
              <w:rPr>
                <w:sz w:val="17"/>
                <w:szCs w:val="17"/>
                <w:color w:val="auto"/>
              </w:rPr>
            </w:pPr>
          </w:p>
        </w:tc>
        <w:tc>
          <w:tcPr>
            <w:tcW w:w="120" w:type="dxa"/>
            <w:vAlign w:val="bottom"/>
            <w:shd w:val="clear" w:color="auto" w:fill="D2DCE5"/>
          </w:tcPr>
          <w:p>
            <w:pPr>
              <w:spacing w:after="0"/>
              <w:rPr>
                <w:sz w:val="17"/>
                <w:szCs w:val="17"/>
                <w:color w:val="auto"/>
              </w:rPr>
            </w:pPr>
          </w:p>
        </w:tc>
        <w:tc>
          <w:tcPr>
            <w:tcW w:w="60" w:type="dxa"/>
            <w:vAlign w:val="bottom"/>
            <w:shd w:val="clear" w:color="auto" w:fill="D2DCE5"/>
          </w:tcPr>
          <w:p>
            <w:pPr>
              <w:spacing w:after="0"/>
              <w:rPr>
                <w:sz w:val="17"/>
                <w:szCs w:val="17"/>
                <w:color w:val="auto"/>
              </w:rPr>
            </w:pPr>
          </w:p>
        </w:tc>
        <w:tc>
          <w:tcPr>
            <w:tcW w:w="40" w:type="dxa"/>
            <w:vAlign w:val="bottom"/>
            <w:shd w:val="clear" w:color="auto" w:fill="D2DCE5"/>
          </w:tcPr>
          <w:p>
            <w:pPr>
              <w:spacing w:after="0"/>
              <w:rPr>
                <w:sz w:val="17"/>
                <w:szCs w:val="17"/>
                <w:color w:val="auto"/>
              </w:rPr>
            </w:pPr>
          </w:p>
        </w:tc>
        <w:tc>
          <w:tcPr>
            <w:tcW w:w="6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4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(3,080)</w:t>
            </w:r>
          </w:p>
        </w:tc>
        <w:tc>
          <w:tcPr>
            <w:tcW w:w="80" w:type="dxa"/>
            <w:vAlign w:val="bottom"/>
            <w:shd w:val="clear" w:color="auto" w:fill="D2DCE5"/>
          </w:tcPr>
          <w:p>
            <w:pPr>
              <w:spacing w:after="0"/>
              <w:rPr>
                <w:sz w:val="17"/>
                <w:szCs w:val="17"/>
                <w:color w:val="auto"/>
              </w:rPr>
            </w:pPr>
          </w:p>
        </w:tc>
        <w:tc>
          <w:tcPr>
            <w:tcW w:w="400" w:type="dxa"/>
            <w:vAlign w:val="bottom"/>
            <w:shd w:val="clear" w:color="auto" w:fill="D2DCE5"/>
          </w:tcPr>
          <w:p>
            <w:pPr>
              <w:spacing w:after="0"/>
              <w:rPr>
                <w:sz w:val="17"/>
                <w:szCs w:val="17"/>
                <w:color w:val="auto"/>
              </w:rPr>
            </w:pPr>
          </w:p>
        </w:tc>
        <w:tc>
          <w:tcPr>
            <w:tcW w:w="120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(50)</w:t>
            </w:r>
          </w:p>
        </w:tc>
      </w:tr>
      <w:tr>
        <w:trPr>
          <w:trHeight w:val="183"/>
        </w:trPr>
        <w:tc>
          <w:tcPr>
            <w:tcW w:w="3260" w:type="dxa"/>
            <w:vAlign w:val="bottom"/>
            <w:gridSpan w:val="3"/>
          </w:tcPr>
          <w:p>
            <w:pPr>
              <w:ind w:left="20"/>
              <w:spacing w:after="0"/>
              <w:rPr>
                <w:sz w:val="20"/>
                <w:szCs w:val="20"/>
                <w:color w:val="auto"/>
              </w:rPr>
            </w:pPr>
            <w:r>
              <w:rPr>
                <w:rFonts w:ascii="Arial" w:cs="Arial" w:eastAsia="Arial" w:hAnsi="Arial"/>
                <w:sz w:val="13"/>
                <w:szCs w:val="13"/>
                <w:color w:val="131E29"/>
              </w:rPr>
              <w:t>Leverage/deleverage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jc w:val="right"/>
              <w:ind w:right="429"/>
              <w:spacing w:after="0"/>
              <w:rPr>
                <w:sz w:val="20"/>
                <w:szCs w:val="20"/>
                <w:color w:val="auto"/>
              </w:rPr>
            </w:pPr>
            <w:r>
              <w:rPr>
                <w:rFonts w:ascii="Arial" w:cs="Arial" w:eastAsia="Arial" w:hAnsi="Arial"/>
                <w:sz w:val="13"/>
                <w:szCs w:val="13"/>
                <w:color w:val="131E29"/>
              </w:rPr>
              <w:t>N/A</w:t>
            </w:r>
          </w:p>
        </w:tc>
        <w:tc>
          <w:tcPr>
            <w:tcW w:w="1200" w:type="dxa"/>
            <w:vAlign w:val="bottom"/>
          </w:tcPr>
          <w:p>
            <w:pPr>
              <w:jc w:val="right"/>
              <w:spacing w:after="0"/>
              <w:rPr>
                <w:sz w:val="20"/>
                <w:szCs w:val="20"/>
                <w:color w:val="auto"/>
              </w:rPr>
            </w:pPr>
            <w:r>
              <w:rPr>
                <w:rFonts w:ascii="Arial" w:cs="Arial" w:eastAsia="Arial" w:hAnsi="Arial"/>
                <w:sz w:val="13"/>
                <w:szCs w:val="13"/>
                <w:color w:val="131E29"/>
              </w:rPr>
              <w:t>90</w:t>
            </w:r>
          </w:p>
        </w:tc>
      </w:tr>
      <w:tr>
        <w:trPr>
          <w:trHeight w:val="199"/>
        </w:trPr>
        <w:tc>
          <w:tcPr>
            <w:tcW w:w="3260" w:type="dxa"/>
            <w:vAlign w:val="bottom"/>
            <w:gridSpan w:val="3"/>
            <w:shd w:val="clear" w:color="auto" w:fill="D2DCE5"/>
          </w:tcPr>
          <w:p>
            <w:pPr>
              <w:ind w:left="20"/>
              <w:spacing w:after="0"/>
              <w:rPr>
                <w:sz w:val="20"/>
                <w:szCs w:val="20"/>
                <w:color w:val="auto"/>
              </w:rPr>
            </w:pPr>
            <w:r>
              <w:rPr>
                <w:rFonts w:ascii="Arial" w:cs="Arial" w:eastAsia="Arial" w:hAnsi="Arial"/>
                <w:sz w:val="13"/>
                <w:szCs w:val="13"/>
                <w:color w:val="131E29"/>
              </w:rPr>
              <w:t>Pricing impacts</w:t>
            </w:r>
          </w:p>
        </w:tc>
        <w:tc>
          <w:tcPr>
            <w:tcW w:w="2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60" w:type="dxa"/>
            <w:vAlign w:val="bottom"/>
            <w:shd w:val="clear" w:color="auto" w:fill="D2DCE5"/>
          </w:tcPr>
          <w:p>
            <w:pPr>
              <w:spacing w:after="0"/>
              <w:rPr>
                <w:sz w:val="17"/>
                <w:szCs w:val="17"/>
                <w:color w:val="auto"/>
              </w:rPr>
            </w:pPr>
          </w:p>
        </w:tc>
        <w:tc>
          <w:tcPr>
            <w:tcW w:w="6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7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60" w:type="dxa"/>
            <w:vAlign w:val="bottom"/>
            <w:shd w:val="clear" w:color="auto" w:fill="D2DCE5"/>
          </w:tcPr>
          <w:p>
            <w:pPr>
              <w:spacing w:after="0"/>
              <w:rPr>
                <w:sz w:val="17"/>
                <w:szCs w:val="17"/>
                <w:color w:val="auto"/>
              </w:rPr>
            </w:pPr>
          </w:p>
        </w:tc>
        <w:tc>
          <w:tcPr>
            <w:tcW w:w="7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80" w:type="dxa"/>
            <w:vAlign w:val="bottom"/>
            <w:shd w:val="clear" w:color="auto" w:fill="D2DCE5"/>
          </w:tcPr>
          <w:p>
            <w:pPr>
              <w:spacing w:after="0"/>
              <w:rPr>
                <w:sz w:val="17"/>
                <w:szCs w:val="17"/>
                <w:color w:val="auto"/>
              </w:rPr>
            </w:pPr>
          </w:p>
        </w:tc>
        <w:tc>
          <w:tcPr>
            <w:tcW w:w="940" w:type="dxa"/>
            <w:vAlign w:val="bottom"/>
            <w:shd w:val="clear" w:color="auto" w:fill="D2DCE5"/>
          </w:tcPr>
          <w:p>
            <w:pPr>
              <w:spacing w:after="0"/>
              <w:rPr>
                <w:sz w:val="17"/>
                <w:szCs w:val="17"/>
                <w:color w:val="auto"/>
              </w:rPr>
            </w:pPr>
          </w:p>
        </w:tc>
        <w:tc>
          <w:tcPr>
            <w:tcW w:w="1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580" w:type="dxa"/>
            <w:vAlign w:val="bottom"/>
            <w:shd w:val="clear" w:color="auto" w:fill="D2DCE5"/>
          </w:tcPr>
          <w:p>
            <w:pPr>
              <w:spacing w:after="0"/>
              <w:rPr>
                <w:sz w:val="17"/>
                <w:szCs w:val="17"/>
                <w:color w:val="auto"/>
              </w:rPr>
            </w:pPr>
          </w:p>
        </w:tc>
        <w:tc>
          <w:tcPr>
            <w:tcW w:w="120" w:type="dxa"/>
            <w:vAlign w:val="bottom"/>
            <w:shd w:val="clear" w:color="auto" w:fill="D2DCE5"/>
          </w:tcPr>
          <w:p>
            <w:pPr>
              <w:spacing w:after="0"/>
              <w:rPr>
                <w:sz w:val="17"/>
                <w:szCs w:val="17"/>
                <w:color w:val="auto"/>
              </w:rPr>
            </w:pPr>
          </w:p>
        </w:tc>
        <w:tc>
          <w:tcPr>
            <w:tcW w:w="60" w:type="dxa"/>
            <w:vAlign w:val="bottom"/>
            <w:shd w:val="clear" w:color="auto" w:fill="D2DCE5"/>
          </w:tcPr>
          <w:p>
            <w:pPr>
              <w:spacing w:after="0"/>
              <w:rPr>
                <w:sz w:val="17"/>
                <w:szCs w:val="17"/>
                <w:color w:val="auto"/>
              </w:rPr>
            </w:pPr>
          </w:p>
        </w:tc>
        <w:tc>
          <w:tcPr>
            <w:tcW w:w="40" w:type="dxa"/>
            <w:vAlign w:val="bottom"/>
            <w:shd w:val="clear" w:color="auto" w:fill="D2DCE5"/>
          </w:tcPr>
          <w:p>
            <w:pPr>
              <w:spacing w:after="0"/>
              <w:rPr>
                <w:sz w:val="17"/>
                <w:szCs w:val="17"/>
                <w:color w:val="auto"/>
              </w:rPr>
            </w:pPr>
          </w:p>
        </w:tc>
        <w:tc>
          <w:tcPr>
            <w:tcW w:w="6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940" w:type="dxa"/>
            <w:vAlign w:val="bottom"/>
            <w:gridSpan w:val="3"/>
            <w:shd w:val="clear" w:color="auto" w:fill="D2DCE5"/>
          </w:tcPr>
          <w:p>
            <w:pPr>
              <w:jc w:val="right"/>
              <w:ind w:right="429"/>
              <w:spacing w:after="0"/>
              <w:rPr>
                <w:sz w:val="20"/>
                <w:szCs w:val="20"/>
                <w:color w:val="auto"/>
              </w:rPr>
            </w:pPr>
            <w:r>
              <w:rPr>
                <w:rFonts w:ascii="Arial" w:cs="Arial" w:eastAsia="Arial" w:hAnsi="Arial"/>
                <w:sz w:val="13"/>
                <w:szCs w:val="13"/>
                <w:color w:val="131E29"/>
              </w:rPr>
              <w:t>N/A</w:t>
            </w:r>
          </w:p>
        </w:tc>
        <w:tc>
          <w:tcPr>
            <w:tcW w:w="120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(100)</w:t>
            </w:r>
          </w:p>
        </w:tc>
      </w:tr>
      <w:tr>
        <w:trPr>
          <w:trHeight w:val="183"/>
        </w:trPr>
        <w:tc>
          <w:tcPr>
            <w:tcW w:w="3260" w:type="dxa"/>
            <w:vAlign w:val="bottom"/>
            <w:gridSpan w:val="3"/>
          </w:tcPr>
          <w:p>
            <w:pPr>
              <w:ind w:left="20"/>
              <w:spacing w:after="0"/>
              <w:rPr>
                <w:sz w:val="20"/>
                <w:szCs w:val="20"/>
                <w:color w:val="auto"/>
              </w:rPr>
            </w:pPr>
            <w:r>
              <w:rPr>
                <w:rFonts w:ascii="Arial" w:cs="Arial" w:eastAsia="Arial" w:hAnsi="Arial"/>
                <w:sz w:val="13"/>
                <w:szCs w:val="13"/>
                <w:color w:val="131E29"/>
              </w:rPr>
              <w:t>Promotional discounts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jc w:val="right"/>
              <w:ind w:right="429"/>
              <w:spacing w:after="0"/>
              <w:rPr>
                <w:sz w:val="20"/>
                <w:szCs w:val="20"/>
                <w:color w:val="auto"/>
              </w:rPr>
            </w:pPr>
            <w:r>
              <w:rPr>
                <w:rFonts w:ascii="Arial" w:cs="Arial" w:eastAsia="Arial" w:hAnsi="Arial"/>
                <w:sz w:val="13"/>
                <w:szCs w:val="13"/>
                <w:color w:val="131E29"/>
              </w:rPr>
              <w:t>N/A</w:t>
            </w:r>
          </w:p>
        </w:tc>
        <w:tc>
          <w:tcPr>
            <w:tcW w:w="1200" w:type="dxa"/>
            <w:vAlign w:val="bottom"/>
          </w:tcPr>
          <w:p>
            <w:pPr>
              <w:jc w:val="right"/>
              <w:spacing w:after="0"/>
              <w:rPr>
                <w:sz w:val="20"/>
                <w:szCs w:val="20"/>
                <w:color w:val="auto"/>
              </w:rPr>
            </w:pPr>
            <w:r>
              <w:rPr>
                <w:rFonts w:ascii="Arial" w:cs="Arial" w:eastAsia="Arial" w:hAnsi="Arial"/>
                <w:sz w:val="13"/>
                <w:szCs w:val="13"/>
                <w:color w:val="131E29"/>
              </w:rPr>
              <w:t>(10)</w:t>
            </w:r>
          </w:p>
        </w:tc>
      </w:tr>
      <w:tr>
        <w:trPr>
          <w:trHeight w:val="191"/>
        </w:trPr>
        <w:tc>
          <w:tcPr>
            <w:tcW w:w="3260" w:type="dxa"/>
            <w:vAlign w:val="bottom"/>
            <w:tcBorders>
              <w:bottom w:val="single" w:sz="8" w:color="131E29"/>
            </w:tcBorders>
            <w:gridSpan w:val="3"/>
            <w:shd w:val="clear" w:color="auto" w:fill="D2DCE5"/>
          </w:tcPr>
          <w:p>
            <w:pPr>
              <w:ind w:left="20"/>
              <w:spacing w:after="0"/>
              <w:rPr>
                <w:sz w:val="20"/>
                <w:szCs w:val="20"/>
                <w:color w:val="auto"/>
              </w:rPr>
            </w:pPr>
            <w:r>
              <w:rPr>
                <w:rFonts w:ascii="Arial" w:cs="Arial" w:eastAsia="Arial" w:hAnsi="Arial"/>
                <w:sz w:val="13"/>
                <w:szCs w:val="13"/>
                <w:color w:val="131E29"/>
              </w:rPr>
              <w:t>Other</w:t>
            </w:r>
          </w:p>
        </w:tc>
        <w:tc>
          <w:tcPr>
            <w:tcW w:w="220" w:type="dxa"/>
            <w:vAlign w:val="bottom"/>
            <w:tcBorders>
              <w:bottom w:val="single" w:sz="8" w:color="131E29"/>
            </w:tcBorders>
            <w:shd w:val="clear" w:color="auto" w:fill="D2DCE5"/>
          </w:tcPr>
          <w:p>
            <w:pPr>
              <w:spacing w:after="0"/>
              <w:rPr>
                <w:sz w:val="16"/>
                <w:szCs w:val="16"/>
                <w:color w:val="auto"/>
              </w:rPr>
            </w:pPr>
          </w:p>
        </w:tc>
        <w:tc>
          <w:tcPr>
            <w:tcW w:w="80" w:type="dxa"/>
            <w:vAlign w:val="bottom"/>
            <w:tcBorders>
              <w:bottom w:val="single" w:sz="8" w:color="131E29"/>
            </w:tcBorders>
            <w:shd w:val="clear" w:color="auto" w:fill="D2DCE5"/>
          </w:tcPr>
          <w:p>
            <w:pPr>
              <w:spacing w:after="0"/>
              <w:rPr>
                <w:sz w:val="16"/>
                <w:szCs w:val="16"/>
                <w:color w:val="auto"/>
              </w:rPr>
            </w:pPr>
          </w:p>
        </w:tc>
        <w:tc>
          <w:tcPr>
            <w:tcW w:w="160" w:type="dxa"/>
            <w:vAlign w:val="bottom"/>
            <w:tcBorders>
              <w:bottom w:val="single" w:sz="8" w:color="131E29"/>
            </w:tcBorders>
            <w:shd w:val="clear" w:color="auto" w:fill="D2DCE5"/>
          </w:tcPr>
          <w:p>
            <w:pPr>
              <w:spacing w:after="0"/>
              <w:rPr>
                <w:sz w:val="16"/>
                <w:szCs w:val="16"/>
                <w:color w:val="auto"/>
              </w:rPr>
            </w:pPr>
          </w:p>
        </w:tc>
        <w:tc>
          <w:tcPr>
            <w:tcW w:w="620" w:type="dxa"/>
            <w:vAlign w:val="bottom"/>
            <w:tcBorders>
              <w:bottom w:val="single" w:sz="8" w:color="131E29"/>
            </w:tcBorders>
            <w:shd w:val="clear" w:color="auto" w:fill="D2DCE5"/>
          </w:tcPr>
          <w:p>
            <w:pPr>
              <w:spacing w:after="0"/>
              <w:rPr>
                <w:sz w:val="16"/>
                <w:szCs w:val="16"/>
                <w:color w:val="auto"/>
              </w:rPr>
            </w:pPr>
          </w:p>
        </w:tc>
        <w:tc>
          <w:tcPr>
            <w:tcW w:w="80" w:type="dxa"/>
            <w:vAlign w:val="bottom"/>
            <w:tcBorders>
              <w:bottom w:val="single" w:sz="8" w:color="131E29"/>
            </w:tcBorders>
            <w:shd w:val="clear" w:color="auto" w:fill="D2DCE5"/>
          </w:tcPr>
          <w:p>
            <w:pPr>
              <w:spacing w:after="0"/>
              <w:rPr>
                <w:sz w:val="16"/>
                <w:szCs w:val="16"/>
                <w:color w:val="auto"/>
              </w:rPr>
            </w:pPr>
          </w:p>
        </w:tc>
        <w:tc>
          <w:tcPr>
            <w:tcW w:w="140" w:type="dxa"/>
            <w:vAlign w:val="bottom"/>
            <w:tcBorders>
              <w:bottom w:val="single" w:sz="8" w:color="131E29"/>
            </w:tcBorders>
            <w:shd w:val="clear" w:color="auto" w:fill="D2DCE5"/>
          </w:tcPr>
          <w:p>
            <w:pPr>
              <w:spacing w:after="0"/>
              <w:rPr>
                <w:sz w:val="16"/>
                <w:szCs w:val="16"/>
                <w:color w:val="auto"/>
              </w:rPr>
            </w:pPr>
          </w:p>
        </w:tc>
        <w:tc>
          <w:tcPr>
            <w:tcW w:w="80" w:type="dxa"/>
            <w:vAlign w:val="bottom"/>
            <w:tcBorders>
              <w:bottom w:val="single" w:sz="8" w:color="131E29"/>
            </w:tcBorders>
            <w:shd w:val="clear" w:color="auto" w:fill="D2DCE5"/>
          </w:tcPr>
          <w:p>
            <w:pPr>
              <w:spacing w:after="0"/>
              <w:rPr>
                <w:sz w:val="16"/>
                <w:szCs w:val="16"/>
                <w:color w:val="auto"/>
              </w:rPr>
            </w:pPr>
          </w:p>
        </w:tc>
        <w:tc>
          <w:tcPr>
            <w:tcW w:w="100" w:type="dxa"/>
            <w:vAlign w:val="bottom"/>
            <w:tcBorders>
              <w:bottom w:val="single" w:sz="8" w:color="131E29"/>
            </w:tcBorders>
            <w:shd w:val="clear" w:color="auto" w:fill="D2DCE5"/>
          </w:tcPr>
          <w:p>
            <w:pPr>
              <w:spacing w:after="0"/>
              <w:rPr>
                <w:sz w:val="16"/>
                <w:szCs w:val="16"/>
                <w:color w:val="auto"/>
              </w:rPr>
            </w:pPr>
          </w:p>
        </w:tc>
        <w:tc>
          <w:tcPr>
            <w:tcW w:w="760" w:type="dxa"/>
            <w:vAlign w:val="bottom"/>
            <w:tcBorders>
              <w:bottom w:val="single" w:sz="8" w:color="131E29"/>
            </w:tcBorders>
            <w:shd w:val="clear" w:color="auto" w:fill="D2DCE5"/>
          </w:tcPr>
          <w:p>
            <w:pPr>
              <w:spacing w:after="0"/>
              <w:rPr>
                <w:sz w:val="16"/>
                <w:szCs w:val="16"/>
                <w:color w:val="auto"/>
              </w:rPr>
            </w:pPr>
          </w:p>
        </w:tc>
        <w:tc>
          <w:tcPr>
            <w:tcW w:w="80" w:type="dxa"/>
            <w:vAlign w:val="bottom"/>
            <w:tcBorders>
              <w:bottom w:val="single" w:sz="8" w:color="131E29"/>
            </w:tcBorders>
            <w:shd w:val="clear" w:color="auto" w:fill="D2DCE5"/>
          </w:tcPr>
          <w:p>
            <w:pPr>
              <w:spacing w:after="0"/>
              <w:rPr>
                <w:sz w:val="16"/>
                <w:szCs w:val="16"/>
                <w:color w:val="auto"/>
              </w:rPr>
            </w:pPr>
          </w:p>
        </w:tc>
        <w:tc>
          <w:tcPr>
            <w:tcW w:w="20" w:type="dxa"/>
            <w:vAlign w:val="bottom"/>
            <w:tcBorders>
              <w:bottom w:val="single" w:sz="8" w:color="131E29"/>
            </w:tcBorders>
            <w:shd w:val="clear" w:color="auto" w:fill="D2DCE5"/>
          </w:tcPr>
          <w:p>
            <w:pPr>
              <w:spacing w:after="0"/>
              <w:rPr>
                <w:sz w:val="16"/>
                <w:szCs w:val="16"/>
                <w:color w:val="auto"/>
              </w:rPr>
            </w:pPr>
          </w:p>
        </w:tc>
        <w:tc>
          <w:tcPr>
            <w:tcW w:w="80" w:type="dxa"/>
            <w:vAlign w:val="bottom"/>
            <w:tcBorders>
              <w:bottom w:val="single" w:sz="8" w:color="131E29"/>
            </w:tcBorders>
            <w:shd w:val="clear" w:color="auto" w:fill="D2DCE5"/>
          </w:tcPr>
          <w:p>
            <w:pPr>
              <w:spacing w:after="0"/>
              <w:rPr>
                <w:sz w:val="16"/>
                <w:szCs w:val="16"/>
                <w:color w:val="auto"/>
              </w:rPr>
            </w:pPr>
          </w:p>
        </w:tc>
        <w:tc>
          <w:tcPr>
            <w:tcW w:w="160" w:type="dxa"/>
            <w:vAlign w:val="bottom"/>
            <w:tcBorders>
              <w:bottom w:val="single" w:sz="8" w:color="131E29"/>
            </w:tcBorders>
            <w:shd w:val="clear" w:color="auto" w:fill="D2DCE5"/>
          </w:tcPr>
          <w:p>
            <w:pPr>
              <w:spacing w:after="0"/>
              <w:rPr>
                <w:sz w:val="16"/>
                <w:szCs w:val="16"/>
                <w:color w:val="auto"/>
              </w:rPr>
            </w:pPr>
          </w:p>
        </w:tc>
        <w:tc>
          <w:tcPr>
            <w:tcW w:w="760" w:type="dxa"/>
            <w:vAlign w:val="bottom"/>
            <w:tcBorders>
              <w:bottom w:val="single" w:sz="8" w:color="131E29"/>
            </w:tcBorders>
            <w:shd w:val="clear" w:color="auto" w:fill="D2DCE5"/>
          </w:tcPr>
          <w:p>
            <w:pPr>
              <w:spacing w:after="0"/>
              <w:rPr>
                <w:sz w:val="16"/>
                <w:szCs w:val="16"/>
                <w:color w:val="auto"/>
              </w:rPr>
            </w:pPr>
          </w:p>
        </w:tc>
        <w:tc>
          <w:tcPr>
            <w:tcW w:w="80" w:type="dxa"/>
            <w:vAlign w:val="bottom"/>
            <w:tcBorders>
              <w:bottom w:val="single" w:sz="8" w:color="131E29"/>
            </w:tcBorders>
            <w:shd w:val="clear" w:color="auto" w:fill="D2DCE5"/>
          </w:tcPr>
          <w:p>
            <w:pPr>
              <w:spacing w:after="0"/>
              <w:rPr>
                <w:sz w:val="16"/>
                <w:szCs w:val="16"/>
                <w:color w:val="auto"/>
              </w:rPr>
            </w:pPr>
          </w:p>
        </w:tc>
        <w:tc>
          <w:tcPr>
            <w:tcW w:w="20" w:type="dxa"/>
            <w:vAlign w:val="bottom"/>
            <w:tcBorders>
              <w:bottom w:val="single" w:sz="8" w:color="131E29"/>
            </w:tcBorders>
            <w:shd w:val="clear" w:color="auto" w:fill="D2DCE5"/>
          </w:tcPr>
          <w:p>
            <w:pPr>
              <w:spacing w:after="0"/>
              <w:rPr>
                <w:sz w:val="16"/>
                <w:szCs w:val="16"/>
                <w:color w:val="auto"/>
              </w:rPr>
            </w:pPr>
          </w:p>
        </w:tc>
        <w:tc>
          <w:tcPr>
            <w:tcW w:w="80" w:type="dxa"/>
            <w:vAlign w:val="bottom"/>
            <w:tcBorders>
              <w:bottom w:val="single" w:sz="8" w:color="131E29"/>
            </w:tcBorders>
            <w:shd w:val="clear" w:color="auto" w:fill="D2DCE5"/>
          </w:tcPr>
          <w:p>
            <w:pPr>
              <w:spacing w:after="0"/>
              <w:rPr>
                <w:sz w:val="16"/>
                <w:szCs w:val="16"/>
                <w:color w:val="auto"/>
              </w:rPr>
            </w:pPr>
          </w:p>
        </w:tc>
        <w:tc>
          <w:tcPr>
            <w:tcW w:w="180" w:type="dxa"/>
            <w:vAlign w:val="bottom"/>
            <w:tcBorders>
              <w:bottom w:val="single" w:sz="8" w:color="131E29"/>
            </w:tcBorders>
            <w:shd w:val="clear" w:color="auto" w:fill="D2DCE5"/>
          </w:tcPr>
          <w:p>
            <w:pPr>
              <w:spacing w:after="0"/>
              <w:rPr>
                <w:sz w:val="16"/>
                <w:szCs w:val="16"/>
                <w:color w:val="auto"/>
              </w:rPr>
            </w:pPr>
          </w:p>
        </w:tc>
        <w:tc>
          <w:tcPr>
            <w:tcW w:w="940" w:type="dxa"/>
            <w:vAlign w:val="bottom"/>
            <w:tcBorders>
              <w:bottom w:val="single" w:sz="8" w:color="131E29"/>
            </w:tcBorders>
            <w:shd w:val="clear" w:color="auto" w:fill="D2DCE5"/>
          </w:tcPr>
          <w:p>
            <w:pPr>
              <w:spacing w:after="0"/>
              <w:rPr>
                <w:sz w:val="16"/>
                <w:szCs w:val="16"/>
                <w:color w:val="auto"/>
              </w:rPr>
            </w:pPr>
          </w:p>
        </w:tc>
        <w:tc>
          <w:tcPr>
            <w:tcW w:w="180" w:type="dxa"/>
            <w:vAlign w:val="bottom"/>
            <w:tcBorders>
              <w:bottom w:val="single" w:sz="8" w:color="131E29"/>
            </w:tcBorders>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580" w:type="dxa"/>
            <w:vAlign w:val="bottom"/>
            <w:tcBorders>
              <w:bottom w:val="single" w:sz="8" w:color="131E29"/>
            </w:tcBorders>
            <w:shd w:val="clear" w:color="auto" w:fill="D2DCE5"/>
          </w:tcPr>
          <w:p>
            <w:pPr>
              <w:spacing w:after="0"/>
              <w:rPr>
                <w:sz w:val="16"/>
                <w:szCs w:val="16"/>
                <w:color w:val="auto"/>
              </w:rPr>
            </w:pPr>
          </w:p>
        </w:tc>
        <w:tc>
          <w:tcPr>
            <w:tcW w:w="120" w:type="dxa"/>
            <w:vAlign w:val="bottom"/>
            <w:tcBorders>
              <w:bottom w:val="single" w:sz="8" w:color="131E29"/>
            </w:tcBorders>
            <w:shd w:val="clear" w:color="auto" w:fill="D2DCE5"/>
          </w:tcPr>
          <w:p>
            <w:pPr>
              <w:spacing w:after="0"/>
              <w:rPr>
                <w:sz w:val="16"/>
                <w:szCs w:val="16"/>
                <w:color w:val="auto"/>
              </w:rPr>
            </w:pPr>
          </w:p>
        </w:tc>
        <w:tc>
          <w:tcPr>
            <w:tcW w:w="60" w:type="dxa"/>
            <w:vAlign w:val="bottom"/>
            <w:tcBorders>
              <w:bottom w:val="single" w:sz="8" w:color="131E29"/>
            </w:tcBorders>
            <w:shd w:val="clear" w:color="auto" w:fill="D2DCE5"/>
          </w:tcPr>
          <w:p>
            <w:pPr>
              <w:spacing w:after="0"/>
              <w:rPr>
                <w:sz w:val="16"/>
                <w:szCs w:val="16"/>
                <w:color w:val="auto"/>
              </w:rPr>
            </w:pPr>
          </w:p>
        </w:tc>
        <w:tc>
          <w:tcPr>
            <w:tcW w:w="40" w:type="dxa"/>
            <w:vAlign w:val="bottom"/>
            <w:tcBorders>
              <w:bottom w:val="single" w:sz="8" w:color="131E29"/>
            </w:tcBorders>
            <w:shd w:val="clear" w:color="auto" w:fill="D2DCE5"/>
          </w:tcPr>
          <w:p>
            <w:pPr>
              <w:spacing w:after="0"/>
              <w:rPr>
                <w:sz w:val="16"/>
                <w:szCs w:val="16"/>
                <w:color w:val="auto"/>
              </w:rPr>
            </w:pPr>
          </w:p>
        </w:tc>
        <w:tc>
          <w:tcPr>
            <w:tcW w:w="60" w:type="dxa"/>
            <w:vAlign w:val="bottom"/>
            <w:tcBorders>
              <w:bottom w:val="single" w:sz="8" w:color="131E29"/>
            </w:tcBorders>
            <w:shd w:val="clear" w:color="auto" w:fill="D2DCE5"/>
          </w:tcPr>
          <w:p>
            <w:pPr>
              <w:spacing w:after="0"/>
              <w:rPr>
                <w:sz w:val="16"/>
                <w:szCs w:val="16"/>
                <w:color w:val="auto"/>
              </w:rPr>
            </w:pPr>
          </w:p>
        </w:tc>
        <w:tc>
          <w:tcPr>
            <w:tcW w:w="100" w:type="dxa"/>
            <w:vAlign w:val="bottom"/>
            <w:tcBorders>
              <w:bottom w:val="single" w:sz="8" w:color="131E29"/>
            </w:tcBorders>
            <w:shd w:val="clear" w:color="auto" w:fill="D2DCE5"/>
          </w:tcPr>
          <w:p>
            <w:pPr>
              <w:spacing w:after="0"/>
              <w:rPr>
                <w:sz w:val="16"/>
                <w:szCs w:val="16"/>
                <w:color w:val="auto"/>
              </w:rPr>
            </w:pPr>
          </w:p>
        </w:tc>
        <w:tc>
          <w:tcPr>
            <w:tcW w:w="46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3"/>
                <w:szCs w:val="13"/>
                <w:color w:val="131E29"/>
              </w:rPr>
              <w:t>(1,681)</w:t>
            </w:r>
          </w:p>
        </w:tc>
        <w:tc>
          <w:tcPr>
            <w:tcW w:w="80" w:type="dxa"/>
            <w:vAlign w:val="bottom"/>
            <w:shd w:val="clear" w:color="auto" w:fill="D2DCE5"/>
          </w:tcPr>
          <w:p>
            <w:pPr>
              <w:spacing w:after="0"/>
              <w:rPr>
                <w:sz w:val="16"/>
                <w:szCs w:val="16"/>
                <w:color w:val="auto"/>
              </w:rPr>
            </w:pPr>
          </w:p>
        </w:tc>
        <w:tc>
          <w:tcPr>
            <w:tcW w:w="400" w:type="dxa"/>
            <w:vAlign w:val="bottom"/>
            <w:tcBorders>
              <w:bottom w:val="single" w:sz="8" w:color="131E29"/>
            </w:tcBorders>
            <w:shd w:val="clear" w:color="auto" w:fill="D2DCE5"/>
          </w:tcPr>
          <w:p>
            <w:pPr>
              <w:spacing w:after="0"/>
              <w:rPr>
                <w:sz w:val="16"/>
                <w:szCs w:val="16"/>
                <w:color w:val="auto"/>
              </w:rPr>
            </w:pPr>
          </w:p>
        </w:tc>
        <w:tc>
          <w:tcPr>
            <w:tcW w:w="120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3"/>
                <w:szCs w:val="13"/>
                <w:color w:val="131E29"/>
              </w:rPr>
              <w:t>(20)</w:t>
            </w:r>
          </w:p>
        </w:tc>
      </w:tr>
      <w:tr>
        <w:trPr>
          <w:trHeight w:val="182"/>
        </w:trPr>
        <w:tc>
          <w:tcPr>
            <w:tcW w:w="3260" w:type="dxa"/>
            <w:vAlign w:val="bottom"/>
            <w:gridSpan w:val="3"/>
          </w:tcPr>
          <w:p>
            <w:pPr>
              <w:ind w:left="100"/>
              <w:spacing w:after="0"/>
              <w:rPr>
                <w:sz w:val="20"/>
                <w:szCs w:val="20"/>
                <w:color w:val="auto"/>
              </w:rPr>
            </w:pPr>
            <w:r>
              <w:rPr>
                <w:rFonts w:ascii="Arial" w:cs="Arial" w:eastAsia="Arial" w:hAnsi="Arial"/>
                <w:sz w:val="13"/>
                <w:szCs w:val="13"/>
                <w:b w:val="1"/>
                <w:bCs w:val="1"/>
                <w:color w:val="131E29"/>
              </w:rPr>
              <w:t>Total change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gridSpan w:val="3"/>
          </w:tcPr>
          <w:p>
            <w:pPr>
              <w:jc w:val="right"/>
              <w:ind w:right="500"/>
              <w:spacing w:after="0"/>
              <w:rPr>
                <w:sz w:val="20"/>
                <w:szCs w:val="20"/>
                <w:color w:val="auto"/>
              </w:rPr>
            </w:pPr>
            <w:r>
              <w:rPr>
                <w:rFonts w:ascii="Arial" w:cs="Arial" w:eastAsia="Arial" w:hAnsi="Arial"/>
                <w:sz w:val="13"/>
                <w:szCs w:val="13"/>
                <w:b w:val="1"/>
                <w:bCs w:val="1"/>
                <w:color w:val="131E29"/>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b w:val="1"/>
                <w:bCs w:val="1"/>
                <w:color w:val="131E29"/>
                <w:w w:val="95"/>
              </w:rPr>
              <w:t>45,796</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b w:val="1"/>
                <w:bCs w:val="1"/>
                <w:color w:val="131E29"/>
              </w:rPr>
              <w:t>140</w:t>
            </w:r>
          </w:p>
        </w:tc>
      </w:tr>
      <w:tr>
        <w:trPr>
          <w:trHeight w:val="358"/>
        </w:trPr>
        <w:tc>
          <w:tcPr>
            <w:tcW w:w="3260" w:type="dxa"/>
            <w:vAlign w:val="bottom"/>
            <w:tcBorders>
              <w:top w:val="single" w:sz="8" w:color="131E29"/>
            </w:tcBorders>
            <w:gridSpan w:val="3"/>
          </w:tcPr>
          <w:p>
            <w:pPr>
              <w:spacing w:after="0"/>
              <w:rPr>
                <w:sz w:val="20"/>
                <w:szCs w:val="20"/>
                <w:color w:val="auto"/>
              </w:rPr>
            </w:pPr>
            <w:r>
              <w:rPr>
                <w:rFonts w:ascii="Arial" w:cs="Arial" w:eastAsia="Arial" w:hAnsi="Arial"/>
                <w:sz w:val="14"/>
                <w:szCs w:val="14"/>
                <w:b w:val="1"/>
                <w:bCs w:val="1"/>
                <w:i w:val="1"/>
                <w:iCs w:val="1"/>
                <w:color w:val="006098"/>
              </w:rPr>
              <w:t>Pre-opening Costs</w:t>
            </w:r>
          </w:p>
        </w:tc>
        <w:tc>
          <w:tcPr>
            <w:tcW w:w="220" w:type="dxa"/>
            <w:vAlign w:val="bottom"/>
            <w:tcBorders>
              <w:top w:val="single" w:sz="8" w:color="131E29"/>
            </w:tcBorders>
          </w:tcPr>
          <w:p>
            <w:pPr>
              <w:spacing w:after="0"/>
              <w:rPr>
                <w:sz w:val="24"/>
                <w:szCs w:val="24"/>
                <w:color w:val="auto"/>
              </w:rPr>
            </w:pPr>
          </w:p>
        </w:tc>
        <w:tc>
          <w:tcPr>
            <w:tcW w:w="80" w:type="dxa"/>
            <w:vAlign w:val="bottom"/>
            <w:tcBorders>
              <w:top w:val="single" w:sz="8" w:color="131E29"/>
            </w:tcBorders>
          </w:tcPr>
          <w:p>
            <w:pPr>
              <w:spacing w:after="0"/>
              <w:rPr>
                <w:sz w:val="24"/>
                <w:szCs w:val="24"/>
                <w:color w:val="auto"/>
              </w:rPr>
            </w:pPr>
          </w:p>
        </w:tc>
        <w:tc>
          <w:tcPr>
            <w:tcW w:w="160" w:type="dxa"/>
            <w:vAlign w:val="bottom"/>
            <w:tcBorders>
              <w:top w:val="single" w:sz="8" w:color="131E29"/>
            </w:tcBorders>
          </w:tcPr>
          <w:p>
            <w:pPr>
              <w:spacing w:after="0"/>
              <w:rPr>
                <w:sz w:val="24"/>
                <w:szCs w:val="24"/>
                <w:color w:val="auto"/>
              </w:rPr>
            </w:pPr>
          </w:p>
        </w:tc>
        <w:tc>
          <w:tcPr>
            <w:tcW w:w="620" w:type="dxa"/>
            <w:vAlign w:val="bottom"/>
            <w:tcBorders>
              <w:top w:val="single" w:sz="8" w:color="131E29"/>
            </w:tcBorders>
          </w:tcPr>
          <w:p>
            <w:pPr>
              <w:spacing w:after="0"/>
              <w:rPr>
                <w:sz w:val="24"/>
                <w:szCs w:val="24"/>
                <w:color w:val="auto"/>
              </w:rPr>
            </w:pPr>
          </w:p>
        </w:tc>
        <w:tc>
          <w:tcPr>
            <w:tcW w:w="80" w:type="dxa"/>
            <w:vAlign w:val="bottom"/>
            <w:tcBorders>
              <w:top w:val="single" w:sz="8" w:color="131E29"/>
            </w:tcBorders>
          </w:tcPr>
          <w:p>
            <w:pPr>
              <w:spacing w:after="0"/>
              <w:rPr>
                <w:sz w:val="24"/>
                <w:szCs w:val="24"/>
                <w:color w:val="auto"/>
              </w:rPr>
            </w:pPr>
          </w:p>
        </w:tc>
        <w:tc>
          <w:tcPr>
            <w:tcW w:w="140" w:type="dxa"/>
            <w:vAlign w:val="bottom"/>
            <w:tcBorders>
              <w:top w:val="single" w:sz="8" w:color="131E29"/>
            </w:tcBorders>
          </w:tcPr>
          <w:p>
            <w:pPr>
              <w:spacing w:after="0"/>
              <w:rPr>
                <w:sz w:val="24"/>
                <w:szCs w:val="24"/>
                <w:color w:val="auto"/>
              </w:rPr>
            </w:pPr>
          </w:p>
        </w:tc>
        <w:tc>
          <w:tcPr>
            <w:tcW w:w="80" w:type="dxa"/>
            <w:vAlign w:val="bottom"/>
            <w:tcBorders>
              <w:top w:val="single" w:sz="8" w:color="131E29"/>
            </w:tcBorders>
          </w:tcPr>
          <w:p>
            <w:pPr>
              <w:spacing w:after="0"/>
              <w:rPr>
                <w:sz w:val="24"/>
                <w:szCs w:val="24"/>
                <w:color w:val="auto"/>
              </w:rPr>
            </w:pPr>
          </w:p>
        </w:tc>
        <w:tc>
          <w:tcPr>
            <w:tcW w:w="100" w:type="dxa"/>
            <w:vAlign w:val="bottom"/>
            <w:tcBorders>
              <w:top w:val="single" w:sz="8" w:color="131E29"/>
            </w:tcBorders>
          </w:tcPr>
          <w:p>
            <w:pPr>
              <w:spacing w:after="0"/>
              <w:rPr>
                <w:sz w:val="24"/>
                <w:szCs w:val="24"/>
                <w:color w:val="auto"/>
              </w:rPr>
            </w:pPr>
          </w:p>
        </w:tc>
        <w:tc>
          <w:tcPr>
            <w:tcW w:w="760" w:type="dxa"/>
            <w:vAlign w:val="bottom"/>
            <w:tcBorders>
              <w:top w:val="single" w:sz="8" w:color="131E29"/>
            </w:tcBorders>
          </w:tcPr>
          <w:p>
            <w:pPr>
              <w:spacing w:after="0"/>
              <w:rPr>
                <w:sz w:val="24"/>
                <w:szCs w:val="24"/>
                <w:color w:val="auto"/>
              </w:rPr>
            </w:pPr>
          </w:p>
        </w:tc>
        <w:tc>
          <w:tcPr>
            <w:tcW w:w="80" w:type="dxa"/>
            <w:vAlign w:val="bottom"/>
            <w:tcBorders>
              <w:top w:val="single" w:sz="8" w:color="131E29"/>
            </w:tcBorders>
          </w:tcPr>
          <w:p>
            <w:pPr>
              <w:spacing w:after="0"/>
              <w:rPr>
                <w:sz w:val="24"/>
                <w:szCs w:val="24"/>
                <w:color w:val="auto"/>
              </w:rPr>
            </w:pPr>
          </w:p>
        </w:tc>
        <w:tc>
          <w:tcPr>
            <w:tcW w:w="20" w:type="dxa"/>
            <w:vAlign w:val="bottom"/>
            <w:tcBorders>
              <w:top w:val="single" w:sz="8" w:color="131E29"/>
            </w:tcBorders>
          </w:tcPr>
          <w:p>
            <w:pPr>
              <w:spacing w:after="0"/>
              <w:rPr>
                <w:sz w:val="24"/>
                <w:szCs w:val="24"/>
                <w:color w:val="auto"/>
              </w:rPr>
            </w:pPr>
          </w:p>
        </w:tc>
        <w:tc>
          <w:tcPr>
            <w:tcW w:w="80" w:type="dxa"/>
            <w:vAlign w:val="bottom"/>
            <w:tcBorders>
              <w:top w:val="single" w:sz="8" w:color="131E29"/>
            </w:tcBorders>
          </w:tcPr>
          <w:p>
            <w:pPr>
              <w:spacing w:after="0"/>
              <w:rPr>
                <w:sz w:val="24"/>
                <w:szCs w:val="24"/>
                <w:color w:val="auto"/>
              </w:rPr>
            </w:pPr>
          </w:p>
        </w:tc>
        <w:tc>
          <w:tcPr>
            <w:tcW w:w="160" w:type="dxa"/>
            <w:vAlign w:val="bottom"/>
            <w:tcBorders>
              <w:top w:val="single" w:sz="8" w:color="131E29"/>
            </w:tcBorders>
          </w:tcPr>
          <w:p>
            <w:pPr>
              <w:spacing w:after="0"/>
              <w:rPr>
                <w:sz w:val="24"/>
                <w:szCs w:val="24"/>
                <w:color w:val="auto"/>
              </w:rPr>
            </w:pPr>
          </w:p>
        </w:tc>
        <w:tc>
          <w:tcPr>
            <w:tcW w:w="760" w:type="dxa"/>
            <w:vAlign w:val="bottom"/>
            <w:tcBorders>
              <w:top w:val="single" w:sz="8" w:color="131E29"/>
            </w:tcBorders>
          </w:tcPr>
          <w:p>
            <w:pPr>
              <w:spacing w:after="0"/>
              <w:rPr>
                <w:sz w:val="24"/>
                <w:szCs w:val="24"/>
                <w:color w:val="auto"/>
              </w:rPr>
            </w:pPr>
          </w:p>
        </w:tc>
        <w:tc>
          <w:tcPr>
            <w:tcW w:w="80" w:type="dxa"/>
            <w:vAlign w:val="bottom"/>
            <w:tcBorders>
              <w:top w:val="single" w:sz="8" w:color="131E29"/>
            </w:tcBorders>
          </w:tcPr>
          <w:p>
            <w:pPr>
              <w:spacing w:after="0"/>
              <w:rPr>
                <w:sz w:val="24"/>
                <w:szCs w:val="24"/>
                <w:color w:val="auto"/>
              </w:rPr>
            </w:pPr>
          </w:p>
        </w:tc>
        <w:tc>
          <w:tcPr>
            <w:tcW w:w="20" w:type="dxa"/>
            <w:vAlign w:val="bottom"/>
            <w:tcBorders>
              <w:top w:val="single" w:sz="8" w:color="131E29"/>
            </w:tcBorders>
          </w:tcPr>
          <w:p>
            <w:pPr>
              <w:spacing w:after="0"/>
              <w:rPr>
                <w:sz w:val="24"/>
                <w:szCs w:val="24"/>
                <w:color w:val="auto"/>
              </w:rPr>
            </w:pPr>
          </w:p>
        </w:tc>
        <w:tc>
          <w:tcPr>
            <w:tcW w:w="80" w:type="dxa"/>
            <w:vAlign w:val="bottom"/>
            <w:tcBorders>
              <w:top w:val="single" w:sz="8" w:color="131E29"/>
            </w:tcBorders>
          </w:tcPr>
          <w:p>
            <w:pPr>
              <w:spacing w:after="0"/>
              <w:rPr>
                <w:sz w:val="24"/>
                <w:szCs w:val="24"/>
                <w:color w:val="auto"/>
              </w:rPr>
            </w:pPr>
          </w:p>
        </w:tc>
        <w:tc>
          <w:tcPr>
            <w:tcW w:w="180" w:type="dxa"/>
            <w:vAlign w:val="bottom"/>
            <w:tcBorders>
              <w:top w:val="single" w:sz="8" w:color="131E29"/>
            </w:tcBorders>
          </w:tcPr>
          <w:p>
            <w:pPr>
              <w:spacing w:after="0"/>
              <w:rPr>
                <w:sz w:val="24"/>
                <w:szCs w:val="24"/>
                <w:color w:val="auto"/>
              </w:rPr>
            </w:pPr>
          </w:p>
        </w:tc>
        <w:tc>
          <w:tcPr>
            <w:tcW w:w="940" w:type="dxa"/>
            <w:vAlign w:val="bottom"/>
            <w:tcBorders>
              <w:top w:val="single" w:sz="8" w:color="131E29"/>
            </w:tcBorders>
          </w:tcPr>
          <w:p>
            <w:pPr>
              <w:spacing w:after="0"/>
              <w:rPr>
                <w:sz w:val="24"/>
                <w:szCs w:val="24"/>
                <w:color w:val="auto"/>
              </w:rPr>
            </w:pPr>
          </w:p>
        </w:tc>
        <w:tc>
          <w:tcPr>
            <w:tcW w:w="180" w:type="dxa"/>
            <w:vAlign w:val="bottom"/>
            <w:tcBorders>
              <w:top w:val="single" w:sz="8" w:color="131E29"/>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top w:val="single" w:sz="8" w:color="131E29"/>
            </w:tcBorders>
          </w:tcPr>
          <w:p>
            <w:pPr>
              <w:spacing w:after="0"/>
              <w:rPr>
                <w:sz w:val="24"/>
                <w:szCs w:val="24"/>
                <w:color w:val="auto"/>
              </w:rPr>
            </w:pPr>
          </w:p>
        </w:tc>
        <w:tc>
          <w:tcPr>
            <w:tcW w:w="120" w:type="dxa"/>
            <w:vAlign w:val="bottom"/>
            <w:tcBorders>
              <w:top w:val="single" w:sz="8" w:color="131E29"/>
            </w:tcBorders>
          </w:tcPr>
          <w:p>
            <w:pPr>
              <w:spacing w:after="0"/>
              <w:rPr>
                <w:sz w:val="24"/>
                <w:szCs w:val="24"/>
                <w:color w:val="auto"/>
              </w:rPr>
            </w:pPr>
          </w:p>
        </w:tc>
        <w:tc>
          <w:tcPr>
            <w:tcW w:w="60" w:type="dxa"/>
            <w:vAlign w:val="bottom"/>
            <w:tcBorders>
              <w:top w:val="single" w:sz="8" w:color="131E29"/>
            </w:tcBorders>
          </w:tcPr>
          <w:p>
            <w:pPr>
              <w:spacing w:after="0"/>
              <w:rPr>
                <w:sz w:val="24"/>
                <w:szCs w:val="24"/>
                <w:color w:val="auto"/>
              </w:rPr>
            </w:pPr>
          </w:p>
        </w:tc>
        <w:tc>
          <w:tcPr>
            <w:tcW w:w="40" w:type="dxa"/>
            <w:vAlign w:val="bottom"/>
            <w:tcBorders>
              <w:top w:val="single" w:sz="8" w:color="131E29"/>
            </w:tcBorders>
          </w:tcPr>
          <w:p>
            <w:pPr>
              <w:spacing w:after="0"/>
              <w:rPr>
                <w:sz w:val="24"/>
                <w:szCs w:val="24"/>
                <w:color w:val="auto"/>
              </w:rPr>
            </w:pPr>
          </w:p>
        </w:tc>
        <w:tc>
          <w:tcPr>
            <w:tcW w:w="60" w:type="dxa"/>
            <w:vAlign w:val="bottom"/>
            <w:tcBorders>
              <w:top w:val="single" w:sz="8" w:color="131E29"/>
            </w:tcBorders>
          </w:tcPr>
          <w:p>
            <w:pPr>
              <w:spacing w:after="0"/>
              <w:rPr>
                <w:sz w:val="24"/>
                <w:szCs w:val="24"/>
                <w:color w:val="auto"/>
              </w:rPr>
            </w:pPr>
          </w:p>
        </w:tc>
        <w:tc>
          <w:tcPr>
            <w:tcW w:w="100" w:type="dxa"/>
            <w:vAlign w:val="bottom"/>
            <w:tcBorders>
              <w:top w:val="single" w:sz="8" w:color="131E29"/>
            </w:tcBorders>
          </w:tcPr>
          <w:p>
            <w:pPr>
              <w:spacing w:after="0"/>
              <w:rPr>
                <w:sz w:val="24"/>
                <w:szCs w:val="24"/>
                <w:color w:val="auto"/>
              </w:rPr>
            </w:pPr>
          </w:p>
        </w:tc>
        <w:tc>
          <w:tcPr>
            <w:tcW w:w="460" w:type="dxa"/>
            <w:vAlign w:val="bottom"/>
            <w:tcBorders>
              <w:top w:val="single" w:sz="8" w:color="131E29"/>
            </w:tcBorders>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Borders>
              <w:top w:val="single" w:sz="8" w:color="131E29"/>
            </w:tcBorders>
          </w:tcPr>
          <w:p>
            <w:pPr>
              <w:spacing w:after="0"/>
              <w:rPr>
                <w:sz w:val="24"/>
                <w:szCs w:val="24"/>
                <w:color w:val="auto"/>
              </w:rPr>
            </w:pPr>
          </w:p>
        </w:tc>
        <w:tc>
          <w:tcPr>
            <w:tcW w:w="1200" w:type="dxa"/>
            <w:vAlign w:val="bottom"/>
            <w:tcBorders>
              <w:top w:val="single" w:sz="8" w:color="131E29"/>
            </w:tcBorders>
          </w:tcPr>
          <w:p>
            <w:pPr>
              <w:spacing w:after="0"/>
              <w:rPr>
                <w:sz w:val="24"/>
                <w:szCs w:val="24"/>
                <w:color w:val="auto"/>
              </w:rPr>
            </w:pPr>
          </w:p>
        </w:tc>
      </w:tr>
      <w:tr>
        <w:trPr>
          <w:trHeight w:val="340"/>
        </w:trPr>
        <w:tc>
          <w:tcPr>
            <w:tcW w:w="2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20" w:type="dxa"/>
            <w:vAlign w:val="bottom"/>
            <w:gridSpan w:val="9"/>
          </w:tcPr>
          <w:p>
            <w:pPr>
              <w:jc w:val="center"/>
              <w:ind w:left="189"/>
              <w:spacing w:after="0"/>
              <w:rPr>
                <w:sz w:val="20"/>
                <w:szCs w:val="20"/>
                <w:color w:val="auto"/>
              </w:rPr>
            </w:pPr>
            <w:r>
              <w:rPr>
                <w:rFonts w:ascii="Arial" w:cs="Arial" w:eastAsia="Arial" w:hAnsi="Arial"/>
                <w:sz w:val="14"/>
                <w:szCs w:val="14"/>
                <w:b w:val="1"/>
                <w:bCs w:val="1"/>
                <w:color w:val="131E29"/>
              </w:rPr>
              <w:t>Year Ended December 31,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2"/>
        </w:trPr>
        <w:tc>
          <w:tcPr>
            <w:tcW w:w="32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r>
      <w:tr>
        <w:trPr>
          <w:trHeight w:val="193"/>
        </w:trPr>
        <w:tc>
          <w:tcPr>
            <w:tcW w:w="326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color w:val="131E29"/>
              </w:rPr>
              <w:t>(in thousands, except shop data; unaudited)</w:t>
            </w: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D2DCE5"/>
            </w:tcBorders>
          </w:tcPr>
          <w:p>
            <w:pPr>
              <w:spacing w:after="0"/>
              <w:rPr>
                <w:sz w:val="16"/>
                <w:szCs w:val="16"/>
                <w:color w:val="auto"/>
              </w:rPr>
            </w:pPr>
          </w:p>
        </w:tc>
        <w:tc>
          <w:tcPr>
            <w:tcW w:w="160" w:type="dxa"/>
            <w:vAlign w:val="bottom"/>
            <w:tcBorders>
              <w:bottom w:val="single" w:sz="8" w:color="131E29"/>
            </w:tcBorders>
          </w:tcPr>
          <w:p>
            <w:pPr>
              <w:spacing w:after="0"/>
              <w:rPr>
                <w:sz w:val="16"/>
                <w:szCs w:val="16"/>
                <w:color w:val="auto"/>
              </w:rPr>
            </w:pPr>
          </w:p>
        </w:tc>
        <w:tc>
          <w:tcPr>
            <w:tcW w:w="620" w:type="dxa"/>
            <w:vAlign w:val="bottom"/>
            <w:tcBorders>
              <w:bottom w:val="single" w:sz="8" w:color="131E29"/>
            </w:tcBorders>
          </w:tcPr>
          <w:p>
            <w:pPr>
              <w:jc w:val="center"/>
              <w:spacing w:after="0"/>
              <w:rPr>
                <w:sz w:val="20"/>
                <w:szCs w:val="20"/>
                <w:color w:val="auto"/>
              </w:rPr>
            </w:pPr>
            <w:r>
              <w:rPr>
                <w:rFonts w:ascii="Arial" w:cs="Arial" w:eastAsia="Arial" w:hAnsi="Arial"/>
                <w:sz w:val="14"/>
                <w:szCs w:val="14"/>
                <w:b w:val="1"/>
                <w:bCs w:val="1"/>
                <w:color w:val="131E29"/>
              </w:rPr>
              <w:t>2022</w:t>
            </w:r>
          </w:p>
        </w:tc>
        <w:tc>
          <w:tcPr>
            <w:tcW w:w="80" w:type="dxa"/>
            <w:vAlign w:val="bottom"/>
            <w:tcBorders>
              <w:bottom w:val="single" w:sz="8" w:color="131E29"/>
            </w:tcBorders>
          </w:tcPr>
          <w:p>
            <w:pPr>
              <w:spacing w:after="0"/>
              <w:rPr>
                <w:sz w:val="16"/>
                <w:szCs w:val="16"/>
                <w:color w:val="auto"/>
              </w:rPr>
            </w:pPr>
          </w:p>
        </w:tc>
        <w:tc>
          <w:tcPr>
            <w:tcW w:w="140" w:type="dxa"/>
            <w:vAlign w:val="bottom"/>
            <w:tcBorders>
              <w:bottom w:val="single" w:sz="8" w:color="131E29"/>
            </w:tcBorders>
          </w:tcPr>
          <w:p>
            <w:pPr>
              <w:spacing w:after="0"/>
              <w:rPr>
                <w:sz w:val="16"/>
                <w:szCs w:val="16"/>
                <w:color w:val="auto"/>
              </w:rPr>
            </w:pPr>
          </w:p>
        </w:tc>
        <w:tc>
          <w:tcPr>
            <w:tcW w:w="80" w:type="dxa"/>
            <w:vAlign w:val="bottom"/>
            <w:tcBorders>
              <w:bottom w:val="single" w:sz="8" w:color="D2DCE5"/>
            </w:tcBorders>
          </w:tcPr>
          <w:p>
            <w:pPr>
              <w:spacing w:after="0"/>
              <w:rPr>
                <w:sz w:val="16"/>
                <w:szCs w:val="16"/>
                <w:color w:val="auto"/>
              </w:rPr>
            </w:pPr>
          </w:p>
        </w:tc>
        <w:tc>
          <w:tcPr>
            <w:tcW w:w="100" w:type="dxa"/>
            <w:vAlign w:val="bottom"/>
            <w:tcBorders>
              <w:bottom w:val="single" w:sz="8" w:color="131E29"/>
            </w:tcBorders>
          </w:tcPr>
          <w:p>
            <w:pPr>
              <w:spacing w:after="0"/>
              <w:rPr>
                <w:sz w:val="16"/>
                <w:szCs w:val="16"/>
                <w:color w:val="auto"/>
              </w:rPr>
            </w:pPr>
          </w:p>
        </w:tc>
        <w:tc>
          <w:tcPr>
            <w:tcW w:w="760" w:type="dxa"/>
            <w:vAlign w:val="bottom"/>
            <w:tcBorders>
              <w:bottom w:val="single" w:sz="8" w:color="131E29"/>
            </w:tcBorders>
          </w:tcPr>
          <w:p>
            <w:pPr>
              <w:jc w:val="center"/>
              <w:spacing w:after="0"/>
              <w:rPr>
                <w:sz w:val="20"/>
                <w:szCs w:val="20"/>
                <w:color w:val="auto"/>
              </w:rPr>
            </w:pPr>
            <w:r>
              <w:rPr>
                <w:rFonts w:ascii="Arial" w:cs="Arial" w:eastAsia="Arial" w:hAnsi="Arial"/>
                <w:sz w:val="14"/>
                <w:szCs w:val="14"/>
                <w:b w:val="1"/>
                <w:bCs w:val="1"/>
                <w:color w:val="131E29"/>
              </w:rPr>
              <w:t>2021</w:t>
            </w:r>
          </w:p>
        </w:tc>
        <w:tc>
          <w:tcPr>
            <w:tcW w:w="80" w:type="dxa"/>
            <w:vAlign w:val="bottom"/>
            <w:tcBorders>
              <w:bottom w:val="single" w:sz="8" w:color="131E29"/>
            </w:tcBorders>
          </w:tcPr>
          <w:p>
            <w:pPr>
              <w:spacing w:after="0"/>
              <w:rPr>
                <w:sz w:val="16"/>
                <w:szCs w:val="16"/>
                <w:color w:val="auto"/>
              </w:rPr>
            </w:pPr>
          </w:p>
        </w:tc>
        <w:tc>
          <w:tcPr>
            <w:tcW w:w="20" w:type="dxa"/>
            <w:vAlign w:val="bottom"/>
            <w:tcBorders>
              <w:bottom w:val="single" w:sz="8" w:color="131E29"/>
            </w:tcBorders>
          </w:tcPr>
          <w:p>
            <w:pPr>
              <w:spacing w:after="0"/>
              <w:rPr>
                <w:sz w:val="16"/>
                <w:szCs w:val="16"/>
                <w:color w:val="auto"/>
              </w:rPr>
            </w:pPr>
          </w:p>
        </w:tc>
        <w:tc>
          <w:tcPr>
            <w:tcW w:w="80" w:type="dxa"/>
            <w:vAlign w:val="bottom"/>
            <w:tcBorders>
              <w:bottom w:val="single" w:sz="8" w:color="D2DCE5"/>
            </w:tcBorders>
          </w:tcPr>
          <w:p>
            <w:pPr>
              <w:spacing w:after="0"/>
              <w:rPr>
                <w:sz w:val="16"/>
                <w:szCs w:val="16"/>
                <w:color w:val="auto"/>
              </w:rPr>
            </w:pPr>
          </w:p>
        </w:tc>
        <w:tc>
          <w:tcPr>
            <w:tcW w:w="160" w:type="dxa"/>
            <w:vAlign w:val="bottom"/>
            <w:tcBorders>
              <w:bottom w:val="single" w:sz="8" w:color="131E29"/>
            </w:tcBorders>
          </w:tcPr>
          <w:p>
            <w:pPr>
              <w:spacing w:after="0"/>
              <w:rPr>
                <w:sz w:val="16"/>
                <w:szCs w:val="16"/>
                <w:color w:val="auto"/>
              </w:rPr>
            </w:pPr>
          </w:p>
        </w:tc>
        <w:tc>
          <w:tcPr>
            <w:tcW w:w="760" w:type="dxa"/>
            <w:vAlign w:val="bottom"/>
            <w:tcBorders>
              <w:bottom w:val="single" w:sz="8" w:color="131E29"/>
            </w:tcBorders>
          </w:tcPr>
          <w:p>
            <w:pPr>
              <w:jc w:val="center"/>
              <w:ind w:right="9"/>
              <w:spacing w:after="0"/>
              <w:rPr>
                <w:sz w:val="20"/>
                <w:szCs w:val="20"/>
                <w:color w:val="auto"/>
              </w:rPr>
            </w:pPr>
            <w:r>
              <w:rPr>
                <w:rFonts w:ascii="Arial" w:cs="Arial" w:eastAsia="Arial" w:hAnsi="Arial"/>
                <w:sz w:val="14"/>
                <w:szCs w:val="14"/>
                <w:b w:val="1"/>
                <w:bCs w:val="1"/>
                <w:color w:val="131E29"/>
              </w:rPr>
              <w:t>2020</w:t>
            </w:r>
          </w:p>
        </w:tc>
        <w:tc>
          <w:tcPr>
            <w:tcW w:w="80" w:type="dxa"/>
            <w:vAlign w:val="bottom"/>
            <w:tcBorders>
              <w:bottom w:val="single" w:sz="8" w:color="131E29"/>
            </w:tcBorders>
          </w:tcPr>
          <w:p>
            <w:pPr>
              <w:spacing w:after="0"/>
              <w:rPr>
                <w:sz w:val="16"/>
                <w:szCs w:val="16"/>
                <w:color w:val="auto"/>
              </w:rPr>
            </w:pPr>
          </w:p>
        </w:tc>
        <w:tc>
          <w:tcPr>
            <w:tcW w:w="20" w:type="dxa"/>
            <w:vAlign w:val="bottom"/>
            <w:tcBorders>
              <w:bottom w:val="single" w:sz="8" w:color="131E29"/>
            </w:tcBorders>
          </w:tcPr>
          <w:p>
            <w:pPr>
              <w:spacing w:after="0"/>
              <w:rPr>
                <w:sz w:val="16"/>
                <w:szCs w:val="16"/>
                <w:color w:val="auto"/>
              </w:rPr>
            </w:pPr>
          </w:p>
        </w:tc>
        <w:tc>
          <w:tcPr>
            <w:tcW w:w="80" w:type="dxa"/>
            <w:vAlign w:val="bottom"/>
            <w:tcBorders>
              <w:bottom w:val="single" w:sz="8" w:color="D2DCE5"/>
            </w:tcBorders>
          </w:tcPr>
          <w:p>
            <w:pPr>
              <w:spacing w:after="0"/>
              <w:rPr>
                <w:sz w:val="16"/>
                <w:szCs w:val="16"/>
                <w:color w:val="auto"/>
              </w:rPr>
            </w:pPr>
          </w:p>
        </w:tc>
        <w:tc>
          <w:tcPr>
            <w:tcW w:w="180" w:type="dxa"/>
            <w:vAlign w:val="bottom"/>
            <w:tcBorders>
              <w:bottom w:val="single" w:sz="8" w:color="131E29"/>
            </w:tcBorders>
          </w:tcPr>
          <w:p>
            <w:pPr>
              <w:spacing w:after="0"/>
              <w:rPr>
                <w:sz w:val="16"/>
                <w:szCs w:val="16"/>
                <w:color w:val="auto"/>
              </w:rPr>
            </w:pPr>
          </w:p>
        </w:tc>
        <w:tc>
          <w:tcPr>
            <w:tcW w:w="1800" w:type="dxa"/>
            <w:vAlign w:val="bottom"/>
            <w:tcBorders>
              <w:bottom w:val="single" w:sz="8" w:color="131E29"/>
            </w:tcBorders>
            <w:gridSpan w:val="4"/>
          </w:tcPr>
          <w:p>
            <w:pPr>
              <w:jc w:val="right"/>
              <w:ind w:right="500"/>
              <w:spacing w:after="0"/>
              <w:rPr>
                <w:sz w:val="20"/>
                <w:szCs w:val="20"/>
                <w:color w:val="auto"/>
              </w:rPr>
            </w:pPr>
            <w:r>
              <w:rPr>
                <w:rFonts w:ascii="Arial" w:cs="Arial" w:eastAsia="Arial" w:hAnsi="Arial"/>
                <w:sz w:val="14"/>
                <w:szCs w:val="14"/>
                <w:b w:val="1"/>
                <w:bCs w:val="1"/>
                <w:color w:val="131E29"/>
              </w:rPr>
              <w:t>2022 v. 2021</w:t>
            </w:r>
          </w:p>
        </w:tc>
        <w:tc>
          <w:tcPr>
            <w:tcW w:w="120" w:type="dxa"/>
            <w:vAlign w:val="bottom"/>
            <w:tcBorders>
              <w:bottom w:val="single" w:sz="8" w:color="131E29"/>
            </w:tcBorders>
          </w:tcPr>
          <w:p>
            <w:pPr>
              <w:spacing w:after="0"/>
              <w:rPr>
                <w:sz w:val="16"/>
                <w:szCs w:val="16"/>
                <w:color w:val="auto"/>
              </w:rPr>
            </w:pPr>
          </w:p>
        </w:tc>
        <w:tc>
          <w:tcPr>
            <w:tcW w:w="60" w:type="dxa"/>
            <w:vAlign w:val="bottom"/>
            <w:tcBorders>
              <w:bottom w:val="single" w:sz="8" w:color="131E29"/>
            </w:tcBorders>
          </w:tcPr>
          <w:p>
            <w:pPr>
              <w:spacing w:after="0"/>
              <w:rPr>
                <w:sz w:val="16"/>
                <w:szCs w:val="16"/>
                <w:color w:val="auto"/>
              </w:rPr>
            </w:pPr>
          </w:p>
        </w:tc>
        <w:tc>
          <w:tcPr>
            <w:tcW w:w="40" w:type="dxa"/>
            <w:vAlign w:val="bottom"/>
            <w:tcBorders>
              <w:bottom w:val="single" w:sz="8" w:color="D2DCE5"/>
            </w:tcBorders>
          </w:tcPr>
          <w:p>
            <w:pPr>
              <w:spacing w:after="0"/>
              <w:rPr>
                <w:sz w:val="16"/>
                <w:szCs w:val="16"/>
                <w:color w:val="auto"/>
              </w:rPr>
            </w:pPr>
          </w:p>
        </w:tc>
        <w:tc>
          <w:tcPr>
            <w:tcW w:w="60" w:type="dxa"/>
            <w:vAlign w:val="bottom"/>
            <w:tcBorders>
              <w:bottom w:val="single" w:sz="8" w:color="D2DCE5"/>
            </w:tcBorders>
          </w:tcPr>
          <w:p>
            <w:pPr>
              <w:spacing w:after="0"/>
              <w:rPr>
                <w:sz w:val="16"/>
                <w:szCs w:val="16"/>
                <w:color w:val="auto"/>
              </w:rPr>
            </w:pPr>
          </w:p>
        </w:tc>
        <w:tc>
          <w:tcPr>
            <w:tcW w:w="100" w:type="dxa"/>
            <w:vAlign w:val="bottom"/>
            <w:tcBorders>
              <w:bottom w:val="single" w:sz="8" w:color="131E29"/>
            </w:tcBorders>
          </w:tcPr>
          <w:p>
            <w:pPr>
              <w:spacing w:after="0"/>
              <w:rPr>
                <w:sz w:val="16"/>
                <w:szCs w:val="16"/>
                <w:color w:val="auto"/>
              </w:rPr>
            </w:pPr>
          </w:p>
        </w:tc>
        <w:tc>
          <w:tcPr>
            <w:tcW w:w="460" w:type="dxa"/>
            <w:vAlign w:val="bottom"/>
            <w:tcBorders>
              <w:bottom w:val="single" w:sz="8" w:color="131E29"/>
            </w:tcBorders>
          </w:tcPr>
          <w:p>
            <w:pPr>
              <w:spacing w:after="0"/>
              <w:rPr>
                <w:sz w:val="16"/>
                <w:szCs w:val="16"/>
                <w:color w:val="auto"/>
              </w:rPr>
            </w:pPr>
          </w:p>
        </w:tc>
        <w:tc>
          <w:tcPr>
            <w:tcW w:w="80" w:type="dxa"/>
            <w:vAlign w:val="bottom"/>
            <w:tcBorders>
              <w:bottom w:val="single" w:sz="8" w:color="131E29"/>
            </w:tcBorders>
          </w:tcPr>
          <w:p>
            <w:pPr>
              <w:spacing w:after="0"/>
              <w:rPr>
                <w:sz w:val="16"/>
                <w:szCs w:val="16"/>
                <w:color w:val="auto"/>
              </w:rPr>
            </w:pPr>
          </w:p>
        </w:tc>
        <w:tc>
          <w:tcPr>
            <w:tcW w:w="1600" w:type="dxa"/>
            <w:vAlign w:val="bottom"/>
            <w:tcBorders>
              <w:bottom w:val="single" w:sz="8" w:color="131E29"/>
            </w:tcBorders>
            <w:gridSpan w:val="2"/>
          </w:tcPr>
          <w:p>
            <w:pPr>
              <w:jc w:val="right"/>
              <w:ind w:right="654"/>
              <w:spacing w:after="0"/>
              <w:rPr>
                <w:sz w:val="20"/>
                <w:szCs w:val="20"/>
                <w:color w:val="auto"/>
              </w:rPr>
            </w:pPr>
            <w:r>
              <w:rPr>
                <w:rFonts w:ascii="Arial" w:cs="Arial" w:eastAsia="Arial" w:hAnsi="Arial"/>
                <w:sz w:val="14"/>
                <w:szCs w:val="14"/>
                <w:b w:val="1"/>
                <w:bCs w:val="1"/>
                <w:color w:val="131E29"/>
              </w:rPr>
              <w:t>2021 v. 2020</w:t>
            </w:r>
          </w:p>
        </w:tc>
      </w:tr>
      <w:tr>
        <w:trPr>
          <w:trHeight w:val="212"/>
        </w:trPr>
        <w:tc>
          <w:tcPr>
            <w:tcW w:w="3260" w:type="dxa"/>
            <w:vAlign w:val="bottom"/>
            <w:gridSpan w:val="3"/>
            <w:shd w:val="clear" w:color="auto" w:fill="D2DCE5"/>
          </w:tcPr>
          <w:p>
            <w:pPr>
              <w:ind w:left="20"/>
              <w:spacing w:after="0"/>
              <w:rPr>
                <w:sz w:val="20"/>
                <w:szCs w:val="20"/>
                <w:color w:val="auto"/>
              </w:rPr>
            </w:pPr>
            <w:r>
              <w:rPr>
                <w:rFonts w:ascii="Arial" w:cs="Arial" w:eastAsia="Arial" w:hAnsi="Arial"/>
                <w:sz w:val="13"/>
                <w:szCs w:val="13"/>
                <w:color w:val="131E29"/>
              </w:rPr>
              <w:t>Pre-opening costs</w:t>
            </w:r>
          </w:p>
        </w:tc>
        <w:tc>
          <w:tcPr>
            <w:tcW w:w="460" w:type="dxa"/>
            <w:vAlign w:val="bottom"/>
            <w:gridSpan w:val="3"/>
            <w:shd w:val="clear" w:color="auto" w:fill="D2DCE5"/>
          </w:tcPr>
          <w:p>
            <w:pPr>
              <w:jc w:val="right"/>
              <w:ind w:right="60"/>
              <w:spacing w:after="0"/>
              <w:rPr>
                <w:sz w:val="20"/>
                <w:szCs w:val="20"/>
                <w:color w:val="auto"/>
              </w:rPr>
            </w:pPr>
            <w:r>
              <w:rPr>
                <w:rFonts w:ascii="Arial" w:cs="Arial" w:eastAsia="Arial" w:hAnsi="Arial"/>
                <w:sz w:val="14"/>
                <w:szCs w:val="14"/>
                <w:color w:val="131E29"/>
              </w:rPr>
              <w:t>$</w:t>
            </w:r>
          </w:p>
        </w:tc>
        <w:tc>
          <w:tcPr>
            <w:tcW w:w="840" w:type="dxa"/>
            <w:vAlign w:val="bottom"/>
            <w:gridSpan w:val="3"/>
            <w:shd w:val="clear" w:color="auto" w:fill="D2DCE5"/>
          </w:tcPr>
          <w:p>
            <w:pPr>
              <w:jc w:val="right"/>
              <w:spacing w:after="0"/>
              <w:rPr>
                <w:sz w:val="20"/>
                <w:szCs w:val="20"/>
                <w:color w:val="auto"/>
              </w:rPr>
            </w:pPr>
            <w:r>
              <w:rPr>
                <w:rFonts w:ascii="Arial" w:cs="Arial" w:eastAsia="Arial" w:hAnsi="Arial"/>
                <w:sz w:val="14"/>
                <w:szCs w:val="14"/>
                <w:color w:val="131E29"/>
              </w:rPr>
              <w:t>17,986</w:t>
            </w:r>
          </w:p>
        </w:tc>
        <w:tc>
          <w:tcPr>
            <w:tcW w:w="80" w:type="dxa"/>
            <w:vAlign w:val="bottom"/>
            <w:shd w:val="clear" w:color="auto" w:fill="D2DCE5"/>
          </w:tcPr>
          <w:p>
            <w:pPr>
              <w:spacing w:after="0"/>
              <w:rPr>
                <w:sz w:val="18"/>
                <w:szCs w:val="18"/>
                <w:color w:val="auto"/>
              </w:rPr>
            </w:pPr>
          </w:p>
        </w:tc>
        <w:tc>
          <w:tcPr>
            <w:tcW w:w="1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40" w:type="dxa"/>
            <w:vAlign w:val="bottom"/>
            <w:gridSpan w:val="2"/>
            <w:shd w:val="clear" w:color="auto" w:fill="D2DCE5"/>
          </w:tcPr>
          <w:p>
            <w:pPr>
              <w:jc w:val="right"/>
              <w:ind w:right="40"/>
              <w:spacing w:after="0"/>
              <w:rPr>
                <w:sz w:val="20"/>
                <w:szCs w:val="20"/>
                <w:color w:val="auto"/>
              </w:rPr>
            </w:pPr>
            <w:r>
              <w:rPr>
                <w:rFonts w:ascii="Arial" w:cs="Arial" w:eastAsia="Arial" w:hAnsi="Arial"/>
                <w:sz w:val="14"/>
                <w:szCs w:val="14"/>
                <w:color w:val="131E29"/>
              </w:rPr>
              <w:t>12,801</w:t>
            </w:r>
          </w:p>
        </w:tc>
        <w:tc>
          <w:tcPr>
            <w:tcW w:w="260" w:type="dxa"/>
            <w:vAlign w:val="bottom"/>
            <w:gridSpan w:val="3"/>
            <w:shd w:val="clear" w:color="auto" w:fill="D2DCE5"/>
          </w:tcPr>
          <w:p>
            <w:pPr>
              <w:jc w:val="right"/>
              <w:ind w:right="60"/>
              <w:spacing w:after="0"/>
              <w:rPr>
                <w:sz w:val="20"/>
                <w:szCs w:val="20"/>
                <w:color w:val="auto"/>
              </w:rPr>
            </w:pPr>
            <w:r>
              <w:rPr>
                <w:rFonts w:ascii="Arial" w:cs="Arial" w:eastAsia="Arial" w:hAnsi="Arial"/>
                <w:sz w:val="14"/>
                <w:szCs w:val="14"/>
                <w:color w:val="131E29"/>
              </w:rPr>
              <w:t>$</w:t>
            </w:r>
          </w:p>
        </w:tc>
        <w:tc>
          <w:tcPr>
            <w:tcW w:w="840" w:type="dxa"/>
            <w:vAlign w:val="bottom"/>
            <w:gridSpan w:val="2"/>
            <w:shd w:val="clear" w:color="auto" w:fill="D2DCE5"/>
          </w:tcPr>
          <w:p>
            <w:pPr>
              <w:jc w:val="right"/>
              <w:ind w:right="60"/>
              <w:spacing w:after="0"/>
              <w:rPr>
                <w:sz w:val="20"/>
                <w:szCs w:val="20"/>
                <w:color w:val="auto"/>
              </w:rPr>
            </w:pPr>
            <w:r>
              <w:rPr>
                <w:rFonts w:ascii="Arial" w:cs="Arial" w:eastAsia="Arial" w:hAnsi="Arial"/>
                <w:sz w:val="14"/>
                <w:szCs w:val="14"/>
                <w:color w:val="131E29"/>
              </w:rPr>
              <w:t>9,327</w:t>
            </w:r>
          </w:p>
        </w:tc>
        <w:tc>
          <w:tcPr>
            <w:tcW w:w="280" w:type="dxa"/>
            <w:vAlign w:val="bottom"/>
            <w:gridSpan w:val="3"/>
            <w:shd w:val="clear" w:color="auto" w:fill="D2DCE5"/>
          </w:tcPr>
          <w:p>
            <w:pPr>
              <w:jc w:val="right"/>
              <w:ind w:right="100"/>
              <w:spacing w:after="0"/>
              <w:rPr>
                <w:sz w:val="20"/>
                <w:szCs w:val="20"/>
                <w:color w:val="auto"/>
              </w:rPr>
            </w:pPr>
            <w:r>
              <w:rPr>
                <w:rFonts w:ascii="Arial" w:cs="Arial" w:eastAsia="Arial" w:hAnsi="Arial"/>
                <w:sz w:val="14"/>
                <w:szCs w:val="14"/>
                <w:color w:val="131E29"/>
              </w:rPr>
              <w:t>$</w:t>
            </w:r>
          </w:p>
        </w:tc>
        <w:tc>
          <w:tcPr>
            <w:tcW w:w="940" w:type="dxa"/>
            <w:vAlign w:val="bottom"/>
            <w:shd w:val="clear" w:color="auto" w:fill="D2DCE5"/>
          </w:tcPr>
          <w:p>
            <w:pPr>
              <w:ind w:left="400"/>
              <w:spacing w:after="0"/>
              <w:rPr>
                <w:sz w:val="20"/>
                <w:szCs w:val="20"/>
                <w:color w:val="auto"/>
              </w:rPr>
            </w:pPr>
            <w:r>
              <w:rPr>
                <w:rFonts w:ascii="Arial" w:cs="Arial" w:eastAsia="Arial" w:hAnsi="Arial"/>
                <w:sz w:val="14"/>
                <w:szCs w:val="14"/>
                <w:color w:val="131E29"/>
              </w:rPr>
              <w:t>5,185</w:t>
            </w:r>
          </w:p>
        </w:tc>
        <w:tc>
          <w:tcPr>
            <w:tcW w:w="860" w:type="dxa"/>
            <w:vAlign w:val="bottom"/>
            <w:gridSpan w:val="3"/>
            <w:shd w:val="clear" w:color="auto" w:fill="D2DCE5"/>
          </w:tcPr>
          <w:p>
            <w:pPr>
              <w:jc w:val="center"/>
              <w:ind w:left="71"/>
              <w:spacing w:after="0"/>
              <w:rPr>
                <w:sz w:val="20"/>
                <w:szCs w:val="20"/>
                <w:color w:val="auto"/>
              </w:rPr>
            </w:pPr>
            <w:r>
              <w:rPr>
                <w:rFonts w:ascii="Arial" w:cs="Arial" w:eastAsia="Arial" w:hAnsi="Arial"/>
                <w:sz w:val="14"/>
                <w:szCs w:val="14"/>
                <w:color w:val="131E29"/>
              </w:rPr>
              <w:t>40.5%</w:t>
            </w:r>
          </w:p>
        </w:tc>
        <w:tc>
          <w:tcPr>
            <w:tcW w:w="380" w:type="dxa"/>
            <w:vAlign w:val="bottom"/>
            <w:gridSpan w:val="5"/>
            <w:shd w:val="clear" w:color="auto" w:fill="D2DCE5"/>
          </w:tcPr>
          <w:p>
            <w:pPr>
              <w:jc w:val="right"/>
              <w:ind w:right="20"/>
              <w:spacing w:after="0"/>
              <w:rPr>
                <w:sz w:val="20"/>
                <w:szCs w:val="20"/>
                <w:color w:val="auto"/>
              </w:rPr>
            </w:pPr>
            <w:r>
              <w:rPr>
                <w:rFonts w:ascii="Arial" w:cs="Arial" w:eastAsia="Arial" w:hAnsi="Arial"/>
                <w:sz w:val="14"/>
                <w:szCs w:val="14"/>
                <w:color w:val="131E29"/>
              </w:rPr>
              <w:t>$</w:t>
            </w:r>
          </w:p>
        </w:tc>
        <w:tc>
          <w:tcPr>
            <w:tcW w:w="940" w:type="dxa"/>
            <w:vAlign w:val="bottom"/>
            <w:gridSpan w:val="3"/>
            <w:shd w:val="clear" w:color="auto" w:fill="D2DCE5"/>
          </w:tcPr>
          <w:p>
            <w:pPr>
              <w:jc w:val="right"/>
              <w:spacing w:after="0"/>
              <w:rPr>
                <w:sz w:val="20"/>
                <w:szCs w:val="20"/>
                <w:color w:val="auto"/>
              </w:rPr>
            </w:pPr>
            <w:r>
              <w:rPr>
                <w:rFonts w:ascii="Arial" w:cs="Arial" w:eastAsia="Arial" w:hAnsi="Arial"/>
                <w:sz w:val="14"/>
                <w:szCs w:val="14"/>
                <w:color w:val="131E29"/>
              </w:rPr>
              <w:t>3,474</w:t>
            </w:r>
          </w:p>
        </w:tc>
        <w:tc>
          <w:tcPr>
            <w:tcW w:w="1200" w:type="dxa"/>
            <w:vAlign w:val="bottom"/>
            <w:shd w:val="clear" w:color="auto" w:fill="D2DCE5"/>
          </w:tcPr>
          <w:p>
            <w:pPr>
              <w:jc w:val="center"/>
              <w:ind w:left="54"/>
              <w:spacing w:after="0"/>
              <w:rPr>
                <w:sz w:val="20"/>
                <w:szCs w:val="20"/>
                <w:color w:val="auto"/>
              </w:rPr>
            </w:pPr>
            <w:r>
              <w:rPr>
                <w:rFonts w:ascii="Arial" w:cs="Arial" w:eastAsia="Arial" w:hAnsi="Arial"/>
                <w:sz w:val="14"/>
                <w:szCs w:val="14"/>
                <w:color w:val="131E29"/>
              </w:rPr>
              <w:t>37.2%</w:t>
            </w:r>
          </w:p>
        </w:tc>
      </w:tr>
      <w:tr>
        <w:trPr>
          <w:trHeight w:val="205"/>
        </w:trPr>
        <w:tc>
          <w:tcPr>
            <w:tcW w:w="3260" w:type="dxa"/>
            <w:vAlign w:val="bottom"/>
            <w:gridSpan w:val="3"/>
          </w:tcPr>
          <w:p>
            <w:pPr>
              <w:ind w:left="20"/>
              <w:spacing w:after="0"/>
              <w:rPr>
                <w:sz w:val="20"/>
                <w:szCs w:val="20"/>
                <w:color w:val="auto"/>
              </w:rPr>
            </w:pPr>
            <w:r>
              <w:rPr>
                <w:rFonts w:ascii="Arial" w:cs="Arial" w:eastAsia="Arial" w:hAnsi="Arial"/>
                <w:sz w:val="13"/>
                <w:szCs w:val="13"/>
                <w:i w:val="1"/>
                <w:iCs w:val="1"/>
                <w:color w:val="131E29"/>
              </w:rPr>
              <w:t>As a percentage of company-operated shop revenues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131E29"/>
              </w:rPr>
              <w:t>2.8%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131E29"/>
              </w:rPr>
              <w:t>3.2%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center"/>
              <w:ind w:right="9"/>
              <w:spacing w:after="0"/>
              <w:rPr>
                <w:sz w:val="20"/>
                <w:szCs w:val="20"/>
                <w:color w:val="auto"/>
              </w:rPr>
            </w:pPr>
            <w:r>
              <w:rPr>
                <w:rFonts w:ascii="Arial" w:cs="Arial" w:eastAsia="Arial" w:hAnsi="Arial"/>
                <w:sz w:val="14"/>
                <w:szCs w:val="14"/>
                <w:color w:val="131E29"/>
              </w:rPr>
              <w:t>3.8%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ind w:right="229"/>
              <w:spacing w:after="0"/>
              <w:rPr>
                <w:sz w:val="20"/>
                <w:szCs w:val="20"/>
                <w:color w:val="auto"/>
              </w:rPr>
            </w:pPr>
            <w:r>
              <w:rPr>
                <w:rFonts w:ascii="Arial" w:cs="Arial" w:eastAsia="Arial" w:hAnsi="Arial"/>
                <w:sz w:val="14"/>
                <w:szCs w:val="14"/>
                <w:color w:val="131E29"/>
              </w:rPr>
              <w:t>N/A</w:t>
            </w:r>
          </w:p>
        </w:tc>
        <w:tc>
          <w:tcPr>
            <w:tcW w:w="1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131E29"/>
              </w:rPr>
              <w:t>(40) bps</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309"/>
              <w:spacing w:after="0"/>
              <w:rPr>
                <w:sz w:val="20"/>
                <w:szCs w:val="20"/>
                <w:color w:val="auto"/>
              </w:rPr>
            </w:pPr>
            <w:r>
              <w:rPr>
                <w:rFonts w:ascii="Arial" w:cs="Arial" w:eastAsia="Arial" w:hAnsi="Arial"/>
                <w:sz w:val="14"/>
                <w:szCs w:val="14"/>
                <w:color w:val="131E29"/>
              </w:rPr>
              <w:t>N/A</w:t>
            </w:r>
          </w:p>
        </w:tc>
        <w:tc>
          <w:tcPr>
            <w:tcW w:w="1200" w:type="dxa"/>
            <w:vAlign w:val="bottom"/>
          </w:tcPr>
          <w:p>
            <w:pPr>
              <w:jc w:val="center"/>
              <w:ind w:left="54"/>
              <w:spacing w:after="0"/>
              <w:rPr>
                <w:sz w:val="20"/>
                <w:szCs w:val="20"/>
                <w:color w:val="auto"/>
              </w:rPr>
            </w:pPr>
            <w:r>
              <w:rPr>
                <w:rFonts w:ascii="Arial" w:cs="Arial" w:eastAsia="Arial" w:hAnsi="Arial"/>
                <w:sz w:val="14"/>
                <w:szCs w:val="14"/>
                <w:color w:val="131E29"/>
              </w:rPr>
              <w:t>(60) bps</w:t>
            </w:r>
          </w:p>
        </w:tc>
      </w:tr>
      <w:tr>
        <w:trPr>
          <w:trHeight w:val="220"/>
        </w:trPr>
        <w:tc>
          <w:tcPr>
            <w:tcW w:w="3260" w:type="dxa"/>
            <w:vAlign w:val="bottom"/>
            <w:gridSpan w:val="3"/>
            <w:shd w:val="clear" w:color="auto" w:fill="D2DCE5"/>
          </w:tcPr>
          <w:p>
            <w:pPr>
              <w:ind w:left="20"/>
              <w:spacing w:after="0"/>
              <w:rPr>
                <w:sz w:val="20"/>
                <w:szCs w:val="20"/>
                <w:color w:val="auto"/>
              </w:rPr>
            </w:pPr>
            <w:r>
              <w:rPr>
                <w:rFonts w:ascii="Arial" w:cs="Arial" w:eastAsia="Arial" w:hAnsi="Arial"/>
                <w:sz w:val="13"/>
                <w:szCs w:val="13"/>
                <w:color w:val="131E29"/>
              </w:rPr>
              <w:t>New company-operated shops opened</w:t>
            </w:r>
          </w:p>
        </w:tc>
        <w:tc>
          <w:tcPr>
            <w:tcW w:w="22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160" w:type="dxa"/>
            <w:vAlign w:val="bottom"/>
            <w:shd w:val="clear" w:color="auto" w:fill="D2DCE5"/>
          </w:tcPr>
          <w:p>
            <w:pPr>
              <w:spacing w:after="0"/>
              <w:rPr>
                <w:sz w:val="19"/>
                <w:szCs w:val="19"/>
                <w:color w:val="auto"/>
              </w:rPr>
            </w:pPr>
          </w:p>
        </w:tc>
        <w:tc>
          <w:tcPr>
            <w:tcW w:w="62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120</w:t>
            </w:r>
          </w:p>
        </w:tc>
        <w:tc>
          <w:tcPr>
            <w:tcW w:w="80" w:type="dxa"/>
            <w:vAlign w:val="bottom"/>
            <w:shd w:val="clear" w:color="auto" w:fill="D2DCE5"/>
          </w:tcPr>
          <w:p>
            <w:pPr>
              <w:spacing w:after="0"/>
              <w:rPr>
                <w:sz w:val="19"/>
                <w:szCs w:val="19"/>
                <w:color w:val="auto"/>
              </w:rPr>
            </w:pPr>
          </w:p>
        </w:tc>
        <w:tc>
          <w:tcPr>
            <w:tcW w:w="14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76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82</w:t>
            </w:r>
          </w:p>
        </w:tc>
        <w:tc>
          <w:tcPr>
            <w:tcW w:w="80" w:type="dxa"/>
            <w:vAlign w:val="bottom"/>
            <w:shd w:val="clear" w:color="auto" w:fill="D2DCE5"/>
          </w:tcPr>
          <w:p>
            <w:pPr>
              <w:spacing w:after="0"/>
              <w:rPr>
                <w:sz w:val="19"/>
                <w:szCs w:val="19"/>
                <w:color w:val="auto"/>
              </w:rPr>
            </w:pPr>
          </w:p>
        </w:tc>
        <w:tc>
          <w:tcPr>
            <w:tcW w:w="2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160" w:type="dxa"/>
            <w:vAlign w:val="bottom"/>
            <w:shd w:val="clear" w:color="auto" w:fill="D2DCE5"/>
          </w:tcPr>
          <w:p>
            <w:pPr>
              <w:spacing w:after="0"/>
              <w:rPr>
                <w:sz w:val="19"/>
                <w:szCs w:val="19"/>
                <w:color w:val="auto"/>
              </w:rPr>
            </w:pPr>
          </w:p>
        </w:tc>
        <w:tc>
          <w:tcPr>
            <w:tcW w:w="760" w:type="dxa"/>
            <w:vAlign w:val="bottom"/>
            <w:shd w:val="clear" w:color="auto" w:fill="D2DCE5"/>
          </w:tcPr>
          <w:p>
            <w:pPr>
              <w:jc w:val="center"/>
              <w:ind w:right="9"/>
              <w:spacing w:after="0"/>
              <w:rPr>
                <w:sz w:val="20"/>
                <w:szCs w:val="20"/>
                <w:color w:val="auto"/>
              </w:rPr>
            </w:pPr>
            <w:r>
              <w:rPr>
                <w:rFonts w:ascii="Arial" w:cs="Arial" w:eastAsia="Arial" w:hAnsi="Arial"/>
                <w:sz w:val="14"/>
                <w:szCs w:val="14"/>
                <w:color w:val="131E29"/>
              </w:rPr>
              <w:t>59</w:t>
            </w:r>
          </w:p>
        </w:tc>
        <w:tc>
          <w:tcPr>
            <w:tcW w:w="80" w:type="dxa"/>
            <w:vAlign w:val="bottom"/>
            <w:shd w:val="clear" w:color="auto" w:fill="D2DCE5"/>
          </w:tcPr>
          <w:p>
            <w:pPr>
              <w:spacing w:after="0"/>
              <w:rPr>
                <w:sz w:val="19"/>
                <w:szCs w:val="19"/>
                <w:color w:val="auto"/>
              </w:rPr>
            </w:pPr>
          </w:p>
        </w:tc>
        <w:tc>
          <w:tcPr>
            <w:tcW w:w="2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180" w:type="dxa"/>
            <w:vAlign w:val="bottom"/>
            <w:shd w:val="clear" w:color="auto" w:fill="D2DCE5"/>
          </w:tcPr>
          <w:p>
            <w:pPr>
              <w:spacing w:after="0"/>
              <w:rPr>
                <w:sz w:val="19"/>
                <w:szCs w:val="19"/>
                <w:color w:val="auto"/>
              </w:rPr>
            </w:pPr>
          </w:p>
        </w:tc>
        <w:tc>
          <w:tcPr>
            <w:tcW w:w="940" w:type="dxa"/>
            <w:vAlign w:val="bottom"/>
            <w:shd w:val="clear" w:color="auto" w:fill="D2DCE5"/>
          </w:tcPr>
          <w:p>
            <w:pPr>
              <w:jc w:val="right"/>
              <w:ind w:right="469"/>
              <w:spacing w:after="0"/>
              <w:rPr>
                <w:sz w:val="20"/>
                <w:szCs w:val="20"/>
                <w:color w:val="auto"/>
              </w:rPr>
            </w:pPr>
            <w:r>
              <w:rPr>
                <w:rFonts w:ascii="Arial" w:cs="Arial" w:eastAsia="Arial" w:hAnsi="Arial"/>
                <w:sz w:val="14"/>
                <w:szCs w:val="14"/>
                <w:color w:val="131E29"/>
              </w:rPr>
              <w:t>38</w:t>
            </w:r>
          </w:p>
        </w:tc>
        <w:tc>
          <w:tcPr>
            <w:tcW w:w="860" w:type="dxa"/>
            <w:vAlign w:val="bottom"/>
            <w:gridSpan w:val="3"/>
            <w:shd w:val="clear" w:color="auto" w:fill="D2DCE5"/>
          </w:tcPr>
          <w:p>
            <w:pPr>
              <w:jc w:val="center"/>
              <w:ind w:left="71"/>
              <w:spacing w:after="0"/>
              <w:rPr>
                <w:sz w:val="20"/>
                <w:szCs w:val="20"/>
                <w:color w:val="auto"/>
              </w:rPr>
            </w:pPr>
            <w:r>
              <w:rPr>
                <w:rFonts w:ascii="Arial" w:cs="Arial" w:eastAsia="Arial" w:hAnsi="Arial"/>
                <w:sz w:val="14"/>
                <w:szCs w:val="14"/>
                <w:color w:val="131E29"/>
              </w:rPr>
              <w:t>46.3%</w:t>
            </w:r>
          </w:p>
        </w:tc>
        <w:tc>
          <w:tcPr>
            <w:tcW w:w="120" w:type="dxa"/>
            <w:vAlign w:val="bottom"/>
            <w:shd w:val="clear" w:color="auto" w:fill="D2DCE5"/>
          </w:tcPr>
          <w:p>
            <w:pPr>
              <w:spacing w:after="0"/>
              <w:rPr>
                <w:sz w:val="19"/>
                <w:szCs w:val="19"/>
                <w:color w:val="auto"/>
              </w:rPr>
            </w:pPr>
          </w:p>
        </w:tc>
        <w:tc>
          <w:tcPr>
            <w:tcW w:w="60" w:type="dxa"/>
            <w:vAlign w:val="bottom"/>
            <w:shd w:val="clear" w:color="auto" w:fill="D2DCE5"/>
          </w:tcPr>
          <w:p>
            <w:pPr>
              <w:spacing w:after="0"/>
              <w:rPr>
                <w:sz w:val="19"/>
                <w:szCs w:val="19"/>
                <w:color w:val="auto"/>
              </w:rPr>
            </w:pPr>
          </w:p>
        </w:tc>
        <w:tc>
          <w:tcPr>
            <w:tcW w:w="40" w:type="dxa"/>
            <w:vAlign w:val="bottom"/>
            <w:shd w:val="clear" w:color="auto" w:fill="D2DCE5"/>
          </w:tcPr>
          <w:p>
            <w:pPr>
              <w:spacing w:after="0"/>
              <w:rPr>
                <w:sz w:val="19"/>
                <w:szCs w:val="19"/>
                <w:color w:val="auto"/>
              </w:rPr>
            </w:pPr>
          </w:p>
        </w:tc>
        <w:tc>
          <w:tcPr>
            <w:tcW w:w="6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540" w:type="dxa"/>
            <w:vAlign w:val="bottom"/>
            <w:gridSpan w:val="2"/>
            <w:shd w:val="clear" w:color="auto" w:fill="D2DCE5"/>
          </w:tcPr>
          <w:p>
            <w:pPr>
              <w:jc w:val="right"/>
              <w:ind w:right="20"/>
              <w:spacing w:after="0"/>
              <w:rPr>
                <w:sz w:val="20"/>
                <w:szCs w:val="20"/>
                <w:color w:val="auto"/>
              </w:rPr>
            </w:pPr>
            <w:r>
              <w:rPr>
                <w:rFonts w:ascii="Arial" w:cs="Arial" w:eastAsia="Arial" w:hAnsi="Arial"/>
                <w:sz w:val="14"/>
                <w:szCs w:val="14"/>
                <w:color w:val="131E29"/>
              </w:rPr>
              <w:t>23</w:t>
            </w:r>
          </w:p>
        </w:tc>
        <w:tc>
          <w:tcPr>
            <w:tcW w:w="400" w:type="dxa"/>
            <w:vAlign w:val="bottom"/>
            <w:shd w:val="clear" w:color="auto" w:fill="D2DCE5"/>
          </w:tcPr>
          <w:p>
            <w:pPr>
              <w:spacing w:after="0"/>
              <w:rPr>
                <w:sz w:val="19"/>
                <w:szCs w:val="19"/>
                <w:color w:val="auto"/>
              </w:rPr>
            </w:pPr>
          </w:p>
        </w:tc>
        <w:tc>
          <w:tcPr>
            <w:tcW w:w="1200" w:type="dxa"/>
            <w:vAlign w:val="bottom"/>
            <w:shd w:val="clear" w:color="auto" w:fill="D2DCE5"/>
          </w:tcPr>
          <w:p>
            <w:pPr>
              <w:jc w:val="center"/>
              <w:ind w:left="54"/>
              <w:spacing w:after="0"/>
              <w:rPr>
                <w:sz w:val="20"/>
                <w:szCs w:val="20"/>
                <w:color w:val="auto"/>
              </w:rPr>
            </w:pPr>
            <w:r>
              <w:rPr>
                <w:rFonts w:ascii="Arial" w:cs="Arial" w:eastAsia="Arial" w:hAnsi="Arial"/>
                <w:sz w:val="14"/>
                <w:szCs w:val="14"/>
                <w:color w:val="131E29"/>
              </w:rPr>
              <w:t>39.0%</w:t>
            </w:r>
          </w:p>
        </w:tc>
      </w:tr>
      <w:tr>
        <w:trPr>
          <w:trHeight w:val="197"/>
        </w:trPr>
        <w:tc>
          <w:tcPr>
            <w:tcW w:w="3260" w:type="dxa"/>
            <w:vAlign w:val="bottom"/>
            <w:gridSpan w:val="3"/>
          </w:tcPr>
          <w:p>
            <w:pPr>
              <w:ind w:left="20"/>
              <w:spacing w:after="0"/>
              <w:rPr>
                <w:sz w:val="20"/>
                <w:szCs w:val="20"/>
                <w:color w:val="auto"/>
              </w:rPr>
            </w:pPr>
            <w:r>
              <w:rPr>
                <w:rFonts w:ascii="Arial" w:cs="Arial" w:eastAsia="Arial" w:hAnsi="Arial"/>
                <w:sz w:val="13"/>
                <w:szCs w:val="13"/>
                <w:color w:val="131E29"/>
              </w:rPr>
              <w:t>Pre-opening costs per new company-operated shop</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131E29"/>
              </w:rPr>
              <w:t>$150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131E29"/>
              </w:rPr>
              <w:t>$156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center"/>
              <w:ind w:right="9"/>
              <w:spacing w:after="0"/>
              <w:rPr>
                <w:sz w:val="20"/>
                <w:szCs w:val="20"/>
                <w:color w:val="auto"/>
              </w:rPr>
            </w:pPr>
            <w:r>
              <w:rPr>
                <w:rFonts w:ascii="Arial" w:cs="Arial" w:eastAsia="Arial" w:hAnsi="Arial"/>
                <w:sz w:val="14"/>
                <w:szCs w:val="14"/>
                <w:color w:val="131E29"/>
              </w:rPr>
              <w:t>$158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429"/>
              <w:spacing w:after="0"/>
              <w:rPr>
                <w:sz w:val="20"/>
                <w:szCs w:val="20"/>
                <w:color w:val="auto"/>
              </w:rPr>
            </w:pPr>
            <w:r>
              <w:rPr>
                <w:rFonts w:ascii="Arial" w:cs="Arial" w:eastAsia="Arial" w:hAnsi="Arial"/>
                <w:sz w:val="14"/>
                <w:szCs w:val="14"/>
                <w:color w:val="131E29"/>
              </w:rPr>
              <w:t>$(6)</w:t>
            </w:r>
          </w:p>
        </w:tc>
        <w:tc>
          <w:tcPr>
            <w:tcW w:w="860" w:type="dxa"/>
            <w:vAlign w:val="bottom"/>
            <w:gridSpan w:val="3"/>
          </w:tcPr>
          <w:p>
            <w:pPr>
              <w:jc w:val="center"/>
              <w:ind w:left="91"/>
              <w:spacing w:after="0"/>
              <w:rPr>
                <w:sz w:val="20"/>
                <w:szCs w:val="20"/>
                <w:color w:val="auto"/>
              </w:rPr>
            </w:pPr>
            <w:r>
              <w:rPr>
                <w:rFonts w:ascii="Arial" w:cs="Arial" w:eastAsia="Arial" w:hAnsi="Arial"/>
                <w:sz w:val="14"/>
                <w:szCs w:val="14"/>
                <w:color w:val="131E29"/>
              </w:rPr>
              <w:t>(3.8)%</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309"/>
              <w:spacing w:after="0"/>
              <w:rPr>
                <w:sz w:val="20"/>
                <w:szCs w:val="20"/>
                <w:color w:val="auto"/>
              </w:rPr>
            </w:pPr>
            <w:r>
              <w:rPr>
                <w:rFonts w:ascii="Arial" w:cs="Arial" w:eastAsia="Arial" w:hAnsi="Arial"/>
                <w:sz w:val="14"/>
                <w:szCs w:val="14"/>
                <w:color w:val="131E29"/>
              </w:rPr>
              <w:t>$(2)</w:t>
            </w:r>
          </w:p>
        </w:tc>
        <w:tc>
          <w:tcPr>
            <w:tcW w:w="1200" w:type="dxa"/>
            <w:vAlign w:val="bottom"/>
          </w:tcPr>
          <w:p>
            <w:pPr>
              <w:jc w:val="center"/>
              <w:ind w:left="74"/>
              <w:spacing w:after="0"/>
              <w:rPr>
                <w:sz w:val="20"/>
                <w:szCs w:val="20"/>
                <w:color w:val="auto"/>
              </w:rPr>
            </w:pPr>
            <w:r>
              <w:rPr>
                <w:rFonts w:ascii="Arial" w:cs="Arial" w:eastAsia="Arial" w:hAnsi="Arial"/>
                <w:sz w:val="14"/>
                <w:szCs w:val="14"/>
                <w:color w:val="131E29"/>
              </w:rPr>
              <w:t>(1.3)%</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Year Ended December 31, 2022 v 2021</w:t>
      </w:r>
    </w:p>
    <w:p>
      <w:pPr>
        <w:spacing w:after="0" w:line="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The increase in pre-opening costs was primarily driven by opening 38 more company-operated shops in the year ended December 31, 2022 as compared to 2021, while also realizing cost and operational efficiencies.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40" w:type="dxa"/>
            <w:vAlign w:val="bottom"/>
            <w:gridSpan w:val="2"/>
          </w:tcPr>
          <w:p>
            <w:pPr>
              <w:spacing w:after="0"/>
              <w:rPr>
                <w:sz w:val="20"/>
                <w:szCs w:val="20"/>
                <w:color w:val="auto"/>
              </w:rPr>
            </w:pPr>
            <w:r>
              <w:rPr>
                <w:rFonts w:ascii="Arial" w:cs="Arial" w:eastAsia="Arial" w:hAnsi="Arial"/>
                <w:sz w:val="14"/>
                <w:szCs w:val="14"/>
                <w:b w:val="1"/>
                <w:bCs w:val="1"/>
                <w:i w:val="1"/>
                <w:iCs w:val="1"/>
                <w:color w:val="006098"/>
              </w:rPr>
              <w:t>Depreciation and Amortization</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40"/>
        </w:trPr>
        <w:tc>
          <w:tcPr>
            <w:tcW w:w="3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80" w:type="dxa"/>
            <w:vAlign w:val="bottom"/>
            <w:gridSpan w:val="6"/>
          </w:tcPr>
          <w:p>
            <w:pPr>
              <w:ind w:left="700"/>
              <w:spacing w:after="0"/>
              <w:rPr>
                <w:sz w:val="20"/>
                <w:szCs w:val="20"/>
                <w:color w:val="auto"/>
              </w:rPr>
            </w:pPr>
            <w:r>
              <w:rPr>
                <w:rFonts w:ascii="Arial" w:cs="Arial" w:eastAsia="Arial" w:hAnsi="Arial"/>
                <w:sz w:val="14"/>
                <w:szCs w:val="14"/>
                <w:b w:val="1"/>
                <w:bCs w:val="1"/>
                <w:color w:val="131E29"/>
              </w:rPr>
              <w:t>Year Ended December 31,</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
        </w:trPr>
        <w:tc>
          <w:tcPr>
            <w:tcW w:w="334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gridSpan w:val="2"/>
          </w:tcPr>
          <w:p>
            <w:pPr>
              <w:spacing w:after="0" w:line="20" w:lineRule="exact"/>
              <w:rPr>
                <w:sz w:val="1"/>
                <w:szCs w:val="1"/>
                <w:color w:val="auto"/>
              </w:rPr>
            </w:pPr>
          </w:p>
        </w:tc>
      </w:tr>
      <w:tr>
        <w:trPr>
          <w:trHeight w:val="193"/>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80" w:type="dxa"/>
            <w:vAlign w:val="bottom"/>
            <w:tcBorders>
              <w:bottom w:val="single" w:sz="8" w:color="D2DCE5"/>
            </w:tcBorders>
          </w:tcPr>
          <w:p>
            <w:pPr>
              <w:spacing w:after="0"/>
              <w:rPr>
                <w:sz w:val="16"/>
                <w:szCs w:val="16"/>
                <w:color w:val="auto"/>
              </w:rPr>
            </w:pPr>
          </w:p>
        </w:tc>
        <w:tc>
          <w:tcPr>
            <w:tcW w:w="220" w:type="dxa"/>
            <w:vAlign w:val="bottom"/>
            <w:tcBorders>
              <w:bottom w:val="single" w:sz="8" w:color="131E29"/>
            </w:tcBorders>
          </w:tcPr>
          <w:p>
            <w:pPr>
              <w:spacing w:after="0"/>
              <w:rPr>
                <w:sz w:val="16"/>
                <w:szCs w:val="16"/>
                <w:color w:val="auto"/>
              </w:rPr>
            </w:pPr>
          </w:p>
        </w:tc>
        <w:tc>
          <w:tcPr>
            <w:tcW w:w="840" w:type="dxa"/>
            <w:vAlign w:val="bottom"/>
            <w:tcBorders>
              <w:bottom w:val="single" w:sz="8" w:color="131E29"/>
            </w:tcBorders>
          </w:tcPr>
          <w:p>
            <w:pPr>
              <w:jc w:val="right"/>
              <w:ind w:right="309"/>
              <w:spacing w:after="0"/>
              <w:rPr>
                <w:sz w:val="20"/>
                <w:szCs w:val="20"/>
                <w:color w:val="auto"/>
              </w:rPr>
            </w:pPr>
            <w:r>
              <w:rPr>
                <w:rFonts w:ascii="Arial" w:cs="Arial" w:eastAsia="Arial" w:hAnsi="Arial"/>
                <w:sz w:val="14"/>
                <w:szCs w:val="14"/>
                <w:b w:val="1"/>
                <w:bCs w:val="1"/>
                <w:color w:val="131E29"/>
              </w:rPr>
              <w:t>2022</w:t>
            </w:r>
          </w:p>
        </w:tc>
        <w:tc>
          <w:tcPr>
            <w:tcW w:w="80" w:type="dxa"/>
            <w:vAlign w:val="bottom"/>
            <w:tcBorders>
              <w:bottom w:val="single" w:sz="8" w:color="D2DCE5"/>
            </w:tcBorders>
          </w:tcPr>
          <w:p>
            <w:pPr>
              <w:spacing w:after="0"/>
              <w:rPr>
                <w:sz w:val="16"/>
                <w:szCs w:val="16"/>
                <w:color w:val="auto"/>
              </w:rPr>
            </w:pPr>
          </w:p>
        </w:tc>
        <w:tc>
          <w:tcPr>
            <w:tcW w:w="200" w:type="dxa"/>
            <w:vAlign w:val="bottom"/>
            <w:tcBorders>
              <w:bottom w:val="single" w:sz="8" w:color="131E29"/>
            </w:tcBorders>
          </w:tcPr>
          <w:p>
            <w:pPr>
              <w:spacing w:after="0"/>
              <w:rPr>
                <w:sz w:val="16"/>
                <w:szCs w:val="16"/>
                <w:color w:val="auto"/>
              </w:rPr>
            </w:pPr>
          </w:p>
        </w:tc>
        <w:tc>
          <w:tcPr>
            <w:tcW w:w="760" w:type="dxa"/>
            <w:vAlign w:val="bottom"/>
            <w:tcBorders>
              <w:bottom w:val="single" w:sz="8" w:color="131E29"/>
            </w:tcBorders>
          </w:tcPr>
          <w:p>
            <w:pPr>
              <w:jc w:val="right"/>
              <w:ind w:right="249"/>
              <w:spacing w:after="0"/>
              <w:rPr>
                <w:sz w:val="20"/>
                <w:szCs w:val="20"/>
                <w:color w:val="auto"/>
              </w:rPr>
            </w:pPr>
            <w:r>
              <w:rPr>
                <w:rFonts w:ascii="Arial" w:cs="Arial" w:eastAsia="Arial" w:hAnsi="Arial"/>
                <w:sz w:val="14"/>
                <w:szCs w:val="14"/>
                <w:b w:val="1"/>
                <w:bCs w:val="1"/>
                <w:color w:val="131E29"/>
              </w:rPr>
              <w:t>2021</w:t>
            </w:r>
          </w:p>
        </w:tc>
        <w:tc>
          <w:tcPr>
            <w:tcW w:w="80" w:type="dxa"/>
            <w:vAlign w:val="bottom"/>
            <w:tcBorders>
              <w:bottom w:val="single" w:sz="8" w:color="D2DCE5"/>
            </w:tcBorders>
          </w:tcPr>
          <w:p>
            <w:pPr>
              <w:spacing w:after="0"/>
              <w:rPr>
                <w:sz w:val="16"/>
                <w:szCs w:val="16"/>
                <w:color w:val="auto"/>
              </w:rPr>
            </w:pPr>
          </w:p>
        </w:tc>
        <w:tc>
          <w:tcPr>
            <w:tcW w:w="220" w:type="dxa"/>
            <w:vAlign w:val="bottom"/>
            <w:tcBorders>
              <w:bottom w:val="single" w:sz="8" w:color="131E29"/>
            </w:tcBorders>
          </w:tcPr>
          <w:p>
            <w:pPr>
              <w:spacing w:after="0"/>
              <w:rPr>
                <w:sz w:val="16"/>
                <w:szCs w:val="16"/>
                <w:color w:val="auto"/>
              </w:rPr>
            </w:pPr>
          </w:p>
        </w:tc>
        <w:tc>
          <w:tcPr>
            <w:tcW w:w="780" w:type="dxa"/>
            <w:vAlign w:val="bottom"/>
            <w:tcBorders>
              <w:bottom w:val="single" w:sz="8" w:color="131E29"/>
            </w:tcBorders>
          </w:tcPr>
          <w:p>
            <w:pPr>
              <w:jc w:val="right"/>
              <w:ind w:right="269"/>
              <w:spacing w:after="0"/>
              <w:rPr>
                <w:sz w:val="20"/>
                <w:szCs w:val="20"/>
                <w:color w:val="auto"/>
              </w:rPr>
            </w:pPr>
            <w:r>
              <w:rPr>
                <w:rFonts w:ascii="Arial" w:cs="Arial" w:eastAsia="Arial" w:hAnsi="Arial"/>
                <w:sz w:val="14"/>
                <w:szCs w:val="14"/>
                <w:b w:val="1"/>
                <w:bCs w:val="1"/>
                <w:color w:val="131E29"/>
              </w:rPr>
              <w:t>2020</w:t>
            </w:r>
          </w:p>
        </w:tc>
        <w:tc>
          <w:tcPr>
            <w:tcW w:w="100" w:type="dxa"/>
            <w:vAlign w:val="bottom"/>
            <w:tcBorders>
              <w:bottom w:val="single" w:sz="8" w:color="D2DCE5"/>
            </w:tcBorders>
          </w:tcPr>
          <w:p>
            <w:pPr>
              <w:spacing w:after="0"/>
              <w:rPr>
                <w:sz w:val="16"/>
                <w:szCs w:val="16"/>
                <w:color w:val="auto"/>
              </w:rPr>
            </w:pPr>
          </w:p>
        </w:tc>
        <w:tc>
          <w:tcPr>
            <w:tcW w:w="240" w:type="dxa"/>
            <w:vAlign w:val="bottom"/>
            <w:tcBorders>
              <w:bottom w:val="single" w:sz="8" w:color="131E29"/>
            </w:tcBorders>
          </w:tcPr>
          <w:p>
            <w:pPr>
              <w:spacing w:after="0"/>
              <w:rPr>
                <w:sz w:val="16"/>
                <w:szCs w:val="16"/>
                <w:color w:val="auto"/>
              </w:rPr>
            </w:pPr>
          </w:p>
        </w:tc>
        <w:tc>
          <w:tcPr>
            <w:tcW w:w="1980" w:type="dxa"/>
            <w:vAlign w:val="bottom"/>
            <w:tcBorders>
              <w:bottom w:val="single" w:sz="8" w:color="131E29"/>
            </w:tcBorders>
            <w:gridSpan w:val="2"/>
          </w:tcPr>
          <w:p>
            <w:pPr>
              <w:ind w:left="460"/>
              <w:spacing w:after="0"/>
              <w:rPr>
                <w:sz w:val="20"/>
                <w:szCs w:val="20"/>
                <w:color w:val="auto"/>
              </w:rPr>
            </w:pPr>
            <w:r>
              <w:rPr>
                <w:rFonts w:ascii="Arial" w:cs="Arial" w:eastAsia="Arial" w:hAnsi="Arial"/>
                <w:sz w:val="14"/>
                <w:szCs w:val="14"/>
                <w:b w:val="1"/>
                <w:bCs w:val="1"/>
                <w:color w:val="131E29"/>
              </w:rPr>
              <w:t>2022 v. 2021</w:t>
            </w:r>
          </w:p>
        </w:tc>
        <w:tc>
          <w:tcPr>
            <w:tcW w:w="80" w:type="dxa"/>
            <w:vAlign w:val="bottom"/>
            <w:tcBorders>
              <w:bottom w:val="single" w:sz="8" w:color="D2DCE5"/>
            </w:tcBorders>
          </w:tcPr>
          <w:p>
            <w:pPr>
              <w:spacing w:after="0"/>
              <w:rPr>
                <w:sz w:val="16"/>
                <w:szCs w:val="16"/>
                <w:color w:val="auto"/>
              </w:rPr>
            </w:pPr>
          </w:p>
        </w:tc>
        <w:tc>
          <w:tcPr>
            <w:tcW w:w="280" w:type="dxa"/>
            <w:vAlign w:val="bottom"/>
            <w:tcBorders>
              <w:bottom w:val="single" w:sz="8" w:color="131E29"/>
            </w:tcBorders>
          </w:tcPr>
          <w:p>
            <w:pPr>
              <w:spacing w:after="0"/>
              <w:rPr>
                <w:sz w:val="16"/>
                <w:szCs w:val="16"/>
                <w:color w:val="auto"/>
              </w:rPr>
            </w:pPr>
          </w:p>
        </w:tc>
        <w:tc>
          <w:tcPr>
            <w:tcW w:w="2080" w:type="dxa"/>
            <w:vAlign w:val="bottom"/>
            <w:tcBorders>
              <w:bottom w:val="single" w:sz="8" w:color="131E29"/>
            </w:tcBorders>
            <w:gridSpan w:val="2"/>
          </w:tcPr>
          <w:p>
            <w:pPr>
              <w:ind w:left="500"/>
              <w:spacing w:after="0"/>
              <w:rPr>
                <w:sz w:val="20"/>
                <w:szCs w:val="20"/>
                <w:color w:val="auto"/>
              </w:rPr>
            </w:pPr>
            <w:r>
              <w:rPr>
                <w:rFonts w:ascii="Arial" w:cs="Arial" w:eastAsia="Arial" w:hAnsi="Arial"/>
                <w:sz w:val="14"/>
                <w:szCs w:val="14"/>
                <w:b w:val="1"/>
                <w:bCs w:val="1"/>
                <w:color w:val="131E29"/>
              </w:rPr>
              <w:t>2021 v. 2020</w:t>
            </w:r>
          </w:p>
        </w:tc>
      </w:tr>
      <w:tr>
        <w:trPr>
          <w:trHeight w:val="212"/>
        </w:trPr>
        <w:tc>
          <w:tcPr>
            <w:tcW w:w="334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Depreciation and amortization</w:t>
            </w:r>
          </w:p>
        </w:tc>
        <w:tc>
          <w:tcPr>
            <w:tcW w:w="220" w:type="dxa"/>
            <w:vAlign w:val="bottom"/>
            <w:shd w:val="clear" w:color="auto" w:fill="D2DCE5"/>
          </w:tcPr>
          <w:p>
            <w:pPr>
              <w:jc w:val="right"/>
              <w:ind w:right="69"/>
              <w:spacing w:after="0"/>
              <w:rPr>
                <w:sz w:val="20"/>
                <w:szCs w:val="20"/>
                <w:color w:val="auto"/>
              </w:rPr>
            </w:pPr>
            <w:r>
              <w:rPr>
                <w:rFonts w:ascii="Arial" w:cs="Arial" w:eastAsia="Arial" w:hAnsi="Arial"/>
                <w:sz w:val="14"/>
                <w:szCs w:val="14"/>
                <w:color w:val="131E29"/>
                <w:w w:val="76"/>
              </w:rPr>
              <w:t>$</w:t>
            </w:r>
          </w:p>
        </w:tc>
        <w:tc>
          <w:tcPr>
            <w:tcW w:w="8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36,306</w:t>
            </w:r>
          </w:p>
        </w:tc>
        <w:tc>
          <w:tcPr>
            <w:tcW w:w="80" w:type="dxa"/>
            <w:vAlign w:val="bottom"/>
            <w:shd w:val="clear" w:color="auto" w:fill="D2DCE5"/>
          </w:tcPr>
          <w:p>
            <w:pPr>
              <w:spacing w:after="0"/>
              <w:rPr>
                <w:sz w:val="18"/>
                <w:szCs w:val="18"/>
                <w:color w:val="auto"/>
              </w:rPr>
            </w:pPr>
          </w:p>
        </w:tc>
        <w:tc>
          <w:tcPr>
            <w:tcW w:w="200" w:type="dxa"/>
            <w:vAlign w:val="bottom"/>
            <w:shd w:val="clear" w:color="auto" w:fill="D2DCE5"/>
          </w:tcPr>
          <w:p>
            <w:pPr>
              <w:jc w:val="right"/>
              <w:ind w:right="29"/>
              <w:spacing w:after="0"/>
              <w:rPr>
                <w:sz w:val="20"/>
                <w:szCs w:val="20"/>
                <w:color w:val="auto"/>
              </w:rPr>
            </w:pPr>
            <w:r>
              <w:rPr>
                <w:rFonts w:ascii="Arial" w:cs="Arial" w:eastAsia="Arial" w:hAnsi="Arial"/>
                <w:sz w:val="14"/>
                <w:szCs w:val="14"/>
                <w:color w:val="131E29"/>
              </w:rPr>
              <w:t>$</w:t>
            </w:r>
          </w:p>
        </w:tc>
        <w:tc>
          <w:tcPr>
            <w:tcW w:w="7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16,291</w:t>
            </w:r>
          </w:p>
        </w:tc>
        <w:tc>
          <w:tcPr>
            <w:tcW w:w="80" w:type="dxa"/>
            <w:vAlign w:val="bottom"/>
            <w:shd w:val="clear" w:color="auto" w:fill="D2DCE5"/>
          </w:tcPr>
          <w:p>
            <w:pPr>
              <w:spacing w:after="0"/>
              <w:rPr>
                <w:sz w:val="18"/>
                <w:szCs w:val="18"/>
                <w:color w:val="auto"/>
              </w:rPr>
            </w:pPr>
          </w:p>
        </w:tc>
        <w:tc>
          <w:tcPr>
            <w:tcW w:w="220" w:type="dxa"/>
            <w:vAlign w:val="bottom"/>
            <w:shd w:val="clear" w:color="auto" w:fill="D2DCE5"/>
          </w:tcPr>
          <w:p>
            <w:pPr>
              <w:jc w:val="right"/>
              <w:ind w:right="49"/>
              <w:spacing w:after="0"/>
              <w:rPr>
                <w:sz w:val="20"/>
                <w:szCs w:val="20"/>
                <w:color w:val="auto"/>
              </w:rPr>
            </w:pPr>
            <w:r>
              <w:rPr>
                <w:rFonts w:ascii="Arial" w:cs="Arial" w:eastAsia="Arial" w:hAnsi="Arial"/>
                <w:sz w:val="14"/>
                <w:szCs w:val="14"/>
                <w:color w:val="131E29"/>
              </w:rPr>
              <w:t>$</w:t>
            </w:r>
          </w:p>
        </w:tc>
        <w:tc>
          <w:tcPr>
            <w:tcW w:w="7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9,737</w:t>
            </w:r>
          </w:p>
        </w:tc>
        <w:tc>
          <w:tcPr>
            <w:tcW w:w="100" w:type="dxa"/>
            <w:vAlign w:val="bottom"/>
            <w:shd w:val="clear" w:color="auto" w:fill="D2DCE5"/>
          </w:tcPr>
          <w:p>
            <w:pPr>
              <w:spacing w:after="0"/>
              <w:rPr>
                <w:sz w:val="18"/>
                <w:szCs w:val="18"/>
                <w:color w:val="auto"/>
              </w:rPr>
            </w:pPr>
          </w:p>
        </w:tc>
        <w:tc>
          <w:tcPr>
            <w:tcW w:w="240" w:type="dxa"/>
            <w:vAlign w:val="bottom"/>
            <w:shd w:val="clear" w:color="auto" w:fill="D2DCE5"/>
          </w:tcPr>
          <w:p>
            <w:pPr>
              <w:jc w:val="right"/>
              <w:ind w:right="89"/>
              <w:spacing w:after="0"/>
              <w:rPr>
                <w:sz w:val="20"/>
                <w:szCs w:val="20"/>
                <w:color w:val="auto"/>
              </w:rPr>
            </w:pPr>
            <w:r>
              <w:rPr>
                <w:rFonts w:ascii="Arial" w:cs="Arial" w:eastAsia="Arial" w:hAnsi="Arial"/>
                <w:sz w:val="14"/>
                <w:szCs w:val="14"/>
                <w:color w:val="131E29"/>
                <w:w w:val="76"/>
              </w:rPr>
              <w:t>$</w:t>
            </w:r>
          </w:p>
        </w:tc>
        <w:tc>
          <w:tcPr>
            <w:tcW w:w="940" w:type="dxa"/>
            <w:vAlign w:val="bottom"/>
            <w:shd w:val="clear" w:color="auto" w:fill="D2DCE5"/>
          </w:tcPr>
          <w:p>
            <w:pPr>
              <w:jc w:val="right"/>
              <w:ind w:right="169"/>
              <w:spacing w:after="0"/>
              <w:rPr>
                <w:sz w:val="20"/>
                <w:szCs w:val="20"/>
                <w:color w:val="auto"/>
              </w:rPr>
            </w:pPr>
            <w:r>
              <w:rPr>
                <w:rFonts w:ascii="Arial" w:cs="Arial" w:eastAsia="Arial" w:hAnsi="Arial"/>
                <w:sz w:val="14"/>
                <w:szCs w:val="14"/>
                <w:color w:val="131E29"/>
              </w:rPr>
              <w:t>20,015</w:t>
            </w:r>
          </w:p>
        </w:tc>
        <w:tc>
          <w:tcPr>
            <w:tcW w:w="1040" w:type="dxa"/>
            <w:vAlign w:val="bottom"/>
            <w:shd w:val="clear" w:color="auto" w:fill="D2DCE5"/>
          </w:tcPr>
          <w:p>
            <w:pPr>
              <w:ind w:left="240"/>
              <w:spacing w:after="0"/>
              <w:rPr>
                <w:sz w:val="20"/>
                <w:szCs w:val="20"/>
                <w:color w:val="auto"/>
              </w:rPr>
            </w:pPr>
            <w:r>
              <w:rPr>
                <w:rFonts w:ascii="Arial" w:cs="Arial" w:eastAsia="Arial" w:hAnsi="Arial"/>
                <w:sz w:val="14"/>
                <w:szCs w:val="14"/>
                <w:color w:val="131E29"/>
              </w:rPr>
              <w:t>122.9%</w:t>
            </w:r>
          </w:p>
        </w:tc>
        <w:tc>
          <w:tcPr>
            <w:tcW w:w="80" w:type="dxa"/>
            <w:vAlign w:val="bottom"/>
            <w:shd w:val="clear" w:color="auto" w:fill="D2DCE5"/>
          </w:tcPr>
          <w:p>
            <w:pPr>
              <w:spacing w:after="0"/>
              <w:rPr>
                <w:sz w:val="18"/>
                <w:szCs w:val="18"/>
                <w:color w:val="auto"/>
              </w:rPr>
            </w:pPr>
          </w:p>
        </w:tc>
        <w:tc>
          <w:tcPr>
            <w:tcW w:w="280" w:type="dxa"/>
            <w:vAlign w:val="bottom"/>
            <w:shd w:val="clear" w:color="auto" w:fill="D2DCE5"/>
          </w:tcPr>
          <w:p>
            <w:pPr>
              <w:jc w:val="right"/>
              <w:ind w:right="109"/>
              <w:spacing w:after="0"/>
              <w:rPr>
                <w:sz w:val="20"/>
                <w:szCs w:val="20"/>
                <w:color w:val="auto"/>
              </w:rPr>
            </w:pPr>
            <w:r>
              <w:rPr>
                <w:rFonts w:ascii="Arial" w:cs="Arial" w:eastAsia="Arial" w:hAnsi="Arial"/>
                <w:sz w:val="14"/>
                <w:szCs w:val="14"/>
                <w:color w:val="131E29"/>
              </w:rPr>
              <w:t>$</w:t>
            </w:r>
          </w:p>
        </w:tc>
        <w:tc>
          <w:tcPr>
            <w:tcW w:w="8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6,554</w:t>
            </w:r>
          </w:p>
        </w:tc>
        <w:tc>
          <w:tcPr>
            <w:tcW w:w="1220" w:type="dxa"/>
            <w:vAlign w:val="bottom"/>
            <w:shd w:val="clear" w:color="auto" w:fill="D2DCE5"/>
          </w:tcPr>
          <w:p>
            <w:pPr>
              <w:ind w:left="460"/>
              <w:spacing w:after="0"/>
              <w:rPr>
                <w:sz w:val="20"/>
                <w:szCs w:val="20"/>
                <w:color w:val="auto"/>
              </w:rPr>
            </w:pPr>
            <w:r>
              <w:rPr>
                <w:rFonts w:ascii="Arial" w:cs="Arial" w:eastAsia="Arial" w:hAnsi="Arial"/>
                <w:sz w:val="14"/>
                <w:szCs w:val="14"/>
                <w:color w:val="131E29"/>
              </w:rPr>
              <w:t>67.3%</w:t>
            </w:r>
          </w:p>
        </w:tc>
      </w:tr>
      <w:tr>
        <w:trPr>
          <w:trHeight w:val="193"/>
        </w:trPr>
        <w:tc>
          <w:tcPr>
            <w:tcW w:w="3340" w:type="dxa"/>
            <w:vAlign w:val="bottom"/>
            <w:gridSpan w:val="2"/>
          </w:tcPr>
          <w:p>
            <w:pPr>
              <w:ind w:left="20"/>
              <w:spacing w:after="0"/>
              <w:rPr>
                <w:sz w:val="20"/>
                <w:szCs w:val="20"/>
                <w:color w:val="auto"/>
              </w:rPr>
            </w:pPr>
            <w:r>
              <w:rPr>
                <w:rFonts w:ascii="Arial" w:cs="Arial" w:eastAsia="Arial" w:hAnsi="Arial"/>
                <w:sz w:val="11"/>
                <w:szCs w:val="11"/>
                <w:i w:val="1"/>
                <w:iCs w:val="1"/>
                <w:color w:val="131E29"/>
              </w:rPr>
              <w:t>As a percentage of company-operated shop revenues</w:t>
            </w:r>
          </w:p>
        </w:tc>
        <w:tc>
          <w:tcPr>
            <w:tcW w:w="220" w:type="dxa"/>
            <w:vAlign w:val="bottom"/>
          </w:tcPr>
          <w:p>
            <w:pPr>
              <w:spacing w:after="0"/>
              <w:rPr>
                <w:sz w:val="16"/>
                <w:szCs w:val="16"/>
                <w:color w:val="auto"/>
              </w:rPr>
            </w:pPr>
          </w:p>
        </w:tc>
        <w:tc>
          <w:tcPr>
            <w:tcW w:w="840" w:type="dxa"/>
            <w:vAlign w:val="bottom"/>
          </w:tcPr>
          <w:p>
            <w:pPr>
              <w:jc w:val="right"/>
              <w:ind w:right="309"/>
              <w:spacing w:after="0"/>
              <w:rPr>
                <w:sz w:val="20"/>
                <w:szCs w:val="20"/>
                <w:color w:val="auto"/>
              </w:rPr>
            </w:pPr>
            <w:r>
              <w:rPr>
                <w:rFonts w:ascii="Arial" w:cs="Arial" w:eastAsia="Arial" w:hAnsi="Arial"/>
                <w:sz w:val="14"/>
                <w:szCs w:val="14"/>
                <w:color w:val="131E29"/>
              </w:rPr>
              <w:t>5.6%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49"/>
              <w:spacing w:after="0"/>
              <w:rPr>
                <w:sz w:val="20"/>
                <w:szCs w:val="20"/>
                <w:color w:val="auto"/>
              </w:rPr>
            </w:pPr>
            <w:r>
              <w:rPr>
                <w:rFonts w:ascii="Arial" w:cs="Arial" w:eastAsia="Arial" w:hAnsi="Arial"/>
                <w:sz w:val="14"/>
                <w:szCs w:val="14"/>
                <w:color w:val="131E29"/>
              </w:rPr>
              <w:t>4.0%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69"/>
              <w:spacing w:after="0"/>
              <w:rPr>
                <w:sz w:val="20"/>
                <w:szCs w:val="20"/>
                <w:color w:val="auto"/>
              </w:rPr>
            </w:pPr>
            <w:r>
              <w:rPr>
                <w:rFonts w:ascii="Arial" w:cs="Arial" w:eastAsia="Arial" w:hAnsi="Arial"/>
                <w:sz w:val="14"/>
                <w:szCs w:val="14"/>
                <w:color w:val="131E29"/>
              </w:rPr>
              <w:t>4.0%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489"/>
              <w:spacing w:after="0"/>
              <w:rPr>
                <w:sz w:val="20"/>
                <w:szCs w:val="20"/>
                <w:color w:val="auto"/>
              </w:rPr>
            </w:pPr>
            <w:r>
              <w:rPr>
                <w:rFonts w:ascii="Arial" w:cs="Arial" w:eastAsia="Arial" w:hAnsi="Arial"/>
                <w:sz w:val="14"/>
                <w:szCs w:val="14"/>
                <w:color w:val="131E29"/>
              </w:rPr>
              <w:t>N/A</w:t>
            </w:r>
          </w:p>
        </w:tc>
        <w:tc>
          <w:tcPr>
            <w:tcW w:w="1120" w:type="dxa"/>
            <w:vAlign w:val="bottom"/>
            <w:gridSpan w:val="2"/>
          </w:tcPr>
          <w:p>
            <w:pPr>
              <w:ind w:left="220"/>
              <w:spacing w:after="0"/>
              <w:rPr>
                <w:sz w:val="20"/>
                <w:szCs w:val="20"/>
                <w:color w:val="auto"/>
              </w:rPr>
            </w:pPr>
            <w:r>
              <w:rPr>
                <w:rFonts w:ascii="Arial" w:cs="Arial" w:eastAsia="Arial" w:hAnsi="Arial"/>
                <w:sz w:val="14"/>
                <w:szCs w:val="14"/>
                <w:color w:val="131E29"/>
              </w:rPr>
              <w:t>160 bps</w:t>
            </w:r>
          </w:p>
        </w:tc>
        <w:tc>
          <w:tcPr>
            <w:tcW w:w="280" w:type="dxa"/>
            <w:vAlign w:val="bottom"/>
          </w:tcPr>
          <w:p>
            <w:pPr>
              <w:spacing w:after="0"/>
              <w:rPr>
                <w:sz w:val="16"/>
                <w:szCs w:val="16"/>
                <w:color w:val="auto"/>
              </w:rPr>
            </w:pPr>
          </w:p>
        </w:tc>
        <w:tc>
          <w:tcPr>
            <w:tcW w:w="860" w:type="dxa"/>
            <w:vAlign w:val="bottom"/>
          </w:tcPr>
          <w:p>
            <w:pPr>
              <w:jc w:val="right"/>
              <w:ind w:right="369"/>
              <w:spacing w:after="0"/>
              <w:rPr>
                <w:sz w:val="20"/>
                <w:szCs w:val="20"/>
                <w:color w:val="auto"/>
              </w:rPr>
            </w:pPr>
            <w:r>
              <w:rPr>
                <w:rFonts w:ascii="Arial" w:cs="Arial" w:eastAsia="Arial" w:hAnsi="Arial"/>
                <w:sz w:val="14"/>
                <w:szCs w:val="14"/>
                <w:color w:val="131E29"/>
              </w:rPr>
              <w:t>N/A</w:t>
            </w:r>
          </w:p>
        </w:tc>
        <w:tc>
          <w:tcPr>
            <w:tcW w:w="1220" w:type="dxa"/>
            <w:vAlign w:val="bottom"/>
          </w:tcPr>
          <w:p>
            <w:pPr>
              <w:ind w:left="460"/>
              <w:spacing w:after="0"/>
              <w:rPr>
                <w:sz w:val="20"/>
                <w:szCs w:val="20"/>
                <w:color w:val="auto"/>
              </w:rPr>
            </w:pPr>
            <w:r>
              <w:rPr>
                <w:rFonts w:ascii="Arial" w:cs="Arial" w:eastAsia="Arial" w:hAnsi="Arial"/>
                <w:sz w:val="14"/>
                <w:szCs w:val="14"/>
                <w:color w:val="131E29"/>
              </w:rPr>
              <w:t>— bps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76" w:name="page77"/>
    <w:bookmarkEnd w:id="76"/>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Year Ended December 31, 2022 v 2021</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131E29"/>
        </w:rPr>
        <w:t>The increase in depreciation and amortization were primarily driven by the opening of 120 new company-operated shops during 2022.</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Company-operated Shop Gross Profit and Contribution</w:t>
      </w:r>
      <w:r>
        <w:rPr>
          <w:rFonts w:ascii="Arial" w:cs="Arial" w:eastAsia="Arial" w:hAnsi="Arial"/>
          <w:sz w:val="18"/>
          <w:szCs w:val="18"/>
          <w:b w:val="1"/>
          <w:bCs w:val="1"/>
          <w:i w:val="1"/>
          <w:iCs w:val="1"/>
          <w:color w:val="006098"/>
          <w:vertAlign w:val="superscript"/>
        </w:rPr>
        <w:t>1 2</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0" w:type="dxa"/>
            <w:vAlign w:val="bottom"/>
            <w:gridSpan w:val="6"/>
          </w:tcPr>
          <w:p>
            <w:pPr>
              <w:ind w:left="600"/>
              <w:spacing w:after="0"/>
              <w:rPr>
                <w:sz w:val="20"/>
                <w:szCs w:val="20"/>
                <w:color w:val="auto"/>
              </w:rPr>
            </w:pPr>
            <w:r>
              <w:rPr>
                <w:rFonts w:ascii="Arial" w:cs="Arial" w:eastAsia="Arial" w:hAnsi="Arial"/>
                <w:sz w:val="14"/>
                <w:szCs w:val="14"/>
                <w:b w:val="1"/>
                <w:bCs w:val="1"/>
                <w:color w:val="131E29"/>
              </w:rPr>
              <w:t>Year Ended December 31,</w:t>
            </w: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4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298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131E29"/>
              </w:rPr>
              <w:t>(in thousands; unaudited)</w:t>
            </w:r>
          </w:p>
        </w:tc>
        <w:tc>
          <w:tcPr>
            <w:tcW w:w="100" w:type="dxa"/>
            <w:vAlign w:val="bottom"/>
            <w:tcBorders>
              <w:bottom w:val="single" w:sz="8" w:color="D2DCE5"/>
            </w:tcBorders>
          </w:tcPr>
          <w:p>
            <w:pPr>
              <w:spacing w:after="0"/>
              <w:rPr>
                <w:sz w:val="16"/>
                <w:szCs w:val="16"/>
                <w:color w:val="auto"/>
              </w:rPr>
            </w:pPr>
          </w:p>
        </w:tc>
        <w:tc>
          <w:tcPr>
            <w:tcW w:w="1100" w:type="dxa"/>
            <w:vAlign w:val="bottom"/>
            <w:tcBorders>
              <w:bottom w:val="single" w:sz="8" w:color="131E29"/>
            </w:tcBorders>
          </w:tcPr>
          <w:p>
            <w:pPr>
              <w:jc w:val="center"/>
              <w:spacing w:after="0"/>
              <w:rPr>
                <w:sz w:val="20"/>
                <w:szCs w:val="20"/>
                <w:color w:val="auto"/>
              </w:rPr>
            </w:pPr>
            <w:r>
              <w:rPr>
                <w:rFonts w:ascii="Arial" w:cs="Arial" w:eastAsia="Arial" w:hAnsi="Arial"/>
                <w:sz w:val="14"/>
                <w:szCs w:val="14"/>
                <w:b w:val="1"/>
                <w:bCs w:val="1"/>
                <w:color w:val="131E29"/>
              </w:rPr>
              <w:t>2022</w:t>
            </w:r>
          </w:p>
        </w:tc>
        <w:tc>
          <w:tcPr>
            <w:tcW w:w="80" w:type="dxa"/>
            <w:vAlign w:val="bottom"/>
            <w:tcBorders>
              <w:bottom w:val="single" w:sz="8" w:color="D2DCE5"/>
            </w:tcBorders>
          </w:tcPr>
          <w:p>
            <w:pPr>
              <w:spacing w:after="0"/>
              <w:rPr>
                <w:sz w:val="16"/>
                <w:szCs w:val="16"/>
                <w:color w:val="auto"/>
              </w:rPr>
            </w:pPr>
          </w:p>
        </w:tc>
        <w:tc>
          <w:tcPr>
            <w:tcW w:w="1180" w:type="dxa"/>
            <w:vAlign w:val="bottom"/>
            <w:tcBorders>
              <w:bottom w:val="single" w:sz="8" w:color="131E29"/>
            </w:tcBorders>
          </w:tcPr>
          <w:p>
            <w:pPr>
              <w:jc w:val="center"/>
              <w:spacing w:after="0"/>
              <w:rPr>
                <w:sz w:val="20"/>
                <w:szCs w:val="20"/>
                <w:color w:val="auto"/>
              </w:rPr>
            </w:pPr>
            <w:r>
              <w:rPr>
                <w:rFonts w:ascii="Arial" w:cs="Arial" w:eastAsia="Arial" w:hAnsi="Arial"/>
                <w:sz w:val="14"/>
                <w:szCs w:val="14"/>
                <w:b w:val="1"/>
                <w:bCs w:val="1"/>
                <w:color w:val="131E29"/>
                <w:w w:val="96"/>
              </w:rPr>
              <w:t>2021</w:t>
            </w:r>
          </w:p>
        </w:tc>
        <w:tc>
          <w:tcPr>
            <w:tcW w:w="80" w:type="dxa"/>
            <w:vAlign w:val="bottom"/>
            <w:tcBorders>
              <w:bottom w:val="single" w:sz="8" w:color="D2DCE5"/>
            </w:tcBorders>
          </w:tcPr>
          <w:p>
            <w:pPr>
              <w:spacing w:after="0"/>
              <w:rPr>
                <w:sz w:val="16"/>
                <w:szCs w:val="16"/>
                <w:color w:val="auto"/>
              </w:rPr>
            </w:pPr>
          </w:p>
        </w:tc>
        <w:tc>
          <w:tcPr>
            <w:tcW w:w="200" w:type="dxa"/>
            <w:vAlign w:val="bottom"/>
            <w:tcBorders>
              <w:bottom w:val="single" w:sz="8" w:color="131E29"/>
            </w:tcBorders>
          </w:tcPr>
          <w:p>
            <w:pPr>
              <w:spacing w:after="0"/>
              <w:rPr>
                <w:sz w:val="16"/>
                <w:szCs w:val="16"/>
                <w:color w:val="auto"/>
              </w:rPr>
            </w:pPr>
          </w:p>
        </w:tc>
        <w:tc>
          <w:tcPr>
            <w:tcW w:w="800" w:type="dxa"/>
            <w:vAlign w:val="bottom"/>
            <w:tcBorders>
              <w:bottom w:val="single" w:sz="8" w:color="131E29"/>
            </w:tcBorders>
          </w:tcPr>
          <w:p>
            <w:pPr>
              <w:jc w:val="center"/>
              <w:ind w:right="134"/>
              <w:spacing w:after="0"/>
              <w:rPr>
                <w:sz w:val="20"/>
                <w:szCs w:val="20"/>
                <w:color w:val="auto"/>
              </w:rPr>
            </w:pPr>
            <w:r>
              <w:rPr>
                <w:rFonts w:ascii="Arial" w:cs="Arial" w:eastAsia="Arial" w:hAnsi="Arial"/>
                <w:sz w:val="14"/>
                <w:szCs w:val="14"/>
                <w:b w:val="1"/>
                <w:bCs w:val="1"/>
                <w:color w:val="131E29"/>
              </w:rPr>
              <w:t>2020</w:t>
            </w:r>
          </w:p>
        </w:tc>
        <w:tc>
          <w:tcPr>
            <w:tcW w:w="100" w:type="dxa"/>
            <w:vAlign w:val="bottom"/>
            <w:tcBorders>
              <w:bottom w:val="single" w:sz="8" w:color="D2DCE5"/>
            </w:tcBorders>
          </w:tcPr>
          <w:p>
            <w:pPr>
              <w:spacing w:after="0"/>
              <w:rPr>
                <w:sz w:val="16"/>
                <w:szCs w:val="16"/>
                <w:color w:val="auto"/>
              </w:rPr>
            </w:pPr>
          </w:p>
        </w:tc>
        <w:tc>
          <w:tcPr>
            <w:tcW w:w="240" w:type="dxa"/>
            <w:vAlign w:val="bottom"/>
            <w:tcBorders>
              <w:bottom w:val="single" w:sz="8" w:color="131E29"/>
            </w:tcBorders>
          </w:tcPr>
          <w:p>
            <w:pPr>
              <w:spacing w:after="0"/>
              <w:rPr>
                <w:sz w:val="16"/>
                <w:szCs w:val="16"/>
                <w:color w:val="auto"/>
              </w:rPr>
            </w:pPr>
          </w:p>
        </w:tc>
        <w:tc>
          <w:tcPr>
            <w:tcW w:w="1980" w:type="dxa"/>
            <w:vAlign w:val="bottom"/>
            <w:tcBorders>
              <w:bottom w:val="single" w:sz="8" w:color="131E29"/>
            </w:tcBorders>
            <w:gridSpan w:val="2"/>
          </w:tcPr>
          <w:p>
            <w:pPr>
              <w:ind w:left="460"/>
              <w:spacing w:after="0"/>
              <w:rPr>
                <w:sz w:val="20"/>
                <w:szCs w:val="20"/>
                <w:color w:val="auto"/>
              </w:rPr>
            </w:pPr>
            <w:r>
              <w:rPr>
                <w:rFonts w:ascii="Arial" w:cs="Arial" w:eastAsia="Arial" w:hAnsi="Arial"/>
                <w:sz w:val="14"/>
                <w:szCs w:val="14"/>
                <w:b w:val="1"/>
                <w:bCs w:val="1"/>
                <w:color w:val="131E29"/>
              </w:rPr>
              <w:t>2022 v. 2021</w:t>
            </w:r>
          </w:p>
        </w:tc>
        <w:tc>
          <w:tcPr>
            <w:tcW w:w="80" w:type="dxa"/>
            <w:vAlign w:val="bottom"/>
            <w:tcBorders>
              <w:bottom w:val="single" w:sz="8" w:color="D2DCE5"/>
            </w:tcBorders>
          </w:tcPr>
          <w:p>
            <w:pPr>
              <w:spacing w:after="0"/>
              <w:rPr>
                <w:sz w:val="16"/>
                <w:szCs w:val="16"/>
                <w:color w:val="auto"/>
              </w:rPr>
            </w:pPr>
          </w:p>
        </w:tc>
        <w:tc>
          <w:tcPr>
            <w:tcW w:w="280" w:type="dxa"/>
            <w:vAlign w:val="bottom"/>
            <w:tcBorders>
              <w:bottom w:val="single" w:sz="8" w:color="131E29"/>
            </w:tcBorders>
          </w:tcPr>
          <w:p>
            <w:pPr>
              <w:spacing w:after="0"/>
              <w:rPr>
                <w:sz w:val="16"/>
                <w:szCs w:val="16"/>
                <w:color w:val="auto"/>
              </w:rPr>
            </w:pPr>
          </w:p>
        </w:tc>
        <w:tc>
          <w:tcPr>
            <w:tcW w:w="400" w:type="dxa"/>
            <w:vAlign w:val="bottom"/>
            <w:tcBorders>
              <w:bottom w:val="single" w:sz="8" w:color="131E29"/>
            </w:tcBorders>
          </w:tcPr>
          <w:p>
            <w:pPr>
              <w:spacing w:after="0"/>
              <w:rPr>
                <w:sz w:val="16"/>
                <w:szCs w:val="16"/>
                <w:color w:val="auto"/>
              </w:rPr>
            </w:pPr>
          </w:p>
        </w:tc>
        <w:tc>
          <w:tcPr>
            <w:tcW w:w="80" w:type="dxa"/>
            <w:vAlign w:val="bottom"/>
            <w:tcBorders>
              <w:bottom w:val="single" w:sz="8" w:color="131E29"/>
            </w:tcBorders>
          </w:tcPr>
          <w:p>
            <w:pPr>
              <w:spacing w:after="0"/>
              <w:rPr>
                <w:sz w:val="16"/>
                <w:szCs w:val="16"/>
                <w:color w:val="auto"/>
              </w:rPr>
            </w:pPr>
          </w:p>
        </w:tc>
        <w:tc>
          <w:tcPr>
            <w:tcW w:w="1600" w:type="dxa"/>
            <w:vAlign w:val="bottom"/>
            <w:tcBorders>
              <w:bottom w:val="single" w:sz="8" w:color="131E29"/>
            </w:tcBorders>
            <w:gridSpan w:val="2"/>
          </w:tcPr>
          <w:p>
            <w:pPr>
              <w:jc w:val="right"/>
              <w:ind w:right="690"/>
              <w:spacing w:after="0"/>
              <w:rPr>
                <w:sz w:val="20"/>
                <w:szCs w:val="20"/>
                <w:color w:val="auto"/>
              </w:rPr>
            </w:pPr>
            <w:r>
              <w:rPr>
                <w:rFonts w:ascii="Arial" w:cs="Arial" w:eastAsia="Arial" w:hAnsi="Arial"/>
                <w:sz w:val="14"/>
                <w:szCs w:val="14"/>
                <w:b w:val="1"/>
                <w:bCs w:val="1"/>
                <w:color w:val="131E29"/>
              </w:rPr>
              <w:t>2021 v. 2020</w:t>
            </w:r>
          </w:p>
        </w:tc>
        <w:tc>
          <w:tcPr>
            <w:tcW w:w="0" w:type="dxa"/>
            <w:vAlign w:val="bottom"/>
          </w:tcPr>
          <w:p>
            <w:pPr>
              <w:spacing w:after="0"/>
              <w:rPr>
                <w:sz w:val="1"/>
                <w:szCs w:val="1"/>
                <w:color w:val="auto"/>
              </w:rPr>
            </w:pPr>
          </w:p>
        </w:tc>
      </w:tr>
      <w:tr>
        <w:trPr>
          <w:trHeight w:val="191"/>
        </w:trPr>
        <w:tc>
          <w:tcPr>
            <w:tcW w:w="3080" w:type="dxa"/>
            <w:vAlign w:val="bottom"/>
            <w:gridSpan w:val="3"/>
            <w:shd w:val="clear" w:color="auto" w:fill="D2DCE5"/>
          </w:tcPr>
          <w:p>
            <w:pPr>
              <w:ind w:left="20"/>
              <w:spacing w:after="0"/>
              <w:rPr>
                <w:sz w:val="20"/>
                <w:szCs w:val="20"/>
                <w:color w:val="auto"/>
              </w:rPr>
            </w:pPr>
            <w:r>
              <w:rPr>
                <w:rFonts w:ascii="Arial" w:cs="Arial" w:eastAsia="Arial" w:hAnsi="Arial"/>
                <w:sz w:val="11"/>
                <w:szCs w:val="11"/>
                <w:color w:val="131E29"/>
              </w:rPr>
              <w:t>Company-operated shop gross profit</w:t>
            </w:r>
          </w:p>
        </w:tc>
        <w:tc>
          <w:tcPr>
            <w:tcW w:w="110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121,327</w:t>
            </w:r>
          </w:p>
        </w:tc>
        <w:tc>
          <w:tcPr>
            <w:tcW w:w="80" w:type="dxa"/>
            <w:vAlign w:val="bottom"/>
            <w:shd w:val="clear" w:color="auto" w:fill="D2DCE5"/>
          </w:tcPr>
          <w:p>
            <w:pPr>
              <w:spacing w:after="0"/>
              <w:rPr>
                <w:sz w:val="16"/>
                <w:szCs w:val="16"/>
                <w:color w:val="auto"/>
              </w:rPr>
            </w:pPr>
          </w:p>
        </w:tc>
        <w:tc>
          <w:tcPr>
            <w:tcW w:w="118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86,701</w:t>
            </w:r>
          </w:p>
        </w:tc>
        <w:tc>
          <w:tcPr>
            <w:tcW w:w="80" w:type="dxa"/>
            <w:vAlign w:val="bottom"/>
            <w:shd w:val="clear" w:color="auto" w:fill="D2DCE5"/>
          </w:tcPr>
          <w:p>
            <w:pPr>
              <w:spacing w:after="0"/>
              <w:rPr>
                <w:sz w:val="16"/>
                <w:szCs w:val="16"/>
                <w:color w:val="auto"/>
              </w:rPr>
            </w:pPr>
          </w:p>
        </w:tc>
        <w:tc>
          <w:tcPr>
            <w:tcW w:w="200" w:type="dxa"/>
            <w:vAlign w:val="bottom"/>
            <w:shd w:val="clear" w:color="auto" w:fill="D2DCE5"/>
          </w:tcPr>
          <w:p>
            <w:pPr>
              <w:jc w:val="right"/>
              <w:ind w:right="56"/>
              <w:spacing w:after="0"/>
              <w:rPr>
                <w:sz w:val="20"/>
                <w:szCs w:val="20"/>
                <w:color w:val="auto"/>
              </w:rPr>
            </w:pPr>
            <w:r>
              <w:rPr>
                <w:rFonts w:ascii="Arial" w:cs="Arial" w:eastAsia="Arial" w:hAnsi="Arial"/>
                <w:sz w:val="13"/>
                <w:szCs w:val="13"/>
                <w:color w:val="131E29"/>
                <w:w w:val="82"/>
              </w:rPr>
              <w:t>$</w:t>
            </w:r>
          </w:p>
        </w:tc>
        <w:tc>
          <w:tcPr>
            <w:tcW w:w="80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60,546</w:t>
            </w:r>
          </w:p>
        </w:tc>
        <w:tc>
          <w:tcPr>
            <w:tcW w:w="100" w:type="dxa"/>
            <w:vAlign w:val="bottom"/>
            <w:shd w:val="clear" w:color="auto" w:fill="D2DCE5"/>
          </w:tcPr>
          <w:p>
            <w:pPr>
              <w:spacing w:after="0"/>
              <w:rPr>
                <w:sz w:val="16"/>
                <w:szCs w:val="16"/>
                <w:color w:val="auto"/>
              </w:rPr>
            </w:pPr>
          </w:p>
        </w:tc>
        <w:tc>
          <w:tcPr>
            <w:tcW w:w="240" w:type="dxa"/>
            <w:vAlign w:val="bottom"/>
            <w:shd w:val="clear" w:color="auto" w:fill="D2DCE5"/>
          </w:tcPr>
          <w:p>
            <w:pPr>
              <w:jc w:val="right"/>
              <w:ind w:right="96"/>
              <w:spacing w:after="0"/>
              <w:rPr>
                <w:sz w:val="20"/>
                <w:szCs w:val="20"/>
                <w:color w:val="auto"/>
              </w:rPr>
            </w:pPr>
            <w:r>
              <w:rPr>
                <w:rFonts w:ascii="Arial" w:cs="Arial" w:eastAsia="Arial" w:hAnsi="Arial"/>
                <w:sz w:val="13"/>
                <w:szCs w:val="13"/>
                <w:color w:val="131E29"/>
                <w:w w:val="82"/>
              </w:rPr>
              <w:t>$</w:t>
            </w:r>
          </w:p>
        </w:tc>
        <w:tc>
          <w:tcPr>
            <w:tcW w:w="920" w:type="dxa"/>
            <w:vAlign w:val="bottom"/>
            <w:shd w:val="clear" w:color="auto" w:fill="D2DCE5"/>
          </w:tcPr>
          <w:p>
            <w:pPr>
              <w:jc w:val="right"/>
              <w:ind w:right="155"/>
              <w:spacing w:after="0"/>
              <w:rPr>
                <w:sz w:val="20"/>
                <w:szCs w:val="20"/>
                <w:color w:val="auto"/>
              </w:rPr>
            </w:pPr>
            <w:r>
              <w:rPr>
                <w:rFonts w:ascii="Arial" w:cs="Arial" w:eastAsia="Arial" w:hAnsi="Arial"/>
                <w:sz w:val="13"/>
                <w:szCs w:val="13"/>
                <w:color w:val="131E29"/>
              </w:rPr>
              <w:t>34,626</w:t>
            </w:r>
          </w:p>
        </w:tc>
        <w:tc>
          <w:tcPr>
            <w:tcW w:w="1060" w:type="dxa"/>
            <w:vAlign w:val="bottom"/>
            <w:shd w:val="clear" w:color="auto" w:fill="D2DCE5"/>
          </w:tcPr>
          <w:p>
            <w:pPr>
              <w:jc w:val="center"/>
              <w:spacing w:after="0"/>
              <w:rPr>
                <w:sz w:val="20"/>
                <w:szCs w:val="20"/>
                <w:color w:val="auto"/>
              </w:rPr>
            </w:pPr>
            <w:r>
              <w:rPr>
                <w:rFonts w:ascii="Arial" w:cs="Arial" w:eastAsia="Arial" w:hAnsi="Arial"/>
                <w:sz w:val="13"/>
                <w:szCs w:val="13"/>
                <w:color w:val="131E29"/>
                <w:w w:val="97"/>
              </w:rPr>
              <w:t>39.9%</w:t>
            </w:r>
          </w:p>
        </w:tc>
        <w:tc>
          <w:tcPr>
            <w:tcW w:w="80" w:type="dxa"/>
            <w:vAlign w:val="bottom"/>
            <w:shd w:val="clear" w:color="auto" w:fill="D2DCE5"/>
          </w:tcPr>
          <w:p>
            <w:pPr>
              <w:spacing w:after="0"/>
              <w:rPr>
                <w:sz w:val="16"/>
                <w:szCs w:val="16"/>
                <w:color w:val="auto"/>
              </w:rPr>
            </w:pPr>
          </w:p>
        </w:tc>
        <w:tc>
          <w:tcPr>
            <w:tcW w:w="280" w:type="dxa"/>
            <w:vAlign w:val="bottom"/>
            <w:shd w:val="clear" w:color="auto" w:fill="D2DCE5"/>
          </w:tcPr>
          <w:p>
            <w:pPr>
              <w:jc w:val="right"/>
              <w:ind w:right="116"/>
              <w:spacing w:after="0"/>
              <w:rPr>
                <w:sz w:val="20"/>
                <w:szCs w:val="20"/>
                <w:color w:val="auto"/>
              </w:rPr>
            </w:pPr>
            <w:r>
              <w:rPr>
                <w:rFonts w:ascii="Arial" w:cs="Arial" w:eastAsia="Arial" w:hAnsi="Arial"/>
                <w:sz w:val="13"/>
                <w:szCs w:val="13"/>
                <w:color w:val="131E29"/>
              </w:rPr>
              <w:t>$</w:t>
            </w:r>
          </w:p>
        </w:tc>
        <w:tc>
          <w:tcPr>
            <w:tcW w:w="860" w:type="dxa"/>
            <w:vAlign w:val="bottom"/>
            <w:gridSpan w:val="3"/>
            <w:shd w:val="clear" w:color="auto" w:fill="D2DCE5"/>
          </w:tcPr>
          <w:p>
            <w:pPr>
              <w:jc w:val="right"/>
              <w:spacing w:after="0"/>
              <w:rPr>
                <w:sz w:val="20"/>
                <w:szCs w:val="20"/>
                <w:color w:val="auto"/>
              </w:rPr>
            </w:pPr>
            <w:r>
              <w:rPr>
                <w:rFonts w:ascii="Arial" w:cs="Arial" w:eastAsia="Arial" w:hAnsi="Arial"/>
                <w:sz w:val="13"/>
                <w:szCs w:val="13"/>
                <w:color w:val="131E29"/>
              </w:rPr>
              <w:t>26,155</w:t>
            </w:r>
          </w:p>
        </w:tc>
        <w:tc>
          <w:tcPr>
            <w:tcW w:w="1220" w:type="dxa"/>
            <w:vAlign w:val="bottom"/>
            <w:shd w:val="clear" w:color="auto" w:fill="D2DCE5"/>
          </w:tcPr>
          <w:p>
            <w:pPr>
              <w:jc w:val="center"/>
              <w:ind w:left="30"/>
              <w:spacing w:after="0"/>
              <w:rPr>
                <w:sz w:val="20"/>
                <w:szCs w:val="20"/>
                <w:color w:val="auto"/>
              </w:rPr>
            </w:pPr>
            <w:r>
              <w:rPr>
                <w:rFonts w:ascii="Arial" w:cs="Arial" w:eastAsia="Arial" w:hAnsi="Arial"/>
                <w:sz w:val="13"/>
                <w:szCs w:val="13"/>
                <w:color w:val="131E29"/>
                <w:w w:val="97"/>
              </w:rPr>
              <w:t>43.2%</w:t>
            </w:r>
          </w:p>
        </w:tc>
        <w:tc>
          <w:tcPr>
            <w:tcW w:w="0" w:type="dxa"/>
            <w:vAlign w:val="bottom"/>
          </w:tcPr>
          <w:p>
            <w:pPr>
              <w:spacing w:after="0"/>
              <w:rPr>
                <w:sz w:val="1"/>
                <w:szCs w:val="1"/>
                <w:color w:val="auto"/>
              </w:rPr>
            </w:pPr>
          </w:p>
        </w:tc>
      </w:tr>
      <w:tr>
        <w:trPr>
          <w:trHeight w:val="183"/>
        </w:trPr>
        <w:tc>
          <w:tcPr>
            <w:tcW w:w="3080" w:type="dxa"/>
            <w:vAlign w:val="bottom"/>
            <w:gridSpan w:val="3"/>
          </w:tcPr>
          <w:p>
            <w:pPr>
              <w:ind w:left="20"/>
              <w:spacing w:after="0"/>
              <w:rPr>
                <w:sz w:val="20"/>
                <w:szCs w:val="20"/>
                <w:color w:val="auto"/>
              </w:rPr>
            </w:pPr>
            <w:r>
              <w:rPr>
                <w:rFonts w:ascii="Arial" w:cs="Arial" w:eastAsia="Arial" w:hAnsi="Arial"/>
                <w:sz w:val="11"/>
                <w:szCs w:val="11"/>
                <w:i w:val="1"/>
                <w:iCs w:val="1"/>
                <w:color w:val="131E29"/>
              </w:rPr>
              <w:t>As a percentage of company-operated shop revenues</w:t>
            </w:r>
          </w:p>
        </w:tc>
        <w:tc>
          <w:tcPr>
            <w:tcW w:w="1100" w:type="dxa"/>
            <w:vAlign w:val="bottom"/>
          </w:tcPr>
          <w:p>
            <w:pPr>
              <w:jc w:val="center"/>
              <w:spacing w:after="0"/>
              <w:rPr>
                <w:sz w:val="20"/>
                <w:szCs w:val="20"/>
                <w:color w:val="auto"/>
              </w:rPr>
            </w:pPr>
            <w:r>
              <w:rPr>
                <w:rFonts w:ascii="Arial" w:cs="Arial" w:eastAsia="Arial" w:hAnsi="Arial"/>
                <w:sz w:val="13"/>
                <w:szCs w:val="13"/>
                <w:color w:val="131E29"/>
                <w:w w:val="97"/>
              </w:rPr>
              <w:t>19.0%</w:t>
            </w:r>
          </w:p>
        </w:tc>
        <w:tc>
          <w:tcPr>
            <w:tcW w:w="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3"/>
                <w:szCs w:val="13"/>
                <w:color w:val="131E29"/>
                <w:w w:val="97"/>
              </w:rPr>
              <w:t>21.5%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center"/>
              <w:ind w:right="134"/>
              <w:spacing w:after="0"/>
              <w:rPr>
                <w:sz w:val="20"/>
                <w:szCs w:val="20"/>
                <w:color w:val="auto"/>
              </w:rPr>
            </w:pPr>
            <w:r>
              <w:rPr>
                <w:rFonts w:ascii="Arial" w:cs="Arial" w:eastAsia="Arial" w:hAnsi="Arial"/>
                <w:sz w:val="13"/>
                <w:szCs w:val="13"/>
                <w:color w:val="131E29"/>
                <w:w w:val="97"/>
              </w:rPr>
              <w:t>24.8%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495"/>
              <w:spacing w:after="0"/>
              <w:rPr>
                <w:sz w:val="20"/>
                <w:szCs w:val="20"/>
                <w:color w:val="auto"/>
              </w:rPr>
            </w:pPr>
            <w:r>
              <w:rPr>
                <w:rFonts w:ascii="Arial" w:cs="Arial" w:eastAsia="Arial" w:hAnsi="Arial"/>
                <w:sz w:val="13"/>
                <w:szCs w:val="13"/>
                <w:color w:val="131E29"/>
              </w:rPr>
              <w:t>N/A</w:t>
            </w:r>
          </w:p>
        </w:tc>
        <w:tc>
          <w:tcPr>
            <w:tcW w:w="1140" w:type="dxa"/>
            <w:vAlign w:val="bottom"/>
            <w:gridSpan w:val="2"/>
          </w:tcPr>
          <w:p>
            <w:pPr>
              <w:jc w:val="center"/>
              <w:ind w:right="160"/>
              <w:spacing w:after="0"/>
              <w:rPr>
                <w:sz w:val="20"/>
                <w:szCs w:val="20"/>
                <w:color w:val="auto"/>
              </w:rPr>
            </w:pPr>
            <w:r>
              <w:rPr>
                <w:rFonts w:ascii="Arial" w:cs="Arial" w:eastAsia="Arial" w:hAnsi="Arial"/>
                <w:sz w:val="13"/>
                <w:szCs w:val="13"/>
                <w:color w:val="131E29"/>
                <w:w w:val="98"/>
              </w:rPr>
              <w:t>(250) bps</w:t>
            </w:r>
          </w:p>
        </w:tc>
        <w:tc>
          <w:tcPr>
            <w:tcW w:w="280" w:type="dxa"/>
            <w:vAlign w:val="bottom"/>
          </w:tcPr>
          <w:p>
            <w:pPr>
              <w:spacing w:after="0"/>
              <w:rPr>
                <w:sz w:val="15"/>
                <w:szCs w:val="15"/>
                <w:color w:val="auto"/>
              </w:rPr>
            </w:pPr>
          </w:p>
        </w:tc>
        <w:tc>
          <w:tcPr>
            <w:tcW w:w="860" w:type="dxa"/>
            <w:vAlign w:val="bottom"/>
            <w:gridSpan w:val="3"/>
          </w:tcPr>
          <w:p>
            <w:pPr>
              <w:jc w:val="right"/>
              <w:ind w:right="389"/>
              <w:spacing w:after="0"/>
              <w:rPr>
                <w:sz w:val="20"/>
                <w:szCs w:val="20"/>
                <w:color w:val="auto"/>
              </w:rPr>
            </w:pPr>
            <w:r>
              <w:rPr>
                <w:rFonts w:ascii="Arial" w:cs="Arial" w:eastAsia="Arial" w:hAnsi="Arial"/>
                <w:sz w:val="13"/>
                <w:szCs w:val="13"/>
                <w:color w:val="131E29"/>
              </w:rPr>
              <w:t>N/A</w:t>
            </w:r>
          </w:p>
        </w:tc>
        <w:tc>
          <w:tcPr>
            <w:tcW w:w="1220" w:type="dxa"/>
            <w:vAlign w:val="bottom"/>
          </w:tcPr>
          <w:p>
            <w:pPr>
              <w:jc w:val="center"/>
              <w:ind w:left="10"/>
              <w:spacing w:after="0"/>
              <w:rPr>
                <w:sz w:val="20"/>
                <w:szCs w:val="20"/>
                <w:color w:val="auto"/>
              </w:rPr>
            </w:pPr>
            <w:r>
              <w:rPr>
                <w:rFonts w:ascii="Arial" w:cs="Arial" w:eastAsia="Arial" w:hAnsi="Arial"/>
                <w:sz w:val="13"/>
                <w:szCs w:val="13"/>
                <w:color w:val="131E29"/>
                <w:w w:val="98"/>
              </w:rPr>
              <w:t>(330) bps</w:t>
            </w:r>
          </w:p>
        </w:tc>
        <w:tc>
          <w:tcPr>
            <w:tcW w:w="0" w:type="dxa"/>
            <w:vAlign w:val="bottom"/>
          </w:tcPr>
          <w:p>
            <w:pPr>
              <w:spacing w:after="0"/>
              <w:rPr>
                <w:sz w:val="1"/>
                <w:szCs w:val="1"/>
                <w:color w:val="auto"/>
              </w:rPr>
            </w:pPr>
          </w:p>
        </w:tc>
      </w:tr>
      <w:tr>
        <w:trPr>
          <w:trHeight w:val="214"/>
        </w:trPr>
        <w:tc>
          <w:tcPr>
            <w:tcW w:w="3080" w:type="dxa"/>
            <w:vAlign w:val="bottom"/>
            <w:gridSpan w:val="3"/>
            <w:shd w:val="clear" w:color="auto" w:fill="D2DCE5"/>
          </w:tcPr>
          <w:p>
            <w:pPr>
              <w:ind w:left="20"/>
              <w:spacing w:after="0"/>
              <w:rPr>
                <w:sz w:val="20"/>
                <w:szCs w:val="20"/>
                <w:color w:val="auto"/>
              </w:rPr>
            </w:pPr>
            <w:r>
              <w:rPr>
                <w:rFonts w:ascii="Arial" w:cs="Arial" w:eastAsia="Arial" w:hAnsi="Arial"/>
                <w:sz w:val="11"/>
                <w:szCs w:val="11"/>
                <w:color w:val="131E29"/>
              </w:rPr>
              <w:t xml:space="preserve">Company-operated shop contribution </w:t>
            </w:r>
            <w:r>
              <w:rPr>
                <w:rFonts w:ascii="Arial" w:cs="Arial" w:eastAsia="Arial" w:hAnsi="Arial"/>
                <w:sz w:val="14"/>
                <w:szCs w:val="14"/>
                <w:color w:val="131E29"/>
                <w:vertAlign w:val="superscript"/>
              </w:rPr>
              <w:t>1</w:t>
            </w:r>
          </w:p>
        </w:tc>
        <w:tc>
          <w:tcPr>
            <w:tcW w:w="1100" w:type="dxa"/>
            <w:vAlign w:val="bottom"/>
            <w:vMerge w:val="restart"/>
            <w:shd w:val="clear" w:color="auto" w:fill="D2DCE5"/>
          </w:tcPr>
          <w:p>
            <w:pPr>
              <w:jc w:val="right"/>
              <w:spacing w:after="0"/>
              <w:rPr>
                <w:sz w:val="20"/>
                <w:szCs w:val="20"/>
                <w:color w:val="auto"/>
              </w:rPr>
            </w:pPr>
            <w:r>
              <w:rPr>
                <w:rFonts w:ascii="Arial" w:cs="Arial" w:eastAsia="Arial" w:hAnsi="Arial"/>
                <w:sz w:val="13"/>
                <w:szCs w:val="13"/>
                <w:color w:val="131E29"/>
              </w:rPr>
              <w:t>157,633</w:t>
            </w:r>
          </w:p>
        </w:tc>
        <w:tc>
          <w:tcPr>
            <w:tcW w:w="80" w:type="dxa"/>
            <w:vAlign w:val="bottom"/>
            <w:shd w:val="clear" w:color="auto" w:fill="D2DCE5"/>
          </w:tcPr>
          <w:p>
            <w:pPr>
              <w:spacing w:after="0"/>
              <w:rPr>
                <w:sz w:val="18"/>
                <w:szCs w:val="18"/>
                <w:color w:val="auto"/>
              </w:rPr>
            </w:pPr>
          </w:p>
        </w:tc>
        <w:tc>
          <w:tcPr>
            <w:tcW w:w="1180" w:type="dxa"/>
            <w:vAlign w:val="bottom"/>
            <w:vMerge w:val="restart"/>
            <w:shd w:val="clear" w:color="auto" w:fill="D2DCE5"/>
          </w:tcPr>
          <w:p>
            <w:pPr>
              <w:jc w:val="right"/>
              <w:spacing w:after="0"/>
              <w:rPr>
                <w:sz w:val="20"/>
                <w:szCs w:val="20"/>
                <w:color w:val="auto"/>
              </w:rPr>
            </w:pPr>
            <w:r>
              <w:rPr>
                <w:rFonts w:ascii="Arial" w:cs="Arial" w:eastAsia="Arial" w:hAnsi="Arial"/>
                <w:sz w:val="13"/>
                <w:szCs w:val="13"/>
                <w:color w:val="131E29"/>
              </w:rPr>
              <w:t>102,992</w:t>
            </w:r>
          </w:p>
        </w:tc>
        <w:tc>
          <w:tcPr>
            <w:tcW w:w="80" w:type="dxa"/>
            <w:vAlign w:val="bottom"/>
            <w:shd w:val="clear" w:color="auto" w:fill="D2DCE5"/>
          </w:tcPr>
          <w:p>
            <w:pPr>
              <w:spacing w:after="0"/>
              <w:rPr>
                <w:sz w:val="18"/>
                <w:szCs w:val="18"/>
                <w:color w:val="auto"/>
              </w:rPr>
            </w:pPr>
          </w:p>
        </w:tc>
        <w:tc>
          <w:tcPr>
            <w:tcW w:w="200" w:type="dxa"/>
            <w:vAlign w:val="bottom"/>
            <w:vMerge w:val="restart"/>
            <w:shd w:val="clear" w:color="auto" w:fill="D2DCE5"/>
          </w:tcPr>
          <w:p>
            <w:pPr>
              <w:jc w:val="right"/>
              <w:ind w:right="56"/>
              <w:spacing w:after="0"/>
              <w:rPr>
                <w:sz w:val="20"/>
                <w:szCs w:val="20"/>
                <w:color w:val="auto"/>
              </w:rPr>
            </w:pPr>
            <w:r>
              <w:rPr>
                <w:rFonts w:ascii="Arial" w:cs="Arial" w:eastAsia="Arial" w:hAnsi="Arial"/>
                <w:sz w:val="13"/>
                <w:szCs w:val="13"/>
                <w:color w:val="131E29"/>
                <w:w w:val="82"/>
              </w:rPr>
              <w:t>$</w:t>
            </w:r>
          </w:p>
        </w:tc>
        <w:tc>
          <w:tcPr>
            <w:tcW w:w="800" w:type="dxa"/>
            <w:vAlign w:val="bottom"/>
            <w:vMerge w:val="restart"/>
            <w:shd w:val="clear" w:color="auto" w:fill="D2DCE5"/>
          </w:tcPr>
          <w:p>
            <w:pPr>
              <w:jc w:val="right"/>
              <w:spacing w:after="0"/>
              <w:rPr>
                <w:sz w:val="20"/>
                <w:szCs w:val="20"/>
                <w:color w:val="auto"/>
              </w:rPr>
            </w:pPr>
            <w:r>
              <w:rPr>
                <w:rFonts w:ascii="Arial" w:cs="Arial" w:eastAsia="Arial" w:hAnsi="Arial"/>
                <w:sz w:val="13"/>
                <w:szCs w:val="13"/>
                <w:color w:val="131E29"/>
              </w:rPr>
              <w:t>70,283</w:t>
            </w:r>
          </w:p>
        </w:tc>
        <w:tc>
          <w:tcPr>
            <w:tcW w:w="100" w:type="dxa"/>
            <w:vAlign w:val="bottom"/>
            <w:shd w:val="clear" w:color="auto" w:fill="D2DCE5"/>
          </w:tcPr>
          <w:p>
            <w:pPr>
              <w:spacing w:after="0"/>
              <w:rPr>
                <w:sz w:val="18"/>
                <w:szCs w:val="18"/>
                <w:color w:val="auto"/>
              </w:rPr>
            </w:pPr>
          </w:p>
        </w:tc>
        <w:tc>
          <w:tcPr>
            <w:tcW w:w="240" w:type="dxa"/>
            <w:vAlign w:val="bottom"/>
            <w:vMerge w:val="restart"/>
            <w:shd w:val="clear" w:color="auto" w:fill="D2DCE5"/>
          </w:tcPr>
          <w:p>
            <w:pPr>
              <w:jc w:val="right"/>
              <w:ind w:right="96"/>
              <w:spacing w:after="0"/>
              <w:rPr>
                <w:sz w:val="20"/>
                <w:szCs w:val="20"/>
                <w:color w:val="auto"/>
              </w:rPr>
            </w:pPr>
            <w:r>
              <w:rPr>
                <w:rFonts w:ascii="Arial" w:cs="Arial" w:eastAsia="Arial" w:hAnsi="Arial"/>
                <w:sz w:val="13"/>
                <w:szCs w:val="13"/>
                <w:color w:val="131E29"/>
                <w:w w:val="82"/>
              </w:rPr>
              <w:t>$</w:t>
            </w:r>
          </w:p>
        </w:tc>
        <w:tc>
          <w:tcPr>
            <w:tcW w:w="920" w:type="dxa"/>
            <w:vAlign w:val="bottom"/>
            <w:vMerge w:val="restart"/>
            <w:shd w:val="clear" w:color="auto" w:fill="D2DCE5"/>
          </w:tcPr>
          <w:p>
            <w:pPr>
              <w:jc w:val="right"/>
              <w:ind w:right="155"/>
              <w:spacing w:after="0"/>
              <w:rPr>
                <w:sz w:val="20"/>
                <w:szCs w:val="20"/>
                <w:color w:val="auto"/>
              </w:rPr>
            </w:pPr>
            <w:r>
              <w:rPr>
                <w:rFonts w:ascii="Arial" w:cs="Arial" w:eastAsia="Arial" w:hAnsi="Arial"/>
                <w:sz w:val="13"/>
                <w:szCs w:val="13"/>
                <w:color w:val="131E29"/>
              </w:rPr>
              <w:t>54,641</w:t>
            </w:r>
          </w:p>
        </w:tc>
        <w:tc>
          <w:tcPr>
            <w:tcW w:w="1060" w:type="dxa"/>
            <w:vAlign w:val="bottom"/>
            <w:vMerge w:val="restart"/>
            <w:shd w:val="clear" w:color="auto" w:fill="D2DCE5"/>
          </w:tcPr>
          <w:p>
            <w:pPr>
              <w:jc w:val="center"/>
              <w:spacing w:after="0"/>
              <w:rPr>
                <w:sz w:val="20"/>
                <w:szCs w:val="20"/>
                <w:color w:val="auto"/>
              </w:rPr>
            </w:pPr>
            <w:r>
              <w:rPr>
                <w:rFonts w:ascii="Arial" w:cs="Arial" w:eastAsia="Arial" w:hAnsi="Arial"/>
                <w:sz w:val="13"/>
                <w:szCs w:val="13"/>
                <w:color w:val="131E29"/>
                <w:w w:val="97"/>
              </w:rPr>
              <w:t>53.1%</w:t>
            </w:r>
          </w:p>
        </w:tc>
        <w:tc>
          <w:tcPr>
            <w:tcW w:w="80" w:type="dxa"/>
            <w:vAlign w:val="bottom"/>
            <w:shd w:val="clear" w:color="auto" w:fill="D2DCE5"/>
          </w:tcPr>
          <w:p>
            <w:pPr>
              <w:spacing w:after="0"/>
              <w:rPr>
                <w:sz w:val="18"/>
                <w:szCs w:val="18"/>
                <w:color w:val="auto"/>
              </w:rPr>
            </w:pPr>
          </w:p>
        </w:tc>
        <w:tc>
          <w:tcPr>
            <w:tcW w:w="280" w:type="dxa"/>
            <w:vAlign w:val="bottom"/>
            <w:vMerge w:val="restart"/>
            <w:shd w:val="clear" w:color="auto" w:fill="D2DCE5"/>
          </w:tcPr>
          <w:p>
            <w:pPr>
              <w:jc w:val="right"/>
              <w:ind w:right="116"/>
              <w:spacing w:after="0"/>
              <w:rPr>
                <w:sz w:val="20"/>
                <w:szCs w:val="20"/>
                <w:color w:val="auto"/>
              </w:rPr>
            </w:pPr>
            <w:r>
              <w:rPr>
                <w:rFonts w:ascii="Arial" w:cs="Arial" w:eastAsia="Arial" w:hAnsi="Arial"/>
                <w:sz w:val="13"/>
                <w:szCs w:val="13"/>
                <w:color w:val="131E29"/>
              </w:rPr>
              <w:t>$</w:t>
            </w:r>
          </w:p>
        </w:tc>
        <w:tc>
          <w:tcPr>
            <w:tcW w:w="860" w:type="dxa"/>
            <w:vAlign w:val="bottom"/>
            <w:gridSpan w:val="3"/>
            <w:vMerge w:val="restart"/>
            <w:shd w:val="clear" w:color="auto" w:fill="D2DCE5"/>
          </w:tcPr>
          <w:p>
            <w:pPr>
              <w:jc w:val="right"/>
              <w:spacing w:after="0"/>
              <w:rPr>
                <w:sz w:val="20"/>
                <w:szCs w:val="20"/>
                <w:color w:val="auto"/>
              </w:rPr>
            </w:pPr>
            <w:r>
              <w:rPr>
                <w:rFonts w:ascii="Arial" w:cs="Arial" w:eastAsia="Arial" w:hAnsi="Arial"/>
                <w:sz w:val="13"/>
                <w:szCs w:val="13"/>
                <w:color w:val="131E29"/>
              </w:rPr>
              <w:t>32,709</w:t>
            </w:r>
          </w:p>
        </w:tc>
        <w:tc>
          <w:tcPr>
            <w:tcW w:w="1220" w:type="dxa"/>
            <w:vAlign w:val="bottom"/>
            <w:vMerge w:val="restart"/>
            <w:shd w:val="clear" w:color="auto" w:fill="D2DCE5"/>
          </w:tcPr>
          <w:p>
            <w:pPr>
              <w:jc w:val="center"/>
              <w:ind w:left="30"/>
              <w:spacing w:after="0"/>
              <w:rPr>
                <w:sz w:val="20"/>
                <w:szCs w:val="20"/>
                <w:color w:val="auto"/>
              </w:rPr>
            </w:pPr>
            <w:r>
              <w:rPr>
                <w:rFonts w:ascii="Arial" w:cs="Arial" w:eastAsia="Arial" w:hAnsi="Arial"/>
                <w:sz w:val="13"/>
                <w:szCs w:val="13"/>
                <w:color w:val="131E29"/>
                <w:w w:val="97"/>
              </w:rPr>
              <w:t>46.5%</w:t>
            </w:r>
          </w:p>
        </w:tc>
        <w:tc>
          <w:tcPr>
            <w:tcW w:w="0" w:type="dxa"/>
            <w:vAlign w:val="bottom"/>
          </w:tcPr>
          <w:p>
            <w:pPr>
              <w:spacing w:after="0"/>
              <w:rPr>
                <w:sz w:val="1"/>
                <w:szCs w:val="1"/>
                <w:color w:val="auto"/>
              </w:rPr>
            </w:pPr>
          </w:p>
        </w:tc>
      </w:tr>
      <w:tr>
        <w:trPr>
          <w:trHeight w:val="101"/>
        </w:trPr>
        <w:tc>
          <w:tcPr>
            <w:tcW w:w="2480" w:type="dxa"/>
            <w:vAlign w:val="bottom"/>
            <w:shd w:val="clear" w:color="auto" w:fill="D2DCE5"/>
          </w:tcPr>
          <w:p>
            <w:pPr>
              <w:spacing w:after="0"/>
              <w:rPr>
                <w:sz w:val="8"/>
                <w:szCs w:val="8"/>
                <w:color w:val="auto"/>
              </w:rPr>
            </w:pPr>
          </w:p>
        </w:tc>
        <w:tc>
          <w:tcPr>
            <w:tcW w:w="500" w:type="dxa"/>
            <w:vAlign w:val="bottom"/>
            <w:shd w:val="clear" w:color="auto" w:fill="D2DCE5"/>
          </w:tcPr>
          <w:p>
            <w:pPr>
              <w:spacing w:after="0"/>
              <w:rPr>
                <w:sz w:val="8"/>
                <w:szCs w:val="8"/>
                <w:color w:val="auto"/>
              </w:rPr>
            </w:pPr>
          </w:p>
        </w:tc>
        <w:tc>
          <w:tcPr>
            <w:tcW w:w="100" w:type="dxa"/>
            <w:vAlign w:val="bottom"/>
            <w:shd w:val="clear" w:color="auto" w:fill="D2DCE5"/>
          </w:tcPr>
          <w:p>
            <w:pPr>
              <w:spacing w:after="0"/>
              <w:rPr>
                <w:sz w:val="8"/>
                <w:szCs w:val="8"/>
                <w:color w:val="auto"/>
              </w:rPr>
            </w:pPr>
          </w:p>
        </w:tc>
        <w:tc>
          <w:tcPr>
            <w:tcW w:w="1100" w:type="dxa"/>
            <w:vAlign w:val="bottom"/>
            <w:vMerge w:val="continue"/>
            <w:shd w:val="clear" w:color="auto" w:fill="D2DCE5"/>
          </w:tcPr>
          <w:p>
            <w:pPr>
              <w:spacing w:after="0"/>
              <w:rPr>
                <w:sz w:val="8"/>
                <w:szCs w:val="8"/>
                <w:color w:val="auto"/>
              </w:rPr>
            </w:pPr>
          </w:p>
        </w:tc>
        <w:tc>
          <w:tcPr>
            <w:tcW w:w="80" w:type="dxa"/>
            <w:vAlign w:val="bottom"/>
            <w:shd w:val="clear" w:color="auto" w:fill="D2DCE5"/>
          </w:tcPr>
          <w:p>
            <w:pPr>
              <w:spacing w:after="0"/>
              <w:rPr>
                <w:sz w:val="8"/>
                <w:szCs w:val="8"/>
                <w:color w:val="auto"/>
              </w:rPr>
            </w:pPr>
          </w:p>
        </w:tc>
        <w:tc>
          <w:tcPr>
            <w:tcW w:w="1180" w:type="dxa"/>
            <w:vAlign w:val="bottom"/>
            <w:vMerge w:val="continue"/>
            <w:shd w:val="clear" w:color="auto" w:fill="D2DCE5"/>
          </w:tcPr>
          <w:p>
            <w:pPr>
              <w:spacing w:after="0"/>
              <w:rPr>
                <w:sz w:val="8"/>
                <w:szCs w:val="8"/>
                <w:color w:val="auto"/>
              </w:rPr>
            </w:pPr>
          </w:p>
        </w:tc>
        <w:tc>
          <w:tcPr>
            <w:tcW w:w="80" w:type="dxa"/>
            <w:vAlign w:val="bottom"/>
            <w:shd w:val="clear" w:color="auto" w:fill="D2DCE5"/>
          </w:tcPr>
          <w:p>
            <w:pPr>
              <w:spacing w:after="0"/>
              <w:rPr>
                <w:sz w:val="8"/>
                <w:szCs w:val="8"/>
                <w:color w:val="auto"/>
              </w:rPr>
            </w:pPr>
          </w:p>
        </w:tc>
        <w:tc>
          <w:tcPr>
            <w:tcW w:w="200" w:type="dxa"/>
            <w:vAlign w:val="bottom"/>
            <w:vMerge w:val="continue"/>
            <w:shd w:val="clear" w:color="auto" w:fill="D2DCE5"/>
          </w:tcPr>
          <w:p>
            <w:pPr>
              <w:spacing w:after="0"/>
              <w:rPr>
                <w:sz w:val="8"/>
                <w:szCs w:val="8"/>
                <w:color w:val="auto"/>
              </w:rPr>
            </w:pPr>
          </w:p>
        </w:tc>
        <w:tc>
          <w:tcPr>
            <w:tcW w:w="800" w:type="dxa"/>
            <w:vAlign w:val="bottom"/>
            <w:vMerge w:val="continue"/>
            <w:shd w:val="clear" w:color="auto" w:fill="D2DCE5"/>
          </w:tcPr>
          <w:p>
            <w:pPr>
              <w:spacing w:after="0"/>
              <w:rPr>
                <w:sz w:val="8"/>
                <w:szCs w:val="8"/>
                <w:color w:val="auto"/>
              </w:rPr>
            </w:pPr>
          </w:p>
        </w:tc>
        <w:tc>
          <w:tcPr>
            <w:tcW w:w="100" w:type="dxa"/>
            <w:vAlign w:val="bottom"/>
            <w:shd w:val="clear" w:color="auto" w:fill="D2DCE5"/>
          </w:tcPr>
          <w:p>
            <w:pPr>
              <w:spacing w:after="0"/>
              <w:rPr>
                <w:sz w:val="8"/>
                <w:szCs w:val="8"/>
                <w:color w:val="auto"/>
              </w:rPr>
            </w:pPr>
          </w:p>
        </w:tc>
        <w:tc>
          <w:tcPr>
            <w:tcW w:w="240" w:type="dxa"/>
            <w:vAlign w:val="bottom"/>
            <w:vMerge w:val="continue"/>
            <w:shd w:val="clear" w:color="auto" w:fill="D2DCE5"/>
          </w:tcPr>
          <w:p>
            <w:pPr>
              <w:spacing w:after="0"/>
              <w:rPr>
                <w:sz w:val="8"/>
                <w:szCs w:val="8"/>
                <w:color w:val="auto"/>
              </w:rPr>
            </w:pPr>
          </w:p>
        </w:tc>
        <w:tc>
          <w:tcPr>
            <w:tcW w:w="920" w:type="dxa"/>
            <w:vAlign w:val="bottom"/>
            <w:vMerge w:val="continue"/>
            <w:shd w:val="clear" w:color="auto" w:fill="D2DCE5"/>
          </w:tcPr>
          <w:p>
            <w:pPr>
              <w:spacing w:after="0"/>
              <w:rPr>
                <w:sz w:val="8"/>
                <w:szCs w:val="8"/>
                <w:color w:val="auto"/>
              </w:rPr>
            </w:pPr>
          </w:p>
        </w:tc>
        <w:tc>
          <w:tcPr>
            <w:tcW w:w="1060" w:type="dxa"/>
            <w:vAlign w:val="bottom"/>
            <w:vMerge w:val="continue"/>
            <w:shd w:val="clear" w:color="auto" w:fill="D2DCE5"/>
          </w:tcPr>
          <w:p>
            <w:pPr>
              <w:spacing w:after="0"/>
              <w:rPr>
                <w:sz w:val="8"/>
                <w:szCs w:val="8"/>
                <w:color w:val="auto"/>
              </w:rPr>
            </w:pPr>
          </w:p>
        </w:tc>
        <w:tc>
          <w:tcPr>
            <w:tcW w:w="80" w:type="dxa"/>
            <w:vAlign w:val="bottom"/>
            <w:shd w:val="clear" w:color="auto" w:fill="D2DCE5"/>
          </w:tcPr>
          <w:p>
            <w:pPr>
              <w:spacing w:after="0"/>
              <w:rPr>
                <w:sz w:val="8"/>
                <w:szCs w:val="8"/>
                <w:color w:val="auto"/>
              </w:rPr>
            </w:pPr>
          </w:p>
        </w:tc>
        <w:tc>
          <w:tcPr>
            <w:tcW w:w="280" w:type="dxa"/>
            <w:vAlign w:val="bottom"/>
            <w:vMerge w:val="continue"/>
            <w:shd w:val="clear" w:color="auto" w:fill="D2DCE5"/>
          </w:tcPr>
          <w:p>
            <w:pPr>
              <w:spacing w:after="0"/>
              <w:rPr>
                <w:sz w:val="8"/>
                <w:szCs w:val="8"/>
                <w:color w:val="auto"/>
              </w:rPr>
            </w:pPr>
          </w:p>
        </w:tc>
        <w:tc>
          <w:tcPr>
            <w:tcW w:w="860" w:type="dxa"/>
            <w:vAlign w:val="bottom"/>
            <w:gridSpan w:val="3"/>
            <w:vMerge w:val="continue"/>
            <w:shd w:val="clear" w:color="auto" w:fill="D2DCE5"/>
          </w:tcPr>
          <w:p>
            <w:pPr>
              <w:spacing w:after="0"/>
              <w:rPr>
                <w:sz w:val="8"/>
                <w:szCs w:val="8"/>
                <w:color w:val="auto"/>
              </w:rPr>
            </w:pPr>
          </w:p>
        </w:tc>
        <w:tc>
          <w:tcPr>
            <w:tcW w:w="1220" w:type="dxa"/>
            <w:vAlign w:val="bottom"/>
            <w:vMerge w:val="continue"/>
            <w:shd w:val="clear" w:color="auto" w:fill="D2DCE5"/>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3080" w:type="dxa"/>
            <w:vAlign w:val="bottom"/>
            <w:gridSpan w:val="3"/>
          </w:tcPr>
          <w:p>
            <w:pPr>
              <w:ind w:left="20"/>
              <w:spacing w:after="0"/>
              <w:rPr>
                <w:sz w:val="20"/>
                <w:szCs w:val="20"/>
                <w:color w:val="auto"/>
              </w:rPr>
            </w:pPr>
            <w:r>
              <w:rPr>
                <w:rFonts w:ascii="Arial" w:cs="Arial" w:eastAsia="Arial" w:hAnsi="Arial"/>
                <w:sz w:val="11"/>
                <w:szCs w:val="11"/>
                <w:i w:val="1"/>
                <w:iCs w:val="1"/>
                <w:color w:val="131E29"/>
              </w:rPr>
              <w:t>As a percentage of company-operated shop revenues</w:t>
            </w:r>
          </w:p>
        </w:tc>
        <w:tc>
          <w:tcPr>
            <w:tcW w:w="1100" w:type="dxa"/>
            <w:vAlign w:val="bottom"/>
          </w:tcPr>
          <w:p>
            <w:pPr>
              <w:jc w:val="center"/>
              <w:spacing w:after="0"/>
              <w:rPr>
                <w:sz w:val="20"/>
                <w:szCs w:val="20"/>
                <w:color w:val="auto"/>
              </w:rPr>
            </w:pPr>
            <w:r>
              <w:rPr>
                <w:rFonts w:ascii="Arial" w:cs="Arial" w:eastAsia="Arial" w:hAnsi="Arial"/>
                <w:sz w:val="13"/>
                <w:szCs w:val="13"/>
                <w:color w:val="131E29"/>
                <w:w w:val="97"/>
              </w:rPr>
              <w:t>24.6%</w:t>
            </w:r>
          </w:p>
        </w:tc>
        <w:tc>
          <w:tcPr>
            <w:tcW w:w="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3"/>
                <w:szCs w:val="13"/>
                <w:color w:val="131E29"/>
                <w:w w:val="97"/>
              </w:rPr>
              <w:t>25.5%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center"/>
              <w:ind w:right="134"/>
              <w:spacing w:after="0"/>
              <w:rPr>
                <w:sz w:val="20"/>
                <w:szCs w:val="20"/>
                <w:color w:val="auto"/>
              </w:rPr>
            </w:pPr>
            <w:r>
              <w:rPr>
                <w:rFonts w:ascii="Arial" w:cs="Arial" w:eastAsia="Arial" w:hAnsi="Arial"/>
                <w:sz w:val="13"/>
                <w:szCs w:val="13"/>
                <w:color w:val="131E29"/>
                <w:w w:val="97"/>
              </w:rPr>
              <w:t>28.7%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495"/>
              <w:spacing w:after="0"/>
              <w:rPr>
                <w:sz w:val="20"/>
                <w:szCs w:val="20"/>
                <w:color w:val="auto"/>
              </w:rPr>
            </w:pPr>
            <w:r>
              <w:rPr>
                <w:rFonts w:ascii="Arial" w:cs="Arial" w:eastAsia="Arial" w:hAnsi="Arial"/>
                <w:sz w:val="13"/>
                <w:szCs w:val="13"/>
                <w:color w:val="131E29"/>
              </w:rPr>
              <w:t>N/A</w:t>
            </w:r>
          </w:p>
        </w:tc>
        <w:tc>
          <w:tcPr>
            <w:tcW w:w="1140" w:type="dxa"/>
            <w:vAlign w:val="bottom"/>
            <w:gridSpan w:val="2"/>
          </w:tcPr>
          <w:p>
            <w:pPr>
              <w:jc w:val="center"/>
              <w:ind w:right="160"/>
              <w:spacing w:after="0"/>
              <w:rPr>
                <w:sz w:val="20"/>
                <w:szCs w:val="20"/>
                <w:color w:val="auto"/>
              </w:rPr>
            </w:pPr>
            <w:r>
              <w:rPr>
                <w:rFonts w:ascii="Arial" w:cs="Arial" w:eastAsia="Arial" w:hAnsi="Arial"/>
                <w:sz w:val="13"/>
                <w:szCs w:val="13"/>
                <w:color w:val="131E29"/>
                <w:w w:val="96"/>
              </w:rPr>
              <w:t>(90) bps</w:t>
            </w:r>
          </w:p>
        </w:tc>
        <w:tc>
          <w:tcPr>
            <w:tcW w:w="280" w:type="dxa"/>
            <w:vAlign w:val="bottom"/>
          </w:tcPr>
          <w:p>
            <w:pPr>
              <w:spacing w:after="0"/>
              <w:rPr>
                <w:sz w:val="15"/>
                <w:szCs w:val="15"/>
                <w:color w:val="auto"/>
              </w:rPr>
            </w:pPr>
          </w:p>
        </w:tc>
        <w:tc>
          <w:tcPr>
            <w:tcW w:w="860" w:type="dxa"/>
            <w:vAlign w:val="bottom"/>
            <w:gridSpan w:val="3"/>
          </w:tcPr>
          <w:p>
            <w:pPr>
              <w:jc w:val="right"/>
              <w:ind w:right="389"/>
              <w:spacing w:after="0"/>
              <w:rPr>
                <w:sz w:val="20"/>
                <w:szCs w:val="20"/>
                <w:color w:val="auto"/>
              </w:rPr>
            </w:pPr>
            <w:r>
              <w:rPr>
                <w:rFonts w:ascii="Arial" w:cs="Arial" w:eastAsia="Arial" w:hAnsi="Arial"/>
                <w:sz w:val="13"/>
                <w:szCs w:val="13"/>
                <w:color w:val="131E29"/>
              </w:rPr>
              <w:t>N/A</w:t>
            </w:r>
          </w:p>
        </w:tc>
        <w:tc>
          <w:tcPr>
            <w:tcW w:w="1220" w:type="dxa"/>
            <w:vAlign w:val="bottom"/>
          </w:tcPr>
          <w:p>
            <w:pPr>
              <w:jc w:val="center"/>
              <w:ind w:left="10"/>
              <w:spacing w:after="0"/>
              <w:rPr>
                <w:sz w:val="20"/>
                <w:szCs w:val="20"/>
                <w:color w:val="auto"/>
              </w:rPr>
            </w:pPr>
            <w:r>
              <w:rPr>
                <w:rFonts w:ascii="Arial" w:cs="Arial" w:eastAsia="Arial" w:hAnsi="Arial"/>
                <w:sz w:val="13"/>
                <w:szCs w:val="13"/>
                <w:color w:val="131E29"/>
                <w:w w:val="98"/>
              </w:rPr>
              <w:t>(320) bps</w:t>
            </w:r>
          </w:p>
        </w:tc>
        <w:tc>
          <w:tcPr>
            <w:tcW w:w="0" w:type="dxa"/>
            <w:vAlign w:val="bottom"/>
          </w:tcPr>
          <w:p>
            <w:pPr>
              <w:spacing w:after="0"/>
              <w:rPr>
                <w:sz w:val="1"/>
                <w:szCs w:val="1"/>
                <w:color w:val="auto"/>
              </w:rPr>
            </w:pPr>
          </w:p>
        </w:tc>
      </w:tr>
      <w:tr>
        <w:trPr>
          <w:trHeight w:val="355"/>
        </w:trPr>
        <w:tc>
          <w:tcPr>
            <w:tcW w:w="3080" w:type="dxa"/>
            <w:vAlign w:val="bottom"/>
            <w:gridSpan w:val="3"/>
          </w:tcPr>
          <w:p>
            <w:pPr>
              <w:spacing w:after="0"/>
              <w:rPr>
                <w:sz w:val="20"/>
                <w:szCs w:val="20"/>
                <w:color w:val="auto"/>
              </w:rPr>
            </w:pPr>
            <w:r>
              <w:rPr>
                <w:rFonts w:ascii="Arial" w:cs="Arial" w:eastAsia="Arial" w:hAnsi="Arial"/>
                <w:sz w:val="14"/>
                <w:szCs w:val="14"/>
                <w:color w:val="006098"/>
              </w:rPr>
              <w:t>Year Ended December 31, 2022 v 2021</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80" w:type="dxa"/>
            <w:vAlign w:val="bottom"/>
            <w:shd w:val="clear" w:color="auto" w:fill="006098"/>
          </w:tcPr>
          <w:p>
            <w:pPr>
              <w:spacing w:after="0" w:line="20" w:lineRule="exact"/>
              <w:rPr>
                <w:sz w:val="1"/>
                <w:szCs w:val="1"/>
                <w:color w:val="auto"/>
              </w:rPr>
            </w:pPr>
          </w:p>
        </w:tc>
        <w:tc>
          <w:tcPr>
            <w:tcW w:w="6440" w:type="dxa"/>
            <w:vAlign w:val="bottom"/>
            <w:gridSpan w:val="1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920" w:type="dxa"/>
            <w:vAlign w:val="bottom"/>
            <w:gridSpan w:val="14"/>
          </w:tcPr>
          <w:p>
            <w:pPr>
              <w:spacing w:after="0"/>
              <w:rPr>
                <w:sz w:val="20"/>
                <w:szCs w:val="20"/>
                <w:color w:val="auto"/>
              </w:rPr>
            </w:pPr>
            <w:r>
              <w:rPr>
                <w:rFonts w:ascii="Arial" w:cs="Arial" w:eastAsia="Arial" w:hAnsi="Arial"/>
                <w:sz w:val="14"/>
                <w:szCs w:val="14"/>
                <w:color w:val="131E29"/>
              </w:rPr>
              <w:t>The Company-operated gross profit and contribution impacts for the year-over-year comparison were driven by the following (in basis points):</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2"/>
        </w:trPr>
        <w:tc>
          <w:tcPr>
            <w:tcW w:w="308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color w:val="131E29"/>
              </w:rPr>
              <w:t>(in thousands; unaudited)</w:t>
            </w: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D2DCE5"/>
            </w:tcBorders>
          </w:tcPr>
          <w:p>
            <w:pPr>
              <w:spacing w:after="0"/>
              <w:rPr>
                <w:sz w:val="24"/>
                <w:szCs w:val="24"/>
                <w:color w:val="auto"/>
              </w:rPr>
            </w:pPr>
          </w:p>
        </w:tc>
        <w:tc>
          <w:tcPr>
            <w:tcW w:w="380" w:type="dxa"/>
            <w:vAlign w:val="bottom"/>
            <w:tcBorders>
              <w:bottom w:val="single" w:sz="8" w:color="131E29"/>
            </w:tcBorders>
          </w:tcPr>
          <w:p>
            <w:pPr>
              <w:spacing w:after="0"/>
              <w:rPr>
                <w:sz w:val="24"/>
                <w:szCs w:val="24"/>
                <w:color w:val="auto"/>
              </w:rPr>
            </w:pPr>
          </w:p>
        </w:tc>
        <w:tc>
          <w:tcPr>
            <w:tcW w:w="1220" w:type="dxa"/>
            <w:vAlign w:val="bottom"/>
            <w:tcBorders>
              <w:bottom w:val="single" w:sz="8" w:color="131E29"/>
            </w:tcBorders>
          </w:tcPr>
          <w:p>
            <w:pPr>
              <w:jc w:val="right"/>
              <w:ind w:right="590"/>
              <w:spacing w:after="0"/>
              <w:rPr>
                <w:sz w:val="20"/>
                <w:szCs w:val="20"/>
                <w:color w:val="auto"/>
              </w:rPr>
            </w:pPr>
            <w:r>
              <w:rPr>
                <w:rFonts w:ascii="Arial" w:cs="Arial" w:eastAsia="Arial" w:hAnsi="Arial"/>
                <w:sz w:val="14"/>
                <w:szCs w:val="14"/>
                <w:b w:val="1"/>
                <w:bCs w:val="1"/>
                <w:color w:val="131E29"/>
              </w:rPr>
              <w:t>BPS</w:t>
            </w:r>
          </w:p>
        </w:tc>
        <w:tc>
          <w:tcPr>
            <w:tcW w:w="0" w:type="dxa"/>
            <w:vAlign w:val="bottom"/>
          </w:tcPr>
          <w:p>
            <w:pPr>
              <w:spacing w:after="0"/>
              <w:rPr>
                <w:sz w:val="1"/>
                <w:szCs w:val="1"/>
                <w:color w:val="auto"/>
              </w:rPr>
            </w:pPr>
          </w:p>
        </w:tc>
      </w:tr>
      <w:tr>
        <w:trPr>
          <w:trHeight w:val="192"/>
        </w:trPr>
        <w:tc>
          <w:tcPr>
            <w:tcW w:w="3080" w:type="dxa"/>
            <w:vAlign w:val="bottom"/>
            <w:tcBorders>
              <w:bottom w:val="single" w:sz="8" w:color="D2DCE5"/>
            </w:tcBorders>
            <w:gridSpan w:val="3"/>
            <w:shd w:val="clear" w:color="auto" w:fill="D2DCE5"/>
          </w:tcPr>
          <w:p>
            <w:pPr>
              <w:ind w:left="20"/>
              <w:spacing w:after="0"/>
              <w:rPr>
                <w:sz w:val="20"/>
                <w:szCs w:val="20"/>
                <w:color w:val="auto"/>
              </w:rPr>
            </w:pPr>
            <w:r>
              <w:rPr>
                <w:rFonts w:ascii="Arial" w:cs="Arial" w:eastAsia="Arial" w:hAnsi="Arial"/>
                <w:sz w:val="14"/>
                <w:szCs w:val="14"/>
                <w:color w:val="131E29"/>
              </w:rPr>
              <w:t>Higher ingredient costs</w:t>
            </w:r>
          </w:p>
        </w:tc>
        <w:tc>
          <w:tcPr>
            <w:tcW w:w="110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118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200" w:type="dxa"/>
            <w:vAlign w:val="bottom"/>
            <w:tcBorders>
              <w:bottom w:val="single" w:sz="8" w:color="D2DCE5"/>
            </w:tcBorders>
            <w:shd w:val="clear" w:color="auto" w:fill="D2DCE5"/>
          </w:tcPr>
          <w:p>
            <w:pPr>
              <w:spacing w:after="0"/>
              <w:rPr>
                <w:sz w:val="16"/>
                <w:szCs w:val="16"/>
                <w:color w:val="auto"/>
              </w:rPr>
            </w:pPr>
          </w:p>
        </w:tc>
        <w:tc>
          <w:tcPr>
            <w:tcW w:w="80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240" w:type="dxa"/>
            <w:vAlign w:val="bottom"/>
            <w:tcBorders>
              <w:bottom w:val="single" w:sz="8" w:color="D2DCE5"/>
            </w:tcBorders>
            <w:shd w:val="clear" w:color="auto" w:fill="D2DCE5"/>
          </w:tcPr>
          <w:p>
            <w:pPr>
              <w:spacing w:after="0"/>
              <w:rPr>
                <w:sz w:val="16"/>
                <w:szCs w:val="16"/>
                <w:color w:val="auto"/>
              </w:rPr>
            </w:pPr>
          </w:p>
        </w:tc>
        <w:tc>
          <w:tcPr>
            <w:tcW w:w="920" w:type="dxa"/>
            <w:vAlign w:val="bottom"/>
            <w:tcBorders>
              <w:bottom w:val="single" w:sz="8" w:color="D2DCE5"/>
            </w:tcBorders>
            <w:shd w:val="clear" w:color="auto" w:fill="D2DCE5"/>
          </w:tcPr>
          <w:p>
            <w:pPr>
              <w:spacing w:after="0"/>
              <w:rPr>
                <w:sz w:val="16"/>
                <w:szCs w:val="16"/>
                <w:color w:val="auto"/>
              </w:rPr>
            </w:pPr>
          </w:p>
        </w:tc>
        <w:tc>
          <w:tcPr>
            <w:tcW w:w="106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spacing w:after="0"/>
              <w:rPr>
                <w:sz w:val="16"/>
                <w:szCs w:val="16"/>
                <w:color w:val="auto"/>
              </w:rPr>
            </w:pPr>
          </w:p>
        </w:tc>
        <w:tc>
          <w:tcPr>
            <w:tcW w:w="40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380" w:type="dxa"/>
            <w:vAlign w:val="bottom"/>
            <w:tcBorders>
              <w:bottom w:val="single" w:sz="8" w:color="D2DCE5"/>
            </w:tcBorders>
            <w:shd w:val="clear" w:color="auto" w:fill="D2DCE5"/>
          </w:tcPr>
          <w:p>
            <w:pPr>
              <w:spacing w:after="0"/>
              <w:rPr>
                <w:sz w:val="16"/>
                <w:szCs w:val="16"/>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(380)</w:t>
            </w:r>
          </w:p>
        </w:tc>
        <w:tc>
          <w:tcPr>
            <w:tcW w:w="0" w:type="dxa"/>
            <w:vAlign w:val="bottom"/>
          </w:tcPr>
          <w:p>
            <w:pPr>
              <w:spacing w:after="0"/>
              <w:rPr>
                <w:sz w:val="1"/>
                <w:szCs w:val="1"/>
                <w:color w:val="auto"/>
              </w:rPr>
            </w:pPr>
          </w:p>
        </w:tc>
      </w:tr>
      <w:tr>
        <w:trPr>
          <w:trHeight w:val="191"/>
        </w:trPr>
        <w:tc>
          <w:tcPr>
            <w:tcW w:w="3080" w:type="dxa"/>
            <w:vAlign w:val="bottom"/>
            <w:gridSpan w:val="3"/>
          </w:tcPr>
          <w:p>
            <w:pPr>
              <w:ind w:left="20"/>
              <w:spacing w:after="0"/>
              <w:rPr>
                <w:sz w:val="20"/>
                <w:szCs w:val="20"/>
                <w:color w:val="auto"/>
              </w:rPr>
            </w:pPr>
            <w:r>
              <w:rPr>
                <w:rFonts w:ascii="Arial" w:cs="Arial" w:eastAsia="Arial" w:hAnsi="Arial"/>
                <w:sz w:val="14"/>
                <w:szCs w:val="14"/>
                <w:color w:val="131E29"/>
              </w:rPr>
              <w:t>Higher shop operating expenses</w:t>
            </w: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131E29"/>
              </w:rPr>
              <w:t>(90)</w:t>
            </w:r>
          </w:p>
        </w:tc>
        <w:tc>
          <w:tcPr>
            <w:tcW w:w="0" w:type="dxa"/>
            <w:vAlign w:val="bottom"/>
          </w:tcPr>
          <w:p>
            <w:pPr>
              <w:spacing w:after="0"/>
              <w:rPr>
                <w:sz w:val="1"/>
                <w:szCs w:val="1"/>
                <w:color w:val="auto"/>
              </w:rPr>
            </w:pPr>
          </w:p>
        </w:tc>
      </w:tr>
      <w:tr>
        <w:trPr>
          <w:trHeight w:val="22"/>
        </w:trPr>
        <w:tc>
          <w:tcPr>
            <w:tcW w:w="552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520" w:type="dxa"/>
            <w:vAlign w:val="bottom"/>
            <w:tcBorders>
              <w:bottom w:val="single" w:sz="8" w:color="D2DCE5"/>
            </w:tcBorders>
            <w:gridSpan w:val="7"/>
            <w:shd w:val="clear" w:color="auto" w:fill="D2DCE5"/>
          </w:tcPr>
          <w:p>
            <w:pPr>
              <w:ind w:left="20"/>
              <w:spacing w:after="0"/>
              <w:rPr>
                <w:sz w:val="20"/>
                <w:szCs w:val="20"/>
                <w:color w:val="auto"/>
              </w:rPr>
            </w:pPr>
            <w:r>
              <w:rPr>
                <w:rFonts w:ascii="Arial" w:cs="Arial" w:eastAsia="Arial" w:hAnsi="Arial"/>
                <w:sz w:val="14"/>
                <w:szCs w:val="14"/>
                <w:color w:val="131E29"/>
              </w:rPr>
              <w:t>Legislated minimum wage increases and higher minimum staffing standards</w:t>
            </w:r>
          </w:p>
        </w:tc>
        <w:tc>
          <w:tcPr>
            <w:tcW w:w="200" w:type="dxa"/>
            <w:vAlign w:val="bottom"/>
            <w:tcBorders>
              <w:bottom w:val="single" w:sz="8" w:color="D2DCE5"/>
            </w:tcBorders>
            <w:shd w:val="clear" w:color="auto" w:fill="D2DCE5"/>
          </w:tcPr>
          <w:p>
            <w:pPr>
              <w:spacing w:after="0"/>
              <w:rPr>
                <w:sz w:val="18"/>
                <w:szCs w:val="18"/>
                <w:color w:val="auto"/>
              </w:rPr>
            </w:pPr>
          </w:p>
        </w:tc>
        <w:tc>
          <w:tcPr>
            <w:tcW w:w="800" w:type="dxa"/>
            <w:vAlign w:val="bottom"/>
            <w:tcBorders>
              <w:bottom w:val="single" w:sz="8" w:color="D2DCE5"/>
            </w:tcBorders>
            <w:shd w:val="clear" w:color="auto" w:fill="D2DCE5"/>
          </w:tcPr>
          <w:p>
            <w:pPr>
              <w:spacing w:after="0"/>
              <w:rPr>
                <w:sz w:val="18"/>
                <w:szCs w:val="18"/>
                <w:color w:val="auto"/>
              </w:rPr>
            </w:pPr>
          </w:p>
        </w:tc>
        <w:tc>
          <w:tcPr>
            <w:tcW w:w="100" w:type="dxa"/>
            <w:vAlign w:val="bottom"/>
            <w:tcBorders>
              <w:bottom w:val="single" w:sz="8" w:color="D2DCE5"/>
            </w:tcBorders>
            <w:shd w:val="clear" w:color="auto" w:fill="D2DCE5"/>
          </w:tcPr>
          <w:p>
            <w:pPr>
              <w:spacing w:after="0"/>
              <w:rPr>
                <w:sz w:val="18"/>
                <w:szCs w:val="18"/>
                <w:color w:val="auto"/>
              </w:rPr>
            </w:pPr>
          </w:p>
        </w:tc>
        <w:tc>
          <w:tcPr>
            <w:tcW w:w="240" w:type="dxa"/>
            <w:vAlign w:val="bottom"/>
            <w:tcBorders>
              <w:bottom w:val="single" w:sz="8" w:color="D2DCE5"/>
            </w:tcBorders>
            <w:shd w:val="clear" w:color="auto" w:fill="D2DCE5"/>
          </w:tcPr>
          <w:p>
            <w:pPr>
              <w:spacing w:after="0"/>
              <w:rPr>
                <w:sz w:val="18"/>
                <w:szCs w:val="18"/>
                <w:color w:val="auto"/>
              </w:rPr>
            </w:pPr>
          </w:p>
        </w:tc>
        <w:tc>
          <w:tcPr>
            <w:tcW w:w="920" w:type="dxa"/>
            <w:vAlign w:val="bottom"/>
            <w:tcBorders>
              <w:bottom w:val="single" w:sz="8" w:color="D2DCE5"/>
            </w:tcBorders>
            <w:shd w:val="clear" w:color="auto" w:fill="D2DCE5"/>
          </w:tcPr>
          <w:p>
            <w:pPr>
              <w:spacing w:after="0"/>
              <w:rPr>
                <w:sz w:val="18"/>
                <w:szCs w:val="18"/>
                <w:color w:val="auto"/>
              </w:rPr>
            </w:pPr>
          </w:p>
        </w:tc>
        <w:tc>
          <w:tcPr>
            <w:tcW w:w="1060" w:type="dxa"/>
            <w:vAlign w:val="bottom"/>
            <w:tcBorders>
              <w:bottom w:val="single" w:sz="8" w:color="D2DCE5"/>
            </w:tcBorders>
            <w:shd w:val="clear" w:color="auto" w:fill="D2DCE5"/>
          </w:tcPr>
          <w:p>
            <w:pPr>
              <w:spacing w:after="0"/>
              <w:rPr>
                <w:sz w:val="18"/>
                <w:szCs w:val="18"/>
                <w:color w:val="auto"/>
              </w:rPr>
            </w:pPr>
          </w:p>
        </w:tc>
        <w:tc>
          <w:tcPr>
            <w:tcW w:w="80" w:type="dxa"/>
            <w:vAlign w:val="bottom"/>
            <w:tcBorders>
              <w:bottom w:val="single" w:sz="8" w:color="D2DCE5"/>
            </w:tcBorders>
            <w:shd w:val="clear" w:color="auto" w:fill="D2DCE5"/>
          </w:tcPr>
          <w:p>
            <w:pPr>
              <w:spacing w:after="0"/>
              <w:rPr>
                <w:sz w:val="18"/>
                <w:szCs w:val="18"/>
                <w:color w:val="auto"/>
              </w:rPr>
            </w:pPr>
          </w:p>
        </w:tc>
        <w:tc>
          <w:tcPr>
            <w:tcW w:w="280" w:type="dxa"/>
            <w:vAlign w:val="bottom"/>
            <w:tcBorders>
              <w:bottom w:val="single" w:sz="8" w:color="D2DCE5"/>
            </w:tcBorders>
            <w:shd w:val="clear" w:color="auto" w:fill="D2DCE5"/>
          </w:tcPr>
          <w:p>
            <w:pPr>
              <w:spacing w:after="0"/>
              <w:rPr>
                <w:sz w:val="18"/>
                <w:szCs w:val="18"/>
                <w:color w:val="auto"/>
              </w:rPr>
            </w:pPr>
          </w:p>
        </w:tc>
        <w:tc>
          <w:tcPr>
            <w:tcW w:w="400" w:type="dxa"/>
            <w:vAlign w:val="bottom"/>
            <w:tcBorders>
              <w:bottom w:val="single" w:sz="8" w:color="D2DCE5"/>
            </w:tcBorders>
            <w:shd w:val="clear" w:color="auto" w:fill="D2DCE5"/>
          </w:tcPr>
          <w:p>
            <w:pPr>
              <w:spacing w:after="0"/>
              <w:rPr>
                <w:sz w:val="18"/>
                <w:szCs w:val="18"/>
                <w:color w:val="auto"/>
              </w:rPr>
            </w:pPr>
          </w:p>
        </w:tc>
        <w:tc>
          <w:tcPr>
            <w:tcW w:w="80" w:type="dxa"/>
            <w:vAlign w:val="bottom"/>
            <w:tcBorders>
              <w:bottom w:val="single" w:sz="8" w:color="D2DCE5"/>
            </w:tcBorders>
            <w:shd w:val="clear" w:color="auto" w:fill="D2DCE5"/>
          </w:tcPr>
          <w:p>
            <w:pPr>
              <w:spacing w:after="0"/>
              <w:rPr>
                <w:sz w:val="18"/>
                <w:szCs w:val="18"/>
                <w:color w:val="auto"/>
              </w:rPr>
            </w:pPr>
          </w:p>
        </w:tc>
        <w:tc>
          <w:tcPr>
            <w:tcW w:w="380" w:type="dxa"/>
            <w:vAlign w:val="bottom"/>
            <w:tcBorders>
              <w:bottom w:val="single" w:sz="8" w:color="D2DCE5"/>
            </w:tcBorders>
            <w:shd w:val="clear" w:color="auto" w:fill="D2DCE5"/>
          </w:tcPr>
          <w:p>
            <w:pPr>
              <w:spacing w:after="0"/>
              <w:rPr>
                <w:sz w:val="18"/>
                <w:szCs w:val="18"/>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(70)</w:t>
            </w:r>
          </w:p>
        </w:tc>
        <w:tc>
          <w:tcPr>
            <w:tcW w:w="0" w:type="dxa"/>
            <w:vAlign w:val="bottom"/>
          </w:tcPr>
          <w:p>
            <w:pPr>
              <w:spacing w:after="0"/>
              <w:rPr>
                <w:sz w:val="1"/>
                <w:szCs w:val="1"/>
                <w:color w:val="auto"/>
              </w:rPr>
            </w:pPr>
          </w:p>
        </w:tc>
      </w:tr>
      <w:tr>
        <w:trPr>
          <w:trHeight w:val="181"/>
        </w:trPr>
        <w:tc>
          <w:tcPr>
            <w:tcW w:w="3080" w:type="dxa"/>
            <w:vAlign w:val="bottom"/>
            <w:gridSpan w:val="3"/>
          </w:tcPr>
          <w:p>
            <w:pPr>
              <w:ind w:left="140"/>
              <w:spacing w:after="0"/>
              <w:rPr>
                <w:sz w:val="20"/>
                <w:szCs w:val="20"/>
                <w:color w:val="auto"/>
              </w:rPr>
            </w:pPr>
            <w:r>
              <w:rPr>
                <w:rFonts w:ascii="Arial" w:cs="Arial" w:eastAsia="Arial" w:hAnsi="Arial"/>
                <w:sz w:val="14"/>
                <w:szCs w:val="14"/>
                <w:color w:val="131E29"/>
              </w:rPr>
              <w:t>Costs increases</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(540)</w:t>
            </w:r>
          </w:p>
        </w:tc>
        <w:tc>
          <w:tcPr>
            <w:tcW w:w="0" w:type="dxa"/>
            <w:vAlign w:val="bottom"/>
          </w:tcPr>
          <w:p>
            <w:pPr>
              <w:spacing w:after="0"/>
              <w:rPr>
                <w:sz w:val="1"/>
                <w:szCs w:val="1"/>
                <w:color w:val="auto"/>
              </w:rPr>
            </w:pPr>
          </w:p>
        </w:tc>
      </w:tr>
      <w:tr>
        <w:trPr>
          <w:trHeight w:val="22"/>
        </w:trPr>
        <w:tc>
          <w:tcPr>
            <w:tcW w:w="3080" w:type="dxa"/>
            <w:vAlign w:val="bottom"/>
            <w:tcBorders>
              <w:bottom w:val="single" w:sz="8" w:color="D2DCE5"/>
            </w:tcBorders>
            <w:gridSpan w:val="3"/>
          </w:tcPr>
          <w:p>
            <w:pPr>
              <w:spacing w:after="0" w:line="20" w:lineRule="exact"/>
              <w:rPr>
                <w:sz w:val="1"/>
                <w:szCs w:val="1"/>
                <w:color w:val="auto"/>
              </w:rPr>
            </w:pPr>
          </w:p>
        </w:tc>
        <w:tc>
          <w:tcPr>
            <w:tcW w:w="110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118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200" w:type="dxa"/>
            <w:vAlign w:val="bottom"/>
            <w:tcBorders>
              <w:bottom w:val="single" w:sz="8" w:color="D2DCE5"/>
            </w:tcBorders>
          </w:tcPr>
          <w:p>
            <w:pPr>
              <w:spacing w:after="0" w:line="20" w:lineRule="exact"/>
              <w:rPr>
                <w:sz w:val="1"/>
                <w:szCs w:val="1"/>
                <w:color w:val="auto"/>
              </w:rPr>
            </w:pPr>
          </w:p>
        </w:tc>
        <w:tc>
          <w:tcPr>
            <w:tcW w:w="800" w:type="dxa"/>
            <w:vAlign w:val="bottom"/>
            <w:tcBorders>
              <w:bottom w:val="single" w:sz="8" w:color="D2DCE5"/>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240" w:type="dxa"/>
            <w:vAlign w:val="bottom"/>
            <w:tcBorders>
              <w:bottom w:val="single" w:sz="8" w:color="D2DCE5"/>
            </w:tcBorders>
          </w:tcPr>
          <w:p>
            <w:pPr>
              <w:spacing w:after="0" w:line="20" w:lineRule="exact"/>
              <w:rPr>
                <w:sz w:val="1"/>
                <w:szCs w:val="1"/>
                <w:color w:val="auto"/>
              </w:rPr>
            </w:pPr>
          </w:p>
        </w:tc>
        <w:tc>
          <w:tcPr>
            <w:tcW w:w="920" w:type="dxa"/>
            <w:vAlign w:val="bottom"/>
            <w:tcBorders>
              <w:bottom w:val="single" w:sz="8" w:color="D2DCE5"/>
            </w:tcBorders>
          </w:tcPr>
          <w:p>
            <w:pPr>
              <w:spacing w:after="0" w:line="20" w:lineRule="exact"/>
              <w:rPr>
                <w:sz w:val="1"/>
                <w:szCs w:val="1"/>
                <w:color w:val="auto"/>
              </w:rPr>
            </w:pPr>
          </w:p>
        </w:tc>
        <w:tc>
          <w:tcPr>
            <w:tcW w:w="106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280" w:type="dxa"/>
            <w:vAlign w:val="bottom"/>
            <w:tcBorders>
              <w:bottom w:val="single" w:sz="8" w:color="D2DCE5"/>
            </w:tcBorders>
          </w:tcPr>
          <w:p>
            <w:pPr>
              <w:spacing w:after="0" w:line="20" w:lineRule="exact"/>
              <w:rPr>
                <w:sz w:val="1"/>
                <w:szCs w:val="1"/>
                <w:color w:val="auto"/>
              </w:rPr>
            </w:pPr>
          </w:p>
        </w:tc>
        <w:tc>
          <w:tcPr>
            <w:tcW w:w="40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080" w:type="dxa"/>
            <w:vAlign w:val="bottom"/>
            <w:tcBorders>
              <w:bottom w:val="single" w:sz="8" w:color="D2DCE5"/>
            </w:tcBorders>
            <w:gridSpan w:val="3"/>
            <w:shd w:val="clear" w:color="auto" w:fill="D2DCE5"/>
          </w:tcPr>
          <w:p>
            <w:pPr>
              <w:ind w:left="20"/>
              <w:spacing w:after="0"/>
              <w:rPr>
                <w:sz w:val="20"/>
                <w:szCs w:val="20"/>
                <w:color w:val="auto"/>
              </w:rPr>
            </w:pPr>
            <w:r>
              <w:rPr>
                <w:rFonts w:ascii="Arial" w:cs="Arial" w:eastAsia="Arial" w:hAnsi="Arial"/>
                <w:sz w:val="14"/>
                <w:szCs w:val="14"/>
                <w:color w:val="131E29"/>
              </w:rPr>
              <w:t>Menu price increases</w:t>
            </w:r>
          </w:p>
        </w:tc>
        <w:tc>
          <w:tcPr>
            <w:tcW w:w="1100" w:type="dxa"/>
            <w:vAlign w:val="bottom"/>
            <w:tcBorders>
              <w:bottom w:val="single" w:sz="8" w:color="D2DCE5"/>
            </w:tcBorders>
            <w:shd w:val="clear" w:color="auto" w:fill="D2DCE5"/>
          </w:tcPr>
          <w:p>
            <w:pPr>
              <w:spacing w:after="0"/>
              <w:rPr>
                <w:sz w:val="15"/>
                <w:szCs w:val="15"/>
                <w:color w:val="auto"/>
              </w:rPr>
            </w:pPr>
          </w:p>
        </w:tc>
        <w:tc>
          <w:tcPr>
            <w:tcW w:w="80" w:type="dxa"/>
            <w:vAlign w:val="bottom"/>
            <w:tcBorders>
              <w:bottom w:val="single" w:sz="8" w:color="D2DCE5"/>
            </w:tcBorders>
            <w:shd w:val="clear" w:color="auto" w:fill="D2DCE5"/>
          </w:tcPr>
          <w:p>
            <w:pPr>
              <w:spacing w:after="0"/>
              <w:rPr>
                <w:sz w:val="15"/>
                <w:szCs w:val="15"/>
                <w:color w:val="auto"/>
              </w:rPr>
            </w:pPr>
          </w:p>
        </w:tc>
        <w:tc>
          <w:tcPr>
            <w:tcW w:w="1180" w:type="dxa"/>
            <w:vAlign w:val="bottom"/>
            <w:tcBorders>
              <w:bottom w:val="single" w:sz="8" w:color="D2DCE5"/>
            </w:tcBorders>
            <w:shd w:val="clear" w:color="auto" w:fill="D2DCE5"/>
          </w:tcPr>
          <w:p>
            <w:pPr>
              <w:spacing w:after="0"/>
              <w:rPr>
                <w:sz w:val="15"/>
                <w:szCs w:val="15"/>
                <w:color w:val="auto"/>
              </w:rPr>
            </w:pPr>
          </w:p>
        </w:tc>
        <w:tc>
          <w:tcPr>
            <w:tcW w:w="80" w:type="dxa"/>
            <w:vAlign w:val="bottom"/>
            <w:tcBorders>
              <w:bottom w:val="single" w:sz="8" w:color="D2DCE5"/>
            </w:tcBorders>
            <w:shd w:val="clear" w:color="auto" w:fill="D2DCE5"/>
          </w:tcPr>
          <w:p>
            <w:pPr>
              <w:spacing w:after="0"/>
              <w:rPr>
                <w:sz w:val="15"/>
                <w:szCs w:val="15"/>
                <w:color w:val="auto"/>
              </w:rPr>
            </w:pPr>
          </w:p>
        </w:tc>
        <w:tc>
          <w:tcPr>
            <w:tcW w:w="200" w:type="dxa"/>
            <w:vAlign w:val="bottom"/>
            <w:tcBorders>
              <w:bottom w:val="single" w:sz="8" w:color="D2DCE5"/>
            </w:tcBorders>
            <w:shd w:val="clear" w:color="auto" w:fill="D2DCE5"/>
          </w:tcPr>
          <w:p>
            <w:pPr>
              <w:spacing w:after="0"/>
              <w:rPr>
                <w:sz w:val="15"/>
                <w:szCs w:val="15"/>
                <w:color w:val="auto"/>
              </w:rPr>
            </w:pPr>
          </w:p>
        </w:tc>
        <w:tc>
          <w:tcPr>
            <w:tcW w:w="800" w:type="dxa"/>
            <w:vAlign w:val="bottom"/>
            <w:tcBorders>
              <w:bottom w:val="single" w:sz="8" w:color="D2DCE5"/>
            </w:tcBorders>
            <w:shd w:val="clear" w:color="auto" w:fill="D2DCE5"/>
          </w:tcPr>
          <w:p>
            <w:pPr>
              <w:spacing w:after="0"/>
              <w:rPr>
                <w:sz w:val="15"/>
                <w:szCs w:val="15"/>
                <w:color w:val="auto"/>
              </w:rPr>
            </w:pPr>
          </w:p>
        </w:tc>
        <w:tc>
          <w:tcPr>
            <w:tcW w:w="100" w:type="dxa"/>
            <w:vAlign w:val="bottom"/>
            <w:tcBorders>
              <w:bottom w:val="single" w:sz="8" w:color="D2DCE5"/>
            </w:tcBorders>
            <w:shd w:val="clear" w:color="auto" w:fill="D2DCE5"/>
          </w:tcPr>
          <w:p>
            <w:pPr>
              <w:spacing w:after="0"/>
              <w:rPr>
                <w:sz w:val="15"/>
                <w:szCs w:val="15"/>
                <w:color w:val="auto"/>
              </w:rPr>
            </w:pPr>
          </w:p>
        </w:tc>
        <w:tc>
          <w:tcPr>
            <w:tcW w:w="240" w:type="dxa"/>
            <w:vAlign w:val="bottom"/>
            <w:tcBorders>
              <w:bottom w:val="single" w:sz="8" w:color="D2DCE5"/>
            </w:tcBorders>
            <w:shd w:val="clear" w:color="auto" w:fill="D2DCE5"/>
          </w:tcPr>
          <w:p>
            <w:pPr>
              <w:spacing w:after="0"/>
              <w:rPr>
                <w:sz w:val="15"/>
                <w:szCs w:val="15"/>
                <w:color w:val="auto"/>
              </w:rPr>
            </w:pPr>
          </w:p>
        </w:tc>
        <w:tc>
          <w:tcPr>
            <w:tcW w:w="920" w:type="dxa"/>
            <w:vAlign w:val="bottom"/>
            <w:tcBorders>
              <w:bottom w:val="single" w:sz="8" w:color="D2DCE5"/>
            </w:tcBorders>
            <w:shd w:val="clear" w:color="auto" w:fill="D2DCE5"/>
          </w:tcPr>
          <w:p>
            <w:pPr>
              <w:spacing w:after="0"/>
              <w:rPr>
                <w:sz w:val="15"/>
                <w:szCs w:val="15"/>
                <w:color w:val="auto"/>
              </w:rPr>
            </w:pPr>
          </w:p>
        </w:tc>
        <w:tc>
          <w:tcPr>
            <w:tcW w:w="1060" w:type="dxa"/>
            <w:vAlign w:val="bottom"/>
            <w:tcBorders>
              <w:bottom w:val="single" w:sz="8" w:color="D2DCE5"/>
            </w:tcBorders>
            <w:shd w:val="clear" w:color="auto" w:fill="D2DCE5"/>
          </w:tcPr>
          <w:p>
            <w:pPr>
              <w:spacing w:after="0"/>
              <w:rPr>
                <w:sz w:val="15"/>
                <w:szCs w:val="15"/>
                <w:color w:val="auto"/>
              </w:rPr>
            </w:pPr>
          </w:p>
        </w:tc>
        <w:tc>
          <w:tcPr>
            <w:tcW w:w="80" w:type="dxa"/>
            <w:vAlign w:val="bottom"/>
            <w:tcBorders>
              <w:bottom w:val="single" w:sz="8" w:color="D2DCE5"/>
            </w:tcBorders>
            <w:shd w:val="clear" w:color="auto" w:fill="D2DCE5"/>
          </w:tcPr>
          <w:p>
            <w:pPr>
              <w:spacing w:after="0"/>
              <w:rPr>
                <w:sz w:val="15"/>
                <w:szCs w:val="15"/>
                <w:color w:val="auto"/>
              </w:rPr>
            </w:pPr>
          </w:p>
        </w:tc>
        <w:tc>
          <w:tcPr>
            <w:tcW w:w="280" w:type="dxa"/>
            <w:vAlign w:val="bottom"/>
            <w:tcBorders>
              <w:bottom w:val="single" w:sz="8" w:color="D2DCE5"/>
            </w:tcBorders>
            <w:shd w:val="clear" w:color="auto" w:fill="D2DCE5"/>
          </w:tcPr>
          <w:p>
            <w:pPr>
              <w:spacing w:after="0"/>
              <w:rPr>
                <w:sz w:val="15"/>
                <w:szCs w:val="15"/>
                <w:color w:val="auto"/>
              </w:rPr>
            </w:pPr>
          </w:p>
        </w:tc>
        <w:tc>
          <w:tcPr>
            <w:tcW w:w="400" w:type="dxa"/>
            <w:vAlign w:val="bottom"/>
            <w:tcBorders>
              <w:bottom w:val="single" w:sz="8" w:color="D2DCE5"/>
            </w:tcBorders>
            <w:shd w:val="clear" w:color="auto" w:fill="D2DCE5"/>
          </w:tcPr>
          <w:p>
            <w:pPr>
              <w:spacing w:after="0"/>
              <w:rPr>
                <w:sz w:val="15"/>
                <w:szCs w:val="15"/>
                <w:color w:val="auto"/>
              </w:rPr>
            </w:pPr>
          </w:p>
        </w:tc>
        <w:tc>
          <w:tcPr>
            <w:tcW w:w="80" w:type="dxa"/>
            <w:vAlign w:val="bottom"/>
            <w:tcBorders>
              <w:bottom w:val="single" w:sz="8" w:color="D2DCE5"/>
            </w:tcBorders>
            <w:shd w:val="clear" w:color="auto" w:fill="D2DCE5"/>
          </w:tcPr>
          <w:p>
            <w:pPr>
              <w:spacing w:after="0"/>
              <w:rPr>
                <w:sz w:val="15"/>
                <w:szCs w:val="15"/>
                <w:color w:val="auto"/>
              </w:rPr>
            </w:pPr>
          </w:p>
        </w:tc>
        <w:tc>
          <w:tcPr>
            <w:tcW w:w="380" w:type="dxa"/>
            <w:vAlign w:val="bottom"/>
            <w:tcBorders>
              <w:bottom w:val="single" w:sz="8" w:color="D2DCE5"/>
            </w:tcBorders>
            <w:shd w:val="clear" w:color="auto" w:fill="D2DCE5"/>
          </w:tcPr>
          <w:p>
            <w:pPr>
              <w:spacing w:after="0"/>
              <w:rPr>
                <w:sz w:val="15"/>
                <w:szCs w:val="15"/>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430</w:t>
            </w:r>
          </w:p>
        </w:tc>
        <w:tc>
          <w:tcPr>
            <w:tcW w:w="0" w:type="dxa"/>
            <w:vAlign w:val="bottom"/>
          </w:tcPr>
          <w:p>
            <w:pPr>
              <w:spacing w:after="0"/>
              <w:rPr>
                <w:sz w:val="1"/>
                <w:szCs w:val="1"/>
                <w:color w:val="auto"/>
              </w:rPr>
            </w:pPr>
          </w:p>
        </w:tc>
      </w:tr>
      <w:tr>
        <w:trPr>
          <w:trHeight w:val="191"/>
        </w:trPr>
        <w:tc>
          <w:tcPr>
            <w:tcW w:w="3080" w:type="dxa"/>
            <w:vAlign w:val="bottom"/>
            <w:gridSpan w:val="3"/>
          </w:tcPr>
          <w:p>
            <w:pPr>
              <w:ind w:left="20"/>
              <w:spacing w:after="0"/>
              <w:rPr>
                <w:sz w:val="20"/>
                <w:szCs w:val="20"/>
                <w:color w:val="auto"/>
              </w:rPr>
            </w:pPr>
            <w:r>
              <w:rPr>
                <w:rFonts w:ascii="Arial" w:cs="Arial" w:eastAsia="Arial" w:hAnsi="Arial"/>
                <w:sz w:val="14"/>
                <w:szCs w:val="14"/>
                <w:color w:val="131E29"/>
              </w:rPr>
              <w:t>Higher promotional discounts</w:t>
            </w: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131E29"/>
              </w:rPr>
              <w:t>40</w:t>
            </w:r>
          </w:p>
        </w:tc>
        <w:tc>
          <w:tcPr>
            <w:tcW w:w="0" w:type="dxa"/>
            <w:vAlign w:val="bottom"/>
          </w:tcPr>
          <w:p>
            <w:pPr>
              <w:spacing w:after="0"/>
              <w:rPr>
                <w:sz w:val="1"/>
                <w:szCs w:val="1"/>
                <w:color w:val="auto"/>
              </w:rPr>
            </w:pPr>
          </w:p>
        </w:tc>
      </w:tr>
      <w:tr>
        <w:trPr>
          <w:trHeight w:val="22"/>
        </w:trPr>
        <w:tc>
          <w:tcPr>
            <w:tcW w:w="3080" w:type="dxa"/>
            <w:vAlign w:val="bottom"/>
            <w:tcBorders>
              <w:bottom w:val="single" w:sz="8" w:color="D2DCE5"/>
            </w:tcBorders>
            <w:gridSpan w:val="3"/>
          </w:tcPr>
          <w:p>
            <w:pPr>
              <w:spacing w:after="0" w:line="20" w:lineRule="exact"/>
              <w:rPr>
                <w:sz w:val="1"/>
                <w:szCs w:val="1"/>
                <w:color w:val="auto"/>
              </w:rPr>
            </w:pPr>
          </w:p>
        </w:tc>
        <w:tc>
          <w:tcPr>
            <w:tcW w:w="110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118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200" w:type="dxa"/>
            <w:vAlign w:val="bottom"/>
            <w:tcBorders>
              <w:bottom w:val="single" w:sz="8" w:color="D2DCE5"/>
            </w:tcBorders>
          </w:tcPr>
          <w:p>
            <w:pPr>
              <w:spacing w:after="0" w:line="20" w:lineRule="exact"/>
              <w:rPr>
                <w:sz w:val="1"/>
                <w:szCs w:val="1"/>
                <w:color w:val="auto"/>
              </w:rPr>
            </w:pPr>
          </w:p>
        </w:tc>
        <w:tc>
          <w:tcPr>
            <w:tcW w:w="800" w:type="dxa"/>
            <w:vAlign w:val="bottom"/>
            <w:tcBorders>
              <w:bottom w:val="single" w:sz="8" w:color="D2DCE5"/>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240" w:type="dxa"/>
            <w:vAlign w:val="bottom"/>
            <w:tcBorders>
              <w:bottom w:val="single" w:sz="8" w:color="D2DCE5"/>
            </w:tcBorders>
          </w:tcPr>
          <w:p>
            <w:pPr>
              <w:spacing w:after="0" w:line="20" w:lineRule="exact"/>
              <w:rPr>
                <w:sz w:val="1"/>
                <w:szCs w:val="1"/>
                <w:color w:val="auto"/>
              </w:rPr>
            </w:pPr>
          </w:p>
        </w:tc>
        <w:tc>
          <w:tcPr>
            <w:tcW w:w="920" w:type="dxa"/>
            <w:vAlign w:val="bottom"/>
            <w:tcBorders>
              <w:bottom w:val="single" w:sz="8" w:color="D2DCE5"/>
            </w:tcBorders>
          </w:tcPr>
          <w:p>
            <w:pPr>
              <w:spacing w:after="0" w:line="20" w:lineRule="exact"/>
              <w:rPr>
                <w:sz w:val="1"/>
                <w:szCs w:val="1"/>
                <w:color w:val="auto"/>
              </w:rPr>
            </w:pPr>
          </w:p>
        </w:tc>
        <w:tc>
          <w:tcPr>
            <w:tcW w:w="106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280" w:type="dxa"/>
            <w:vAlign w:val="bottom"/>
            <w:tcBorders>
              <w:bottom w:val="single" w:sz="8" w:color="D2DCE5"/>
            </w:tcBorders>
          </w:tcPr>
          <w:p>
            <w:pPr>
              <w:spacing w:after="0" w:line="20" w:lineRule="exact"/>
              <w:rPr>
                <w:sz w:val="1"/>
                <w:szCs w:val="1"/>
                <w:color w:val="auto"/>
              </w:rPr>
            </w:pPr>
          </w:p>
        </w:tc>
        <w:tc>
          <w:tcPr>
            <w:tcW w:w="40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080" w:type="dxa"/>
            <w:vAlign w:val="bottom"/>
            <w:tcBorders>
              <w:bottom w:val="single" w:sz="8" w:color="D2DCE5"/>
            </w:tcBorders>
            <w:gridSpan w:val="3"/>
            <w:shd w:val="clear" w:color="auto" w:fill="D2DCE5"/>
          </w:tcPr>
          <w:p>
            <w:pPr>
              <w:ind w:left="140"/>
              <w:spacing w:after="0"/>
              <w:rPr>
                <w:sz w:val="20"/>
                <w:szCs w:val="20"/>
                <w:color w:val="auto"/>
              </w:rPr>
            </w:pPr>
            <w:r>
              <w:rPr>
                <w:rFonts w:ascii="Arial" w:cs="Arial" w:eastAsia="Arial" w:hAnsi="Arial"/>
                <w:sz w:val="14"/>
                <w:szCs w:val="14"/>
                <w:color w:val="131E29"/>
              </w:rPr>
              <w:t>Pricing and discounts</w:t>
            </w:r>
          </w:p>
        </w:tc>
        <w:tc>
          <w:tcPr>
            <w:tcW w:w="1100" w:type="dxa"/>
            <w:vAlign w:val="bottom"/>
            <w:tcBorders>
              <w:bottom w:val="single" w:sz="8" w:color="D2DCE5"/>
            </w:tcBorders>
            <w:shd w:val="clear" w:color="auto" w:fill="D2DCE5"/>
          </w:tcPr>
          <w:p>
            <w:pPr>
              <w:spacing w:after="0"/>
              <w:rPr>
                <w:sz w:val="17"/>
                <w:szCs w:val="17"/>
                <w:color w:val="auto"/>
              </w:rPr>
            </w:pPr>
          </w:p>
        </w:tc>
        <w:tc>
          <w:tcPr>
            <w:tcW w:w="80" w:type="dxa"/>
            <w:vAlign w:val="bottom"/>
            <w:tcBorders>
              <w:bottom w:val="single" w:sz="8" w:color="D2DCE5"/>
            </w:tcBorders>
            <w:shd w:val="clear" w:color="auto" w:fill="D2DCE5"/>
          </w:tcPr>
          <w:p>
            <w:pPr>
              <w:spacing w:after="0"/>
              <w:rPr>
                <w:sz w:val="17"/>
                <w:szCs w:val="17"/>
                <w:color w:val="auto"/>
              </w:rPr>
            </w:pPr>
          </w:p>
        </w:tc>
        <w:tc>
          <w:tcPr>
            <w:tcW w:w="1180" w:type="dxa"/>
            <w:vAlign w:val="bottom"/>
            <w:tcBorders>
              <w:bottom w:val="single" w:sz="8" w:color="D2DCE5"/>
            </w:tcBorders>
            <w:shd w:val="clear" w:color="auto" w:fill="D2DCE5"/>
          </w:tcPr>
          <w:p>
            <w:pPr>
              <w:spacing w:after="0"/>
              <w:rPr>
                <w:sz w:val="17"/>
                <w:szCs w:val="17"/>
                <w:color w:val="auto"/>
              </w:rPr>
            </w:pPr>
          </w:p>
        </w:tc>
        <w:tc>
          <w:tcPr>
            <w:tcW w:w="80" w:type="dxa"/>
            <w:vAlign w:val="bottom"/>
            <w:tcBorders>
              <w:bottom w:val="single" w:sz="8" w:color="D2DCE5"/>
            </w:tcBorders>
            <w:shd w:val="clear" w:color="auto" w:fill="D2DCE5"/>
          </w:tcPr>
          <w:p>
            <w:pPr>
              <w:spacing w:after="0"/>
              <w:rPr>
                <w:sz w:val="17"/>
                <w:szCs w:val="17"/>
                <w:color w:val="auto"/>
              </w:rPr>
            </w:pPr>
          </w:p>
        </w:tc>
        <w:tc>
          <w:tcPr>
            <w:tcW w:w="200" w:type="dxa"/>
            <w:vAlign w:val="bottom"/>
            <w:tcBorders>
              <w:bottom w:val="single" w:sz="8" w:color="D2DCE5"/>
            </w:tcBorders>
            <w:shd w:val="clear" w:color="auto" w:fill="D2DCE5"/>
          </w:tcPr>
          <w:p>
            <w:pPr>
              <w:spacing w:after="0"/>
              <w:rPr>
                <w:sz w:val="17"/>
                <w:szCs w:val="17"/>
                <w:color w:val="auto"/>
              </w:rPr>
            </w:pPr>
          </w:p>
        </w:tc>
        <w:tc>
          <w:tcPr>
            <w:tcW w:w="800" w:type="dxa"/>
            <w:vAlign w:val="bottom"/>
            <w:tcBorders>
              <w:bottom w:val="single" w:sz="8" w:color="D2DCE5"/>
            </w:tcBorders>
            <w:shd w:val="clear" w:color="auto" w:fill="D2DCE5"/>
          </w:tcPr>
          <w:p>
            <w:pPr>
              <w:spacing w:after="0"/>
              <w:rPr>
                <w:sz w:val="17"/>
                <w:szCs w:val="17"/>
                <w:color w:val="auto"/>
              </w:rPr>
            </w:pPr>
          </w:p>
        </w:tc>
        <w:tc>
          <w:tcPr>
            <w:tcW w:w="100" w:type="dxa"/>
            <w:vAlign w:val="bottom"/>
            <w:tcBorders>
              <w:bottom w:val="single" w:sz="8" w:color="D2DCE5"/>
            </w:tcBorders>
            <w:shd w:val="clear" w:color="auto" w:fill="D2DCE5"/>
          </w:tcPr>
          <w:p>
            <w:pPr>
              <w:spacing w:after="0"/>
              <w:rPr>
                <w:sz w:val="17"/>
                <w:szCs w:val="17"/>
                <w:color w:val="auto"/>
              </w:rPr>
            </w:pPr>
          </w:p>
        </w:tc>
        <w:tc>
          <w:tcPr>
            <w:tcW w:w="240" w:type="dxa"/>
            <w:vAlign w:val="bottom"/>
            <w:tcBorders>
              <w:bottom w:val="single" w:sz="8" w:color="D2DCE5"/>
            </w:tcBorders>
            <w:shd w:val="clear" w:color="auto" w:fill="D2DCE5"/>
          </w:tcPr>
          <w:p>
            <w:pPr>
              <w:spacing w:after="0"/>
              <w:rPr>
                <w:sz w:val="17"/>
                <w:szCs w:val="17"/>
                <w:color w:val="auto"/>
              </w:rPr>
            </w:pPr>
          </w:p>
        </w:tc>
        <w:tc>
          <w:tcPr>
            <w:tcW w:w="920" w:type="dxa"/>
            <w:vAlign w:val="bottom"/>
            <w:tcBorders>
              <w:bottom w:val="single" w:sz="8" w:color="D2DCE5"/>
            </w:tcBorders>
            <w:shd w:val="clear" w:color="auto" w:fill="D2DCE5"/>
          </w:tcPr>
          <w:p>
            <w:pPr>
              <w:spacing w:after="0"/>
              <w:rPr>
                <w:sz w:val="17"/>
                <w:szCs w:val="17"/>
                <w:color w:val="auto"/>
              </w:rPr>
            </w:pPr>
          </w:p>
        </w:tc>
        <w:tc>
          <w:tcPr>
            <w:tcW w:w="1060" w:type="dxa"/>
            <w:vAlign w:val="bottom"/>
            <w:tcBorders>
              <w:bottom w:val="single" w:sz="8" w:color="D2DCE5"/>
            </w:tcBorders>
            <w:shd w:val="clear" w:color="auto" w:fill="D2DCE5"/>
          </w:tcPr>
          <w:p>
            <w:pPr>
              <w:spacing w:after="0"/>
              <w:rPr>
                <w:sz w:val="17"/>
                <w:szCs w:val="17"/>
                <w:color w:val="auto"/>
              </w:rPr>
            </w:pPr>
          </w:p>
        </w:tc>
        <w:tc>
          <w:tcPr>
            <w:tcW w:w="80" w:type="dxa"/>
            <w:vAlign w:val="bottom"/>
            <w:tcBorders>
              <w:bottom w:val="single" w:sz="8" w:color="D2DCE5"/>
            </w:tcBorders>
            <w:shd w:val="clear" w:color="auto" w:fill="D2DCE5"/>
          </w:tcPr>
          <w:p>
            <w:pPr>
              <w:spacing w:after="0"/>
              <w:rPr>
                <w:sz w:val="17"/>
                <w:szCs w:val="17"/>
                <w:color w:val="auto"/>
              </w:rPr>
            </w:pPr>
          </w:p>
        </w:tc>
        <w:tc>
          <w:tcPr>
            <w:tcW w:w="280" w:type="dxa"/>
            <w:vAlign w:val="bottom"/>
            <w:tcBorders>
              <w:bottom w:val="single" w:sz="8" w:color="D2DCE5"/>
            </w:tcBorders>
            <w:shd w:val="clear" w:color="auto" w:fill="D2DCE5"/>
          </w:tcPr>
          <w:p>
            <w:pPr>
              <w:spacing w:after="0"/>
              <w:rPr>
                <w:sz w:val="17"/>
                <w:szCs w:val="17"/>
                <w:color w:val="auto"/>
              </w:rPr>
            </w:pPr>
          </w:p>
        </w:tc>
        <w:tc>
          <w:tcPr>
            <w:tcW w:w="400" w:type="dxa"/>
            <w:vAlign w:val="bottom"/>
            <w:tcBorders>
              <w:bottom w:val="single" w:sz="8" w:color="D2DCE5"/>
            </w:tcBorders>
            <w:shd w:val="clear" w:color="auto" w:fill="D2DCE5"/>
          </w:tcPr>
          <w:p>
            <w:pPr>
              <w:spacing w:after="0"/>
              <w:rPr>
                <w:sz w:val="17"/>
                <w:szCs w:val="17"/>
                <w:color w:val="auto"/>
              </w:rPr>
            </w:pPr>
          </w:p>
        </w:tc>
        <w:tc>
          <w:tcPr>
            <w:tcW w:w="80" w:type="dxa"/>
            <w:vAlign w:val="bottom"/>
            <w:tcBorders>
              <w:bottom w:val="single" w:sz="8" w:color="D2DCE5"/>
            </w:tcBorders>
            <w:shd w:val="clear" w:color="auto" w:fill="D2DCE5"/>
          </w:tcPr>
          <w:p>
            <w:pPr>
              <w:spacing w:after="0"/>
              <w:rPr>
                <w:sz w:val="17"/>
                <w:szCs w:val="17"/>
                <w:color w:val="auto"/>
              </w:rPr>
            </w:pPr>
          </w:p>
        </w:tc>
        <w:tc>
          <w:tcPr>
            <w:tcW w:w="380" w:type="dxa"/>
            <w:vAlign w:val="bottom"/>
            <w:tcBorders>
              <w:bottom w:val="single" w:sz="8" w:color="D2DCE5"/>
            </w:tcBorders>
            <w:shd w:val="clear" w:color="auto" w:fill="D2DCE5"/>
          </w:tcPr>
          <w:p>
            <w:pPr>
              <w:spacing w:after="0"/>
              <w:rPr>
                <w:sz w:val="17"/>
                <w:szCs w:val="17"/>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470</w:t>
            </w:r>
          </w:p>
        </w:tc>
        <w:tc>
          <w:tcPr>
            <w:tcW w:w="0" w:type="dxa"/>
            <w:vAlign w:val="bottom"/>
          </w:tcPr>
          <w:p>
            <w:pPr>
              <w:spacing w:after="0"/>
              <w:rPr>
                <w:sz w:val="1"/>
                <w:szCs w:val="1"/>
                <w:color w:val="auto"/>
              </w:rPr>
            </w:pPr>
          </w:p>
        </w:tc>
      </w:tr>
      <w:tr>
        <w:trPr>
          <w:trHeight w:val="181"/>
        </w:trPr>
        <w:tc>
          <w:tcPr>
            <w:tcW w:w="3080" w:type="dxa"/>
            <w:vAlign w:val="bottom"/>
            <w:gridSpan w:val="3"/>
          </w:tcPr>
          <w:p>
            <w:pPr>
              <w:ind w:left="20"/>
              <w:spacing w:after="0"/>
              <w:rPr>
                <w:sz w:val="20"/>
                <w:szCs w:val="20"/>
                <w:color w:val="auto"/>
              </w:rPr>
            </w:pPr>
            <w:r>
              <w:rPr>
                <w:rFonts w:ascii="Arial" w:cs="Arial" w:eastAsia="Arial" w:hAnsi="Arial"/>
                <w:sz w:val="14"/>
                <w:szCs w:val="14"/>
                <w:color w:val="131E29"/>
              </w:rPr>
              <w:t>Higher preventative maintenance programs</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(40)</w:t>
            </w:r>
          </w:p>
        </w:tc>
        <w:tc>
          <w:tcPr>
            <w:tcW w:w="0" w:type="dxa"/>
            <w:vAlign w:val="bottom"/>
          </w:tcPr>
          <w:p>
            <w:pPr>
              <w:spacing w:after="0"/>
              <w:rPr>
                <w:sz w:val="1"/>
                <w:szCs w:val="1"/>
                <w:color w:val="auto"/>
              </w:rPr>
            </w:pPr>
          </w:p>
        </w:tc>
      </w:tr>
      <w:tr>
        <w:trPr>
          <w:trHeight w:val="22"/>
        </w:trPr>
        <w:tc>
          <w:tcPr>
            <w:tcW w:w="308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080" w:type="dxa"/>
            <w:vAlign w:val="bottom"/>
            <w:tcBorders>
              <w:bottom w:val="single" w:sz="8" w:color="D2DCE5"/>
            </w:tcBorders>
            <w:gridSpan w:val="3"/>
            <w:shd w:val="clear" w:color="auto" w:fill="D2DCE5"/>
          </w:tcPr>
          <w:p>
            <w:pPr>
              <w:ind w:left="20"/>
              <w:spacing w:after="0"/>
              <w:rPr>
                <w:sz w:val="20"/>
                <w:szCs w:val="20"/>
                <w:color w:val="auto"/>
              </w:rPr>
            </w:pPr>
            <w:r>
              <w:rPr>
                <w:rFonts w:ascii="Arial" w:cs="Arial" w:eastAsia="Arial" w:hAnsi="Arial"/>
                <w:sz w:val="14"/>
                <w:szCs w:val="14"/>
                <w:color w:val="131E29"/>
              </w:rPr>
              <w:t>Higher pre-opening expenses</w:t>
            </w:r>
          </w:p>
        </w:tc>
        <w:tc>
          <w:tcPr>
            <w:tcW w:w="110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118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200" w:type="dxa"/>
            <w:vAlign w:val="bottom"/>
            <w:tcBorders>
              <w:bottom w:val="single" w:sz="8" w:color="D2DCE5"/>
            </w:tcBorders>
            <w:shd w:val="clear" w:color="auto" w:fill="D2DCE5"/>
          </w:tcPr>
          <w:p>
            <w:pPr>
              <w:spacing w:after="0"/>
              <w:rPr>
                <w:sz w:val="16"/>
                <w:szCs w:val="16"/>
                <w:color w:val="auto"/>
              </w:rPr>
            </w:pPr>
          </w:p>
        </w:tc>
        <w:tc>
          <w:tcPr>
            <w:tcW w:w="80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240" w:type="dxa"/>
            <w:vAlign w:val="bottom"/>
            <w:tcBorders>
              <w:bottom w:val="single" w:sz="8" w:color="D2DCE5"/>
            </w:tcBorders>
            <w:shd w:val="clear" w:color="auto" w:fill="D2DCE5"/>
          </w:tcPr>
          <w:p>
            <w:pPr>
              <w:spacing w:after="0"/>
              <w:rPr>
                <w:sz w:val="16"/>
                <w:szCs w:val="16"/>
                <w:color w:val="auto"/>
              </w:rPr>
            </w:pPr>
          </w:p>
        </w:tc>
        <w:tc>
          <w:tcPr>
            <w:tcW w:w="920" w:type="dxa"/>
            <w:vAlign w:val="bottom"/>
            <w:tcBorders>
              <w:bottom w:val="single" w:sz="8" w:color="D2DCE5"/>
            </w:tcBorders>
            <w:shd w:val="clear" w:color="auto" w:fill="D2DCE5"/>
          </w:tcPr>
          <w:p>
            <w:pPr>
              <w:spacing w:after="0"/>
              <w:rPr>
                <w:sz w:val="16"/>
                <w:szCs w:val="16"/>
                <w:color w:val="auto"/>
              </w:rPr>
            </w:pPr>
          </w:p>
        </w:tc>
        <w:tc>
          <w:tcPr>
            <w:tcW w:w="106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spacing w:after="0"/>
              <w:rPr>
                <w:sz w:val="16"/>
                <w:szCs w:val="16"/>
                <w:color w:val="auto"/>
              </w:rPr>
            </w:pPr>
          </w:p>
        </w:tc>
        <w:tc>
          <w:tcPr>
            <w:tcW w:w="40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380" w:type="dxa"/>
            <w:vAlign w:val="bottom"/>
            <w:tcBorders>
              <w:bottom w:val="single" w:sz="8" w:color="D2DCE5"/>
            </w:tcBorders>
            <w:shd w:val="clear" w:color="auto" w:fill="D2DCE5"/>
          </w:tcPr>
          <w:p>
            <w:pPr>
              <w:spacing w:after="0"/>
              <w:rPr>
                <w:sz w:val="16"/>
                <w:szCs w:val="16"/>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40</w:t>
            </w:r>
          </w:p>
        </w:tc>
        <w:tc>
          <w:tcPr>
            <w:tcW w:w="0" w:type="dxa"/>
            <w:vAlign w:val="bottom"/>
          </w:tcPr>
          <w:p>
            <w:pPr>
              <w:spacing w:after="0"/>
              <w:rPr>
                <w:sz w:val="1"/>
                <w:szCs w:val="1"/>
                <w:color w:val="auto"/>
              </w:rPr>
            </w:pPr>
          </w:p>
        </w:tc>
      </w:tr>
      <w:tr>
        <w:trPr>
          <w:trHeight w:val="191"/>
        </w:trPr>
        <w:tc>
          <w:tcPr>
            <w:tcW w:w="3080" w:type="dxa"/>
            <w:vAlign w:val="bottom"/>
            <w:gridSpan w:val="3"/>
          </w:tcPr>
          <w:p>
            <w:pPr>
              <w:ind w:left="20"/>
              <w:spacing w:after="0"/>
              <w:rPr>
                <w:sz w:val="20"/>
                <w:szCs w:val="20"/>
                <w:color w:val="auto"/>
              </w:rPr>
            </w:pPr>
            <w:r>
              <w:rPr>
                <w:rFonts w:ascii="Arial" w:cs="Arial" w:eastAsia="Arial" w:hAnsi="Arial"/>
                <w:sz w:val="14"/>
                <w:szCs w:val="14"/>
                <w:color w:val="131E29"/>
              </w:rPr>
              <w:t>New shop impact</w:t>
            </w: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131E29"/>
              </w:rPr>
              <w:t>(80)</w:t>
            </w:r>
          </w:p>
        </w:tc>
        <w:tc>
          <w:tcPr>
            <w:tcW w:w="0" w:type="dxa"/>
            <w:vAlign w:val="bottom"/>
          </w:tcPr>
          <w:p>
            <w:pPr>
              <w:spacing w:after="0"/>
              <w:rPr>
                <w:sz w:val="1"/>
                <w:szCs w:val="1"/>
                <w:color w:val="auto"/>
              </w:rPr>
            </w:pPr>
          </w:p>
        </w:tc>
      </w:tr>
      <w:tr>
        <w:trPr>
          <w:trHeight w:val="22"/>
        </w:trPr>
        <w:tc>
          <w:tcPr>
            <w:tcW w:w="3080" w:type="dxa"/>
            <w:vAlign w:val="bottom"/>
            <w:tcBorders>
              <w:bottom w:val="single" w:sz="8" w:color="D2DCE5"/>
            </w:tcBorders>
            <w:gridSpan w:val="3"/>
          </w:tcPr>
          <w:p>
            <w:pPr>
              <w:spacing w:after="0" w:line="20" w:lineRule="exact"/>
              <w:rPr>
                <w:sz w:val="1"/>
                <w:szCs w:val="1"/>
                <w:color w:val="auto"/>
              </w:rPr>
            </w:pPr>
          </w:p>
        </w:tc>
        <w:tc>
          <w:tcPr>
            <w:tcW w:w="110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118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200" w:type="dxa"/>
            <w:vAlign w:val="bottom"/>
            <w:tcBorders>
              <w:bottom w:val="single" w:sz="8" w:color="D2DCE5"/>
            </w:tcBorders>
          </w:tcPr>
          <w:p>
            <w:pPr>
              <w:spacing w:after="0" w:line="20" w:lineRule="exact"/>
              <w:rPr>
                <w:sz w:val="1"/>
                <w:szCs w:val="1"/>
                <w:color w:val="auto"/>
              </w:rPr>
            </w:pPr>
          </w:p>
        </w:tc>
        <w:tc>
          <w:tcPr>
            <w:tcW w:w="800" w:type="dxa"/>
            <w:vAlign w:val="bottom"/>
            <w:tcBorders>
              <w:bottom w:val="single" w:sz="8" w:color="D2DCE5"/>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240" w:type="dxa"/>
            <w:vAlign w:val="bottom"/>
            <w:tcBorders>
              <w:bottom w:val="single" w:sz="8" w:color="D2DCE5"/>
            </w:tcBorders>
          </w:tcPr>
          <w:p>
            <w:pPr>
              <w:spacing w:after="0" w:line="20" w:lineRule="exact"/>
              <w:rPr>
                <w:sz w:val="1"/>
                <w:szCs w:val="1"/>
                <w:color w:val="auto"/>
              </w:rPr>
            </w:pPr>
          </w:p>
        </w:tc>
        <w:tc>
          <w:tcPr>
            <w:tcW w:w="920" w:type="dxa"/>
            <w:vAlign w:val="bottom"/>
            <w:tcBorders>
              <w:bottom w:val="single" w:sz="8" w:color="D2DCE5"/>
            </w:tcBorders>
          </w:tcPr>
          <w:p>
            <w:pPr>
              <w:spacing w:after="0" w:line="20" w:lineRule="exact"/>
              <w:rPr>
                <w:sz w:val="1"/>
                <w:szCs w:val="1"/>
                <w:color w:val="auto"/>
              </w:rPr>
            </w:pPr>
          </w:p>
        </w:tc>
        <w:tc>
          <w:tcPr>
            <w:tcW w:w="106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280" w:type="dxa"/>
            <w:vAlign w:val="bottom"/>
            <w:tcBorders>
              <w:bottom w:val="single" w:sz="8" w:color="D2DCE5"/>
            </w:tcBorders>
          </w:tcPr>
          <w:p>
            <w:pPr>
              <w:spacing w:after="0" w:line="20" w:lineRule="exact"/>
              <w:rPr>
                <w:sz w:val="1"/>
                <w:szCs w:val="1"/>
                <w:color w:val="auto"/>
              </w:rPr>
            </w:pPr>
          </w:p>
        </w:tc>
        <w:tc>
          <w:tcPr>
            <w:tcW w:w="40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080" w:type="dxa"/>
            <w:vAlign w:val="bottom"/>
            <w:tcBorders>
              <w:bottom w:val="single" w:sz="8" w:color="D2DCE5"/>
            </w:tcBorders>
            <w:gridSpan w:val="3"/>
            <w:shd w:val="clear" w:color="auto" w:fill="D2DCE5"/>
          </w:tcPr>
          <w:p>
            <w:pPr>
              <w:ind w:left="140"/>
              <w:spacing w:after="0"/>
              <w:rPr>
                <w:sz w:val="20"/>
                <w:szCs w:val="20"/>
                <w:color w:val="auto"/>
              </w:rPr>
            </w:pPr>
            <w:r>
              <w:rPr>
                <w:rFonts w:ascii="Arial" w:cs="Arial" w:eastAsia="Arial" w:hAnsi="Arial"/>
                <w:sz w:val="14"/>
                <w:szCs w:val="14"/>
                <w:color w:val="131E29"/>
              </w:rPr>
              <w:t>New shop related items</w:t>
            </w:r>
          </w:p>
        </w:tc>
        <w:tc>
          <w:tcPr>
            <w:tcW w:w="1100" w:type="dxa"/>
            <w:vAlign w:val="bottom"/>
            <w:tcBorders>
              <w:bottom w:val="single" w:sz="8" w:color="D2DCE5"/>
            </w:tcBorders>
            <w:shd w:val="clear" w:color="auto" w:fill="D2DCE5"/>
          </w:tcPr>
          <w:p>
            <w:pPr>
              <w:spacing w:after="0"/>
              <w:rPr>
                <w:sz w:val="17"/>
                <w:szCs w:val="17"/>
                <w:color w:val="auto"/>
              </w:rPr>
            </w:pPr>
          </w:p>
        </w:tc>
        <w:tc>
          <w:tcPr>
            <w:tcW w:w="80" w:type="dxa"/>
            <w:vAlign w:val="bottom"/>
            <w:tcBorders>
              <w:bottom w:val="single" w:sz="8" w:color="D2DCE5"/>
            </w:tcBorders>
            <w:shd w:val="clear" w:color="auto" w:fill="D2DCE5"/>
          </w:tcPr>
          <w:p>
            <w:pPr>
              <w:spacing w:after="0"/>
              <w:rPr>
                <w:sz w:val="17"/>
                <w:szCs w:val="17"/>
                <w:color w:val="auto"/>
              </w:rPr>
            </w:pPr>
          </w:p>
        </w:tc>
        <w:tc>
          <w:tcPr>
            <w:tcW w:w="1180" w:type="dxa"/>
            <w:vAlign w:val="bottom"/>
            <w:tcBorders>
              <w:bottom w:val="single" w:sz="8" w:color="D2DCE5"/>
            </w:tcBorders>
            <w:shd w:val="clear" w:color="auto" w:fill="D2DCE5"/>
          </w:tcPr>
          <w:p>
            <w:pPr>
              <w:spacing w:after="0"/>
              <w:rPr>
                <w:sz w:val="17"/>
                <w:szCs w:val="17"/>
                <w:color w:val="auto"/>
              </w:rPr>
            </w:pPr>
          </w:p>
        </w:tc>
        <w:tc>
          <w:tcPr>
            <w:tcW w:w="80" w:type="dxa"/>
            <w:vAlign w:val="bottom"/>
            <w:tcBorders>
              <w:bottom w:val="single" w:sz="8" w:color="D2DCE5"/>
            </w:tcBorders>
            <w:shd w:val="clear" w:color="auto" w:fill="D2DCE5"/>
          </w:tcPr>
          <w:p>
            <w:pPr>
              <w:spacing w:after="0"/>
              <w:rPr>
                <w:sz w:val="17"/>
                <w:szCs w:val="17"/>
                <w:color w:val="auto"/>
              </w:rPr>
            </w:pPr>
          </w:p>
        </w:tc>
        <w:tc>
          <w:tcPr>
            <w:tcW w:w="200" w:type="dxa"/>
            <w:vAlign w:val="bottom"/>
            <w:tcBorders>
              <w:bottom w:val="single" w:sz="8" w:color="D2DCE5"/>
            </w:tcBorders>
            <w:shd w:val="clear" w:color="auto" w:fill="D2DCE5"/>
          </w:tcPr>
          <w:p>
            <w:pPr>
              <w:spacing w:after="0"/>
              <w:rPr>
                <w:sz w:val="17"/>
                <w:szCs w:val="17"/>
                <w:color w:val="auto"/>
              </w:rPr>
            </w:pPr>
          </w:p>
        </w:tc>
        <w:tc>
          <w:tcPr>
            <w:tcW w:w="800" w:type="dxa"/>
            <w:vAlign w:val="bottom"/>
            <w:tcBorders>
              <w:bottom w:val="single" w:sz="8" w:color="D2DCE5"/>
            </w:tcBorders>
            <w:shd w:val="clear" w:color="auto" w:fill="D2DCE5"/>
          </w:tcPr>
          <w:p>
            <w:pPr>
              <w:spacing w:after="0"/>
              <w:rPr>
                <w:sz w:val="17"/>
                <w:szCs w:val="17"/>
                <w:color w:val="auto"/>
              </w:rPr>
            </w:pPr>
          </w:p>
        </w:tc>
        <w:tc>
          <w:tcPr>
            <w:tcW w:w="100" w:type="dxa"/>
            <w:vAlign w:val="bottom"/>
            <w:tcBorders>
              <w:bottom w:val="single" w:sz="8" w:color="D2DCE5"/>
            </w:tcBorders>
            <w:shd w:val="clear" w:color="auto" w:fill="D2DCE5"/>
          </w:tcPr>
          <w:p>
            <w:pPr>
              <w:spacing w:after="0"/>
              <w:rPr>
                <w:sz w:val="17"/>
                <w:szCs w:val="17"/>
                <w:color w:val="auto"/>
              </w:rPr>
            </w:pPr>
          </w:p>
        </w:tc>
        <w:tc>
          <w:tcPr>
            <w:tcW w:w="240" w:type="dxa"/>
            <w:vAlign w:val="bottom"/>
            <w:tcBorders>
              <w:bottom w:val="single" w:sz="8" w:color="D2DCE5"/>
            </w:tcBorders>
            <w:shd w:val="clear" w:color="auto" w:fill="D2DCE5"/>
          </w:tcPr>
          <w:p>
            <w:pPr>
              <w:spacing w:after="0"/>
              <w:rPr>
                <w:sz w:val="17"/>
                <w:szCs w:val="17"/>
                <w:color w:val="auto"/>
              </w:rPr>
            </w:pPr>
          </w:p>
        </w:tc>
        <w:tc>
          <w:tcPr>
            <w:tcW w:w="920" w:type="dxa"/>
            <w:vAlign w:val="bottom"/>
            <w:tcBorders>
              <w:bottom w:val="single" w:sz="8" w:color="D2DCE5"/>
            </w:tcBorders>
            <w:shd w:val="clear" w:color="auto" w:fill="D2DCE5"/>
          </w:tcPr>
          <w:p>
            <w:pPr>
              <w:spacing w:after="0"/>
              <w:rPr>
                <w:sz w:val="17"/>
                <w:szCs w:val="17"/>
                <w:color w:val="auto"/>
              </w:rPr>
            </w:pPr>
          </w:p>
        </w:tc>
        <w:tc>
          <w:tcPr>
            <w:tcW w:w="1060" w:type="dxa"/>
            <w:vAlign w:val="bottom"/>
            <w:tcBorders>
              <w:bottom w:val="single" w:sz="8" w:color="D2DCE5"/>
            </w:tcBorders>
            <w:shd w:val="clear" w:color="auto" w:fill="D2DCE5"/>
          </w:tcPr>
          <w:p>
            <w:pPr>
              <w:spacing w:after="0"/>
              <w:rPr>
                <w:sz w:val="17"/>
                <w:szCs w:val="17"/>
                <w:color w:val="auto"/>
              </w:rPr>
            </w:pPr>
          </w:p>
        </w:tc>
        <w:tc>
          <w:tcPr>
            <w:tcW w:w="80" w:type="dxa"/>
            <w:vAlign w:val="bottom"/>
            <w:tcBorders>
              <w:bottom w:val="single" w:sz="8" w:color="D2DCE5"/>
            </w:tcBorders>
            <w:shd w:val="clear" w:color="auto" w:fill="D2DCE5"/>
          </w:tcPr>
          <w:p>
            <w:pPr>
              <w:spacing w:after="0"/>
              <w:rPr>
                <w:sz w:val="17"/>
                <w:szCs w:val="17"/>
                <w:color w:val="auto"/>
              </w:rPr>
            </w:pPr>
          </w:p>
        </w:tc>
        <w:tc>
          <w:tcPr>
            <w:tcW w:w="280" w:type="dxa"/>
            <w:vAlign w:val="bottom"/>
            <w:tcBorders>
              <w:bottom w:val="single" w:sz="8" w:color="D2DCE5"/>
            </w:tcBorders>
            <w:shd w:val="clear" w:color="auto" w:fill="D2DCE5"/>
          </w:tcPr>
          <w:p>
            <w:pPr>
              <w:spacing w:after="0"/>
              <w:rPr>
                <w:sz w:val="17"/>
                <w:szCs w:val="17"/>
                <w:color w:val="auto"/>
              </w:rPr>
            </w:pPr>
          </w:p>
        </w:tc>
        <w:tc>
          <w:tcPr>
            <w:tcW w:w="400" w:type="dxa"/>
            <w:vAlign w:val="bottom"/>
            <w:tcBorders>
              <w:bottom w:val="single" w:sz="8" w:color="D2DCE5"/>
            </w:tcBorders>
            <w:shd w:val="clear" w:color="auto" w:fill="D2DCE5"/>
          </w:tcPr>
          <w:p>
            <w:pPr>
              <w:spacing w:after="0"/>
              <w:rPr>
                <w:sz w:val="17"/>
                <w:szCs w:val="17"/>
                <w:color w:val="auto"/>
              </w:rPr>
            </w:pPr>
          </w:p>
        </w:tc>
        <w:tc>
          <w:tcPr>
            <w:tcW w:w="80" w:type="dxa"/>
            <w:vAlign w:val="bottom"/>
            <w:tcBorders>
              <w:bottom w:val="single" w:sz="8" w:color="D2DCE5"/>
            </w:tcBorders>
            <w:shd w:val="clear" w:color="auto" w:fill="D2DCE5"/>
          </w:tcPr>
          <w:p>
            <w:pPr>
              <w:spacing w:after="0"/>
              <w:rPr>
                <w:sz w:val="17"/>
                <w:szCs w:val="17"/>
                <w:color w:val="auto"/>
              </w:rPr>
            </w:pPr>
          </w:p>
        </w:tc>
        <w:tc>
          <w:tcPr>
            <w:tcW w:w="380" w:type="dxa"/>
            <w:vAlign w:val="bottom"/>
            <w:tcBorders>
              <w:bottom w:val="single" w:sz="8" w:color="D2DCE5"/>
            </w:tcBorders>
            <w:shd w:val="clear" w:color="auto" w:fill="D2DCE5"/>
          </w:tcPr>
          <w:p>
            <w:pPr>
              <w:spacing w:after="0"/>
              <w:rPr>
                <w:sz w:val="17"/>
                <w:szCs w:val="17"/>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(40)</w:t>
            </w:r>
          </w:p>
        </w:tc>
        <w:tc>
          <w:tcPr>
            <w:tcW w:w="0" w:type="dxa"/>
            <w:vAlign w:val="bottom"/>
          </w:tcPr>
          <w:p>
            <w:pPr>
              <w:spacing w:after="0"/>
              <w:rPr>
                <w:sz w:val="1"/>
                <w:szCs w:val="1"/>
                <w:color w:val="auto"/>
              </w:rPr>
            </w:pPr>
          </w:p>
        </w:tc>
      </w:tr>
      <w:tr>
        <w:trPr>
          <w:trHeight w:val="181"/>
        </w:trPr>
        <w:tc>
          <w:tcPr>
            <w:tcW w:w="3080" w:type="dxa"/>
            <w:vAlign w:val="bottom"/>
            <w:gridSpan w:val="3"/>
          </w:tcPr>
          <w:p>
            <w:pPr>
              <w:ind w:left="20"/>
              <w:spacing w:after="0"/>
              <w:rPr>
                <w:sz w:val="20"/>
                <w:szCs w:val="20"/>
                <w:color w:val="auto"/>
              </w:rPr>
            </w:pPr>
            <w:r>
              <w:rPr>
                <w:rFonts w:ascii="Arial" w:cs="Arial" w:eastAsia="Arial" w:hAnsi="Arial"/>
                <w:sz w:val="14"/>
                <w:szCs w:val="14"/>
                <w:color w:val="131E29"/>
              </w:rPr>
              <w:t>Lower COVID-19 leave expenses</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30</w:t>
            </w:r>
          </w:p>
        </w:tc>
        <w:tc>
          <w:tcPr>
            <w:tcW w:w="0" w:type="dxa"/>
            <w:vAlign w:val="bottom"/>
          </w:tcPr>
          <w:p>
            <w:pPr>
              <w:spacing w:after="0"/>
              <w:rPr>
                <w:sz w:val="1"/>
                <w:szCs w:val="1"/>
                <w:color w:val="auto"/>
              </w:rPr>
            </w:pPr>
          </w:p>
        </w:tc>
      </w:tr>
      <w:tr>
        <w:trPr>
          <w:trHeight w:val="22"/>
        </w:trPr>
        <w:tc>
          <w:tcPr>
            <w:tcW w:w="308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080" w:type="dxa"/>
            <w:vAlign w:val="bottom"/>
            <w:tcBorders>
              <w:bottom w:val="single" w:sz="8" w:color="D2DCE5"/>
            </w:tcBorders>
            <w:gridSpan w:val="3"/>
            <w:shd w:val="clear" w:color="auto" w:fill="D2DCE5"/>
          </w:tcPr>
          <w:p>
            <w:pPr>
              <w:ind w:left="20"/>
              <w:spacing w:after="0"/>
              <w:rPr>
                <w:sz w:val="20"/>
                <w:szCs w:val="20"/>
                <w:color w:val="auto"/>
              </w:rPr>
            </w:pPr>
            <w:r>
              <w:rPr>
                <w:rFonts w:ascii="Arial" w:cs="Arial" w:eastAsia="Arial" w:hAnsi="Arial"/>
                <w:sz w:val="14"/>
                <w:szCs w:val="14"/>
                <w:color w:val="131E29"/>
              </w:rPr>
              <w:t>Leverage (deleverage)</w:t>
            </w:r>
          </w:p>
        </w:tc>
        <w:tc>
          <w:tcPr>
            <w:tcW w:w="110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118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200" w:type="dxa"/>
            <w:vAlign w:val="bottom"/>
            <w:tcBorders>
              <w:bottom w:val="single" w:sz="8" w:color="D2DCE5"/>
            </w:tcBorders>
            <w:shd w:val="clear" w:color="auto" w:fill="D2DCE5"/>
          </w:tcPr>
          <w:p>
            <w:pPr>
              <w:spacing w:after="0"/>
              <w:rPr>
                <w:sz w:val="16"/>
                <w:szCs w:val="16"/>
                <w:color w:val="auto"/>
              </w:rPr>
            </w:pPr>
          </w:p>
        </w:tc>
        <w:tc>
          <w:tcPr>
            <w:tcW w:w="80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240" w:type="dxa"/>
            <w:vAlign w:val="bottom"/>
            <w:tcBorders>
              <w:bottom w:val="single" w:sz="8" w:color="D2DCE5"/>
            </w:tcBorders>
            <w:shd w:val="clear" w:color="auto" w:fill="D2DCE5"/>
          </w:tcPr>
          <w:p>
            <w:pPr>
              <w:spacing w:after="0"/>
              <w:rPr>
                <w:sz w:val="16"/>
                <w:szCs w:val="16"/>
                <w:color w:val="auto"/>
              </w:rPr>
            </w:pPr>
          </w:p>
        </w:tc>
        <w:tc>
          <w:tcPr>
            <w:tcW w:w="920" w:type="dxa"/>
            <w:vAlign w:val="bottom"/>
            <w:tcBorders>
              <w:bottom w:val="single" w:sz="8" w:color="D2DCE5"/>
            </w:tcBorders>
            <w:shd w:val="clear" w:color="auto" w:fill="D2DCE5"/>
          </w:tcPr>
          <w:p>
            <w:pPr>
              <w:spacing w:after="0"/>
              <w:rPr>
                <w:sz w:val="16"/>
                <w:szCs w:val="16"/>
                <w:color w:val="auto"/>
              </w:rPr>
            </w:pPr>
          </w:p>
        </w:tc>
        <w:tc>
          <w:tcPr>
            <w:tcW w:w="106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spacing w:after="0"/>
              <w:rPr>
                <w:sz w:val="16"/>
                <w:szCs w:val="16"/>
                <w:color w:val="auto"/>
              </w:rPr>
            </w:pPr>
          </w:p>
        </w:tc>
        <w:tc>
          <w:tcPr>
            <w:tcW w:w="40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380" w:type="dxa"/>
            <w:vAlign w:val="bottom"/>
            <w:tcBorders>
              <w:bottom w:val="single" w:sz="8" w:color="D2DCE5"/>
            </w:tcBorders>
            <w:shd w:val="clear" w:color="auto" w:fill="D2DCE5"/>
          </w:tcPr>
          <w:p>
            <w:pPr>
              <w:spacing w:after="0"/>
              <w:rPr>
                <w:sz w:val="16"/>
                <w:szCs w:val="16"/>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(80)</w:t>
            </w:r>
          </w:p>
        </w:tc>
        <w:tc>
          <w:tcPr>
            <w:tcW w:w="0" w:type="dxa"/>
            <w:vAlign w:val="bottom"/>
          </w:tcPr>
          <w:p>
            <w:pPr>
              <w:spacing w:after="0"/>
              <w:rPr>
                <w:sz w:val="1"/>
                <w:szCs w:val="1"/>
                <w:color w:val="auto"/>
              </w:rPr>
            </w:pPr>
          </w:p>
        </w:tc>
      </w:tr>
      <w:tr>
        <w:trPr>
          <w:trHeight w:val="212"/>
        </w:trPr>
        <w:tc>
          <w:tcPr>
            <w:tcW w:w="3080" w:type="dxa"/>
            <w:vAlign w:val="bottom"/>
            <w:gridSpan w:val="3"/>
          </w:tcPr>
          <w:p>
            <w:pPr>
              <w:ind w:left="20"/>
              <w:spacing w:after="0"/>
              <w:rPr>
                <w:sz w:val="20"/>
                <w:szCs w:val="20"/>
                <w:color w:val="auto"/>
              </w:rPr>
            </w:pPr>
            <w:r>
              <w:rPr>
                <w:rFonts w:ascii="Arial" w:cs="Arial" w:eastAsia="Arial" w:hAnsi="Arial"/>
                <w:sz w:val="14"/>
                <w:szCs w:val="14"/>
                <w:color w:val="131E29"/>
              </w:rPr>
              <w:t xml:space="preserve">Loyalty points breakage 2021 </w:t>
            </w:r>
            <w:r>
              <w:rPr>
                <w:rFonts w:ascii="Arial" w:cs="Arial" w:eastAsia="Arial" w:hAnsi="Arial"/>
                <w:sz w:val="18"/>
                <w:szCs w:val="18"/>
                <w:color w:val="131E29"/>
                <w:vertAlign w:val="superscript"/>
              </w:rPr>
              <w:t>2</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131E29"/>
              </w:rPr>
              <w:t>50</w:t>
            </w:r>
          </w:p>
        </w:tc>
        <w:tc>
          <w:tcPr>
            <w:tcW w:w="0" w:type="dxa"/>
            <w:vAlign w:val="bottom"/>
          </w:tcPr>
          <w:p>
            <w:pPr>
              <w:spacing w:after="0"/>
              <w:rPr>
                <w:sz w:val="1"/>
                <w:szCs w:val="1"/>
                <w:color w:val="auto"/>
              </w:rPr>
            </w:pPr>
          </w:p>
        </w:tc>
      </w:tr>
      <w:tr>
        <w:trPr>
          <w:trHeight w:val="212"/>
        </w:trPr>
        <w:tc>
          <w:tcPr>
            <w:tcW w:w="3080" w:type="dxa"/>
            <w:vAlign w:val="bottom"/>
            <w:gridSpan w:val="3"/>
            <w:shd w:val="clear" w:color="auto" w:fill="D2DCE5"/>
          </w:tcPr>
          <w:p>
            <w:pPr>
              <w:ind w:left="20"/>
              <w:spacing w:after="0"/>
              <w:rPr>
                <w:sz w:val="20"/>
                <w:szCs w:val="20"/>
                <w:color w:val="auto"/>
              </w:rPr>
            </w:pPr>
            <w:r>
              <w:rPr>
                <w:rFonts w:ascii="Arial" w:cs="Arial" w:eastAsia="Arial" w:hAnsi="Arial"/>
                <w:sz w:val="14"/>
                <w:szCs w:val="14"/>
                <w:color w:val="131E29"/>
              </w:rPr>
              <w:t xml:space="preserve">Loyalty points and rewards breakage 2022 </w:t>
            </w:r>
            <w:r>
              <w:rPr>
                <w:rFonts w:ascii="Arial" w:cs="Arial" w:eastAsia="Arial" w:hAnsi="Arial"/>
                <w:sz w:val="18"/>
                <w:szCs w:val="18"/>
                <w:color w:val="131E29"/>
                <w:vertAlign w:val="superscript"/>
              </w:rPr>
              <w:t>3</w:t>
            </w:r>
          </w:p>
        </w:tc>
        <w:tc>
          <w:tcPr>
            <w:tcW w:w="110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1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200" w:type="dxa"/>
            <w:vAlign w:val="bottom"/>
            <w:shd w:val="clear" w:color="auto" w:fill="D2DCE5"/>
          </w:tcPr>
          <w:p>
            <w:pPr>
              <w:spacing w:after="0"/>
              <w:rPr>
                <w:sz w:val="18"/>
                <w:szCs w:val="18"/>
                <w:color w:val="auto"/>
              </w:rPr>
            </w:pPr>
          </w:p>
        </w:tc>
        <w:tc>
          <w:tcPr>
            <w:tcW w:w="80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240" w:type="dxa"/>
            <w:vAlign w:val="bottom"/>
            <w:shd w:val="clear" w:color="auto" w:fill="D2DCE5"/>
          </w:tcPr>
          <w:p>
            <w:pPr>
              <w:spacing w:after="0"/>
              <w:rPr>
                <w:sz w:val="18"/>
                <w:szCs w:val="18"/>
                <w:color w:val="auto"/>
              </w:rPr>
            </w:pPr>
          </w:p>
        </w:tc>
        <w:tc>
          <w:tcPr>
            <w:tcW w:w="920" w:type="dxa"/>
            <w:vAlign w:val="bottom"/>
            <w:shd w:val="clear" w:color="auto" w:fill="D2DCE5"/>
          </w:tcPr>
          <w:p>
            <w:pPr>
              <w:spacing w:after="0"/>
              <w:rPr>
                <w:sz w:val="18"/>
                <w:szCs w:val="18"/>
                <w:color w:val="auto"/>
              </w:rPr>
            </w:pPr>
          </w:p>
        </w:tc>
        <w:tc>
          <w:tcPr>
            <w:tcW w:w="106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40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80" w:type="dxa"/>
            <w:vAlign w:val="bottom"/>
            <w:shd w:val="clear" w:color="auto" w:fill="D2DCE5"/>
          </w:tcPr>
          <w:p>
            <w:pPr>
              <w:spacing w:after="0"/>
              <w:rPr>
                <w:sz w:val="18"/>
                <w:szCs w:val="18"/>
                <w:color w:val="auto"/>
              </w:rPr>
            </w:pPr>
          </w:p>
        </w:tc>
        <w:tc>
          <w:tcPr>
            <w:tcW w:w="12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20</w:t>
            </w:r>
          </w:p>
        </w:tc>
        <w:tc>
          <w:tcPr>
            <w:tcW w:w="0" w:type="dxa"/>
            <w:vAlign w:val="bottom"/>
          </w:tcPr>
          <w:p>
            <w:pPr>
              <w:spacing w:after="0"/>
              <w:rPr>
                <w:sz w:val="1"/>
                <w:szCs w:val="1"/>
                <w:color w:val="auto"/>
              </w:rPr>
            </w:pPr>
          </w:p>
        </w:tc>
      </w:tr>
      <w:tr>
        <w:trPr>
          <w:trHeight w:val="191"/>
        </w:trPr>
        <w:tc>
          <w:tcPr>
            <w:tcW w:w="3080" w:type="dxa"/>
            <w:vAlign w:val="bottom"/>
            <w:gridSpan w:val="3"/>
          </w:tcPr>
          <w:p>
            <w:pPr>
              <w:ind w:left="20"/>
              <w:spacing w:after="0"/>
              <w:rPr>
                <w:sz w:val="20"/>
                <w:szCs w:val="20"/>
                <w:color w:val="auto"/>
              </w:rPr>
            </w:pPr>
            <w:r>
              <w:rPr>
                <w:rFonts w:ascii="Arial" w:cs="Arial" w:eastAsia="Arial" w:hAnsi="Arial"/>
                <w:sz w:val="14"/>
                <w:szCs w:val="14"/>
                <w:color w:val="131E29"/>
              </w:rPr>
              <w:t>Other</w:t>
            </w: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131E29"/>
              </w:rPr>
              <w:t>(120)</w:t>
            </w:r>
          </w:p>
        </w:tc>
        <w:tc>
          <w:tcPr>
            <w:tcW w:w="0" w:type="dxa"/>
            <w:vAlign w:val="bottom"/>
          </w:tcPr>
          <w:p>
            <w:pPr>
              <w:spacing w:after="0"/>
              <w:rPr>
                <w:sz w:val="1"/>
                <w:szCs w:val="1"/>
                <w:color w:val="auto"/>
              </w:rPr>
            </w:pPr>
          </w:p>
        </w:tc>
      </w:tr>
      <w:tr>
        <w:trPr>
          <w:trHeight w:val="22"/>
        </w:trPr>
        <w:tc>
          <w:tcPr>
            <w:tcW w:w="4260" w:type="dxa"/>
            <w:vAlign w:val="bottom"/>
            <w:tcBorders>
              <w:bottom w:val="single" w:sz="8" w:color="131E29"/>
            </w:tcBorders>
            <w:gridSpan w:val="5"/>
          </w:tcPr>
          <w:p>
            <w:pPr>
              <w:spacing w:after="0" w:line="20" w:lineRule="exact"/>
              <w:rPr>
                <w:sz w:val="1"/>
                <w:szCs w:val="1"/>
                <w:color w:val="auto"/>
              </w:rPr>
            </w:pPr>
          </w:p>
        </w:tc>
        <w:tc>
          <w:tcPr>
            <w:tcW w:w="1180" w:type="dxa"/>
            <w:vAlign w:val="bottom"/>
            <w:tcBorders>
              <w:bottom w:val="single" w:sz="8" w:color="131E29"/>
            </w:tcBorders>
          </w:tcPr>
          <w:p>
            <w:pPr>
              <w:spacing w:after="0" w:line="20" w:lineRule="exact"/>
              <w:rPr>
                <w:sz w:val="1"/>
                <w:szCs w:val="1"/>
                <w:color w:val="auto"/>
              </w:rPr>
            </w:pPr>
          </w:p>
        </w:tc>
        <w:tc>
          <w:tcPr>
            <w:tcW w:w="80" w:type="dxa"/>
            <w:vAlign w:val="bottom"/>
            <w:tcBorders>
              <w:bottom w:val="single" w:sz="8" w:color="131E29"/>
            </w:tcBorders>
          </w:tcPr>
          <w:p>
            <w:pPr>
              <w:spacing w:after="0" w:line="20" w:lineRule="exact"/>
              <w:rPr>
                <w:sz w:val="1"/>
                <w:szCs w:val="1"/>
                <w:color w:val="auto"/>
              </w:rPr>
            </w:pPr>
          </w:p>
        </w:tc>
        <w:tc>
          <w:tcPr>
            <w:tcW w:w="200" w:type="dxa"/>
            <w:vAlign w:val="bottom"/>
            <w:tcBorders>
              <w:bottom w:val="single" w:sz="8" w:color="131E29"/>
            </w:tcBorders>
          </w:tcPr>
          <w:p>
            <w:pPr>
              <w:spacing w:after="0" w:line="20" w:lineRule="exact"/>
              <w:rPr>
                <w:sz w:val="1"/>
                <w:szCs w:val="1"/>
                <w:color w:val="auto"/>
              </w:rPr>
            </w:pPr>
          </w:p>
        </w:tc>
        <w:tc>
          <w:tcPr>
            <w:tcW w:w="800" w:type="dxa"/>
            <w:vAlign w:val="bottom"/>
            <w:tcBorders>
              <w:bottom w:val="single" w:sz="8" w:color="131E29"/>
            </w:tcBorders>
          </w:tcPr>
          <w:p>
            <w:pPr>
              <w:spacing w:after="0" w:line="20" w:lineRule="exact"/>
              <w:rPr>
                <w:sz w:val="1"/>
                <w:szCs w:val="1"/>
                <w:color w:val="auto"/>
              </w:rPr>
            </w:pPr>
          </w:p>
        </w:tc>
        <w:tc>
          <w:tcPr>
            <w:tcW w:w="100" w:type="dxa"/>
            <w:vAlign w:val="bottom"/>
            <w:tcBorders>
              <w:bottom w:val="single" w:sz="8" w:color="131E29"/>
            </w:tcBorders>
          </w:tcPr>
          <w:p>
            <w:pPr>
              <w:spacing w:after="0" w:line="20" w:lineRule="exact"/>
              <w:rPr>
                <w:sz w:val="1"/>
                <w:szCs w:val="1"/>
                <w:color w:val="auto"/>
              </w:rPr>
            </w:pPr>
          </w:p>
        </w:tc>
        <w:tc>
          <w:tcPr>
            <w:tcW w:w="240" w:type="dxa"/>
            <w:vAlign w:val="bottom"/>
            <w:tcBorders>
              <w:bottom w:val="single" w:sz="8" w:color="131E29"/>
            </w:tcBorders>
          </w:tcPr>
          <w:p>
            <w:pPr>
              <w:spacing w:after="0" w:line="20" w:lineRule="exact"/>
              <w:rPr>
                <w:sz w:val="1"/>
                <w:szCs w:val="1"/>
                <w:color w:val="auto"/>
              </w:rPr>
            </w:pPr>
          </w:p>
        </w:tc>
        <w:tc>
          <w:tcPr>
            <w:tcW w:w="920" w:type="dxa"/>
            <w:vAlign w:val="bottom"/>
            <w:tcBorders>
              <w:bottom w:val="single" w:sz="8" w:color="131E29"/>
            </w:tcBorders>
          </w:tcPr>
          <w:p>
            <w:pPr>
              <w:spacing w:after="0" w:line="20" w:lineRule="exact"/>
              <w:rPr>
                <w:sz w:val="1"/>
                <w:szCs w:val="1"/>
                <w:color w:val="auto"/>
              </w:rPr>
            </w:pPr>
          </w:p>
        </w:tc>
        <w:tc>
          <w:tcPr>
            <w:tcW w:w="1060" w:type="dxa"/>
            <w:vAlign w:val="bottom"/>
            <w:tcBorders>
              <w:bottom w:val="single" w:sz="8" w:color="131E29"/>
            </w:tcBorders>
          </w:tcPr>
          <w:p>
            <w:pPr>
              <w:spacing w:after="0" w:line="20" w:lineRule="exact"/>
              <w:rPr>
                <w:sz w:val="1"/>
                <w:szCs w:val="1"/>
                <w:color w:val="auto"/>
              </w:rPr>
            </w:pPr>
          </w:p>
        </w:tc>
        <w:tc>
          <w:tcPr>
            <w:tcW w:w="80" w:type="dxa"/>
            <w:vAlign w:val="bottom"/>
            <w:tcBorders>
              <w:bottom w:val="single" w:sz="8" w:color="131E29"/>
            </w:tcBorders>
          </w:tcPr>
          <w:p>
            <w:pPr>
              <w:spacing w:after="0" w:line="20" w:lineRule="exact"/>
              <w:rPr>
                <w:sz w:val="1"/>
                <w:szCs w:val="1"/>
                <w:color w:val="auto"/>
              </w:rPr>
            </w:pPr>
          </w:p>
        </w:tc>
        <w:tc>
          <w:tcPr>
            <w:tcW w:w="280" w:type="dxa"/>
            <w:vAlign w:val="bottom"/>
            <w:tcBorders>
              <w:bottom w:val="single" w:sz="8" w:color="131E29"/>
            </w:tcBorders>
          </w:tcPr>
          <w:p>
            <w:pPr>
              <w:spacing w:after="0" w:line="20" w:lineRule="exact"/>
              <w:rPr>
                <w:sz w:val="1"/>
                <w:szCs w:val="1"/>
                <w:color w:val="auto"/>
              </w:rPr>
            </w:pPr>
          </w:p>
        </w:tc>
        <w:tc>
          <w:tcPr>
            <w:tcW w:w="400" w:type="dxa"/>
            <w:vAlign w:val="bottom"/>
            <w:tcBorders>
              <w:bottom w:val="single" w:sz="8" w:color="131E29"/>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80" w:type="dxa"/>
            <w:vAlign w:val="bottom"/>
            <w:tcBorders>
              <w:bottom w:val="single" w:sz="8" w:color="131E29"/>
            </w:tcBorders>
          </w:tcPr>
          <w:p>
            <w:pPr>
              <w:spacing w:after="0" w:line="20" w:lineRule="exact"/>
              <w:rPr>
                <w:sz w:val="1"/>
                <w:szCs w:val="1"/>
                <w:color w:val="auto"/>
              </w:rPr>
            </w:pPr>
          </w:p>
        </w:tc>
        <w:tc>
          <w:tcPr>
            <w:tcW w:w="1220" w:type="dxa"/>
            <w:vAlign w:val="bottom"/>
            <w:tcBorders>
              <w:bottom w:val="single" w:sz="8" w:color="131E2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260" w:type="dxa"/>
            <w:vAlign w:val="bottom"/>
            <w:tcBorders>
              <w:bottom w:val="single" w:sz="8" w:color="D2DCE5"/>
            </w:tcBorders>
            <w:gridSpan w:val="5"/>
            <w:shd w:val="clear" w:color="auto" w:fill="D2DCE5"/>
          </w:tcPr>
          <w:p>
            <w:pPr>
              <w:ind w:left="100"/>
              <w:spacing w:after="0"/>
              <w:rPr>
                <w:sz w:val="20"/>
                <w:szCs w:val="20"/>
                <w:color w:val="auto"/>
              </w:rPr>
            </w:pPr>
            <w:r>
              <w:rPr>
                <w:rFonts w:ascii="Arial" w:cs="Arial" w:eastAsia="Arial" w:hAnsi="Arial"/>
                <w:sz w:val="14"/>
                <w:szCs w:val="14"/>
                <w:b w:val="1"/>
                <w:bCs w:val="1"/>
                <w:color w:val="131E29"/>
              </w:rPr>
              <w:t>Total change in Company-operated shop gross profit</w:t>
            </w:r>
          </w:p>
        </w:tc>
        <w:tc>
          <w:tcPr>
            <w:tcW w:w="1180" w:type="dxa"/>
            <w:vAlign w:val="bottom"/>
            <w:tcBorders>
              <w:bottom w:val="single" w:sz="8" w:color="D2DCE5"/>
            </w:tcBorders>
            <w:shd w:val="clear" w:color="auto" w:fill="D2DCE5"/>
          </w:tcPr>
          <w:p>
            <w:pPr>
              <w:spacing w:after="0"/>
              <w:rPr>
                <w:sz w:val="17"/>
                <w:szCs w:val="17"/>
                <w:color w:val="auto"/>
              </w:rPr>
            </w:pPr>
          </w:p>
        </w:tc>
        <w:tc>
          <w:tcPr>
            <w:tcW w:w="80" w:type="dxa"/>
            <w:vAlign w:val="bottom"/>
            <w:tcBorders>
              <w:bottom w:val="single" w:sz="8" w:color="D2DCE5"/>
            </w:tcBorders>
            <w:shd w:val="clear" w:color="auto" w:fill="D2DCE5"/>
          </w:tcPr>
          <w:p>
            <w:pPr>
              <w:spacing w:after="0"/>
              <w:rPr>
                <w:sz w:val="17"/>
                <w:szCs w:val="17"/>
                <w:color w:val="auto"/>
              </w:rPr>
            </w:pPr>
          </w:p>
        </w:tc>
        <w:tc>
          <w:tcPr>
            <w:tcW w:w="200" w:type="dxa"/>
            <w:vAlign w:val="bottom"/>
            <w:tcBorders>
              <w:bottom w:val="single" w:sz="8" w:color="D2DCE5"/>
            </w:tcBorders>
            <w:shd w:val="clear" w:color="auto" w:fill="D2DCE5"/>
          </w:tcPr>
          <w:p>
            <w:pPr>
              <w:spacing w:after="0"/>
              <w:rPr>
                <w:sz w:val="17"/>
                <w:szCs w:val="17"/>
                <w:color w:val="auto"/>
              </w:rPr>
            </w:pPr>
          </w:p>
        </w:tc>
        <w:tc>
          <w:tcPr>
            <w:tcW w:w="800" w:type="dxa"/>
            <w:vAlign w:val="bottom"/>
            <w:tcBorders>
              <w:bottom w:val="single" w:sz="8" w:color="D2DCE5"/>
            </w:tcBorders>
            <w:shd w:val="clear" w:color="auto" w:fill="D2DCE5"/>
          </w:tcPr>
          <w:p>
            <w:pPr>
              <w:spacing w:after="0"/>
              <w:rPr>
                <w:sz w:val="17"/>
                <w:szCs w:val="17"/>
                <w:color w:val="auto"/>
              </w:rPr>
            </w:pPr>
          </w:p>
        </w:tc>
        <w:tc>
          <w:tcPr>
            <w:tcW w:w="100" w:type="dxa"/>
            <w:vAlign w:val="bottom"/>
            <w:tcBorders>
              <w:bottom w:val="single" w:sz="8" w:color="D2DCE5"/>
            </w:tcBorders>
            <w:shd w:val="clear" w:color="auto" w:fill="D2DCE5"/>
          </w:tcPr>
          <w:p>
            <w:pPr>
              <w:spacing w:after="0"/>
              <w:rPr>
                <w:sz w:val="17"/>
                <w:szCs w:val="17"/>
                <w:color w:val="auto"/>
              </w:rPr>
            </w:pPr>
          </w:p>
        </w:tc>
        <w:tc>
          <w:tcPr>
            <w:tcW w:w="240" w:type="dxa"/>
            <w:vAlign w:val="bottom"/>
            <w:tcBorders>
              <w:bottom w:val="single" w:sz="8" w:color="D2DCE5"/>
            </w:tcBorders>
            <w:shd w:val="clear" w:color="auto" w:fill="D2DCE5"/>
          </w:tcPr>
          <w:p>
            <w:pPr>
              <w:spacing w:after="0"/>
              <w:rPr>
                <w:sz w:val="17"/>
                <w:szCs w:val="17"/>
                <w:color w:val="auto"/>
              </w:rPr>
            </w:pPr>
          </w:p>
        </w:tc>
        <w:tc>
          <w:tcPr>
            <w:tcW w:w="920" w:type="dxa"/>
            <w:vAlign w:val="bottom"/>
            <w:tcBorders>
              <w:bottom w:val="single" w:sz="8" w:color="D2DCE5"/>
            </w:tcBorders>
            <w:shd w:val="clear" w:color="auto" w:fill="D2DCE5"/>
          </w:tcPr>
          <w:p>
            <w:pPr>
              <w:spacing w:after="0"/>
              <w:rPr>
                <w:sz w:val="17"/>
                <w:szCs w:val="17"/>
                <w:color w:val="auto"/>
              </w:rPr>
            </w:pPr>
          </w:p>
        </w:tc>
        <w:tc>
          <w:tcPr>
            <w:tcW w:w="1060" w:type="dxa"/>
            <w:vAlign w:val="bottom"/>
            <w:tcBorders>
              <w:bottom w:val="single" w:sz="8" w:color="D2DCE5"/>
            </w:tcBorders>
            <w:shd w:val="clear" w:color="auto" w:fill="D2DCE5"/>
          </w:tcPr>
          <w:p>
            <w:pPr>
              <w:spacing w:after="0"/>
              <w:rPr>
                <w:sz w:val="17"/>
                <w:szCs w:val="17"/>
                <w:color w:val="auto"/>
              </w:rPr>
            </w:pPr>
          </w:p>
        </w:tc>
        <w:tc>
          <w:tcPr>
            <w:tcW w:w="80" w:type="dxa"/>
            <w:vAlign w:val="bottom"/>
            <w:tcBorders>
              <w:bottom w:val="single" w:sz="8" w:color="D2DCE5"/>
            </w:tcBorders>
            <w:shd w:val="clear" w:color="auto" w:fill="D2DCE5"/>
          </w:tcPr>
          <w:p>
            <w:pPr>
              <w:spacing w:after="0"/>
              <w:rPr>
                <w:sz w:val="17"/>
                <w:szCs w:val="17"/>
                <w:color w:val="auto"/>
              </w:rPr>
            </w:pPr>
          </w:p>
        </w:tc>
        <w:tc>
          <w:tcPr>
            <w:tcW w:w="280" w:type="dxa"/>
            <w:vAlign w:val="bottom"/>
            <w:tcBorders>
              <w:bottom w:val="single" w:sz="8" w:color="D2DCE5"/>
            </w:tcBorders>
            <w:shd w:val="clear" w:color="auto" w:fill="D2DCE5"/>
          </w:tcPr>
          <w:p>
            <w:pPr>
              <w:spacing w:after="0"/>
              <w:rPr>
                <w:sz w:val="17"/>
                <w:szCs w:val="17"/>
                <w:color w:val="auto"/>
              </w:rPr>
            </w:pPr>
          </w:p>
        </w:tc>
        <w:tc>
          <w:tcPr>
            <w:tcW w:w="400" w:type="dxa"/>
            <w:vAlign w:val="bottom"/>
            <w:tcBorders>
              <w:bottom w:val="single" w:sz="8" w:color="D2DCE5"/>
            </w:tcBorders>
            <w:shd w:val="clear" w:color="auto" w:fill="D2DCE5"/>
          </w:tcPr>
          <w:p>
            <w:pPr>
              <w:spacing w:after="0"/>
              <w:rPr>
                <w:sz w:val="17"/>
                <w:szCs w:val="17"/>
                <w:color w:val="auto"/>
              </w:rPr>
            </w:pPr>
          </w:p>
        </w:tc>
        <w:tc>
          <w:tcPr>
            <w:tcW w:w="80" w:type="dxa"/>
            <w:vAlign w:val="bottom"/>
            <w:tcBorders>
              <w:bottom w:val="single" w:sz="8" w:color="D2DCE5"/>
            </w:tcBorders>
            <w:shd w:val="clear" w:color="auto" w:fill="D2DCE5"/>
          </w:tcPr>
          <w:p>
            <w:pPr>
              <w:spacing w:after="0"/>
              <w:rPr>
                <w:sz w:val="17"/>
                <w:szCs w:val="17"/>
                <w:color w:val="auto"/>
              </w:rPr>
            </w:pPr>
          </w:p>
        </w:tc>
        <w:tc>
          <w:tcPr>
            <w:tcW w:w="380" w:type="dxa"/>
            <w:vAlign w:val="bottom"/>
            <w:tcBorders>
              <w:bottom w:val="single" w:sz="8" w:color="D2DCE5"/>
            </w:tcBorders>
            <w:shd w:val="clear" w:color="auto" w:fill="D2DCE5"/>
          </w:tcPr>
          <w:p>
            <w:pPr>
              <w:spacing w:after="0"/>
              <w:rPr>
                <w:sz w:val="17"/>
                <w:szCs w:val="17"/>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(250)</w:t>
            </w:r>
          </w:p>
        </w:tc>
        <w:tc>
          <w:tcPr>
            <w:tcW w:w="0" w:type="dxa"/>
            <w:vAlign w:val="bottom"/>
          </w:tcPr>
          <w:p>
            <w:pPr>
              <w:spacing w:after="0"/>
              <w:rPr>
                <w:sz w:val="1"/>
                <w:szCs w:val="1"/>
                <w:color w:val="auto"/>
              </w:rPr>
            </w:pPr>
          </w:p>
        </w:tc>
      </w:tr>
      <w:tr>
        <w:trPr>
          <w:trHeight w:val="181"/>
        </w:trPr>
        <w:tc>
          <w:tcPr>
            <w:tcW w:w="3080" w:type="dxa"/>
            <w:vAlign w:val="bottom"/>
            <w:tcBorders>
              <w:top w:val="single" w:sz="8" w:color="131E29"/>
            </w:tcBorders>
            <w:gridSpan w:val="3"/>
          </w:tcPr>
          <w:p>
            <w:pPr>
              <w:ind w:left="20"/>
              <w:spacing w:after="0"/>
              <w:rPr>
                <w:sz w:val="20"/>
                <w:szCs w:val="20"/>
                <w:color w:val="auto"/>
              </w:rPr>
            </w:pPr>
            <w:r>
              <w:rPr>
                <w:rFonts w:ascii="Arial" w:cs="Arial" w:eastAsia="Arial" w:hAnsi="Arial"/>
                <w:sz w:val="14"/>
                <w:szCs w:val="14"/>
                <w:color w:val="131E29"/>
              </w:rPr>
              <w:t>Depreciation and amortization</w:t>
            </w:r>
          </w:p>
        </w:tc>
        <w:tc>
          <w:tcPr>
            <w:tcW w:w="1100" w:type="dxa"/>
            <w:vAlign w:val="bottom"/>
            <w:tcBorders>
              <w:top w:val="single" w:sz="8" w:color="131E29"/>
            </w:tcBorders>
          </w:tcPr>
          <w:p>
            <w:pPr>
              <w:spacing w:after="0"/>
              <w:rPr>
                <w:sz w:val="15"/>
                <w:szCs w:val="15"/>
                <w:color w:val="auto"/>
              </w:rPr>
            </w:pPr>
          </w:p>
        </w:tc>
        <w:tc>
          <w:tcPr>
            <w:tcW w:w="80" w:type="dxa"/>
            <w:vAlign w:val="bottom"/>
            <w:tcBorders>
              <w:top w:val="single" w:sz="8" w:color="131E29"/>
            </w:tcBorders>
          </w:tcPr>
          <w:p>
            <w:pPr>
              <w:spacing w:after="0"/>
              <w:rPr>
                <w:sz w:val="15"/>
                <w:szCs w:val="15"/>
                <w:color w:val="auto"/>
              </w:rPr>
            </w:pPr>
          </w:p>
        </w:tc>
        <w:tc>
          <w:tcPr>
            <w:tcW w:w="1180" w:type="dxa"/>
            <w:vAlign w:val="bottom"/>
            <w:tcBorders>
              <w:top w:val="single" w:sz="8" w:color="131E29"/>
            </w:tcBorders>
          </w:tcPr>
          <w:p>
            <w:pPr>
              <w:spacing w:after="0"/>
              <w:rPr>
                <w:sz w:val="15"/>
                <w:szCs w:val="15"/>
                <w:color w:val="auto"/>
              </w:rPr>
            </w:pPr>
          </w:p>
        </w:tc>
        <w:tc>
          <w:tcPr>
            <w:tcW w:w="80" w:type="dxa"/>
            <w:vAlign w:val="bottom"/>
            <w:tcBorders>
              <w:top w:val="single" w:sz="8" w:color="131E29"/>
            </w:tcBorders>
          </w:tcPr>
          <w:p>
            <w:pPr>
              <w:spacing w:after="0"/>
              <w:rPr>
                <w:sz w:val="15"/>
                <w:szCs w:val="15"/>
                <w:color w:val="auto"/>
              </w:rPr>
            </w:pPr>
          </w:p>
        </w:tc>
        <w:tc>
          <w:tcPr>
            <w:tcW w:w="200" w:type="dxa"/>
            <w:vAlign w:val="bottom"/>
            <w:tcBorders>
              <w:top w:val="single" w:sz="8" w:color="131E29"/>
            </w:tcBorders>
          </w:tcPr>
          <w:p>
            <w:pPr>
              <w:spacing w:after="0"/>
              <w:rPr>
                <w:sz w:val="15"/>
                <w:szCs w:val="15"/>
                <w:color w:val="auto"/>
              </w:rPr>
            </w:pPr>
          </w:p>
        </w:tc>
        <w:tc>
          <w:tcPr>
            <w:tcW w:w="800" w:type="dxa"/>
            <w:vAlign w:val="bottom"/>
            <w:tcBorders>
              <w:top w:val="single" w:sz="8" w:color="131E29"/>
            </w:tcBorders>
          </w:tcPr>
          <w:p>
            <w:pPr>
              <w:spacing w:after="0"/>
              <w:rPr>
                <w:sz w:val="15"/>
                <w:szCs w:val="15"/>
                <w:color w:val="auto"/>
              </w:rPr>
            </w:pPr>
          </w:p>
        </w:tc>
        <w:tc>
          <w:tcPr>
            <w:tcW w:w="100" w:type="dxa"/>
            <w:vAlign w:val="bottom"/>
            <w:tcBorders>
              <w:top w:val="single" w:sz="8" w:color="131E29"/>
            </w:tcBorders>
          </w:tcPr>
          <w:p>
            <w:pPr>
              <w:spacing w:after="0"/>
              <w:rPr>
                <w:sz w:val="15"/>
                <w:szCs w:val="15"/>
                <w:color w:val="auto"/>
              </w:rPr>
            </w:pPr>
          </w:p>
        </w:tc>
        <w:tc>
          <w:tcPr>
            <w:tcW w:w="240" w:type="dxa"/>
            <w:vAlign w:val="bottom"/>
            <w:tcBorders>
              <w:top w:val="single" w:sz="8" w:color="131E29"/>
            </w:tcBorders>
          </w:tcPr>
          <w:p>
            <w:pPr>
              <w:spacing w:after="0"/>
              <w:rPr>
                <w:sz w:val="15"/>
                <w:szCs w:val="15"/>
                <w:color w:val="auto"/>
              </w:rPr>
            </w:pPr>
          </w:p>
        </w:tc>
        <w:tc>
          <w:tcPr>
            <w:tcW w:w="920" w:type="dxa"/>
            <w:vAlign w:val="bottom"/>
            <w:tcBorders>
              <w:top w:val="single" w:sz="8" w:color="131E29"/>
            </w:tcBorders>
          </w:tcPr>
          <w:p>
            <w:pPr>
              <w:spacing w:after="0"/>
              <w:rPr>
                <w:sz w:val="15"/>
                <w:szCs w:val="15"/>
                <w:color w:val="auto"/>
              </w:rPr>
            </w:pPr>
          </w:p>
        </w:tc>
        <w:tc>
          <w:tcPr>
            <w:tcW w:w="1060" w:type="dxa"/>
            <w:vAlign w:val="bottom"/>
            <w:tcBorders>
              <w:top w:val="single" w:sz="8" w:color="131E29"/>
            </w:tcBorders>
          </w:tcPr>
          <w:p>
            <w:pPr>
              <w:spacing w:after="0"/>
              <w:rPr>
                <w:sz w:val="15"/>
                <w:szCs w:val="15"/>
                <w:color w:val="auto"/>
              </w:rPr>
            </w:pPr>
          </w:p>
        </w:tc>
        <w:tc>
          <w:tcPr>
            <w:tcW w:w="80" w:type="dxa"/>
            <w:vAlign w:val="bottom"/>
            <w:tcBorders>
              <w:top w:val="single" w:sz="8" w:color="131E29"/>
            </w:tcBorders>
          </w:tcPr>
          <w:p>
            <w:pPr>
              <w:spacing w:after="0"/>
              <w:rPr>
                <w:sz w:val="15"/>
                <w:szCs w:val="15"/>
                <w:color w:val="auto"/>
              </w:rPr>
            </w:pPr>
          </w:p>
        </w:tc>
        <w:tc>
          <w:tcPr>
            <w:tcW w:w="280" w:type="dxa"/>
            <w:vAlign w:val="bottom"/>
            <w:tcBorders>
              <w:top w:val="single" w:sz="8" w:color="131E29"/>
            </w:tcBorders>
          </w:tcPr>
          <w:p>
            <w:pPr>
              <w:spacing w:after="0"/>
              <w:rPr>
                <w:sz w:val="15"/>
                <w:szCs w:val="15"/>
                <w:color w:val="auto"/>
              </w:rPr>
            </w:pPr>
          </w:p>
        </w:tc>
        <w:tc>
          <w:tcPr>
            <w:tcW w:w="400" w:type="dxa"/>
            <w:vAlign w:val="bottom"/>
            <w:tcBorders>
              <w:top w:val="single" w:sz="8" w:color="131E29"/>
            </w:tcBorders>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top w:val="single" w:sz="8" w:color="131E29"/>
            </w:tcBorders>
          </w:tcPr>
          <w:p>
            <w:pPr>
              <w:spacing w:after="0"/>
              <w:rPr>
                <w:sz w:val="15"/>
                <w:szCs w:val="15"/>
                <w:color w:val="auto"/>
              </w:rPr>
            </w:pPr>
          </w:p>
        </w:tc>
        <w:tc>
          <w:tcPr>
            <w:tcW w:w="1220" w:type="dxa"/>
            <w:vAlign w:val="bottom"/>
            <w:tcBorders>
              <w:top w:val="single" w:sz="8" w:color="131E29"/>
            </w:tcBorders>
          </w:tcPr>
          <w:p>
            <w:pPr>
              <w:jc w:val="right"/>
              <w:spacing w:after="0"/>
              <w:rPr>
                <w:sz w:val="20"/>
                <w:szCs w:val="20"/>
                <w:color w:val="auto"/>
              </w:rPr>
            </w:pPr>
            <w:r>
              <w:rPr>
                <w:rFonts w:ascii="Arial" w:cs="Arial" w:eastAsia="Arial" w:hAnsi="Arial"/>
                <w:sz w:val="14"/>
                <w:szCs w:val="14"/>
                <w:b w:val="1"/>
                <w:bCs w:val="1"/>
                <w:color w:val="131E29"/>
              </w:rPr>
              <w:t>160</w:t>
            </w:r>
          </w:p>
        </w:tc>
        <w:tc>
          <w:tcPr>
            <w:tcW w:w="0" w:type="dxa"/>
            <w:vAlign w:val="bottom"/>
          </w:tcPr>
          <w:p>
            <w:pPr>
              <w:spacing w:after="0"/>
              <w:rPr>
                <w:sz w:val="1"/>
                <w:szCs w:val="1"/>
                <w:color w:val="auto"/>
              </w:rPr>
            </w:pPr>
          </w:p>
        </w:tc>
      </w:tr>
      <w:tr>
        <w:trPr>
          <w:trHeight w:val="22"/>
        </w:trPr>
        <w:tc>
          <w:tcPr>
            <w:tcW w:w="4260" w:type="dxa"/>
            <w:vAlign w:val="bottom"/>
            <w:tcBorders>
              <w:bottom w:val="single" w:sz="8" w:color="131E29"/>
            </w:tcBorders>
            <w:gridSpan w:val="5"/>
          </w:tcPr>
          <w:p>
            <w:pPr>
              <w:spacing w:after="0" w:line="20" w:lineRule="exact"/>
              <w:rPr>
                <w:sz w:val="1"/>
                <w:szCs w:val="1"/>
                <w:color w:val="auto"/>
              </w:rPr>
            </w:pPr>
          </w:p>
        </w:tc>
        <w:tc>
          <w:tcPr>
            <w:tcW w:w="1180" w:type="dxa"/>
            <w:vAlign w:val="bottom"/>
            <w:tcBorders>
              <w:bottom w:val="single" w:sz="8" w:color="131E29"/>
            </w:tcBorders>
          </w:tcPr>
          <w:p>
            <w:pPr>
              <w:spacing w:after="0" w:line="20" w:lineRule="exact"/>
              <w:rPr>
                <w:sz w:val="1"/>
                <w:szCs w:val="1"/>
                <w:color w:val="auto"/>
              </w:rPr>
            </w:pPr>
          </w:p>
        </w:tc>
        <w:tc>
          <w:tcPr>
            <w:tcW w:w="80" w:type="dxa"/>
            <w:vAlign w:val="bottom"/>
            <w:tcBorders>
              <w:bottom w:val="single" w:sz="8" w:color="131E29"/>
            </w:tcBorders>
          </w:tcPr>
          <w:p>
            <w:pPr>
              <w:spacing w:after="0" w:line="20" w:lineRule="exact"/>
              <w:rPr>
                <w:sz w:val="1"/>
                <w:szCs w:val="1"/>
                <w:color w:val="auto"/>
              </w:rPr>
            </w:pPr>
          </w:p>
        </w:tc>
        <w:tc>
          <w:tcPr>
            <w:tcW w:w="200" w:type="dxa"/>
            <w:vAlign w:val="bottom"/>
            <w:tcBorders>
              <w:bottom w:val="single" w:sz="8" w:color="131E29"/>
            </w:tcBorders>
          </w:tcPr>
          <w:p>
            <w:pPr>
              <w:spacing w:after="0" w:line="20" w:lineRule="exact"/>
              <w:rPr>
                <w:sz w:val="1"/>
                <w:szCs w:val="1"/>
                <w:color w:val="auto"/>
              </w:rPr>
            </w:pPr>
          </w:p>
        </w:tc>
        <w:tc>
          <w:tcPr>
            <w:tcW w:w="800" w:type="dxa"/>
            <w:vAlign w:val="bottom"/>
            <w:tcBorders>
              <w:bottom w:val="single" w:sz="8" w:color="131E29"/>
            </w:tcBorders>
          </w:tcPr>
          <w:p>
            <w:pPr>
              <w:spacing w:after="0" w:line="20" w:lineRule="exact"/>
              <w:rPr>
                <w:sz w:val="1"/>
                <w:szCs w:val="1"/>
                <w:color w:val="auto"/>
              </w:rPr>
            </w:pPr>
          </w:p>
        </w:tc>
        <w:tc>
          <w:tcPr>
            <w:tcW w:w="100" w:type="dxa"/>
            <w:vAlign w:val="bottom"/>
            <w:tcBorders>
              <w:bottom w:val="single" w:sz="8" w:color="131E29"/>
            </w:tcBorders>
          </w:tcPr>
          <w:p>
            <w:pPr>
              <w:spacing w:after="0" w:line="20" w:lineRule="exact"/>
              <w:rPr>
                <w:sz w:val="1"/>
                <w:szCs w:val="1"/>
                <w:color w:val="auto"/>
              </w:rPr>
            </w:pPr>
          </w:p>
        </w:tc>
        <w:tc>
          <w:tcPr>
            <w:tcW w:w="240" w:type="dxa"/>
            <w:vAlign w:val="bottom"/>
            <w:tcBorders>
              <w:bottom w:val="single" w:sz="8" w:color="131E29"/>
            </w:tcBorders>
          </w:tcPr>
          <w:p>
            <w:pPr>
              <w:spacing w:after="0" w:line="20" w:lineRule="exact"/>
              <w:rPr>
                <w:sz w:val="1"/>
                <w:szCs w:val="1"/>
                <w:color w:val="auto"/>
              </w:rPr>
            </w:pPr>
          </w:p>
        </w:tc>
        <w:tc>
          <w:tcPr>
            <w:tcW w:w="920" w:type="dxa"/>
            <w:vAlign w:val="bottom"/>
            <w:tcBorders>
              <w:bottom w:val="single" w:sz="8" w:color="131E29"/>
            </w:tcBorders>
          </w:tcPr>
          <w:p>
            <w:pPr>
              <w:spacing w:after="0" w:line="20" w:lineRule="exact"/>
              <w:rPr>
                <w:sz w:val="1"/>
                <w:szCs w:val="1"/>
                <w:color w:val="auto"/>
              </w:rPr>
            </w:pPr>
          </w:p>
        </w:tc>
        <w:tc>
          <w:tcPr>
            <w:tcW w:w="1060" w:type="dxa"/>
            <w:vAlign w:val="bottom"/>
            <w:tcBorders>
              <w:bottom w:val="single" w:sz="8" w:color="131E29"/>
            </w:tcBorders>
          </w:tcPr>
          <w:p>
            <w:pPr>
              <w:spacing w:after="0" w:line="20" w:lineRule="exact"/>
              <w:rPr>
                <w:sz w:val="1"/>
                <w:szCs w:val="1"/>
                <w:color w:val="auto"/>
              </w:rPr>
            </w:pPr>
          </w:p>
        </w:tc>
        <w:tc>
          <w:tcPr>
            <w:tcW w:w="80" w:type="dxa"/>
            <w:vAlign w:val="bottom"/>
            <w:tcBorders>
              <w:bottom w:val="single" w:sz="8" w:color="131E29"/>
            </w:tcBorders>
          </w:tcPr>
          <w:p>
            <w:pPr>
              <w:spacing w:after="0" w:line="20" w:lineRule="exact"/>
              <w:rPr>
                <w:sz w:val="1"/>
                <w:szCs w:val="1"/>
                <w:color w:val="auto"/>
              </w:rPr>
            </w:pPr>
          </w:p>
        </w:tc>
        <w:tc>
          <w:tcPr>
            <w:tcW w:w="280" w:type="dxa"/>
            <w:vAlign w:val="bottom"/>
            <w:tcBorders>
              <w:bottom w:val="single" w:sz="8" w:color="131E29"/>
            </w:tcBorders>
          </w:tcPr>
          <w:p>
            <w:pPr>
              <w:spacing w:after="0" w:line="20" w:lineRule="exact"/>
              <w:rPr>
                <w:sz w:val="1"/>
                <w:szCs w:val="1"/>
                <w:color w:val="auto"/>
              </w:rPr>
            </w:pPr>
          </w:p>
        </w:tc>
        <w:tc>
          <w:tcPr>
            <w:tcW w:w="400" w:type="dxa"/>
            <w:vAlign w:val="bottom"/>
            <w:tcBorders>
              <w:bottom w:val="single" w:sz="8" w:color="131E29"/>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80" w:type="dxa"/>
            <w:vAlign w:val="bottom"/>
            <w:tcBorders>
              <w:bottom w:val="single" w:sz="8" w:color="131E29"/>
            </w:tcBorders>
          </w:tcPr>
          <w:p>
            <w:pPr>
              <w:spacing w:after="0" w:line="20" w:lineRule="exact"/>
              <w:rPr>
                <w:sz w:val="1"/>
                <w:szCs w:val="1"/>
                <w:color w:val="auto"/>
              </w:rPr>
            </w:pPr>
          </w:p>
        </w:tc>
        <w:tc>
          <w:tcPr>
            <w:tcW w:w="1220" w:type="dxa"/>
            <w:vAlign w:val="bottom"/>
            <w:tcBorders>
              <w:bottom w:val="single" w:sz="8" w:color="131E2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260" w:type="dxa"/>
            <w:vAlign w:val="bottom"/>
            <w:tcBorders>
              <w:bottom w:val="single" w:sz="8" w:color="131E29"/>
            </w:tcBorders>
            <w:gridSpan w:val="5"/>
            <w:shd w:val="clear" w:color="auto" w:fill="D2DCE5"/>
          </w:tcPr>
          <w:p>
            <w:pPr>
              <w:ind w:left="100"/>
              <w:spacing w:after="0" w:line="203" w:lineRule="exact"/>
              <w:rPr>
                <w:sz w:val="20"/>
                <w:szCs w:val="20"/>
                <w:color w:val="auto"/>
              </w:rPr>
            </w:pPr>
            <w:r>
              <w:rPr>
                <w:rFonts w:ascii="Arial" w:cs="Arial" w:eastAsia="Arial" w:hAnsi="Arial"/>
                <w:sz w:val="14"/>
                <w:szCs w:val="14"/>
                <w:b w:val="1"/>
                <w:bCs w:val="1"/>
                <w:color w:val="131E29"/>
              </w:rPr>
              <w:t xml:space="preserve">Total change in Company-operated shop contribution </w:t>
            </w:r>
            <w:r>
              <w:rPr>
                <w:rFonts w:ascii="Arial" w:cs="Arial" w:eastAsia="Arial" w:hAnsi="Arial"/>
                <w:sz w:val="18"/>
                <w:szCs w:val="18"/>
                <w:b w:val="1"/>
                <w:bCs w:val="1"/>
                <w:color w:val="131E29"/>
                <w:vertAlign w:val="superscript"/>
              </w:rPr>
              <w:t>1</w:t>
            </w:r>
          </w:p>
        </w:tc>
        <w:tc>
          <w:tcPr>
            <w:tcW w:w="1180" w:type="dxa"/>
            <w:vAlign w:val="bottom"/>
            <w:tcBorders>
              <w:bottom w:val="single" w:sz="8" w:color="131E29"/>
            </w:tcBorders>
            <w:shd w:val="clear" w:color="auto" w:fill="D2DCE5"/>
          </w:tcPr>
          <w:p>
            <w:pPr>
              <w:spacing w:after="0"/>
              <w:rPr>
                <w:sz w:val="17"/>
                <w:szCs w:val="17"/>
                <w:color w:val="auto"/>
              </w:rPr>
            </w:pPr>
          </w:p>
        </w:tc>
        <w:tc>
          <w:tcPr>
            <w:tcW w:w="80" w:type="dxa"/>
            <w:vAlign w:val="bottom"/>
            <w:tcBorders>
              <w:bottom w:val="single" w:sz="8" w:color="131E29"/>
            </w:tcBorders>
            <w:shd w:val="clear" w:color="auto" w:fill="D2DCE5"/>
          </w:tcPr>
          <w:p>
            <w:pPr>
              <w:spacing w:after="0"/>
              <w:rPr>
                <w:sz w:val="17"/>
                <w:szCs w:val="17"/>
                <w:color w:val="auto"/>
              </w:rPr>
            </w:pPr>
          </w:p>
        </w:tc>
        <w:tc>
          <w:tcPr>
            <w:tcW w:w="200" w:type="dxa"/>
            <w:vAlign w:val="bottom"/>
            <w:tcBorders>
              <w:bottom w:val="single" w:sz="8" w:color="131E29"/>
            </w:tcBorders>
            <w:shd w:val="clear" w:color="auto" w:fill="D2DCE5"/>
          </w:tcPr>
          <w:p>
            <w:pPr>
              <w:spacing w:after="0"/>
              <w:rPr>
                <w:sz w:val="17"/>
                <w:szCs w:val="17"/>
                <w:color w:val="auto"/>
              </w:rPr>
            </w:pPr>
          </w:p>
        </w:tc>
        <w:tc>
          <w:tcPr>
            <w:tcW w:w="800" w:type="dxa"/>
            <w:vAlign w:val="bottom"/>
            <w:tcBorders>
              <w:bottom w:val="single" w:sz="8" w:color="131E29"/>
            </w:tcBorders>
            <w:shd w:val="clear" w:color="auto" w:fill="D2DCE5"/>
          </w:tcPr>
          <w:p>
            <w:pPr>
              <w:spacing w:after="0"/>
              <w:rPr>
                <w:sz w:val="17"/>
                <w:szCs w:val="17"/>
                <w:color w:val="auto"/>
              </w:rPr>
            </w:pPr>
          </w:p>
        </w:tc>
        <w:tc>
          <w:tcPr>
            <w:tcW w:w="100" w:type="dxa"/>
            <w:vAlign w:val="bottom"/>
            <w:tcBorders>
              <w:bottom w:val="single" w:sz="8" w:color="131E29"/>
            </w:tcBorders>
            <w:shd w:val="clear" w:color="auto" w:fill="D2DCE5"/>
          </w:tcPr>
          <w:p>
            <w:pPr>
              <w:spacing w:after="0"/>
              <w:rPr>
                <w:sz w:val="17"/>
                <w:szCs w:val="17"/>
                <w:color w:val="auto"/>
              </w:rPr>
            </w:pPr>
          </w:p>
        </w:tc>
        <w:tc>
          <w:tcPr>
            <w:tcW w:w="240" w:type="dxa"/>
            <w:vAlign w:val="bottom"/>
            <w:tcBorders>
              <w:bottom w:val="single" w:sz="8" w:color="131E29"/>
            </w:tcBorders>
            <w:shd w:val="clear" w:color="auto" w:fill="D2DCE5"/>
          </w:tcPr>
          <w:p>
            <w:pPr>
              <w:spacing w:after="0"/>
              <w:rPr>
                <w:sz w:val="17"/>
                <w:szCs w:val="17"/>
                <w:color w:val="auto"/>
              </w:rPr>
            </w:pPr>
          </w:p>
        </w:tc>
        <w:tc>
          <w:tcPr>
            <w:tcW w:w="920" w:type="dxa"/>
            <w:vAlign w:val="bottom"/>
            <w:tcBorders>
              <w:bottom w:val="single" w:sz="8" w:color="131E29"/>
            </w:tcBorders>
            <w:shd w:val="clear" w:color="auto" w:fill="D2DCE5"/>
          </w:tcPr>
          <w:p>
            <w:pPr>
              <w:spacing w:after="0"/>
              <w:rPr>
                <w:sz w:val="17"/>
                <w:szCs w:val="17"/>
                <w:color w:val="auto"/>
              </w:rPr>
            </w:pPr>
          </w:p>
        </w:tc>
        <w:tc>
          <w:tcPr>
            <w:tcW w:w="1060" w:type="dxa"/>
            <w:vAlign w:val="bottom"/>
            <w:tcBorders>
              <w:bottom w:val="single" w:sz="8" w:color="131E29"/>
            </w:tcBorders>
            <w:shd w:val="clear" w:color="auto" w:fill="D2DCE5"/>
          </w:tcPr>
          <w:p>
            <w:pPr>
              <w:spacing w:after="0"/>
              <w:rPr>
                <w:sz w:val="17"/>
                <w:szCs w:val="17"/>
                <w:color w:val="auto"/>
              </w:rPr>
            </w:pPr>
          </w:p>
        </w:tc>
        <w:tc>
          <w:tcPr>
            <w:tcW w:w="80" w:type="dxa"/>
            <w:vAlign w:val="bottom"/>
            <w:tcBorders>
              <w:bottom w:val="single" w:sz="8" w:color="131E29"/>
            </w:tcBorders>
            <w:shd w:val="clear" w:color="auto" w:fill="D2DCE5"/>
          </w:tcPr>
          <w:p>
            <w:pPr>
              <w:spacing w:after="0"/>
              <w:rPr>
                <w:sz w:val="17"/>
                <w:szCs w:val="17"/>
                <w:color w:val="auto"/>
              </w:rPr>
            </w:pPr>
          </w:p>
        </w:tc>
        <w:tc>
          <w:tcPr>
            <w:tcW w:w="280" w:type="dxa"/>
            <w:vAlign w:val="bottom"/>
            <w:tcBorders>
              <w:bottom w:val="single" w:sz="8" w:color="131E29"/>
            </w:tcBorders>
            <w:shd w:val="clear" w:color="auto" w:fill="D2DCE5"/>
          </w:tcPr>
          <w:p>
            <w:pPr>
              <w:spacing w:after="0"/>
              <w:rPr>
                <w:sz w:val="17"/>
                <w:szCs w:val="17"/>
                <w:color w:val="auto"/>
              </w:rPr>
            </w:pPr>
          </w:p>
        </w:tc>
        <w:tc>
          <w:tcPr>
            <w:tcW w:w="400" w:type="dxa"/>
            <w:vAlign w:val="bottom"/>
            <w:tcBorders>
              <w:bottom w:val="single" w:sz="8" w:color="131E29"/>
            </w:tcBorders>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80" w:type="dxa"/>
            <w:vAlign w:val="bottom"/>
            <w:tcBorders>
              <w:bottom w:val="single" w:sz="8" w:color="131E29"/>
            </w:tcBorders>
            <w:shd w:val="clear" w:color="auto" w:fill="D2DCE5"/>
          </w:tcPr>
          <w:p>
            <w:pPr>
              <w:spacing w:after="0"/>
              <w:rPr>
                <w:sz w:val="17"/>
                <w:szCs w:val="17"/>
                <w:color w:val="auto"/>
              </w:rPr>
            </w:pPr>
          </w:p>
        </w:tc>
        <w:tc>
          <w:tcPr>
            <w:tcW w:w="122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(90)</w:t>
            </w: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131E29"/>
        </w:rPr>
        <w:t>_________________</w:t>
      </w:r>
    </w:p>
    <w:p>
      <w:pPr>
        <w:spacing w:after="0" w:line="140" w:lineRule="exact"/>
        <w:rPr>
          <w:sz w:val="20"/>
          <w:szCs w:val="20"/>
          <w:color w:val="auto"/>
        </w:rPr>
      </w:pPr>
    </w:p>
    <w:p>
      <w:pPr>
        <w:ind w:left="120" w:hanging="115"/>
        <w:spacing w:after="0"/>
        <w:tabs>
          <w:tab w:leader="none" w:pos="120" w:val="left"/>
        </w:tabs>
        <w:numPr>
          <w:ilvl w:val="0"/>
          <w:numId w:val="50"/>
        </w:numPr>
        <w:rPr>
          <w:rFonts w:ascii="Arial" w:cs="Arial" w:eastAsia="Arial" w:hAnsi="Arial"/>
          <w:sz w:val="7"/>
          <w:szCs w:val="7"/>
          <w:color w:val="131E29"/>
        </w:rPr>
      </w:pPr>
      <w:r>
        <w:rPr>
          <w:rFonts w:ascii="Arial" w:cs="Arial" w:eastAsia="Arial" w:hAnsi="Arial"/>
          <w:sz w:val="11"/>
          <w:szCs w:val="11"/>
          <w:color w:val="131E29"/>
        </w:rPr>
        <w:t>Reconciliation of GAAP to non-GAAP results is provided in the section “Non-GAAP Financial Measures” in Part I, Item 2 “Management’s Discussion and Analysis of Financial Condition and Results of Operations”.</w:t>
      </w:r>
    </w:p>
    <w:p>
      <w:pPr>
        <w:spacing w:after="0" w:line="160" w:lineRule="exact"/>
        <w:rPr>
          <w:sz w:val="20"/>
          <w:szCs w:val="20"/>
          <w:color w:val="auto"/>
        </w:rPr>
      </w:pPr>
    </w:p>
    <w:p>
      <w:pPr>
        <w:ind w:left="140" w:hanging="135"/>
        <w:spacing w:after="0" w:line="205" w:lineRule="auto"/>
        <w:tabs>
          <w:tab w:leader="none" w:pos="274" w:val="left"/>
        </w:tabs>
        <w:numPr>
          <w:ilvl w:val="0"/>
          <w:numId w:val="51"/>
        </w:numPr>
        <w:rPr>
          <w:rFonts w:ascii="Arial" w:cs="Arial" w:eastAsia="Arial" w:hAnsi="Arial"/>
          <w:sz w:val="18"/>
          <w:szCs w:val="18"/>
          <w:color w:val="131E29"/>
          <w:vertAlign w:val="superscript"/>
        </w:rPr>
      </w:pPr>
      <w:r>
        <w:rPr>
          <w:rFonts w:ascii="Arial" w:cs="Arial" w:eastAsia="Arial" w:hAnsi="Arial"/>
          <w:sz w:val="11"/>
          <w:szCs w:val="11"/>
          <w:color w:val="131E29"/>
        </w:rPr>
        <w:t>Recognition of $4.9 million of revenue from the loyalty points collected prior to January 1, 2022 that expired on December 31, 2022, which is included in company-operated shop gross margin and contribution. For additional details, see NOTE 2 — Basis of Presentation and Summary of Significant Accounting Policies and NOTE 3 — Revenue Recognition.</w:t>
      </w:r>
    </w:p>
    <w:p>
      <w:pPr>
        <w:spacing w:after="0" w:line="58" w:lineRule="exact"/>
        <w:rPr>
          <w:sz w:val="20"/>
          <w:szCs w:val="20"/>
          <w:color w:val="auto"/>
        </w:rPr>
      </w:pPr>
    </w:p>
    <w:p>
      <w:pPr>
        <w:ind w:left="160" w:hanging="155"/>
        <w:spacing w:after="0"/>
        <w:tabs>
          <w:tab w:leader="none" w:pos="160" w:val="left"/>
        </w:tabs>
        <w:numPr>
          <w:ilvl w:val="0"/>
          <w:numId w:val="52"/>
        </w:numPr>
        <w:rPr>
          <w:rFonts w:ascii="Arial" w:cs="Arial" w:eastAsia="Arial" w:hAnsi="Arial"/>
          <w:sz w:val="18"/>
          <w:szCs w:val="18"/>
          <w:color w:val="131E29"/>
          <w:vertAlign w:val="superscript"/>
        </w:rPr>
      </w:pPr>
      <w:r>
        <w:rPr>
          <w:rFonts w:ascii="Arial" w:cs="Arial" w:eastAsia="Arial" w:hAnsi="Arial"/>
          <w:sz w:val="11"/>
          <w:szCs w:val="11"/>
          <w:color w:val="131E29"/>
        </w:rPr>
        <w:t>Recognition of $2.5 million of revenue from the estimated unredeemed loyalty points and rewards from purchases made in 2022.</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77" w:name="page78"/>
    <w:bookmarkEnd w:id="77"/>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Franchising and Other Segment Performance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0" w:type="dxa"/>
            <w:vAlign w:val="bottom"/>
            <w:gridSpan w:val="7"/>
          </w:tcPr>
          <w:p>
            <w:pPr>
              <w:ind w:left="40"/>
              <w:spacing w:after="0"/>
              <w:rPr>
                <w:sz w:val="20"/>
                <w:szCs w:val="20"/>
                <w:color w:val="auto"/>
              </w:rPr>
            </w:pPr>
            <w:r>
              <w:rPr>
                <w:rFonts w:ascii="Arial" w:cs="Arial" w:eastAsia="Arial" w:hAnsi="Arial"/>
                <w:sz w:val="14"/>
                <w:szCs w:val="14"/>
                <w:b w:val="1"/>
                <w:bCs w:val="1"/>
                <w:color w:val="131E29"/>
              </w:rPr>
              <w:t>Year Ended December 31,</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2"/>
        </w:trPr>
        <w:tc>
          <w:tcPr>
            <w:tcW w:w="24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r>
      <w:tr>
        <w:trPr>
          <w:trHeight w:val="193"/>
        </w:trPr>
        <w:tc>
          <w:tcPr>
            <w:tcW w:w="292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131E29"/>
              </w:rPr>
              <w:t>(in thousands; unaudited)</w:t>
            </w:r>
          </w:p>
        </w:tc>
        <w:tc>
          <w:tcPr>
            <w:tcW w:w="80" w:type="dxa"/>
            <w:vAlign w:val="bottom"/>
            <w:tcBorders>
              <w:bottom w:val="single" w:sz="8" w:color="D2DCE5"/>
            </w:tcBorders>
          </w:tcPr>
          <w:p>
            <w:pPr>
              <w:spacing w:after="0"/>
              <w:rPr>
                <w:sz w:val="16"/>
                <w:szCs w:val="16"/>
                <w:color w:val="auto"/>
              </w:rPr>
            </w:pPr>
          </w:p>
        </w:tc>
        <w:tc>
          <w:tcPr>
            <w:tcW w:w="200" w:type="dxa"/>
            <w:vAlign w:val="bottom"/>
            <w:tcBorders>
              <w:bottom w:val="single" w:sz="8" w:color="131E29"/>
            </w:tcBorders>
          </w:tcPr>
          <w:p>
            <w:pPr>
              <w:spacing w:after="0"/>
              <w:rPr>
                <w:sz w:val="16"/>
                <w:szCs w:val="16"/>
                <w:color w:val="auto"/>
              </w:rPr>
            </w:pPr>
          </w:p>
        </w:tc>
        <w:tc>
          <w:tcPr>
            <w:tcW w:w="800" w:type="dxa"/>
            <w:vAlign w:val="bottom"/>
            <w:tcBorders>
              <w:bottom w:val="single" w:sz="8" w:color="131E29"/>
            </w:tcBorders>
          </w:tcPr>
          <w:p>
            <w:pPr>
              <w:jc w:val="right"/>
              <w:ind w:right="275"/>
              <w:spacing w:after="0"/>
              <w:rPr>
                <w:sz w:val="20"/>
                <w:szCs w:val="20"/>
                <w:color w:val="auto"/>
              </w:rPr>
            </w:pPr>
            <w:r>
              <w:rPr>
                <w:rFonts w:ascii="Arial" w:cs="Arial" w:eastAsia="Arial" w:hAnsi="Arial"/>
                <w:sz w:val="14"/>
                <w:szCs w:val="14"/>
                <w:b w:val="1"/>
                <w:bCs w:val="1"/>
                <w:color w:val="131E29"/>
              </w:rPr>
              <w:t>2022</w:t>
            </w:r>
          </w:p>
        </w:tc>
        <w:tc>
          <w:tcPr>
            <w:tcW w:w="80" w:type="dxa"/>
            <w:vAlign w:val="bottom"/>
            <w:tcBorders>
              <w:bottom w:val="single" w:sz="8" w:color="D2DCE5"/>
            </w:tcBorders>
          </w:tcPr>
          <w:p>
            <w:pPr>
              <w:spacing w:after="0"/>
              <w:rPr>
                <w:sz w:val="16"/>
                <w:szCs w:val="16"/>
                <w:color w:val="auto"/>
              </w:rPr>
            </w:pPr>
          </w:p>
        </w:tc>
        <w:tc>
          <w:tcPr>
            <w:tcW w:w="200" w:type="dxa"/>
            <w:vAlign w:val="bottom"/>
            <w:tcBorders>
              <w:bottom w:val="single" w:sz="8" w:color="131E29"/>
            </w:tcBorders>
          </w:tcPr>
          <w:p>
            <w:pPr>
              <w:spacing w:after="0"/>
              <w:rPr>
                <w:sz w:val="16"/>
                <w:szCs w:val="16"/>
                <w:color w:val="auto"/>
              </w:rPr>
            </w:pPr>
          </w:p>
        </w:tc>
        <w:tc>
          <w:tcPr>
            <w:tcW w:w="760" w:type="dxa"/>
            <w:vAlign w:val="bottom"/>
            <w:tcBorders>
              <w:bottom w:val="single" w:sz="8" w:color="131E29"/>
            </w:tcBorders>
          </w:tcPr>
          <w:p>
            <w:pPr>
              <w:jc w:val="right"/>
              <w:ind w:right="255"/>
              <w:spacing w:after="0"/>
              <w:rPr>
                <w:sz w:val="20"/>
                <w:szCs w:val="20"/>
                <w:color w:val="auto"/>
              </w:rPr>
            </w:pPr>
            <w:r>
              <w:rPr>
                <w:rFonts w:ascii="Arial" w:cs="Arial" w:eastAsia="Arial" w:hAnsi="Arial"/>
                <w:sz w:val="14"/>
                <w:szCs w:val="14"/>
                <w:b w:val="1"/>
                <w:bCs w:val="1"/>
                <w:color w:val="131E29"/>
              </w:rPr>
              <w:t>2021</w:t>
            </w:r>
          </w:p>
        </w:tc>
        <w:tc>
          <w:tcPr>
            <w:tcW w:w="80" w:type="dxa"/>
            <w:vAlign w:val="bottom"/>
            <w:tcBorders>
              <w:bottom w:val="single" w:sz="8" w:color="D2DCE5"/>
            </w:tcBorders>
          </w:tcPr>
          <w:p>
            <w:pPr>
              <w:spacing w:after="0"/>
              <w:rPr>
                <w:sz w:val="16"/>
                <w:szCs w:val="16"/>
                <w:color w:val="auto"/>
              </w:rPr>
            </w:pPr>
          </w:p>
        </w:tc>
        <w:tc>
          <w:tcPr>
            <w:tcW w:w="240" w:type="dxa"/>
            <w:vAlign w:val="bottom"/>
            <w:tcBorders>
              <w:bottom w:val="single" w:sz="8" w:color="131E29"/>
            </w:tcBorders>
          </w:tcPr>
          <w:p>
            <w:pPr>
              <w:spacing w:after="0"/>
              <w:rPr>
                <w:sz w:val="16"/>
                <w:szCs w:val="16"/>
                <w:color w:val="auto"/>
              </w:rPr>
            </w:pPr>
          </w:p>
        </w:tc>
        <w:tc>
          <w:tcPr>
            <w:tcW w:w="880" w:type="dxa"/>
            <w:vAlign w:val="bottom"/>
            <w:tcBorders>
              <w:bottom w:val="single" w:sz="8" w:color="131E29"/>
            </w:tcBorders>
          </w:tcPr>
          <w:p>
            <w:pPr>
              <w:jc w:val="right"/>
              <w:ind w:right="335"/>
              <w:spacing w:after="0"/>
              <w:rPr>
                <w:sz w:val="20"/>
                <w:szCs w:val="20"/>
                <w:color w:val="auto"/>
              </w:rPr>
            </w:pPr>
            <w:r>
              <w:rPr>
                <w:rFonts w:ascii="Arial" w:cs="Arial" w:eastAsia="Arial" w:hAnsi="Arial"/>
                <w:sz w:val="14"/>
                <w:szCs w:val="14"/>
                <w:b w:val="1"/>
                <w:bCs w:val="1"/>
                <w:color w:val="131E29"/>
              </w:rPr>
              <w:t>2020</w:t>
            </w:r>
          </w:p>
        </w:tc>
        <w:tc>
          <w:tcPr>
            <w:tcW w:w="80" w:type="dxa"/>
            <w:vAlign w:val="bottom"/>
            <w:tcBorders>
              <w:bottom w:val="single" w:sz="8" w:color="D2DCE5"/>
            </w:tcBorders>
          </w:tcPr>
          <w:p>
            <w:pPr>
              <w:spacing w:after="0"/>
              <w:rPr>
                <w:sz w:val="16"/>
                <w:szCs w:val="16"/>
                <w:color w:val="auto"/>
              </w:rPr>
            </w:pPr>
          </w:p>
        </w:tc>
        <w:tc>
          <w:tcPr>
            <w:tcW w:w="700" w:type="dxa"/>
            <w:vAlign w:val="bottom"/>
            <w:tcBorders>
              <w:bottom w:val="single" w:sz="8" w:color="131E29"/>
            </w:tcBorders>
          </w:tcPr>
          <w:p>
            <w:pPr>
              <w:spacing w:after="0"/>
              <w:rPr>
                <w:sz w:val="16"/>
                <w:szCs w:val="16"/>
                <w:color w:val="auto"/>
              </w:rPr>
            </w:pPr>
          </w:p>
        </w:tc>
        <w:tc>
          <w:tcPr>
            <w:tcW w:w="1740" w:type="dxa"/>
            <w:vAlign w:val="bottom"/>
            <w:tcBorders>
              <w:bottom w:val="single" w:sz="8" w:color="131E29"/>
            </w:tcBorders>
            <w:gridSpan w:val="4"/>
          </w:tcPr>
          <w:p>
            <w:pPr>
              <w:ind w:left="120"/>
              <w:spacing w:after="0"/>
              <w:rPr>
                <w:sz w:val="20"/>
                <w:szCs w:val="20"/>
                <w:color w:val="auto"/>
              </w:rPr>
            </w:pPr>
            <w:r>
              <w:rPr>
                <w:rFonts w:ascii="Arial" w:cs="Arial" w:eastAsia="Arial" w:hAnsi="Arial"/>
                <w:sz w:val="14"/>
                <w:szCs w:val="14"/>
                <w:b w:val="1"/>
                <w:bCs w:val="1"/>
                <w:color w:val="131E29"/>
              </w:rPr>
              <w:t>2022 v. 2021</w:t>
            </w:r>
          </w:p>
        </w:tc>
        <w:tc>
          <w:tcPr>
            <w:tcW w:w="80" w:type="dxa"/>
            <w:vAlign w:val="bottom"/>
            <w:tcBorders>
              <w:bottom w:val="single" w:sz="8" w:color="D2DCE5"/>
            </w:tcBorders>
          </w:tcPr>
          <w:p>
            <w:pPr>
              <w:spacing w:after="0"/>
              <w:rPr>
                <w:sz w:val="16"/>
                <w:szCs w:val="16"/>
                <w:color w:val="auto"/>
              </w:rPr>
            </w:pPr>
          </w:p>
        </w:tc>
        <w:tc>
          <w:tcPr>
            <w:tcW w:w="140" w:type="dxa"/>
            <w:vAlign w:val="bottom"/>
            <w:tcBorders>
              <w:bottom w:val="single" w:sz="8" w:color="131E29"/>
            </w:tcBorders>
          </w:tcPr>
          <w:p>
            <w:pPr>
              <w:spacing w:after="0"/>
              <w:rPr>
                <w:sz w:val="16"/>
                <w:szCs w:val="16"/>
                <w:color w:val="auto"/>
              </w:rPr>
            </w:pPr>
          </w:p>
        </w:tc>
        <w:tc>
          <w:tcPr>
            <w:tcW w:w="620" w:type="dxa"/>
            <w:vAlign w:val="bottom"/>
            <w:tcBorders>
              <w:bottom w:val="single" w:sz="8" w:color="131E29"/>
            </w:tcBorders>
          </w:tcPr>
          <w:p>
            <w:pPr>
              <w:spacing w:after="0"/>
              <w:rPr>
                <w:sz w:val="16"/>
                <w:szCs w:val="16"/>
                <w:color w:val="auto"/>
              </w:rPr>
            </w:pPr>
          </w:p>
        </w:tc>
        <w:tc>
          <w:tcPr>
            <w:tcW w:w="1680" w:type="dxa"/>
            <w:vAlign w:val="bottom"/>
            <w:tcBorders>
              <w:bottom w:val="single" w:sz="8" w:color="131E29"/>
            </w:tcBorders>
            <w:gridSpan w:val="3"/>
          </w:tcPr>
          <w:p>
            <w:pPr>
              <w:jc w:val="right"/>
              <w:ind w:right="732"/>
              <w:spacing w:after="0"/>
              <w:rPr>
                <w:sz w:val="20"/>
                <w:szCs w:val="20"/>
                <w:color w:val="auto"/>
              </w:rPr>
            </w:pPr>
            <w:r>
              <w:rPr>
                <w:rFonts w:ascii="Arial" w:cs="Arial" w:eastAsia="Arial" w:hAnsi="Arial"/>
                <w:sz w:val="14"/>
                <w:szCs w:val="14"/>
                <w:b w:val="1"/>
                <w:bCs w:val="1"/>
                <w:color w:val="131E29"/>
              </w:rPr>
              <w:t>2021 v. 2020</w:t>
            </w:r>
          </w:p>
        </w:tc>
      </w:tr>
      <w:tr>
        <w:trPr>
          <w:trHeight w:val="191"/>
        </w:trPr>
        <w:tc>
          <w:tcPr>
            <w:tcW w:w="3000" w:type="dxa"/>
            <w:vAlign w:val="bottom"/>
            <w:gridSpan w:val="3"/>
            <w:shd w:val="clear" w:color="auto" w:fill="D2DCE5"/>
          </w:tcPr>
          <w:p>
            <w:pPr>
              <w:ind w:left="20"/>
              <w:spacing w:after="0"/>
              <w:rPr>
                <w:sz w:val="20"/>
                <w:szCs w:val="20"/>
                <w:color w:val="auto"/>
              </w:rPr>
            </w:pPr>
            <w:r>
              <w:rPr>
                <w:rFonts w:ascii="Arial" w:cs="Arial" w:eastAsia="Arial" w:hAnsi="Arial"/>
                <w:sz w:val="13"/>
                <w:szCs w:val="13"/>
                <w:color w:val="131E29"/>
              </w:rPr>
              <w:t>Franchising and other revenue</w:t>
            </w:r>
          </w:p>
        </w:tc>
        <w:tc>
          <w:tcPr>
            <w:tcW w:w="200" w:type="dxa"/>
            <w:vAlign w:val="bottom"/>
            <w:shd w:val="clear" w:color="auto" w:fill="D2DCE5"/>
          </w:tcPr>
          <w:p>
            <w:pPr>
              <w:jc w:val="right"/>
              <w:ind w:right="36"/>
              <w:spacing w:after="0"/>
              <w:rPr>
                <w:sz w:val="20"/>
                <w:szCs w:val="20"/>
                <w:color w:val="auto"/>
              </w:rPr>
            </w:pPr>
            <w:r>
              <w:rPr>
                <w:rFonts w:ascii="Arial" w:cs="Arial" w:eastAsia="Arial" w:hAnsi="Arial"/>
                <w:sz w:val="13"/>
                <w:szCs w:val="13"/>
                <w:color w:val="131E29"/>
              </w:rPr>
              <w:t>$</w:t>
            </w:r>
          </w:p>
        </w:tc>
        <w:tc>
          <w:tcPr>
            <w:tcW w:w="80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99,302</w:t>
            </w:r>
          </w:p>
        </w:tc>
        <w:tc>
          <w:tcPr>
            <w:tcW w:w="80" w:type="dxa"/>
            <w:vAlign w:val="bottom"/>
            <w:shd w:val="clear" w:color="auto" w:fill="D2DCE5"/>
          </w:tcPr>
          <w:p>
            <w:pPr>
              <w:spacing w:after="0"/>
              <w:rPr>
                <w:sz w:val="16"/>
                <w:szCs w:val="16"/>
                <w:color w:val="auto"/>
              </w:rPr>
            </w:pPr>
          </w:p>
        </w:tc>
        <w:tc>
          <w:tcPr>
            <w:tcW w:w="200" w:type="dxa"/>
            <w:vAlign w:val="bottom"/>
            <w:shd w:val="clear" w:color="auto" w:fill="D2DCE5"/>
          </w:tcPr>
          <w:p>
            <w:pPr>
              <w:jc w:val="right"/>
              <w:ind w:right="56"/>
              <w:spacing w:after="0"/>
              <w:rPr>
                <w:sz w:val="20"/>
                <w:szCs w:val="20"/>
                <w:color w:val="auto"/>
              </w:rPr>
            </w:pPr>
            <w:r>
              <w:rPr>
                <w:rFonts w:ascii="Arial" w:cs="Arial" w:eastAsia="Arial" w:hAnsi="Arial"/>
                <w:sz w:val="13"/>
                <w:szCs w:val="13"/>
                <w:color w:val="131E29"/>
                <w:w w:val="82"/>
              </w:rPr>
              <w:t>$</w:t>
            </w:r>
          </w:p>
        </w:tc>
        <w:tc>
          <w:tcPr>
            <w:tcW w:w="7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94,130</w:t>
            </w:r>
          </w:p>
        </w:tc>
        <w:tc>
          <w:tcPr>
            <w:tcW w:w="80" w:type="dxa"/>
            <w:vAlign w:val="bottom"/>
            <w:shd w:val="clear" w:color="auto" w:fill="D2DCE5"/>
          </w:tcPr>
          <w:p>
            <w:pPr>
              <w:spacing w:after="0"/>
              <w:rPr>
                <w:sz w:val="16"/>
                <w:szCs w:val="16"/>
                <w:color w:val="auto"/>
              </w:rPr>
            </w:pPr>
          </w:p>
        </w:tc>
        <w:tc>
          <w:tcPr>
            <w:tcW w:w="240" w:type="dxa"/>
            <w:vAlign w:val="bottom"/>
            <w:shd w:val="clear" w:color="auto" w:fill="D2DCE5"/>
          </w:tcPr>
          <w:p>
            <w:pPr>
              <w:jc w:val="right"/>
              <w:ind w:right="96"/>
              <w:spacing w:after="0"/>
              <w:rPr>
                <w:sz w:val="20"/>
                <w:szCs w:val="20"/>
                <w:color w:val="auto"/>
              </w:rPr>
            </w:pPr>
            <w:r>
              <w:rPr>
                <w:rFonts w:ascii="Arial" w:cs="Arial" w:eastAsia="Arial" w:hAnsi="Arial"/>
                <w:sz w:val="13"/>
                <w:szCs w:val="13"/>
                <w:color w:val="131E29"/>
                <w:w w:val="82"/>
              </w:rPr>
              <w:t>$</w:t>
            </w:r>
          </w:p>
        </w:tc>
        <w:tc>
          <w:tcPr>
            <w:tcW w:w="88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82,899</w:t>
            </w:r>
          </w:p>
        </w:tc>
        <w:tc>
          <w:tcPr>
            <w:tcW w:w="780" w:type="dxa"/>
            <w:vAlign w:val="bottom"/>
            <w:gridSpan w:val="2"/>
            <w:shd w:val="clear" w:color="auto" w:fill="D2DCE5"/>
          </w:tcPr>
          <w:p>
            <w:pPr>
              <w:jc w:val="right"/>
              <w:ind w:right="536"/>
              <w:spacing w:after="0"/>
              <w:rPr>
                <w:sz w:val="20"/>
                <w:szCs w:val="20"/>
                <w:color w:val="auto"/>
              </w:rPr>
            </w:pPr>
            <w:r>
              <w:rPr>
                <w:rFonts w:ascii="Arial" w:cs="Arial" w:eastAsia="Arial" w:hAnsi="Arial"/>
                <w:sz w:val="13"/>
                <w:szCs w:val="13"/>
                <w:color w:val="131E29"/>
              </w:rPr>
              <w:t>$</w:t>
            </w:r>
          </w:p>
        </w:tc>
        <w:tc>
          <w:tcPr>
            <w:tcW w:w="620" w:type="dxa"/>
            <w:vAlign w:val="bottom"/>
            <w:shd w:val="clear" w:color="auto" w:fill="D2DCE5"/>
          </w:tcPr>
          <w:p>
            <w:pPr>
              <w:jc w:val="right"/>
              <w:ind w:right="174"/>
              <w:spacing w:after="0"/>
              <w:rPr>
                <w:sz w:val="20"/>
                <w:szCs w:val="20"/>
                <w:color w:val="auto"/>
              </w:rPr>
            </w:pPr>
            <w:r>
              <w:rPr>
                <w:rFonts w:ascii="Arial" w:cs="Arial" w:eastAsia="Arial" w:hAnsi="Arial"/>
                <w:sz w:val="13"/>
                <w:szCs w:val="13"/>
                <w:color w:val="131E29"/>
              </w:rPr>
              <w:t>5,172</w:t>
            </w:r>
          </w:p>
        </w:tc>
        <w:tc>
          <w:tcPr>
            <w:tcW w:w="1120" w:type="dxa"/>
            <w:vAlign w:val="bottom"/>
            <w:gridSpan w:val="3"/>
            <w:shd w:val="clear" w:color="auto" w:fill="D2DCE5"/>
          </w:tcPr>
          <w:p>
            <w:pPr>
              <w:jc w:val="right"/>
              <w:ind w:right="460"/>
              <w:spacing w:after="0"/>
              <w:rPr>
                <w:sz w:val="20"/>
                <w:szCs w:val="20"/>
                <w:color w:val="auto"/>
              </w:rPr>
            </w:pPr>
            <w:r>
              <w:rPr>
                <w:rFonts w:ascii="Arial" w:cs="Arial" w:eastAsia="Arial" w:hAnsi="Arial"/>
                <w:sz w:val="13"/>
                <w:szCs w:val="13"/>
                <w:color w:val="131E29"/>
              </w:rPr>
              <w:t>5.5%</w:t>
            </w:r>
          </w:p>
        </w:tc>
        <w:tc>
          <w:tcPr>
            <w:tcW w:w="80" w:type="dxa"/>
            <w:vAlign w:val="bottom"/>
            <w:shd w:val="clear" w:color="auto" w:fill="D2DCE5"/>
          </w:tcPr>
          <w:p>
            <w:pPr>
              <w:spacing w:after="0"/>
              <w:rPr>
                <w:sz w:val="16"/>
                <w:szCs w:val="16"/>
                <w:color w:val="auto"/>
              </w:rPr>
            </w:pPr>
          </w:p>
        </w:tc>
        <w:tc>
          <w:tcPr>
            <w:tcW w:w="140" w:type="dxa"/>
            <w:vAlign w:val="bottom"/>
            <w:shd w:val="clear" w:color="auto" w:fill="D2DCE5"/>
          </w:tcPr>
          <w:p>
            <w:pPr>
              <w:jc w:val="right"/>
              <w:spacing w:after="0"/>
              <w:rPr>
                <w:sz w:val="20"/>
                <w:szCs w:val="20"/>
                <w:color w:val="auto"/>
              </w:rPr>
            </w:pPr>
            <w:r>
              <w:rPr>
                <w:rFonts w:ascii="Arial" w:cs="Arial" w:eastAsia="Arial" w:hAnsi="Arial"/>
                <w:sz w:val="13"/>
                <w:szCs w:val="13"/>
                <w:color w:val="131E29"/>
                <w:w w:val="82"/>
              </w:rPr>
              <w:t>$</w:t>
            </w:r>
          </w:p>
        </w:tc>
        <w:tc>
          <w:tcPr>
            <w:tcW w:w="1000" w:type="dxa"/>
            <w:vAlign w:val="bottom"/>
            <w:gridSpan w:val="3"/>
            <w:shd w:val="clear" w:color="auto" w:fill="D2DCE5"/>
          </w:tcPr>
          <w:p>
            <w:pPr>
              <w:jc w:val="right"/>
              <w:ind w:right="60"/>
              <w:spacing w:after="0"/>
              <w:rPr>
                <w:sz w:val="20"/>
                <w:szCs w:val="20"/>
                <w:color w:val="auto"/>
              </w:rPr>
            </w:pPr>
            <w:r>
              <w:rPr>
                <w:rFonts w:ascii="Arial" w:cs="Arial" w:eastAsia="Arial" w:hAnsi="Arial"/>
                <w:sz w:val="13"/>
                <w:szCs w:val="13"/>
                <w:color w:val="131E29"/>
              </w:rPr>
              <w:t>11,231</w:t>
            </w:r>
          </w:p>
        </w:tc>
        <w:tc>
          <w:tcPr>
            <w:tcW w:w="1300" w:type="dxa"/>
            <w:vAlign w:val="bottom"/>
            <w:shd w:val="clear" w:color="auto" w:fill="D2DCE5"/>
          </w:tcPr>
          <w:p>
            <w:pPr>
              <w:jc w:val="center"/>
              <w:ind w:left="32"/>
              <w:spacing w:after="0"/>
              <w:rPr>
                <w:sz w:val="20"/>
                <w:szCs w:val="20"/>
                <w:color w:val="auto"/>
              </w:rPr>
            </w:pPr>
            <w:r>
              <w:rPr>
                <w:rFonts w:ascii="Arial" w:cs="Arial" w:eastAsia="Arial" w:hAnsi="Arial"/>
                <w:sz w:val="13"/>
                <w:szCs w:val="13"/>
                <w:color w:val="131E29"/>
                <w:w w:val="97"/>
              </w:rPr>
              <w:t>13.5%</w:t>
            </w:r>
          </w:p>
        </w:tc>
      </w:tr>
      <w:tr>
        <w:trPr>
          <w:trHeight w:val="183"/>
        </w:trPr>
        <w:tc>
          <w:tcPr>
            <w:tcW w:w="3000" w:type="dxa"/>
            <w:vAlign w:val="bottom"/>
            <w:gridSpan w:val="3"/>
          </w:tcPr>
          <w:p>
            <w:pPr>
              <w:ind w:left="20"/>
              <w:spacing w:after="0"/>
              <w:rPr>
                <w:sz w:val="20"/>
                <w:szCs w:val="20"/>
                <w:color w:val="auto"/>
              </w:rPr>
            </w:pPr>
            <w:r>
              <w:rPr>
                <w:rFonts w:ascii="Arial" w:cs="Arial" w:eastAsia="Arial" w:hAnsi="Arial"/>
                <w:sz w:val="13"/>
                <w:szCs w:val="13"/>
                <w:color w:val="131E29"/>
              </w:rPr>
              <w:t>Franchising and other gross profit</w:t>
            </w:r>
          </w:p>
        </w:tc>
        <w:tc>
          <w:tcPr>
            <w:tcW w:w="200" w:type="dxa"/>
            <w:vAlign w:val="bottom"/>
          </w:tcPr>
          <w:p>
            <w:pPr>
              <w:jc w:val="right"/>
              <w:ind w:right="36"/>
              <w:spacing w:after="0"/>
              <w:rPr>
                <w:sz w:val="20"/>
                <w:szCs w:val="20"/>
                <w:color w:val="auto"/>
              </w:rPr>
            </w:pPr>
            <w:r>
              <w:rPr>
                <w:rFonts w:ascii="Arial" w:cs="Arial" w:eastAsia="Arial" w:hAnsi="Arial"/>
                <w:sz w:val="13"/>
                <w:szCs w:val="13"/>
                <w:color w:val="131E29"/>
              </w:rPr>
              <w:t>$</w:t>
            </w:r>
          </w:p>
        </w:tc>
        <w:tc>
          <w:tcPr>
            <w:tcW w:w="800" w:type="dxa"/>
            <w:vAlign w:val="bottom"/>
          </w:tcPr>
          <w:p>
            <w:pPr>
              <w:jc w:val="right"/>
              <w:spacing w:after="0"/>
              <w:rPr>
                <w:sz w:val="20"/>
                <w:szCs w:val="20"/>
                <w:color w:val="auto"/>
              </w:rPr>
            </w:pPr>
            <w:r>
              <w:rPr>
                <w:rFonts w:ascii="Arial" w:cs="Arial" w:eastAsia="Arial" w:hAnsi="Arial"/>
                <w:sz w:val="13"/>
                <w:szCs w:val="13"/>
                <w:color w:val="131E29"/>
              </w:rPr>
              <w:t>59,589</w:t>
            </w:r>
          </w:p>
        </w:tc>
        <w:tc>
          <w:tcPr>
            <w:tcW w:w="80" w:type="dxa"/>
            <w:vAlign w:val="bottom"/>
          </w:tcPr>
          <w:p>
            <w:pPr>
              <w:spacing w:after="0"/>
              <w:rPr>
                <w:sz w:val="15"/>
                <w:szCs w:val="15"/>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131E29"/>
                <w:w w:val="82"/>
              </w:rPr>
              <w:t>$</w:t>
            </w:r>
          </w:p>
        </w:tc>
        <w:tc>
          <w:tcPr>
            <w:tcW w:w="760" w:type="dxa"/>
            <w:vAlign w:val="bottom"/>
          </w:tcPr>
          <w:p>
            <w:pPr>
              <w:jc w:val="right"/>
              <w:spacing w:after="0"/>
              <w:rPr>
                <w:sz w:val="20"/>
                <w:szCs w:val="20"/>
                <w:color w:val="auto"/>
              </w:rPr>
            </w:pPr>
            <w:r>
              <w:rPr>
                <w:rFonts w:ascii="Arial" w:cs="Arial" w:eastAsia="Arial" w:hAnsi="Arial"/>
                <w:sz w:val="13"/>
                <w:szCs w:val="13"/>
                <w:color w:val="131E29"/>
              </w:rPr>
              <w:t>66,602</w:t>
            </w:r>
          </w:p>
        </w:tc>
        <w:tc>
          <w:tcPr>
            <w:tcW w:w="80" w:type="dxa"/>
            <w:vAlign w:val="bottom"/>
          </w:tcPr>
          <w:p>
            <w:pPr>
              <w:spacing w:after="0"/>
              <w:rPr>
                <w:sz w:val="15"/>
                <w:szCs w:val="15"/>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131E29"/>
                <w:w w:val="82"/>
              </w:rPr>
              <w:t>$</w:t>
            </w:r>
          </w:p>
        </w:tc>
        <w:tc>
          <w:tcPr>
            <w:tcW w:w="880" w:type="dxa"/>
            <w:vAlign w:val="bottom"/>
          </w:tcPr>
          <w:p>
            <w:pPr>
              <w:jc w:val="right"/>
              <w:spacing w:after="0"/>
              <w:rPr>
                <w:sz w:val="20"/>
                <w:szCs w:val="20"/>
                <w:color w:val="auto"/>
              </w:rPr>
            </w:pPr>
            <w:r>
              <w:rPr>
                <w:rFonts w:ascii="Arial" w:cs="Arial" w:eastAsia="Arial" w:hAnsi="Arial"/>
                <w:sz w:val="13"/>
                <w:szCs w:val="13"/>
                <w:color w:val="131E29"/>
              </w:rPr>
              <w:t>55,389</w:t>
            </w:r>
          </w:p>
        </w:tc>
        <w:tc>
          <w:tcPr>
            <w:tcW w:w="780" w:type="dxa"/>
            <w:vAlign w:val="bottom"/>
            <w:gridSpan w:val="2"/>
          </w:tcPr>
          <w:p>
            <w:pPr>
              <w:jc w:val="right"/>
              <w:ind w:right="536"/>
              <w:spacing w:after="0"/>
              <w:rPr>
                <w:sz w:val="20"/>
                <w:szCs w:val="20"/>
                <w:color w:val="auto"/>
              </w:rPr>
            </w:pPr>
            <w:r>
              <w:rPr>
                <w:rFonts w:ascii="Arial" w:cs="Arial" w:eastAsia="Arial" w:hAnsi="Arial"/>
                <w:sz w:val="13"/>
                <w:szCs w:val="13"/>
                <w:color w:val="131E29"/>
              </w:rPr>
              <w:t>$</w:t>
            </w:r>
          </w:p>
        </w:tc>
        <w:tc>
          <w:tcPr>
            <w:tcW w:w="620" w:type="dxa"/>
            <w:vAlign w:val="bottom"/>
          </w:tcPr>
          <w:p>
            <w:pPr>
              <w:jc w:val="right"/>
              <w:ind w:right="134"/>
              <w:spacing w:after="0"/>
              <w:rPr>
                <w:sz w:val="20"/>
                <w:szCs w:val="20"/>
                <w:color w:val="auto"/>
              </w:rPr>
            </w:pPr>
            <w:r>
              <w:rPr>
                <w:rFonts w:ascii="Arial" w:cs="Arial" w:eastAsia="Arial" w:hAnsi="Arial"/>
                <w:sz w:val="13"/>
                <w:szCs w:val="13"/>
                <w:color w:val="131E29"/>
                <w:w w:val="97"/>
              </w:rPr>
              <w:t>(7,013)</w:t>
            </w:r>
          </w:p>
        </w:tc>
        <w:tc>
          <w:tcPr>
            <w:tcW w:w="1120" w:type="dxa"/>
            <w:vAlign w:val="bottom"/>
            <w:gridSpan w:val="3"/>
          </w:tcPr>
          <w:p>
            <w:pPr>
              <w:jc w:val="right"/>
              <w:ind w:right="380"/>
              <w:spacing w:after="0"/>
              <w:rPr>
                <w:sz w:val="20"/>
                <w:szCs w:val="20"/>
                <w:color w:val="auto"/>
              </w:rPr>
            </w:pPr>
            <w:r>
              <w:rPr>
                <w:rFonts w:ascii="Arial" w:cs="Arial" w:eastAsia="Arial" w:hAnsi="Arial"/>
                <w:sz w:val="13"/>
                <w:szCs w:val="13"/>
                <w:color w:val="131E29"/>
              </w:rPr>
              <w:t>(10.5)%</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131E29"/>
                <w:w w:val="82"/>
              </w:rPr>
              <w:t>$</w:t>
            </w:r>
          </w:p>
        </w:tc>
        <w:tc>
          <w:tcPr>
            <w:tcW w:w="1000" w:type="dxa"/>
            <w:vAlign w:val="bottom"/>
            <w:gridSpan w:val="3"/>
          </w:tcPr>
          <w:p>
            <w:pPr>
              <w:jc w:val="right"/>
              <w:ind w:right="60"/>
              <w:spacing w:after="0"/>
              <w:rPr>
                <w:sz w:val="20"/>
                <w:szCs w:val="20"/>
                <w:color w:val="auto"/>
              </w:rPr>
            </w:pPr>
            <w:r>
              <w:rPr>
                <w:rFonts w:ascii="Arial" w:cs="Arial" w:eastAsia="Arial" w:hAnsi="Arial"/>
                <w:sz w:val="13"/>
                <w:szCs w:val="13"/>
                <w:color w:val="131E29"/>
              </w:rPr>
              <w:t>11,213</w:t>
            </w:r>
          </w:p>
        </w:tc>
        <w:tc>
          <w:tcPr>
            <w:tcW w:w="1300" w:type="dxa"/>
            <w:vAlign w:val="bottom"/>
          </w:tcPr>
          <w:p>
            <w:pPr>
              <w:jc w:val="center"/>
              <w:ind w:left="32"/>
              <w:spacing w:after="0"/>
              <w:rPr>
                <w:sz w:val="20"/>
                <w:szCs w:val="20"/>
                <w:color w:val="auto"/>
              </w:rPr>
            </w:pPr>
            <w:r>
              <w:rPr>
                <w:rFonts w:ascii="Arial" w:cs="Arial" w:eastAsia="Arial" w:hAnsi="Arial"/>
                <w:sz w:val="13"/>
                <w:szCs w:val="13"/>
                <w:color w:val="131E29"/>
                <w:w w:val="97"/>
              </w:rPr>
              <w:t>20.2%</w:t>
            </w:r>
          </w:p>
        </w:tc>
      </w:tr>
      <w:tr>
        <w:trPr>
          <w:trHeight w:val="199"/>
        </w:trPr>
        <w:tc>
          <w:tcPr>
            <w:tcW w:w="3000" w:type="dxa"/>
            <w:vAlign w:val="bottom"/>
            <w:gridSpan w:val="3"/>
            <w:shd w:val="clear" w:color="auto" w:fill="D2DCE5"/>
          </w:tcPr>
          <w:p>
            <w:pPr>
              <w:ind w:left="20"/>
              <w:spacing w:after="0"/>
              <w:rPr>
                <w:sz w:val="20"/>
                <w:szCs w:val="20"/>
                <w:color w:val="auto"/>
              </w:rPr>
            </w:pPr>
            <w:r>
              <w:rPr>
                <w:rFonts w:ascii="Arial" w:cs="Arial" w:eastAsia="Arial" w:hAnsi="Arial"/>
                <w:sz w:val="13"/>
                <w:szCs w:val="13"/>
                <w:i w:val="1"/>
                <w:iCs w:val="1"/>
                <w:color w:val="131E29"/>
              </w:rPr>
              <w:t>As a percentage of franchising and other revenue</w:t>
            </w:r>
          </w:p>
        </w:tc>
        <w:tc>
          <w:tcPr>
            <w:tcW w:w="200" w:type="dxa"/>
            <w:vAlign w:val="bottom"/>
            <w:shd w:val="clear" w:color="auto" w:fill="D2DCE5"/>
          </w:tcPr>
          <w:p>
            <w:pPr>
              <w:spacing w:after="0"/>
              <w:rPr>
                <w:sz w:val="17"/>
                <w:szCs w:val="17"/>
                <w:color w:val="auto"/>
              </w:rPr>
            </w:pPr>
          </w:p>
        </w:tc>
        <w:tc>
          <w:tcPr>
            <w:tcW w:w="800" w:type="dxa"/>
            <w:vAlign w:val="bottom"/>
            <w:shd w:val="clear" w:color="auto" w:fill="D2DCE5"/>
          </w:tcPr>
          <w:p>
            <w:pPr>
              <w:jc w:val="right"/>
              <w:ind w:right="255"/>
              <w:spacing w:after="0"/>
              <w:rPr>
                <w:sz w:val="20"/>
                <w:szCs w:val="20"/>
                <w:color w:val="auto"/>
              </w:rPr>
            </w:pPr>
            <w:r>
              <w:rPr>
                <w:rFonts w:ascii="Arial" w:cs="Arial" w:eastAsia="Arial" w:hAnsi="Arial"/>
                <w:sz w:val="13"/>
                <w:szCs w:val="13"/>
                <w:color w:val="131E29"/>
              </w:rPr>
              <w:t>60.0%</w:t>
            </w:r>
          </w:p>
        </w:tc>
        <w:tc>
          <w:tcPr>
            <w:tcW w:w="80" w:type="dxa"/>
            <w:vAlign w:val="bottom"/>
            <w:shd w:val="clear" w:color="auto" w:fill="D2DCE5"/>
          </w:tcPr>
          <w:p>
            <w:pPr>
              <w:spacing w:after="0"/>
              <w:rPr>
                <w:sz w:val="17"/>
                <w:szCs w:val="17"/>
                <w:color w:val="auto"/>
              </w:rPr>
            </w:pPr>
          </w:p>
        </w:tc>
        <w:tc>
          <w:tcPr>
            <w:tcW w:w="200" w:type="dxa"/>
            <w:vAlign w:val="bottom"/>
            <w:shd w:val="clear" w:color="auto" w:fill="D2DCE5"/>
          </w:tcPr>
          <w:p>
            <w:pPr>
              <w:spacing w:after="0"/>
              <w:rPr>
                <w:sz w:val="17"/>
                <w:szCs w:val="17"/>
                <w:color w:val="auto"/>
              </w:rPr>
            </w:pPr>
          </w:p>
        </w:tc>
        <w:tc>
          <w:tcPr>
            <w:tcW w:w="760" w:type="dxa"/>
            <w:vAlign w:val="bottom"/>
            <w:shd w:val="clear" w:color="auto" w:fill="D2DCE5"/>
          </w:tcPr>
          <w:p>
            <w:pPr>
              <w:jc w:val="right"/>
              <w:ind w:right="235"/>
              <w:spacing w:after="0"/>
              <w:rPr>
                <w:sz w:val="20"/>
                <w:szCs w:val="20"/>
                <w:color w:val="auto"/>
              </w:rPr>
            </w:pPr>
            <w:r>
              <w:rPr>
                <w:rFonts w:ascii="Arial" w:cs="Arial" w:eastAsia="Arial" w:hAnsi="Arial"/>
                <w:sz w:val="13"/>
                <w:szCs w:val="13"/>
                <w:color w:val="131E29"/>
              </w:rPr>
              <w:t>70.8%</w:t>
            </w: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80" w:type="dxa"/>
            <w:vAlign w:val="bottom"/>
            <w:shd w:val="clear" w:color="auto" w:fill="D2DCE5"/>
          </w:tcPr>
          <w:p>
            <w:pPr>
              <w:jc w:val="right"/>
              <w:ind w:right="315"/>
              <w:spacing w:after="0"/>
              <w:rPr>
                <w:sz w:val="20"/>
                <w:szCs w:val="20"/>
                <w:color w:val="auto"/>
              </w:rPr>
            </w:pPr>
            <w:r>
              <w:rPr>
                <w:rFonts w:ascii="Arial" w:cs="Arial" w:eastAsia="Arial" w:hAnsi="Arial"/>
                <w:sz w:val="13"/>
                <w:szCs w:val="13"/>
                <w:color w:val="131E29"/>
              </w:rPr>
              <w:t>66.8%</w:t>
            </w: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N/A</w:t>
            </w:r>
          </w:p>
        </w:tc>
        <w:tc>
          <w:tcPr>
            <w:tcW w:w="620" w:type="dxa"/>
            <w:vAlign w:val="bottom"/>
            <w:shd w:val="clear" w:color="auto" w:fill="D2DCE5"/>
          </w:tcPr>
          <w:p>
            <w:pPr>
              <w:spacing w:after="0"/>
              <w:rPr>
                <w:sz w:val="17"/>
                <w:szCs w:val="17"/>
                <w:color w:val="auto"/>
              </w:rPr>
            </w:pPr>
          </w:p>
        </w:tc>
        <w:tc>
          <w:tcPr>
            <w:tcW w:w="1200" w:type="dxa"/>
            <w:vAlign w:val="bottom"/>
            <w:gridSpan w:val="4"/>
            <w:shd w:val="clear" w:color="auto" w:fill="D2DCE5"/>
          </w:tcPr>
          <w:p>
            <w:pPr>
              <w:ind w:left="200"/>
              <w:spacing w:after="0"/>
              <w:rPr>
                <w:sz w:val="20"/>
                <w:szCs w:val="20"/>
                <w:color w:val="auto"/>
              </w:rPr>
            </w:pPr>
            <w:r>
              <w:rPr>
                <w:rFonts w:ascii="Arial" w:cs="Arial" w:eastAsia="Arial" w:hAnsi="Arial"/>
                <w:sz w:val="13"/>
                <w:szCs w:val="13"/>
                <w:color w:val="131E29"/>
              </w:rPr>
              <w:t>(1,080) bps</w:t>
            </w:r>
          </w:p>
        </w:tc>
        <w:tc>
          <w:tcPr>
            <w:tcW w:w="140" w:type="dxa"/>
            <w:vAlign w:val="bottom"/>
            <w:shd w:val="clear" w:color="auto" w:fill="D2DCE5"/>
          </w:tcPr>
          <w:p>
            <w:pPr>
              <w:spacing w:after="0"/>
              <w:rPr>
                <w:sz w:val="17"/>
                <w:szCs w:val="17"/>
                <w:color w:val="auto"/>
              </w:rPr>
            </w:pPr>
          </w:p>
        </w:tc>
        <w:tc>
          <w:tcPr>
            <w:tcW w:w="1000" w:type="dxa"/>
            <w:vAlign w:val="bottom"/>
            <w:gridSpan w:val="3"/>
            <w:shd w:val="clear" w:color="auto" w:fill="D2DCE5"/>
          </w:tcPr>
          <w:p>
            <w:pPr>
              <w:jc w:val="right"/>
              <w:ind w:right="460"/>
              <w:spacing w:after="0"/>
              <w:rPr>
                <w:sz w:val="20"/>
                <w:szCs w:val="20"/>
                <w:color w:val="auto"/>
              </w:rPr>
            </w:pPr>
            <w:r>
              <w:rPr>
                <w:rFonts w:ascii="Arial" w:cs="Arial" w:eastAsia="Arial" w:hAnsi="Arial"/>
                <w:sz w:val="13"/>
                <w:szCs w:val="13"/>
                <w:color w:val="131E29"/>
              </w:rPr>
              <w:t>N/A</w:t>
            </w:r>
          </w:p>
        </w:tc>
        <w:tc>
          <w:tcPr>
            <w:tcW w:w="1300" w:type="dxa"/>
            <w:vAlign w:val="bottom"/>
            <w:shd w:val="clear" w:color="auto" w:fill="D2DCE5"/>
          </w:tcPr>
          <w:p>
            <w:pPr>
              <w:jc w:val="center"/>
              <w:ind w:left="12"/>
              <w:spacing w:after="0"/>
              <w:rPr>
                <w:sz w:val="20"/>
                <w:szCs w:val="20"/>
                <w:color w:val="auto"/>
              </w:rPr>
            </w:pPr>
            <w:r>
              <w:rPr>
                <w:rFonts w:ascii="Arial" w:cs="Arial" w:eastAsia="Arial" w:hAnsi="Arial"/>
                <w:sz w:val="13"/>
                <w:szCs w:val="13"/>
                <w:color w:val="131E29"/>
                <w:w w:val="99"/>
              </w:rPr>
              <w:t>400 bps</w:t>
            </w:r>
          </w:p>
        </w:tc>
      </w:tr>
      <w:tr>
        <w:trPr>
          <w:trHeight w:val="340"/>
        </w:trPr>
        <w:tc>
          <w:tcPr>
            <w:tcW w:w="3000" w:type="dxa"/>
            <w:vAlign w:val="bottom"/>
            <w:gridSpan w:val="3"/>
          </w:tcPr>
          <w:p>
            <w:pPr>
              <w:spacing w:after="0"/>
              <w:rPr>
                <w:sz w:val="20"/>
                <w:szCs w:val="20"/>
                <w:color w:val="auto"/>
              </w:rPr>
            </w:pPr>
            <w:r>
              <w:rPr>
                <w:rFonts w:ascii="Arial" w:cs="Arial" w:eastAsia="Arial" w:hAnsi="Arial"/>
                <w:sz w:val="14"/>
                <w:szCs w:val="14"/>
                <w:color w:val="006098"/>
              </w:rPr>
              <w:t>Year Ended December 31, 2022 v 2021</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2480" w:type="dxa"/>
            <w:vAlign w:val="bottom"/>
            <w:shd w:val="clear" w:color="auto" w:fill="006098"/>
          </w:tcPr>
          <w:p>
            <w:pPr>
              <w:spacing w:after="0" w:line="20" w:lineRule="exact"/>
              <w:rPr>
                <w:sz w:val="1"/>
                <w:szCs w:val="1"/>
                <w:color w:val="auto"/>
              </w:rPr>
            </w:pPr>
          </w:p>
        </w:tc>
        <w:tc>
          <w:tcPr>
            <w:tcW w:w="5600" w:type="dxa"/>
            <w:vAlign w:val="bottom"/>
            <w:gridSpan w:val="1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1"/>
        </w:trPr>
        <w:tc>
          <w:tcPr>
            <w:tcW w:w="8840" w:type="dxa"/>
            <w:vAlign w:val="bottom"/>
            <w:gridSpan w:val="18"/>
          </w:tcPr>
          <w:p>
            <w:pPr>
              <w:spacing w:after="0"/>
              <w:rPr>
                <w:sz w:val="20"/>
                <w:szCs w:val="20"/>
                <w:color w:val="auto"/>
              </w:rPr>
            </w:pPr>
            <w:r>
              <w:rPr>
                <w:rFonts w:ascii="Arial" w:cs="Arial" w:eastAsia="Arial" w:hAnsi="Arial"/>
                <w:sz w:val="14"/>
                <w:szCs w:val="14"/>
                <w:color w:val="131E29"/>
              </w:rPr>
              <w:t>The Franchising and other gross profit impacts for the year-over-year comparison, were driven by the following (in dollars and basis points):</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352"/>
        </w:trPr>
        <w:tc>
          <w:tcPr>
            <w:tcW w:w="300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color w:val="131E29"/>
              </w:rPr>
              <w:t>(in thousands; unaudited)</w:t>
            </w: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D2DCE5"/>
            </w:tcBorders>
          </w:tcPr>
          <w:p>
            <w:pPr>
              <w:spacing w:after="0"/>
              <w:rPr>
                <w:sz w:val="24"/>
                <w:szCs w:val="24"/>
                <w:color w:val="auto"/>
              </w:rPr>
            </w:pPr>
          </w:p>
        </w:tc>
        <w:tc>
          <w:tcPr>
            <w:tcW w:w="580" w:type="dxa"/>
            <w:vAlign w:val="bottom"/>
            <w:tcBorders>
              <w:bottom w:val="single" w:sz="8" w:color="131E29"/>
            </w:tcBorders>
          </w:tcPr>
          <w:p>
            <w:pPr>
              <w:spacing w:after="0"/>
              <w:rPr>
                <w:sz w:val="24"/>
                <w:szCs w:val="24"/>
                <w:color w:val="auto"/>
              </w:rPr>
            </w:pPr>
          </w:p>
        </w:tc>
        <w:tc>
          <w:tcPr>
            <w:tcW w:w="80" w:type="dxa"/>
            <w:vAlign w:val="bottom"/>
            <w:tcBorders>
              <w:bottom w:val="single" w:sz="8" w:color="131E29"/>
            </w:tcBorders>
          </w:tcPr>
          <w:p>
            <w:pPr>
              <w:spacing w:after="0"/>
              <w:rPr>
                <w:sz w:val="24"/>
                <w:szCs w:val="24"/>
                <w:color w:val="auto"/>
              </w:rPr>
            </w:pPr>
          </w:p>
        </w:tc>
        <w:tc>
          <w:tcPr>
            <w:tcW w:w="140" w:type="dxa"/>
            <w:vAlign w:val="bottom"/>
            <w:tcBorders>
              <w:bottom w:val="single" w:sz="8" w:color="131E29"/>
            </w:tcBorders>
          </w:tcPr>
          <w:p>
            <w:pPr>
              <w:jc w:val="right"/>
              <w:spacing w:after="0"/>
              <w:rPr>
                <w:sz w:val="20"/>
                <w:szCs w:val="20"/>
                <w:color w:val="auto"/>
              </w:rPr>
            </w:pPr>
            <w:r>
              <w:rPr>
                <w:rFonts w:ascii="Arial" w:cs="Arial" w:eastAsia="Arial" w:hAnsi="Arial"/>
                <w:sz w:val="14"/>
                <w:szCs w:val="14"/>
                <w:b w:val="1"/>
                <w:bCs w:val="1"/>
                <w:color w:val="131E29"/>
                <w:w w:val="76"/>
              </w:rPr>
              <w:t>$</w:t>
            </w:r>
          </w:p>
        </w:tc>
        <w:tc>
          <w:tcPr>
            <w:tcW w:w="620" w:type="dxa"/>
            <w:vAlign w:val="bottom"/>
            <w:tcBorders>
              <w:bottom w:val="single" w:sz="8" w:color="131E29"/>
            </w:tcBorders>
          </w:tcPr>
          <w:p>
            <w:pPr>
              <w:spacing w:after="0"/>
              <w:rPr>
                <w:sz w:val="24"/>
                <w:szCs w:val="24"/>
                <w:color w:val="auto"/>
              </w:rPr>
            </w:pPr>
          </w:p>
        </w:tc>
        <w:tc>
          <w:tcPr>
            <w:tcW w:w="80" w:type="dxa"/>
            <w:vAlign w:val="bottom"/>
            <w:tcBorders>
              <w:bottom w:val="single" w:sz="8" w:color="D2DCE5"/>
            </w:tcBorders>
          </w:tcPr>
          <w:p>
            <w:pPr>
              <w:spacing w:after="0"/>
              <w:rPr>
                <w:sz w:val="24"/>
                <w:szCs w:val="24"/>
                <w:color w:val="auto"/>
              </w:rPr>
            </w:pPr>
          </w:p>
        </w:tc>
        <w:tc>
          <w:tcPr>
            <w:tcW w:w="300" w:type="dxa"/>
            <w:vAlign w:val="bottom"/>
            <w:tcBorders>
              <w:bottom w:val="single" w:sz="8" w:color="131E29"/>
            </w:tcBorders>
          </w:tcPr>
          <w:p>
            <w:pPr>
              <w:spacing w:after="0"/>
              <w:rPr>
                <w:sz w:val="24"/>
                <w:szCs w:val="24"/>
                <w:color w:val="auto"/>
              </w:rPr>
            </w:pPr>
          </w:p>
        </w:tc>
        <w:tc>
          <w:tcPr>
            <w:tcW w:w="1300" w:type="dxa"/>
            <w:vAlign w:val="bottom"/>
            <w:tcBorders>
              <w:bottom w:val="single" w:sz="8" w:color="131E29"/>
            </w:tcBorders>
          </w:tcPr>
          <w:p>
            <w:pPr>
              <w:ind w:left="360"/>
              <w:spacing w:after="0"/>
              <w:rPr>
                <w:sz w:val="20"/>
                <w:szCs w:val="20"/>
                <w:color w:val="auto"/>
              </w:rPr>
            </w:pPr>
            <w:r>
              <w:rPr>
                <w:rFonts w:ascii="Arial" w:cs="Arial" w:eastAsia="Arial" w:hAnsi="Arial"/>
                <w:sz w:val="14"/>
                <w:szCs w:val="14"/>
                <w:b w:val="1"/>
                <w:bCs w:val="1"/>
                <w:color w:val="131E29"/>
              </w:rPr>
              <w:t>BPS</w:t>
            </w:r>
          </w:p>
        </w:tc>
      </w:tr>
      <w:tr>
        <w:trPr>
          <w:trHeight w:val="192"/>
        </w:trPr>
        <w:tc>
          <w:tcPr>
            <w:tcW w:w="3000" w:type="dxa"/>
            <w:vAlign w:val="bottom"/>
            <w:tcBorders>
              <w:bottom w:val="single" w:sz="8" w:color="D2DCE5"/>
            </w:tcBorders>
            <w:gridSpan w:val="3"/>
            <w:shd w:val="clear" w:color="auto" w:fill="D2DCE5"/>
          </w:tcPr>
          <w:p>
            <w:pPr>
              <w:ind w:left="20"/>
              <w:spacing w:after="0"/>
              <w:rPr>
                <w:sz w:val="20"/>
                <w:szCs w:val="20"/>
                <w:color w:val="auto"/>
              </w:rPr>
            </w:pPr>
            <w:r>
              <w:rPr>
                <w:rFonts w:ascii="Arial" w:cs="Arial" w:eastAsia="Arial" w:hAnsi="Arial"/>
                <w:sz w:val="14"/>
                <w:szCs w:val="14"/>
                <w:color w:val="131E29"/>
              </w:rPr>
              <w:t>Higher net costs of products sold to franchisees</w:t>
            </w:r>
          </w:p>
        </w:tc>
        <w:tc>
          <w:tcPr>
            <w:tcW w:w="200" w:type="dxa"/>
            <w:vAlign w:val="bottom"/>
            <w:tcBorders>
              <w:bottom w:val="single" w:sz="8" w:color="D2DCE5"/>
            </w:tcBorders>
            <w:shd w:val="clear" w:color="auto" w:fill="D2DCE5"/>
          </w:tcPr>
          <w:p>
            <w:pPr>
              <w:spacing w:after="0"/>
              <w:rPr>
                <w:sz w:val="16"/>
                <w:szCs w:val="16"/>
                <w:color w:val="auto"/>
              </w:rPr>
            </w:pPr>
          </w:p>
        </w:tc>
        <w:tc>
          <w:tcPr>
            <w:tcW w:w="80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200" w:type="dxa"/>
            <w:vAlign w:val="bottom"/>
            <w:tcBorders>
              <w:bottom w:val="single" w:sz="8" w:color="D2DCE5"/>
            </w:tcBorders>
            <w:shd w:val="clear" w:color="auto" w:fill="D2DCE5"/>
          </w:tcPr>
          <w:p>
            <w:pPr>
              <w:spacing w:after="0"/>
              <w:rPr>
                <w:sz w:val="16"/>
                <w:szCs w:val="16"/>
                <w:color w:val="auto"/>
              </w:rPr>
            </w:pPr>
          </w:p>
        </w:tc>
        <w:tc>
          <w:tcPr>
            <w:tcW w:w="76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240" w:type="dxa"/>
            <w:vAlign w:val="bottom"/>
            <w:tcBorders>
              <w:bottom w:val="single" w:sz="8" w:color="D2DCE5"/>
            </w:tcBorders>
            <w:shd w:val="clear" w:color="auto" w:fill="D2DCE5"/>
          </w:tcPr>
          <w:p>
            <w:pPr>
              <w:spacing w:after="0"/>
              <w:rPr>
                <w:sz w:val="16"/>
                <w:szCs w:val="16"/>
                <w:color w:val="auto"/>
              </w:rPr>
            </w:pPr>
          </w:p>
        </w:tc>
        <w:tc>
          <w:tcPr>
            <w:tcW w:w="88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700" w:type="dxa"/>
            <w:vAlign w:val="bottom"/>
            <w:tcBorders>
              <w:bottom w:val="single" w:sz="8" w:color="D2DCE5"/>
            </w:tcBorders>
            <w:shd w:val="clear" w:color="auto" w:fill="D2DCE5"/>
          </w:tcPr>
          <w:p>
            <w:pPr>
              <w:spacing w:after="0"/>
              <w:rPr>
                <w:sz w:val="16"/>
                <w:szCs w:val="16"/>
                <w:color w:val="auto"/>
              </w:rPr>
            </w:pPr>
          </w:p>
        </w:tc>
        <w:tc>
          <w:tcPr>
            <w:tcW w:w="620" w:type="dxa"/>
            <w:vAlign w:val="bottom"/>
            <w:tcBorders>
              <w:bottom w:val="single" w:sz="8" w:color="D2DCE5"/>
            </w:tcBorders>
            <w:shd w:val="clear" w:color="auto" w:fill="D2DCE5"/>
          </w:tcPr>
          <w:p>
            <w:pPr>
              <w:spacing w:after="0"/>
              <w:rPr>
                <w:sz w:val="16"/>
                <w:szCs w:val="16"/>
                <w:color w:val="auto"/>
              </w:rPr>
            </w:pPr>
          </w:p>
        </w:tc>
        <w:tc>
          <w:tcPr>
            <w:tcW w:w="44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58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140" w:type="dxa"/>
            <w:vAlign w:val="bottom"/>
            <w:tcBorders>
              <w:bottom w:val="single" w:sz="8" w:color="D2DCE5"/>
            </w:tcBorders>
            <w:shd w:val="clear" w:color="auto" w:fill="D2DCE5"/>
          </w:tcPr>
          <w:p>
            <w:pPr>
              <w:spacing w:after="0"/>
              <w:rPr>
                <w:sz w:val="16"/>
                <w:szCs w:val="16"/>
                <w:color w:val="auto"/>
              </w:rPr>
            </w:pPr>
          </w:p>
        </w:tc>
        <w:tc>
          <w:tcPr>
            <w:tcW w:w="6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(10,674)</w:t>
            </w: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13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(1,080)</w:t>
            </w:r>
          </w:p>
        </w:tc>
      </w:tr>
      <w:tr>
        <w:trPr>
          <w:trHeight w:val="191"/>
        </w:trPr>
        <w:tc>
          <w:tcPr>
            <w:tcW w:w="3000" w:type="dxa"/>
            <w:vAlign w:val="bottom"/>
            <w:gridSpan w:val="3"/>
          </w:tcPr>
          <w:p>
            <w:pPr>
              <w:ind w:left="20"/>
              <w:spacing w:after="0"/>
              <w:rPr>
                <w:sz w:val="20"/>
                <w:szCs w:val="20"/>
                <w:color w:val="auto"/>
              </w:rPr>
            </w:pPr>
            <w:r>
              <w:rPr>
                <w:rFonts w:ascii="Arial" w:cs="Arial" w:eastAsia="Arial" w:hAnsi="Arial"/>
                <w:sz w:val="14"/>
                <w:szCs w:val="14"/>
                <w:color w:val="131E29"/>
              </w:rPr>
              <w:t>Shop weeks</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131E29"/>
              </w:rPr>
              <w:t>1,580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ind w:left="1060"/>
              <w:spacing w:after="0"/>
              <w:rPr>
                <w:sz w:val="20"/>
                <w:szCs w:val="20"/>
                <w:color w:val="auto"/>
              </w:rPr>
            </w:pPr>
            <w:r>
              <w:rPr>
                <w:rFonts w:ascii="Arial" w:cs="Arial" w:eastAsia="Arial" w:hAnsi="Arial"/>
                <w:sz w:val="14"/>
                <w:szCs w:val="14"/>
                <w:color w:val="131E29"/>
                <w:w w:val="94"/>
              </w:rPr>
              <w:t>N/A</w:t>
            </w:r>
          </w:p>
        </w:tc>
      </w:tr>
      <w:tr>
        <w:trPr>
          <w:trHeight w:val="22"/>
        </w:trPr>
        <w:tc>
          <w:tcPr>
            <w:tcW w:w="30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2"/>
        </w:trPr>
        <w:tc>
          <w:tcPr>
            <w:tcW w:w="3000" w:type="dxa"/>
            <w:vAlign w:val="bottom"/>
            <w:tcBorders>
              <w:bottom w:val="single" w:sz="8" w:color="D2DCE5"/>
            </w:tcBorders>
            <w:gridSpan w:val="3"/>
            <w:shd w:val="clear" w:color="auto" w:fill="D2DCE5"/>
          </w:tcPr>
          <w:p>
            <w:pPr>
              <w:ind w:left="20"/>
              <w:spacing w:after="0"/>
              <w:rPr>
                <w:sz w:val="20"/>
                <w:szCs w:val="20"/>
                <w:color w:val="auto"/>
              </w:rPr>
            </w:pPr>
            <w:r>
              <w:rPr>
                <w:rFonts w:ascii="Arial" w:cs="Arial" w:eastAsia="Arial" w:hAnsi="Arial"/>
                <w:sz w:val="14"/>
                <w:szCs w:val="14"/>
                <w:color w:val="131E29"/>
              </w:rPr>
              <w:t>Same shop sales</w:t>
            </w:r>
          </w:p>
        </w:tc>
        <w:tc>
          <w:tcPr>
            <w:tcW w:w="200" w:type="dxa"/>
            <w:vAlign w:val="bottom"/>
            <w:tcBorders>
              <w:bottom w:val="single" w:sz="8" w:color="D2DCE5"/>
            </w:tcBorders>
            <w:shd w:val="clear" w:color="auto" w:fill="D2DCE5"/>
          </w:tcPr>
          <w:p>
            <w:pPr>
              <w:spacing w:after="0"/>
              <w:rPr>
                <w:sz w:val="16"/>
                <w:szCs w:val="16"/>
                <w:color w:val="auto"/>
              </w:rPr>
            </w:pPr>
          </w:p>
        </w:tc>
        <w:tc>
          <w:tcPr>
            <w:tcW w:w="80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200" w:type="dxa"/>
            <w:vAlign w:val="bottom"/>
            <w:tcBorders>
              <w:bottom w:val="single" w:sz="8" w:color="D2DCE5"/>
            </w:tcBorders>
            <w:shd w:val="clear" w:color="auto" w:fill="D2DCE5"/>
          </w:tcPr>
          <w:p>
            <w:pPr>
              <w:spacing w:after="0"/>
              <w:rPr>
                <w:sz w:val="16"/>
                <w:szCs w:val="16"/>
                <w:color w:val="auto"/>
              </w:rPr>
            </w:pPr>
          </w:p>
        </w:tc>
        <w:tc>
          <w:tcPr>
            <w:tcW w:w="76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240" w:type="dxa"/>
            <w:vAlign w:val="bottom"/>
            <w:tcBorders>
              <w:bottom w:val="single" w:sz="8" w:color="D2DCE5"/>
            </w:tcBorders>
            <w:shd w:val="clear" w:color="auto" w:fill="D2DCE5"/>
          </w:tcPr>
          <w:p>
            <w:pPr>
              <w:spacing w:after="0"/>
              <w:rPr>
                <w:sz w:val="16"/>
                <w:szCs w:val="16"/>
                <w:color w:val="auto"/>
              </w:rPr>
            </w:pPr>
          </w:p>
        </w:tc>
        <w:tc>
          <w:tcPr>
            <w:tcW w:w="88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700" w:type="dxa"/>
            <w:vAlign w:val="bottom"/>
            <w:tcBorders>
              <w:bottom w:val="single" w:sz="8" w:color="D2DCE5"/>
            </w:tcBorders>
            <w:shd w:val="clear" w:color="auto" w:fill="D2DCE5"/>
          </w:tcPr>
          <w:p>
            <w:pPr>
              <w:spacing w:after="0"/>
              <w:rPr>
                <w:sz w:val="16"/>
                <w:szCs w:val="16"/>
                <w:color w:val="auto"/>
              </w:rPr>
            </w:pPr>
          </w:p>
        </w:tc>
        <w:tc>
          <w:tcPr>
            <w:tcW w:w="620" w:type="dxa"/>
            <w:vAlign w:val="bottom"/>
            <w:tcBorders>
              <w:bottom w:val="single" w:sz="8" w:color="D2DCE5"/>
            </w:tcBorders>
            <w:shd w:val="clear" w:color="auto" w:fill="D2DCE5"/>
          </w:tcPr>
          <w:p>
            <w:pPr>
              <w:spacing w:after="0"/>
              <w:rPr>
                <w:sz w:val="16"/>
                <w:szCs w:val="16"/>
                <w:color w:val="auto"/>
              </w:rPr>
            </w:pPr>
          </w:p>
        </w:tc>
        <w:tc>
          <w:tcPr>
            <w:tcW w:w="44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58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140" w:type="dxa"/>
            <w:vAlign w:val="bottom"/>
            <w:tcBorders>
              <w:bottom w:val="single" w:sz="8" w:color="D2DCE5"/>
            </w:tcBorders>
            <w:shd w:val="clear" w:color="auto" w:fill="D2DCE5"/>
          </w:tcPr>
          <w:p>
            <w:pPr>
              <w:spacing w:after="0"/>
              <w:rPr>
                <w:sz w:val="16"/>
                <w:szCs w:val="16"/>
                <w:color w:val="auto"/>
              </w:rPr>
            </w:pPr>
          </w:p>
        </w:tc>
        <w:tc>
          <w:tcPr>
            <w:tcW w:w="6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866</w:t>
            </w: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1300" w:type="dxa"/>
            <w:vAlign w:val="bottom"/>
            <w:tcBorders>
              <w:bottom w:val="single" w:sz="8" w:color="D2DCE5"/>
            </w:tcBorders>
            <w:shd w:val="clear" w:color="auto" w:fill="D2DCE5"/>
          </w:tcPr>
          <w:p>
            <w:pPr>
              <w:ind w:left="1060"/>
              <w:spacing w:after="0"/>
              <w:rPr>
                <w:sz w:val="20"/>
                <w:szCs w:val="20"/>
                <w:color w:val="auto"/>
              </w:rPr>
            </w:pPr>
            <w:r>
              <w:rPr>
                <w:rFonts w:ascii="Arial" w:cs="Arial" w:eastAsia="Arial" w:hAnsi="Arial"/>
                <w:sz w:val="14"/>
                <w:szCs w:val="14"/>
                <w:color w:val="131E29"/>
                <w:w w:val="94"/>
              </w:rPr>
              <w:t>N/A</w:t>
            </w:r>
          </w:p>
        </w:tc>
      </w:tr>
      <w:tr>
        <w:trPr>
          <w:trHeight w:val="191"/>
        </w:trPr>
        <w:tc>
          <w:tcPr>
            <w:tcW w:w="3000" w:type="dxa"/>
            <w:vAlign w:val="bottom"/>
            <w:gridSpan w:val="3"/>
          </w:tcPr>
          <w:p>
            <w:pPr>
              <w:ind w:left="20"/>
              <w:spacing w:after="0"/>
              <w:rPr>
                <w:sz w:val="20"/>
                <w:szCs w:val="20"/>
                <w:color w:val="auto"/>
              </w:rPr>
            </w:pPr>
            <w:r>
              <w:rPr>
                <w:rFonts w:ascii="Arial" w:cs="Arial" w:eastAsia="Arial" w:hAnsi="Arial"/>
                <w:sz w:val="14"/>
                <w:szCs w:val="14"/>
                <w:color w:val="131E29"/>
              </w:rPr>
              <w:t>Other</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131E29"/>
              </w:rPr>
              <w:t>1,215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ind w:left="1060"/>
              <w:spacing w:after="0"/>
              <w:rPr>
                <w:sz w:val="20"/>
                <w:szCs w:val="20"/>
                <w:color w:val="auto"/>
              </w:rPr>
            </w:pPr>
            <w:r>
              <w:rPr>
                <w:rFonts w:ascii="Arial" w:cs="Arial" w:eastAsia="Arial" w:hAnsi="Arial"/>
                <w:sz w:val="14"/>
                <w:szCs w:val="14"/>
                <w:color w:val="131E29"/>
                <w:w w:val="94"/>
              </w:rPr>
              <w:t>N/A</w:t>
            </w:r>
          </w:p>
        </w:tc>
      </w:tr>
      <w:tr>
        <w:trPr>
          <w:trHeight w:val="22"/>
        </w:trPr>
        <w:tc>
          <w:tcPr>
            <w:tcW w:w="3000" w:type="dxa"/>
            <w:vAlign w:val="bottom"/>
            <w:tcBorders>
              <w:bottom w:val="single" w:sz="8" w:color="131E29"/>
            </w:tcBorders>
            <w:gridSpan w:val="3"/>
          </w:tcPr>
          <w:p>
            <w:pPr>
              <w:spacing w:after="0" w:line="20" w:lineRule="exact"/>
              <w:rPr>
                <w:sz w:val="1"/>
                <w:szCs w:val="1"/>
                <w:color w:val="auto"/>
              </w:rPr>
            </w:pPr>
          </w:p>
        </w:tc>
        <w:tc>
          <w:tcPr>
            <w:tcW w:w="200" w:type="dxa"/>
            <w:vAlign w:val="bottom"/>
            <w:tcBorders>
              <w:bottom w:val="single" w:sz="8" w:color="131E29"/>
            </w:tcBorders>
          </w:tcPr>
          <w:p>
            <w:pPr>
              <w:spacing w:after="0" w:line="20" w:lineRule="exact"/>
              <w:rPr>
                <w:sz w:val="1"/>
                <w:szCs w:val="1"/>
                <w:color w:val="auto"/>
              </w:rPr>
            </w:pPr>
          </w:p>
        </w:tc>
        <w:tc>
          <w:tcPr>
            <w:tcW w:w="800" w:type="dxa"/>
            <w:vAlign w:val="bottom"/>
            <w:tcBorders>
              <w:bottom w:val="single" w:sz="8" w:color="131E29"/>
            </w:tcBorders>
          </w:tcPr>
          <w:p>
            <w:pPr>
              <w:spacing w:after="0" w:line="20" w:lineRule="exact"/>
              <w:rPr>
                <w:sz w:val="1"/>
                <w:szCs w:val="1"/>
                <w:color w:val="auto"/>
              </w:rPr>
            </w:pPr>
          </w:p>
        </w:tc>
        <w:tc>
          <w:tcPr>
            <w:tcW w:w="80" w:type="dxa"/>
            <w:vAlign w:val="bottom"/>
            <w:tcBorders>
              <w:bottom w:val="single" w:sz="8" w:color="131E29"/>
            </w:tcBorders>
          </w:tcPr>
          <w:p>
            <w:pPr>
              <w:spacing w:after="0" w:line="20" w:lineRule="exact"/>
              <w:rPr>
                <w:sz w:val="1"/>
                <w:szCs w:val="1"/>
                <w:color w:val="auto"/>
              </w:rPr>
            </w:pPr>
          </w:p>
        </w:tc>
        <w:tc>
          <w:tcPr>
            <w:tcW w:w="200" w:type="dxa"/>
            <w:vAlign w:val="bottom"/>
            <w:tcBorders>
              <w:bottom w:val="single" w:sz="8" w:color="131E29"/>
            </w:tcBorders>
          </w:tcPr>
          <w:p>
            <w:pPr>
              <w:spacing w:after="0" w:line="20" w:lineRule="exact"/>
              <w:rPr>
                <w:sz w:val="1"/>
                <w:szCs w:val="1"/>
                <w:color w:val="auto"/>
              </w:rPr>
            </w:pPr>
          </w:p>
        </w:tc>
        <w:tc>
          <w:tcPr>
            <w:tcW w:w="760" w:type="dxa"/>
            <w:vAlign w:val="bottom"/>
            <w:tcBorders>
              <w:bottom w:val="single" w:sz="8" w:color="131E29"/>
            </w:tcBorders>
          </w:tcPr>
          <w:p>
            <w:pPr>
              <w:spacing w:after="0" w:line="20" w:lineRule="exact"/>
              <w:rPr>
                <w:sz w:val="1"/>
                <w:szCs w:val="1"/>
                <w:color w:val="auto"/>
              </w:rPr>
            </w:pPr>
          </w:p>
        </w:tc>
        <w:tc>
          <w:tcPr>
            <w:tcW w:w="80" w:type="dxa"/>
            <w:vAlign w:val="bottom"/>
            <w:tcBorders>
              <w:bottom w:val="single" w:sz="8" w:color="131E29"/>
            </w:tcBorders>
          </w:tcPr>
          <w:p>
            <w:pPr>
              <w:spacing w:after="0" w:line="20" w:lineRule="exact"/>
              <w:rPr>
                <w:sz w:val="1"/>
                <w:szCs w:val="1"/>
                <w:color w:val="auto"/>
              </w:rPr>
            </w:pPr>
          </w:p>
        </w:tc>
        <w:tc>
          <w:tcPr>
            <w:tcW w:w="240" w:type="dxa"/>
            <w:vAlign w:val="bottom"/>
            <w:tcBorders>
              <w:bottom w:val="single" w:sz="8" w:color="131E29"/>
            </w:tcBorders>
          </w:tcPr>
          <w:p>
            <w:pPr>
              <w:spacing w:after="0" w:line="20" w:lineRule="exact"/>
              <w:rPr>
                <w:sz w:val="1"/>
                <w:szCs w:val="1"/>
                <w:color w:val="auto"/>
              </w:rPr>
            </w:pPr>
          </w:p>
        </w:tc>
        <w:tc>
          <w:tcPr>
            <w:tcW w:w="880" w:type="dxa"/>
            <w:vAlign w:val="bottom"/>
            <w:tcBorders>
              <w:bottom w:val="single" w:sz="8" w:color="131E29"/>
            </w:tcBorders>
          </w:tcPr>
          <w:p>
            <w:pPr>
              <w:spacing w:after="0" w:line="20" w:lineRule="exact"/>
              <w:rPr>
                <w:sz w:val="1"/>
                <w:szCs w:val="1"/>
                <w:color w:val="auto"/>
              </w:rPr>
            </w:pPr>
          </w:p>
        </w:tc>
        <w:tc>
          <w:tcPr>
            <w:tcW w:w="80" w:type="dxa"/>
            <w:vAlign w:val="bottom"/>
            <w:tcBorders>
              <w:bottom w:val="single" w:sz="8" w:color="131E29"/>
            </w:tcBorders>
          </w:tcPr>
          <w:p>
            <w:pPr>
              <w:spacing w:after="0" w:line="20" w:lineRule="exact"/>
              <w:rPr>
                <w:sz w:val="1"/>
                <w:szCs w:val="1"/>
                <w:color w:val="auto"/>
              </w:rPr>
            </w:pPr>
          </w:p>
        </w:tc>
        <w:tc>
          <w:tcPr>
            <w:tcW w:w="700" w:type="dxa"/>
            <w:vAlign w:val="bottom"/>
            <w:tcBorders>
              <w:bottom w:val="single" w:sz="8" w:color="131E29"/>
            </w:tcBorders>
          </w:tcPr>
          <w:p>
            <w:pPr>
              <w:spacing w:after="0" w:line="20" w:lineRule="exact"/>
              <w:rPr>
                <w:sz w:val="1"/>
                <w:szCs w:val="1"/>
                <w:color w:val="auto"/>
              </w:rPr>
            </w:pPr>
          </w:p>
        </w:tc>
        <w:tc>
          <w:tcPr>
            <w:tcW w:w="620" w:type="dxa"/>
            <w:vAlign w:val="bottom"/>
            <w:tcBorders>
              <w:bottom w:val="single" w:sz="8" w:color="131E29"/>
            </w:tcBorders>
          </w:tcPr>
          <w:p>
            <w:pPr>
              <w:spacing w:after="0" w:line="20" w:lineRule="exact"/>
              <w:rPr>
                <w:sz w:val="1"/>
                <w:szCs w:val="1"/>
                <w:color w:val="auto"/>
              </w:rPr>
            </w:pPr>
          </w:p>
        </w:tc>
        <w:tc>
          <w:tcPr>
            <w:tcW w:w="440" w:type="dxa"/>
            <w:vAlign w:val="bottom"/>
            <w:tcBorders>
              <w:bottom w:val="single" w:sz="8" w:color="131E29"/>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580" w:type="dxa"/>
            <w:vAlign w:val="bottom"/>
            <w:tcBorders>
              <w:bottom w:val="single" w:sz="8" w:color="131E29"/>
            </w:tcBorders>
          </w:tcPr>
          <w:p>
            <w:pPr>
              <w:spacing w:after="0" w:line="20" w:lineRule="exact"/>
              <w:rPr>
                <w:sz w:val="1"/>
                <w:szCs w:val="1"/>
                <w:color w:val="auto"/>
              </w:rPr>
            </w:pPr>
          </w:p>
        </w:tc>
        <w:tc>
          <w:tcPr>
            <w:tcW w:w="80" w:type="dxa"/>
            <w:vAlign w:val="bottom"/>
            <w:tcBorders>
              <w:bottom w:val="single" w:sz="8" w:color="131E29"/>
            </w:tcBorders>
          </w:tcPr>
          <w:p>
            <w:pPr>
              <w:spacing w:after="0" w:line="20" w:lineRule="exact"/>
              <w:rPr>
                <w:sz w:val="1"/>
                <w:szCs w:val="1"/>
                <w:color w:val="auto"/>
              </w:rPr>
            </w:pPr>
          </w:p>
        </w:tc>
        <w:tc>
          <w:tcPr>
            <w:tcW w:w="140" w:type="dxa"/>
            <w:vAlign w:val="bottom"/>
            <w:tcBorders>
              <w:bottom w:val="single" w:sz="8" w:color="131E29"/>
            </w:tcBorders>
          </w:tcPr>
          <w:p>
            <w:pPr>
              <w:spacing w:after="0" w:line="20" w:lineRule="exact"/>
              <w:rPr>
                <w:sz w:val="1"/>
                <w:szCs w:val="1"/>
                <w:color w:val="auto"/>
              </w:rPr>
            </w:pPr>
          </w:p>
        </w:tc>
        <w:tc>
          <w:tcPr>
            <w:tcW w:w="620" w:type="dxa"/>
            <w:vAlign w:val="bottom"/>
            <w:tcBorders>
              <w:bottom w:val="single" w:sz="8" w:color="131E29"/>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131E29"/>
            </w:tcBorders>
          </w:tcPr>
          <w:p>
            <w:pPr>
              <w:spacing w:after="0" w:line="20" w:lineRule="exact"/>
              <w:rPr>
                <w:sz w:val="1"/>
                <w:szCs w:val="1"/>
                <w:color w:val="auto"/>
              </w:rPr>
            </w:pPr>
          </w:p>
        </w:tc>
        <w:tc>
          <w:tcPr>
            <w:tcW w:w="1300" w:type="dxa"/>
            <w:vAlign w:val="bottom"/>
            <w:tcBorders>
              <w:bottom w:val="single" w:sz="8" w:color="131E29"/>
            </w:tcBorders>
          </w:tcPr>
          <w:p>
            <w:pPr>
              <w:spacing w:after="0" w:line="20" w:lineRule="exact"/>
              <w:rPr>
                <w:sz w:val="1"/>
                <w:szCs w:val="1"/>
                <w:color w:val="auto"/>
              </w:rPr>
            </w:pPr>
          </w:p>
        </w:tc>
      </w:tr>
      <w:tr>
        <w:trPr>
          <w:trHeight w:val="183"/>
        </w:trPr>
        <w:tc>
          <w:tcPr>
            <w:tcW w:w="3000" w:type="dxa"/>
            <w:vAlign w:val="bottom"/>
            <w:tcBorders>
              <w:bottom w:val="single" w:sz="8" w:color="D2DCE5"/>
            </w:tcBorders>
            <w:gridSpan w:val="3"/>
            <w:shd w:val="clear" w:color="auto" w:fill="D2DCE5"/>
          </w:tcPr>
          <w:p>
            <w:pPr>
              <w:ind w:left="100"/>
              <w:spacing w:after="0"/>
              <w:rPr>
                <w:sz w:val="20"/>
                <w:szCs w:val="20"/>
                <w:color w:val="auto"/>
              </w:rPr>
            </w:pPr>
            <w:r>
              <w:rPr>
                <w:rFonts w:ascii="Arial" w:cs="Arial" w:eastAsia="Arial" w:hAnsi="Arial"/>
                <w:sz w:val="14"/>
                <w:szCs w:val="14"/>
                <w:b w:val="1"/>
                <w:bCs w:val="1"/>
                <w:color w:val="131E29"/>
              </w:rPr>
              <w:t>Total change</w:t>
            </w:r>
          </w:p>
        </w:tc>
        <w:tc>
          <w:tcPr>
            <w:tcW w:w="200" w:type="dxa"/>
            <w:vAlign w:val="bottom"/>
            <w:tcBorders>
              <w:bottom w:val="single" w:sz="8" w:color="D2DCE5"/>
            </w:tcBorders>
            <w:shd w:val="clear" w:color="auto" w:fill="D2DCE5"/>
          </w:tcPr>
          <w:p>
            <w:pPr>
              <w:spacing w:after="0"/>
              <w:rPr>
                <w:sz w:val="15"/>
                <w:szCs w:val="15"/>
                <w:color w:val="auto"/>
              </w:rPr>
            </w:pPr>
          </w:p>
        </w:tc>
        <w:tc>
          <w:tcPr>
            <w:tcW w:w="800" w:type="dxa"/>
            <w:vAlign w:val="bottom"/>
            <w:tcBorders>
              <w:bottom w:val="single" w:sz="8" w:color="D2DCE5"/>
            </w:tcBorders>
            <w:shd w:val="clear" w:color="auto" w:fill="D2DCE5"/>
          </w:tcPr>
          <w:p>
            <w:pPr>
              <w:spacing w:after="0"/>
              <w:rPr>
                <w:sz w:val="15"/>
                <w:szCs w:val="15"/>
                <w:color w:val="auto"/>
              </w:rPr>
            </w:pPr>
          </w:p>
        </w:tc>
        <w:tc>
          <w:tcPr>
            <w:tcW w:w="80" w:type="dxa"/>
            <w:vAlign w:val="bottom"/>
            <w:tcBorders>
              <w:bottom w:val="single" w:sz="8" w:color="D2DCE5"/>
            </w:tcBorders>
            <w:shd w:val="clear" w:color="auto" w:fill="D2DCE5"/>
          </w:tcPr>
          <w:p>
            <w:pPr>
              <w:spacing w:after="0"/>
              <w:rPr>
                <w:sz w:val="15"/>
                <w:szCs w:val="15"/>
                <w:color w:val="auto"/>
              </w:rPr>
            </w:pPr>
          </w:p>
        </w:tc>
        <w:tc>
          <w:tcPr>
            <w:tcW w:w="200" w:type="dxa"/>
            <w:vAlign w:val="bottom"/>
            <w:tcBorders>
              <w:bottom w:val="single" w:sz="8" w:color="D2DCE5"/>
            </w:tcBorders>
            <w:shd w:val="clear" w:color="auto" w:fill="D2DCE5"/>
          </w:tcPr>
          <w:p>
            <w:pPr>
              <w:spacing w:after="0"/>
              <w:rPr>
                <w:sz w:val="15"/>
                <w:szCs w:val="15"/>
                <w:color w:val="auto"/>
              </w:rPr>
            </w:pPr>
          </w:p>
        </w:tc>
        <w:tc>
          <w:tcPr>
            <w:tcW w:w="760" w:type="dxa"/>
            <w:vAlign w:val="bottom"/>
            <w:tcBorders>
              <w:bottom w:val="single" w:sz="8" w:color="D2DCE5"/>
            </w:tcBorders>
            <w:shd w:val="clear" w:color="auto" w:fill="D2DCE5"/>
          </w:tcPr>
          <w:p>
            <w:pPr>
              <w:spacing w:after="0"/>
              <w:rPr>
                <w:sz w:val="15"/>
                <w:szCs w:val="15"/>
                <w:color w:val="auto"/>
              </w:rPr>
            </w:pPr>
          </w:p>
        </w:tc>
        <w:tc>
          <w:tcPr>
            <w:tcW w:w="80" w:type="dxa"/>
            <w:vAlign w:val="bottom"/>
            <w:tcBorders>
              <w:bottom w:val="single" w:sz="8" w:color="D2DCE5"/>
            </w:tcBorders>
            <w:shd w:val="clear" w:color="auto" w:fill="D2DCE5"/>
          </w:tcPr>
          <w:p>
            <w:pPr>
              <w:spacing w:after="0"/>
              <w:rPr>
                <w:sz w:val="15"/>
                <w:szCs w:val="15"/>
                <w:color w:val="auto"/>
              </w:rPr>
            </w:pPr>
          </w:p>
        </w:tc>
        <w:tc>
          <w:tcPr>
            <w:tcW w:w="240" w:type="dxa"/>
            <w:vAlign w:val="bottom"/>
            <w:tcBorders>
              <w:bottom w:val="single" w:sz="8" w:color="D2DCE5"/>
            </w:tcBorders>
            <w:shd w:val="clear" w:color="auto" w:fill="D2DCE5"/>
          </w:tcPr>
          <w:p>
            <w:pPr>
              <w:spacing w:after="0"/>
              <w:rPr>
                <w:sz w:val="15"/>
                <w:szCs w:val="15"/>
                <w:color w:val="auto"/>
              </w:rPr>
            </w:pPr>
          </w:p>
        </w:tc>
        <w:tc>
          <w:tcPr>
            <w:tcW w:w="880" w:type="dxa"/>
            <w:vAlign w:val="bottom"/>
            <w:tcBorders>
              <w:bottom w:val="single" w:sz="8" w:color="D2DCE5"/>
            </w:tcBorders>
            <w:shd w:val="clear" w:color="auto" w:fill="D2DCE5"/>
          </w:tcPr>
          <w:p>
            <w:pPr>
              <w:spacing w:after="0"/>
              <w:rPr>
                <w:sz w:val="15"/>
                <w:szCs w:val="15"/>
                <w:color w:val="auto"/>
              </w:rPr>
            </w:pPr>
          </w:p>
        </w:tc>
        <w:tc>
          <w:tcPr>
            <w:tcW w:w="80" w:type="dxa"/>
            <w:vAlign w:val="bottom"/>
            <w:tcBorders>
              <w:bottom w:val="single" w:sz="8" w:color="D2DCE5"/>
            </w:tcBorders>
            <w:shd w:val="clear" w:color="auto" w:fill="D2DCE5"/>
          </w:tcPr>
          <w:p>
            <w:pPr>
              <w:spacing w:after="0"/>
              <w:rPr>
                <w:sz w:val="15"/>
                <w:szCs w:val="15"/>
                <w:color w:val="auto"/>
              </w:rPr>
            </w:pPr>
          </w:p>
        </w:tc>
        <w:tc>
          <w:tcPr>
            <w:tcW w:w="700" w:type="dxa"/>
            <w:vAlign w:val="bottom"/>
            <w:tcBorders>
              <w:bottom w:val="single" w:sz="8" w:color="D2DCE5"/>
            </w:tcBorders>
            <w:shd w:val="clear" w:color="auto" w:fill="D2DCE5"/>
          </w:tcPr>
          <w:p>
            <w:pPr>
              <w:spacing w:after="0"/>
              <w:rPr>
                <w:sz w:val="15"/>
                <w:szCs w:val="15"/>
                <w:color w:val="auto"/>
              </w:rPr>
            </w:pPr>
          </w:p>
        </w:tc>
        <w:tc>
          <w:tcPr>
            <w:tcW w:w="620" w:type="dxa"/>
            <w:vAlign w:val="bottom"/>
            <w:tcBorders>
              <w:bottom w:val="single" w:sz="8" w:color="D2DCE5"/>
            </w:tcBorders>
            <w:shd w:val="clear" w:color="auto" w:fill="D2DCE5"/>
          </w:tcPr>
          <w:p>
            <w:pPr>
              <w:spacing w:after="0"/>
              <w:rPr>
                <w:sz w:val="15"/>
                <w:szCs w:val="15"/>
                <w:color w:val="auto"/>
              </w:rPr>
            </w:pPr>
          </w:p>
        </w:tc>
        <w:tc>
          <w:tcPr>
            <w:tcW w:w="440" w:type="dxa"/>
            <w:vAlign w:val="bottom"/>
            <w:tcBorders>
              <w:bottom w:val="single" w:sz="8" w:color="D2DCE5"/>
            </w:tcBorders>
            <w:shd w:val="clear" w:color="auto" w:fill="D2DCE5"/>
          </w:tcPr>
          <w:p>
            <w:pPr>
              <w:spacing w:after="0"/>
              <w:rPr>
                <w:sz w:val="15"/>
                <w:szCs w:val="15"/>
                <w:color w:val="auto"/>
              </w:rPr>
            </w:pPr>
          </w:p>
        </w:tc>
        <w:tc>
          <w:tcPr>
            <w:tcW w:w="100" w:type="dxa"/>
            <w:vAlign w:val="bottom"/>
            <w:tcBorders>
              <w:bottom w:val="single" w:sz="8" w:color="D2DCE5"/>
            </w:tcBorders>
            <w:shd w:val="clear" w:color="auto" w:fill="D2DCE5"/>
          </w:tcPr>
          <w:p>
            <w:pPr>
              <w:spacing w:after="0"/>
              <w:rPr>
                <w:sz w:val="15"/>
                <w:szCs w:val="15"/>
                <w:color w:val="auto"/>
              </w:rPr>
            </w:pPr>
          </w:p>
        </w:tc>
        <w:tc>
          <w:tcPr>
            <w:tcW w:w="580" w:type="dxa"/>
            <w:vAlign w:val="bottom"/>
            <w:tcBorders>
              <w:bottom w:val="single" w:sz="8" w:color="D2DCE5"/>
            </w:tcBorders>
            <w:shd w:val="clear" w:color="auto" w:fill="D2DCE5"/>
          </w:tcPr>
          <w:p>
            <w:pPr>
              <w:spacing w:after="0"/>
              <w:rPr>
                <w:sz w:val="15"/>
                <w:szCs w:val="15"/>
                <w:color w:val="auto"/>
              </w:rPr>
            </w:pPr>
          </w:p>
        </w:tc>
        <w:tc>
          <w:tcPr>
            <w:tcW w:w="80" w:type="dxa"/>
            <w:vAlign w:val="bottom"/>
            <w:tcBorders>
              <w:bottom w:val="single" w:sz="8" w:color="D2DCE5"/>
            </w:tcBorders>
            <w:shd w:val="clear" w:color="auto" w:fill="D2DCE5"/>
          </w:tcPr>
          <w:p>
            <w:pPr>
              <w:spacing w:after="0"/>
              <w:rPr>
                <w:sz w:val="15"/>
                <w:szCs w:val="15"/>
                <w:color w:val="auto"/>
              </w:rPr>
            </w:pPr>
          </w:p>
        </w:tc>
        <w:tc>
          <w:tcPr>
            <w:tcW w:w="140" w:type="dxa"/>
            <w:vAlign w:val="bottom"/>
            <w:tcBorders>
              <w:bottom w:val="single" w:sz="8" w:color="D2DCE5"/>
            </w:tcBorders>
            <w:shd w:val="clear" w:color="auto" w:fill="D2DCE5"/>
          </w:tcPr>
          <w:p>
            <w:pPr>
              <w:spacing w:after="0"/>
              <w:rPr>
                <w:sz w:val="15"/>
                <w:szCs w:val="15"/>
                <w:color w:val="auto"/>
              </w:rPr>
            </w:pPr>
          </w:p>
        </w:tc>
        <w:tc>
          <w:tcPr>
            <w:tcW w:w="6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(7,013)</w:t>
            </w:r>
          </w:p>
        </w:tc>
        <w:tc>
          <w:tcPr>
            <w:tcW w:w="80" w:type="dxa"/>
            <w:vAlign w:val="bottom"/>
            <w:tcBorders>
              <w:bottom w:val="single" w:sz="8" w:color="D2DCE5"/>
            </w:tcBorders>
            <w:shd w:val="clear" w:color="auto" w:fill="D2DCE5"/>
          </w:tcPr>
          <w:p>
            <w:pPr>
              <w:spacing w:after="0"/>
              <w:rPr>
                <w:sz w:val="15"/>
                <w:szCs w:val="15"/>
                <w:color w:val="auto"/>
              </w:rPr>
            </w:pPr>
          </w:p>
        </w:tc>
        <w:tc>
          <w:tcPr>
            <w:tcW w:w="300" w:type="dxa"/>
            <w:vAlign w:val="bottom"/>
            <w:tcBorders>
              <w:bottom w:val="single" w:sz="8" w:color="D2DCE5"/>
            </w:tcBorders>
            <w:shd w:val="clear" w:color="auto" w:fill="D2DCE5"/>
          </w:tcPr>
          <w:p>
            <w:pPr>
              <w:spacing w:after="0"/>
              <w:rPr>
                <w:sz w:val="15"/>
                <w:szCs w:val="15"/>
                <w:color w:val="auto"/>
              </w:rPr>
            </w:pPr>
          </w:p>
        </w:tc>
        <w:tc>
          <w:tcPr>
            <w:tcW w:w="13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(1,080)</w:t>
            </w:r>
          </w:p>
        </w:tc>
      </w:tr>
      <w:tr>
        <w:trPr>
          <w:trHeight w:val="20"/>
        </w:trPr>
        <w:tc>
          <w:tcPr>
            <w:tcW w:w="2480" w:type="dxa"/>
            <w:vAlign w:val="bottom"/>
            <w:shd w:val="clear" w:color="auto" w:fill="131E29"/>
          </w:tcPr>
          <w:p>
            <w:pPr>
              <w:spacing w:after="0" w:line="20" w:lineRule="exact"/>
              <w:rPr>
                <w:sz w:val="1"/>
                <w:szCs w:val="1"/>
                <w:color w:val="auto"/>
              </w:rPr>
            </w:pPr>
          </w:p>
        </w:tc>
        <w:tc>
          <w:tcPr>
            <w:tcW w:w="440" w:type="dxa"/>
            <w:vAlign w:val="bottom"/>
            <w:shd w:val="clear" w:color="auto" w:fill="131E29"/>
          </w:tcPr>
          <w:p>
            <w:pPr>
              <w:spacing w:after="0" w:line="20" w:lineRule="exact"/>
              <w:rPr>
                <w:sz w:val="1"/>
                <w:szCs w:val="1"/>
                <w:color w:val="auto"/>
              </w:rPr>
            </w:pPr>
          </w:p>
        </w:tc>
        <w:tc>
          <w:tcPr>
            <w:tcW w:w="80" w:type="dxa"/>
            <w:vAlign w:val="bottom"/>
            <w:shd w:val="clear" w:color="auto" w:fill="131E29"/>
          </w:tcPr>
          <w:p>
            <w:pPr>
              <w:spacing w:after="0" w:line="20" w:lineRule="exact"/>
              <w:rPr>
                <w:sz w:val="1"/>
                <w:szCs w:val="1"/>
                <w:color w:val="auto"/>
              </w:rPr>
            </w:pPr>
          </w:p>
        </w:tc>
        <w:tc>
          <w:tcPr>
            <w:tcW w:w="200" w:type="dxa"/>
            <w:vAlign w:val="bottom"/>
            <w:shd w:val="clear" w:color="auto" w:fill="131E29"/>
          </w:tcPr>
          <w:p>
            <w:pPr>
              <w:spacing w:after="0" w:line="20" w:lineRule="exact"/>
              <w:rPr>
                <w:sz w:val="1"/>
                <w:szCs w:val="1"/>
                <w:color w:val="auto"/>
              </w:rPr>
            </w:pPr>
          </w:p>
        </w:tc>
        <w:tc>
          <w:tcPr>
            <w:tcW w:w="800" w:type="dxa"/>
            <w:vAlign w:val="bottom"/>
            <w:shd w:val="clear" w:color="auto" w:fill="131E29"/>
          </w:tcPr>
          <w:p>
            <w:pPr>
              <w:spacing w:after="0" w:line="20" w:lineRule="exact"/>
              <w:rPr>
                <w:sz w:val="1"/>
                <w:szCs w:val="1"/>
                <w:color w:val="auto"/>
              </w:rPr>
            </w:pPr>
          </w:p>
        </w:tc>
        <w:tc>
          <w:tcPr>
            <w:tcW w:w="80" w:type="dxa"/>
            <w:vAlign w:val="bottom"/>
            <w:shd w:val="clear" w:color="auto" w:fill="131E29"/>
          </w:tcPr>
          <w:p>
            <w:pPr>
              <w:spacing w:after="0" w:line="20" w:lineRule="exact"/>
              <w:rPr>
                <w:sz w:val="1"/>
                <w:szCs w:val="1"/>
                <w:color w:val="auto"/>
              </w:rPr>
            </w:pPr>
          </w:p>
        </w:tc>
        <w:tc>
          <w:tcPr>
            <w:tcW w:w="200" w:type="dxa"/>
            <w:vAlign w:val="bottom"/>
            <w:shd w:val="clear" w:color="auto" w:fill="131E29"/>
          </w:tcPr>
          <w:p>
            <w:pPr>
              <w:spacing w:after="0" w:line="20" w:lineRule="exact"/>
              <w:rPr>
                <w:sz w:val="1"/>
                <w:szCs w:val="1"/>
                <w:color w:val="auto"/>
              </w:rPr>
            </w:pPr>
          </w:p>
        </w:tc>
        <w:tc>
          <w:tcPr>
            <w:tcW w:w="760" w:type="dxa"/>
            <w:vAlign w:val="bottom"/>
            <w:shd w:val="clear" w:color="auto" w:fill="131E29"/>
          </w:tcPr>
          <w:p>
            <w:pPr>
              <w:spacing w:after="0" w:line="20" w:lineRule="exact"/>
              <w:rPr>
                <w:sz w:val="1"/>
                <w:szCs w:val="1"/>
                <w:color w:val="auto"/>
              </w:rPr>
            </w:pPr>
          </w:p>
        </w:tc>
        <w:tc>
          <w:tcPr>
            <w:tcW w:w="80" w:type="dxa"/>
            <w:vAlign w:val="bottom"/>
            <w:shd w:val="clear" w:color="auto" w:fill="131E29"/>
          </w:tcPr>
          <w:p>
            <w:pPr>
              <w:spacing w:after="0" w:line="20" w:lineRule="exact"/>
              <w:rPr>
                <w:sz w:val="1"/>
                <w:szCs w:val="1"/>
                <w:color w:val="auto"/>
              </w:rPr>
            </w:pPr>
          </w:p>
        </w:tc>
        <w:tc>
          <w:tcPr>
            <w:tcW w:w="240" w:type="dxa"/>
            <w:vAlign w:val="bottom"/>
            <w:shd w:val="clear" w:color="auto" w:fill="131E29"/>
          </w:tcPr>
          <w:p>
            <w:pPr>
              <w:spacing w:after="0" w:line="20" w:lineRule="exact"/>
              <w:rPr>
                <w:sz w:val="1"/>
                <w:szCs w:val="1"/>
                <w:color w:val="auto"/>
              </w:rPr>
            </w:pPr>
          </w:p>
        </w:tc>
        <w:tc>
          <w:tcPr>
            <w:tcW w:w="880" w:type="dxa"/>
            <w:vAlign w:val="bottom"/>
            <w:shd w:val="clear" w:color="auto" w:fill="131E29"/>
          </w:tcPr>
          <w:p>
            <w:pPr>
              <w:spacing w:after="0" w:line="20" w:lineRule="exact"/>
              <w:rPr>
                <w:sz w:val="1"/>
                <w:szCs w:val="1"/>
                <w:color w:val="auto"/>
              </w:rPr>
            </w:pPr>
          </w:p>
        </w:tc>
        <w:tc>
          <w:tcPr>
            <w:tcW w:w="80" w:type="dxa"/>
            <w:vAlign w:val="bottom"/>
            <w:shd w:val="clear" w:color="auto" w:fill="131E29"/>
          </w:tcPr>
          <w:p>
            <w:pPr>
              <w:spacing w:after="0" w:line="20" w:lineRule="exact"/>
              <w:rPr>
                <w:sz w:val="1"/>
                <w:szCs w:val="1"/>
                <w:color w:val="auto"/>
              </w:rPr>
            </w:pPr>
          </w:p>
        </w:tc>
        <w:tc>
          <w:tcPr>
            <w:tcW w:w="700" w:type="dxa"/>
            <w:vAlign w:val="bottom"/>
            <w:shd w:val="clear" w:color="auto" w:fill="131E29"/>
          </w:tcPr>
          <w:p>
            <w:pPr>
              <w:spacing w:after="0" w:line="20" w:lineRule="exact"/>
              <w:rPr>
                <w:sz w:val="1"/>
                <w:szCs w:val="1"/>
                <w:color w:val="auto"/>
              </w:rPr>
            </w:pPr>
          </w:p>
        </w:tc>
        <w:tc>
          <w:tcPr>
            <w:tcW w:w="620" w:type="dxa"/>
            <w:vAlign w:val="bottom"/>
            <w:shd w:val="clear" w:color="auto" w:fill="131E29"/>
          </w:tcPr>
          <w:p>
            <w:pPr>
              <w:spacing w:after="0" w:line="20" w:lineRule="exact"/>
              <w:rPr>
                <w:sz w:val="1"/>
                <w:szCs w:val="1"/>
                <w:color w:val="auto"/>
              </w:rPr>
            </w:pPr>
          </w:p>
        </w:tc>
        <w:tc>
          <w:tcPr>
            <w:tcW w:w="440" w:type="dxa"/>
            <w:vAlign w:val="bottom"/>
            <w:shd w:val="clear" w:color="auto" w:fill="131E2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131E29"/>
          </w:tcPr>
          <w:p>
            <w:pPr>
              <w:spacing w:after="0" w:line="20" w:lineRule="exact"/>
              <w:rPr>
                <w:sz w:val="1"/>
                <w:szCs w:val="1"/>
                <w:color w:val="auto"/>
              </w:rPr>
            </w:pPr>
          </w:p>
        </w:tc>
        <w:tc>
          <w:tcPr>
            <w:tcW w:w="80" w:type="dxa"/>
            <w:vAlign w:val="bottom"/>
            <w:shd w:val="clear" w:color="auto" w:fill="131E29"/>
          </w:tcPr>
          <w:p>
            <w:pPr>
              <w:spacing w:after="0" w:line="20" w:lineRule="exact"/>
              <w:rPr>
                <w:sz w:val="1"/>
                <w:szCs w:val="1"/>
                <w:color w:val="auto"/>
              </w:rPr>
            </w:pPr>
          </w:p>
        </w:tc>
        <w:tc>
          <w:tcPr>
            <w:tcW w:w="140" w:type="dxa"/>
            <w:vAlign w:val="bottom"/>
            <w:shd w:val="clear" w:color="auto" w:fill="131E29"/>
          </w:tcPr>
          <w:p>
            <w:pPr>
              <w:spacing w:after="0" w:line="20" w:lineRule="exact"/>
              <w:rPr>
                <w:sz w:val="1"/>
                <w:szCs w:val="1"/>
                <w:color w:val="auto"/>
              </w:rPr>
            </w:pPr>
          </w:p>
        </w:tc>
        <w:tc>
          <w:tcPr>
            <w:tcW w:w="620" w:type="dxa"/>
            <w:vAlign w:val="bottom"/>
            <w:shd w:val="clear" w:color="auto" w:fill="131E2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131E29"/>
          </w:tcPr>
          <w:p>
            <w:pPr>
              <w:spacing w:after="0" w:line="20" w:lineRule="exact"/>
              <w:rPr>
                <w:sz w:val="1"/>
                <w:szCs w:val="1"/>
                <w:color w:val="auto"/>
              </w:rPr>
            </w:pPr>
          </w:p>
        </w:tc>
        <w:tc>
          <w:tcPr>
            <w:tcW w:w="1300" w:type="dxa"/>
            <w:vAlign w:val="bottom"/>
            <w:shd w:val="clear" w:color="auto" w:fill="131E29"/>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Selling, General, and Administrative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40" w:type="dxa"/>
            <w:vAlign w:val="bottom"/>
            <w:gridSpan w:val="4"/>
          </w:tcPr>
          <w:p>
            <w:pPr>
              <w:jc w:val="right"/>
              <w:spacing w:after="0"/>
              <w:rPr>
                <w:sz w:val="20"/>
                <w:szCs w:val="20"/>
                <w:color w:val="auto"/>
              </w:rPr>
            </w:pPr>
            <w:r>
              <w:rPr>
                <w:rFonts w:ascii="Arial" w:cs="Arial" w:eastAsia="Arial" w:hAnsi="Arial"/>
                <w:sz w:val="14"/>
                <w:szCs w:val="14"/>
                <w:b w:val="1"/>
                <w:bCs w:val="1"/>
                <w:color w:val="131E29"/>
              </w:rPr>
              <w:t>Year Ended December 31,</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
        </w:trPr>
        <w:tc>
          <w:tcPr>
            <w:tcW w:w="3020" w:type="dxa"/>
            <w:vAlign w:val="bottom"/>
            <w:gridSpan w:val="2"/>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gridSpan w:val="2"/>
          </w:tcPr>
          <w:p>
            <w:pPr>
              <w:spacing w:after="0" w:line="20" w:lineRule="exact"/>
              <w:rPr>
                <w:sz w:val="1"/>
                <w:szCs w:val="1"/>
                <w:color w:val="auto"/>
              </w:rPr>
            </w:pPr>
          </w:p>
        </w:tc>
      </w:tr>
      <w:tr>
        <w:trPr>
          <w:trHeight w:val="193"/>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80" w:type="dxa"/>
            <w:vAlign w:val="bottom"/>
            <w:tcBorders>
              <w:bottom w:val="single" w:sz="8" w:color="D2DCE5"/>
            </w:tcBorders>
          </w:tcPr>
          <w:p>
            <w:pPr>
              <w:spacing w:after="0"/>
              <w:rPr>
                <w:sz w:val="16"/>
                <w:szCs w:val="16"/>
                <w:color w:val="auto"/>
              </w:rPr>
            </w:pPr>
          </w:p>
        </w:tc>
        <w:tc>
          <w:tcPr>
            <w:tcW w:w="1060" w:type="dxa"/>
            <w:vAlign w:val="bottom"/>
            <w:tcBorders>
              <w:bottom w:val="single" w:sz="8" w:color="131E29"/>
            </w:tcBorders>
          </w:tcPr>
          <w:p>
            <w:pPr>
              <w:jc w:val="center"/>
              <w:spacing w:after="0"/>
              <w:rPr>
                <w:sz w:val="20"/>
                <w:szCs w:val="20"/>
                <w:color w:val="auto"/>
              </w:rPr>
            </w:pPr>
            <w:r>
              <w:rPr>
                <w:rFonts w:ascii="Arial" w:cs="Arial" w:eastAsia="Arial" w:hAnsi="Arial"/>
                <w:sz w:val="14"/>
                <w:szCs w:val="14"/>
                <w:b w:val="1"/>
                <w:bCs w:val="1"/>
                <w:color w:val="131E29"/>
              </w:rPr>
              <w:t>2022</w:t>
            </w:r>
          </w:p>
        </w:tc>
        <w:tc>
          <w:tcPr>
            <w:tcW w:w="100" w:type="dxa"/>
            <w:vAlign w:val="bottom"/>
            <w:tcBorders>
              <w:bottom w:val="single" w:sz="8" w:color="D2DCE5"/>
            </w:tcBorders>
          </w:tcPr>
          <w:p>
            <w:pPr>
              <w:spacing w:after="0"/>
              <w:rPr>
                <w:sz w:val="16"/>
                <w:szCs w:val="16"/>
                <w:color w:val="auto"/>
              </w:rPr>
            </w:pPr>
          </w:p>
        </w:tc>
        <w:tc>
          <w:tcPr>
            <w:tcW w:w="200" w:type="dxa"/>
            <w:vAlign w:val="bottom"/>
            <w:tcBorders>
              <w:bottom w:val="single" w:sz="8" w:color="131E29"/>
            </w:tcBorders>
          </w:tcPr>
          <w:p>
            <w:pPr>
              <w:spacing w:after="0"/>
              <w:rPr>
                <w:sz w:val="16"/>
                <w:szCs w:val="16"/>
                <w:color w:val="auto"/>
              </w:rPr>
            </w:pPr>
          </w:p>
        </w:tc>
        <w:tc>
          <w:tcPr>
            <w:tcW w:w="800" w:type="dxa"/>
            <w:vAlign w:val="bottom"/>
            <w:tcBorders>
              <w:bottom w:val="single" w:sz="8" w:color="131E29"/>
            </w:tcBorders>
          </w:tcPr>
          <w:p>
            <w:pPr>
              <w:jc w:val="right"/>
              <w:ind w:right="274"/>
              <w:spacing w:after="0"/>
              <w:rPr>
                <w:sz w:val="20"/>
                <w:szCs w:val="20"/>
                <w:color w:val="auto"/>
              </w:rPr>
            </w:pPr>
            <w:r>
              <w:rPr>
                <w:rFonts w:ascii="Arial" w:cs="Arial" w:eastAsia="Arial" w:hAnsi="Arial"/>
                <w:sz w:val="14"/>
                <w:szCs w:val="14"/>
                <w:b w:val="1"/>
                <w:bCs w:val="1"/>
                <w:color w:val="131E29"/>
              </w:rPr>
              <w:t>2021</w:t>
            </w:r>
          </w:p>
        </w:tc>
        <w:tc>
          <w:tcPr>
            <w:tcW w:w="80" w:type="dxa"/>
            <w:vAlign w:val="bottom"/>
            <w:tcBorders>
              <w:bottom w:val="single" w:sz="8" w:color="D2DCE5"/>
            </w:tcBorders>
          </w:tcPr>
          <w:p>
            <w:pPr>
              <w:spacing w:after="0"/>
              <w:rPr>
                <w:sz w:val="16"/>
                <w:szCs w:val="16"/>
                <w:color w:val="auto"/>
              </w:rPr>
            </w:pPr>
          </w:p>
        </w:tc>
        <w:tc>
          <w:tcPr>
            <w:tcW w:w="240" w:type="dxa"/>
            <w:vAlign w:val="bottom"/>
            <w:tcBorders>
              <w:bottom w:val="single" w:sz="8" w:color="131E29"/>
            </w:tcBorders>
          </w:tcPr>
          <w:p>
            <w:pPr>
              <w:spacing w:after="0"/>
              <w:rPr>
                <w:sz w:val="16"/>
                <w:szCs w:val="16"/>
                <w:color w:val="auto"/>
              </w:rPr>
            </w:pPr>
          </w:p>
        </w:tc>
        <w:tc>
          <w:tcPr>
            <w:tcW w:w="900" w:type="dxa"/>
            <w:vAlign w:val="bottom"/>
            <w:tcBorders>
              <w:bottom w:val="single" w:sz="8" w:color="131E29"/>
            </w:tcBorders>
          </w:tcPr>
          <w:p>
            <w:pPr>
              <w:jc w:val="right"/>
              <w:ind w:right="333"/>
              <w:spacing w:after="0"/>
              <w:rPr>
                <w:sz w:val="20"/>
                <w:szCs w:val="20"/>
                <w:color w:val="auto"/>
              </w:rPr>
            </w:pPr>
            <w:r>
              <w:rPr>
                <w:rFonts w:ascii="Arial" w:cs="Arial" w:eastAsia="Arial" w:hAnsi="Arial"/>
                <w:sz w:val="14"/>
                <w:szCs w:val="14"/>
                <w:b w:val="1"/>
                <w:bCs w:val="1"/>
                <w:color w:val="131E29"/>
              </w:rPr>
              <w:t>2020</w:t>
            </w:r>
          </w:p>
        </w:tc>
        <w:tc>
          <w:tcPr>
            <w:tcW w:w="80" w:type="dxa"/>
            <w:vAlign w:val="bottom"/>
            <w:tcBorders>
              <w:bottom w:val="single" w:sz="8" w:color="D2DCE5"/>
            </w:tcBorders>
          </w:tcPr>
          <w:p>
            <w:pPr>
              <w:spacing w:after="0"/>
              <w:rPr>
                <w:sz w:val="16"/>
                <w:szCs w:val="16"/>
                <w:color w:val="auto"/>
              </w:rPr>
            </w:pPr>
          </w:p>
        </w:tc>
        <w:tc>
          <w:tcPr>
            <w:tcW w:w="280" w:type="dxa"/>
            <w:vAlign w:val="bottom"/>
            <w:tcBorders>
              <w:bottom w:val="single" w:sz="8" w:color="131E29"/>
            </w:tcBorders>
          </w:tcPr>
          <w:p>
            <w:pPr>
              <w:spacing w:after="0"/>
              <w:rPr>
                <w:sz w:val="16"/>
                <w:szCs w:val="16"/>
                <w:color w:val="auto"/>
              </w:rPr>
            </w:pPr>
          </w:p>
        </w:tc>
        <w:tc>
          <w:tcPr>
            <w:tcW w:w="2080" w:type="dxa"/>
            <w:vAlign w:val="bottom"/>
            <w:tcBorders>
              <w:bottom w:val="single" w:sz="8" w:color="131E29"/>
            </w:tcBorders>
            <w:gridSpan w:val="2"/>
          </w:tcPr>
          <w:p>
            <w:pPr>
              <w:ind w:left="500"/>
              <w:spacing w:after="0"/>
              <w:rPr>
                <w:sz w:val="20"/>
                <w:szCs w:val="20"/>
                <w:color w:val="auto"/>
              </w:rPr>
            </w:pPr>
            <w:r>
              <w:rPr>
                <w:rFonts w:ascii="Arial" w:cs="Arial" w:eastAsia="Arial" w:hAnsi="Arial"/>
                <w:sz w:val="14"/>
                <w:szCs w:val="14"/>
                <w:b w:val="1"/>
                <w:bCs w:val="1"/>
                <w:color w:val="131E29"/>
              </w:rPr>
              <w:t>2022 v. 2021</w:t>
            </w:r>
          </w:p>
        </w:tc>
        <w:tc>
          <w:tcPr>
            <w:tcW w:w="80" w:type="dxa"/>
            <w:vAlign w:val="bottom"/>
            <w:tcBorders>
              <w:bottom w:val="single" w:sz="8" w:color="D2DCE5"/>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131E29"/>
              </w:rPr>
              <w:t>2021 v. 2020</w:t>
            </w:r>
          </w:p>
        </w:tc>
      </w:tr>
      <w:tr>
        <w:trPr>
          <w:trHeight w:val="191"/>
        </w:trPr>
        <w:tc>
          <w:tcPr>
            <w:tcW w:w="302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Selling, General and Administrative</w:t>
            </w:r>
          </w:p>
        </w:tc>
        <w:tc>
          <w:tcPr>
            <w:tcW w:w="1060" w:type="dxa"/>
            <w:vAlign w:val="bottom"/>
            <w:shd w:val="clear" w:color="auto" w:fill="D2DCE5"/>
          </w:tcPr>
          <w:p>
            <w:pPr>
              <w:jc w:val="center"/>
              <w:spacing w:after="0"/>
              <w:rPr>
                <w:sz w:val="20"/>
                <w:szCs w:val="20"/>
                <w:color w:val="auto"/>
              </w:rPr>
            </w:pPr>
            <w:r>
              <w:rPr>
                <w:rFonts w:ascii="Arial" w:cs="Arial" w:eastAsia="Arial" w:hAnsi="Arial"/>
                <w:sz w:val="13"/>
                <w:szCs w:val="13"/>
                <w:color w:val="131E29"/>
                <w:w w:val="95"/>
              </w:rPr>
              <w:t>$183,528</w:t>
            </w:r>
          </w:p>
        </w:tc>
        <w:tc>
          <w:tcPr>
            <w:tcW w:w="100" w:type="dxa"/>
            <w:vAlign w:val="bottom"/>
            <w:shd w:val="clear" w:color="auto" w:fill="D2DCE5"/>
          </w:tcPr>
          <w:p>
            <w:pPr>
              <w:spacing w:after="0"/>
              <w:rPr>
                <w:sz w:val="16"/>
                <w:szCs w:val="16"/>
                <w:color w:val="auto"/>
              </w:rPr>
            </w:pPr>
          </w:p>
        </w:tc>
        <w:tc>
          <w:tcPr>
            <w:tcW w:w="200" w:type="dxa"/>
            <w:vAlign w:val="bottom"/>
            <w:shd w:val="clear" w:color="auto" w:fill="D2DCE5"/>
          </w:tcPr>
          <w:p>
            <w:pPr>
              <w:jc w:val="right"/>
              <w:ind w:right="56"/>
              <w:spacing w:after="0"/>
              <w:rPr>
                <w:sz w:val="20"/>
                <w:szCs w:val="20"/>
                <w:color w:val="auto"/>
              </w:rPr>
            </w:pPr>
            <w:r>
              <w:rPr>
                <w:rFonts w:ascii="Arial" w:cs="Arial" w:eastAsia="Arial" w:hAnsi="Arial"/>
                <w:sz w:val="13"/>
                <w:szCs w:val="13"/>
                <w:color w:val="131E29"/>
                <w:w w:val="82"/>
              </w:rPr>
              <w:t>$</w:t>
            </w:r>
          </w:p>
        </w:tc>
        <w:tc>
          <w:tcPr>
            <w:tcW w:w="80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264,529</w:t>
            </w:r>
          </w:p>
        </w:tc>
        <w:tc>
          <w:tcPr>
            <w:tcW w:w="80" w:type="dxa"/>
            <w:vAlign w:val="bottom"/>
            <w:shd w:val="clear" w:color="auto" w:fill="D2DCE5"/>
          </w:tcPr>
          <w:p>
            <w:pPr>
              <w:spacing w:after="0"/>
              <w:rPr>
                <w:sz w:val="16"/>
                <w:szCs w:val="16"/>
                <w:color w:val="auto"/>
              </w:rPr>
            </w:pPr>
          </w:p>
        </w:tc>
        <w:tc>
          <w:tcPr>
            <w:tcW w:w="240" w:type="dxa"/>
            <w:vAlign w:val="bottom"/>
            <w:shd w:val="clear" w:color="auto" w:fill="D2DCE5"/>
          </w:tcPr>
          <w:p>
            <w:pPr>
              <w:jc w:val="right"/>
              <w:ind w:right="76"/>
              <w:spacing w:after="0"/>
              <w:rPr>
                <w:sz w:val="20"/>
                <w:szCs w:val="20"/>
                <w:color w:val="auto"/>
              </w:rPr>
            </w:pPr>
            <w:r>
              <w:rPr>
                <w:rFonts w:ascii="Arial" w:cs="Arial" w:eastAsia="Arial" w:hAnsi="Arial"/>
                <w:sz w:val="13"/>
                <w:szCs w:val="13"/>
                <w:color w:val="131E29"/>
              </w:rPr>
              <w:t>$</w:t>
            </w:r>
          </w:p>
        </w:tc>
        <w:tc>
          <w:tcPr>
            <w:tcW w:w="90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104,935</w:t>
            </w:r>
          </w:p>
        </w:tc>
        <w:tc>
          <w:tcPr>
            <w:tcW w:w="80" w:type="dxa"/>
            <w:vAlign w:val="bottom"/>
            <w:shd w:val="clear" w:color="auto" w:fill="D2DCE5"/>
          </w:tcPr>
          <w:p>
            <w:pPr>
              <w:spacing w:after="0"/>
              <w:rPr>
                <w:sz w:val="16"/>
                <w:szCs w:val="16"/>
                <w:color w:val="auto"/>
              </w:rPr>
            </w:pPr>
          </w:p>
        </w:tc>
        <w:tc>
          <w:tcPr>
            <w:tcW w:w="280" w:type="dxa"/>
            <w:vAlign w:val="bottom"/>
            <w:shd w:val="clear" w:color="auto" w:fill="D2DCE5"/>
          </w:tcPr>
          <w:p>
            <w:pPr>
              <w:jc w:val="right"/>
              <w:ind w:right="116"/>
              <w:spacing w:after="0"/>
              <w:rPr>
                <w:sz w:val="20"/>
                <w:szCs w:val="20"/>
                <w:color w:val="auto"/>
              </w:rPr>
            </w:pPr>
            <w:r>
              <w:rPr>
                <w:rFonts w:ascii="Arial" w:cs="Arial" w:eastAsia="Arial" w:hAnsi="Arial"/>
                <w:sz w:val="13"/>
                <w:szCs w:val="13"/>
                <w:color w:val="131E29"/>
              </w:rPr>
              <w:t>$</w:t>
            </w:r>
          </w:p>
        </w:tc>
        <w:tc>
          <w:tcPr>
            <w:tcW w:w="1280" w:type="dxa"/>
            <w:vAlign w:val="bottom"/>
            <w:shd w:val="clear" w:color="auto" w:fill="D2DCE5"/>
          </w:tcPr>
          <w:p>
            <w:pPr>
              <w:jc w:val="right"/>
              <w:ind w:right="374"/>
              <w:spacing w:after="0"/>
              <w:rPr>
                <w:sz w:val="20"/>
                <w:szCs w:val="20"/>
                <w:color w:val="auto"/>
              </w:rPr>
            </w:pPr>
            <w:r>
              <w:rPr>
                <w:rFonts w:ascii="Arial" w:cs="Arial" w:eastAsia="Arial" w:hAnsi="Arial"/>
                <w:sz w:val="13"/>
                <w:szCs w:val="13"/>
                <w:color w:val="131E29"/>
              </w:rPr>
              <w:t>(81,001)</w:t>
            </w:r>
          </w:p>
        </w:tc>
        <w:tc>
          <w:tcPr>
            <w:tcW w:w="800" w:type="dxa"/>
            <w:vAlign w:val="bottom"/>
            <w:shd w:val="clear" w:color="auto" w:fill="D2DCE5"/>
          </w:tcPr>
          <w:p>
            <w:pPr>
              <w:jc w:val="right"/>
              <w:ind w:right="276"/>
              <w:spacing w:after="0"/>
              <w:rPr>
                <w:sz w:val="20"/>
                <w:szCs w:val="20"/>
                <w:color w:val="auto"/>
              </w:rPr>
            </w:pPr>
            <w:r>
              <w:rPr>
                <w:rFonts w:ascii="Arial" w:cs="Arial" w:eastAsia="Arial" w:hAnsi="Arial"/>
                <w:sz w:val="13"/>
                <w:szCs w:val="13"/>
                <w:color w:val="131E29"/>
                <w:w w:val="96"/>
              </w:rPr>
              <w:t>(30.6)%</w:t>
            </w:r>
          </w:p>
        </w:tc>
        <w:tc>
          <w:tcPr>
            <w:tcW w:w="80" w:type="dxa"/>
            <w:vAlign w:val="bottom"/>
            <w:shd w:val="clear" w:color="auto" w:fill="D2DCE5"/>
          </w:tcPr>
          <w:p>
            <w:pPr>
              <w:spacing w:after="0"/>
              <w:rPr>
                <w:sz w:val="16"/>
                <w:szCs w:val="16"/>
                <w:color w:val="auto"/>
              </w:rPr>
            </w:pPr>
          </w:p>
        </w:tc>
        <w:tc>
          <w:tcPr>
            <w:tcW w:w="280" w:type="dxa"/>
            <w:vAlign w:val="bottom"/>
            <w:shd w:val="clear" w:color="auto" w:fill="D2DCE5"/>
          </w:tcPr>
          <w:p>
            <w:pPr>
              <w:jc w:val="right"/>
              <w:ind w:right="116"/>
              <w:spacing w:after="0"/>
              <w:rPr>
                <w:sz w:val="20"/>
                <w:szCs w:val="20"/>
                <w:color w:val="auto"/>
              </w:rPr>
            </w:pPr>
            <w:r>
              <w:rPr>
                <w:rFonts w:ascii="Arial" w:cs="Arial" w:eastAsia="Arial" w:hAnsi="Arial"/>
                <w:sz w:val="13"/>
                <w:szCs w:val="13"/>
                <w:color w:val="131E29"/>
              </w:rPr>
              <w:t>$</w:t>
            </w:r>
          </w:p>
        </w:tc>
        <w:tc>
          <w:tcPr>
            <w:tcW w:w="1060" w:type="dxa"/>
            <w:vAlign w:val="bottom"/>
            <w:shd w:val="clear" w:color="auto" w:fill="D2DCE5"/>
          </w:tcPr>
          <w:p>
            <w:pPr>
              <w:jc w:val="right"/>
              <w:ind w:right="194"/>
              <w:spacing w:after="0"/>
              <w:rPr>
                <w:sz w:val="20"/>
                <w:szCs w:val="20"/>
                <w:color w:val="auto"/>
              </w:rPr>
            </w:pPr>
            <w:r>
              <w:rPr>
                <w:rFonts w:ascii="Arial" w:cs="Arial" w:eastAsia="Arial" w:hAnsi="Arial"/>
                <w:sz w:val="13"/>
                <w:szCs w:val="13"/>
                <w:color w:val="131E29"/>
              </w:rPr>
              <w:t>159,594</w:t>
            </w:r>
          </w:p>
        </w:tc>
        <w:tc>
          <w:tcPr>
            <w:tcW w:w="1020" w:type="dxa"/>
            <w:vAlign w:val="bottom"/>
            <w:shd w:val="clear" w:color="auto" w:fill="D2DCE5"/>
          </w:tcPr>
          <w:p>
            <w:pPr>
              <w:jc w:val="right"/>
              <w:ind w:right="276"/>
              <w:spacing w:after="0"/>
              <w:rPr>
                <w:sz w:val="20"/>
                <w:szCs w:val="20"/>
                <w:color w:val="auto"/>
              </w:rPr>
            </w:pPr>
            <w:r>
              <w:rPr>
                <w:rFonts w:ascii="Arial" w:cs="Arial" w:eastAsia="Arial" w:hAnsi="Arial"/>
                <w:sz w:val="13"/>
                <w:szCs w:val="13"/>
                <w:color w:val="131E29"/>
              </w:rPr>
              <w:t>152.1%</w:t>
            </w:r>
          </w:p>
        </w:tc>
      </w:tr>
      <w:tr>
        <w:trPr>
          <w:trHeight w:val="176"/>
        </w:trPr>
        <w:tc>
          <w:tcPr>
            <w:tcW w:w="3020" w:type="dxa"/>
            <w:vAlign w:val="bottom"/>
            <w:gridSpan w:val="2"/>
          </w:tcPr>
          <w:p>
            <w:pPr>
              <w:ind w:left="20"/>
              <w:spacing w:after="0"/>
              <w:rPr>
                <w:sz w:val="20"/>
                <w:szCs w:val="20"/>
                <w:color w:val="auto"/>
              </w:rPr>
            </w:pPr>
            <w:r>
              <w:rPr>
                <w:rFonts w:ascii="Arial" w:cs="Arial" w:eastAsia="Arial" w:hAnsi="Arial"/>
                <w:sz w:val="13"/>
                <w:szCs w:val="13"/>
                <w:i w:val="1"/>
                <w:iCs w:val="1"/>
                <w:color w:val="131E29"/>
              </w:rPr>
              <w:t>As a percentage of total revenues</w:t>
            </w:r>
          </w:p>
        </w:tc>
        <w:tc>
          <w:tcPr>
            <w:tcW w:w="1060" w:type="dxa"/>
            <w:vAlign w:val="bottom"/>
          </w:tcPr>
          <w:p>
            <w:pPr>
              <w:jc w:val="center"/>
              <w:spacing w:after="0"/>
              <w:rPr>
                <w:sz w:val="20"/>
                <w:szCs w:val="20"/>
                <w:color w:val="auto"/>
              </w:rPr>
            </w:pPr>
            <w:r>
              <w:rPr>
                <w:rFonts w:ascii="Arial" w:cs="Arial" w:eastAsia="Arial" w:hAnsi="Arial"/>
                <w:sz w:val="13"/>
                <w:szCs w:val="13"/>
                <w:color w:val="131E29"/>
                <w:w w:val="97"/>
              </w:rPr>
              <w:t>24.8%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254"/>
              <w:spacing w:after="0"/>
              <w:rPr>
                <w:sz w:val="20"/>
                <w:szCs w:val="20"/>
                <w:color w:val="auto"/>
              </w:rPr>
            </w:pPr>
            <w:r>
              <w:rPr>
                <w:rFonts w:ascii="Arial" w:cs="Arial" w:eastAsia="Arial" w:hAnsi="Arial"/>
                <w:sz w:val="13"/>
                <w:szCs w:val="13"/>
                <w:color w:val="131E29"/>
              </w:rPr>
              <w:t>53.1%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313"/>
              <w:spacing w:after="0"/>
              <w:rPr>
                <w:sz w:val="20"/>
                <w:szCs w:val="20"/>
                <w:color w:val="auto"/>
              </w:rPr>
            </w:pPr>
            <w:r>
              <w:rPr>
                <w:rFonts w:ascii="Arial" w:cs="Arial" w:eastAsia="Arial" w:hAnsi="Arial"/>
                <w:sz w:val="13"/>
                <w:szCs w:val="13"/>
                <w:color w:val="131E29"/>
              </w:rPr>
              <w:t>32.0%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ind w:right="814"/>
              <w:spacing w:after="0"/>
              <w:rPr>
                <w:sz w:val="20"/>
                <w:szCs w:val="20"/>
                <w:color w:val="auto"/>
              </w:rPr>
            </w:pPr>
            <w:r>
              <w:rPr>
                <w:rFonts w:ascii="Arial" w:cs="Arial" w:eastAsia="Arial" w:hAnsi="Arial"/>
                <w:sz w:val="13"/>
                <w:szCs w:val="13"/>
                <w:color w:val="131E29"/>
              </w:rPr>
              <w:t>N/A</w:t>
            </w:r>
          </w:p>
        </w:tc>
        <w:tc>
          <w:tcPr>
            <w:tcW w:w="880" w:type="dxa"/>
            <w:vAlign w:val="bottom"/>
            <w:gridSpan w:val="2"/>
          </w:tcPr>
          <w:p>
            <w:pPr>
              <w:jc w:val="center"/>
              <w:ind w:right="400"/>
              <w:spacing w:after="0"/>
              <w:rPr>
                <w:sz w:val="20"/>
                <w:szCs w:val="20"/>
                <w:color w:val="auto"/>
              </w:rPr>
            </w:pPr>
            <w:r>
              <w:rPr>
                <w:rFonts w:ascii="Arial" w:cs="Arial" w:eastAsia="Arial" w:hAnsi="Arial"/>
                <w:sz w:val="13"/>
                <w:szCs w:val="13"/>
                <w:color w:val="131E29"/>
              </w:rPr>
              <w:t>N/M</w:t>
            </w:r>
          </w:p>
        </w:tc>
        <w:tc>
          <w:tcPr>
            <w:tcW w:w="280" w:type="dxa"/>
            <w:vAlign w:val="bottom"/>
          </w:tcPr>
          <w:p>
            <w:pPr>
              <w:spacing w:after="0"/>
              <w:rPr>
                <w:sz w:val="15"/>
                <w:szCs w:val="15"/>
                <w:color w:val="auto"/>
              </w:rPr>
            </w:pPr>
          </w:p>
        </w:tc>
        <w:tc>
          <w:tcPr>
            <w:tcW w:w="1060" w:type="dxa"/>
            <w:vAlign w:val="bottom"/>
          </w:tcPr>
          <w:p>
            <w:pPr>
              <w:jc w:val="right"/>
              <w:ind w:right="594"/>
              <w:spacing w:after="0"/>
              <w:rPr>
                <w:sz w:val="20"/>
                <w:szCs w:val="20"/>
                <w:color w:val="auto"/>
              </w:rPr>
            </w:pPr>
            <w:r>
              <w:rPr>
                <w:rFonts w:ascii="Arial" w:cs="Arial" w:eastAsia="Arial" w:hAnsi="Arial"/>
                <w:sz w:val="13"/>
                <w:szCs w:val="13"/>
                <w:color w:val="131E29"/>
              </w:rPr>
              <w:t>N/A</w:t>
            </w:r>
          </w:p>
        </w:tc>
        <w:tc>
          <w:tcPr>
            <w:tcW w:w="1020" w:type="dxa"/>
            <w:vAlign w:val="bottom"/>
          </w:tcPr>
          <w:p>
            <w:pPr>
              <w:jc w:val="center"/>
              <w:ind w:right="36"/>
              <w:spacing w:after="0"/>
              <w:rPr>
                <w:sz w:val="20"/>
                <w:szCs w:val="20"/>
                <w:color w:val="auto"/>
              </w:rPr>
            </w:pPr>
            <w:r>
              <w:rPr>
                <w:rFonts w:ascii="Arial" w:cs="Arial" w:eastAsia="Arial" w:hAnsi="Arial"/>
                <w:sz w:val="13"/>
                <w:szCs w:val="13"/>
                <w:color w:val="131E29"/>
              </w:rPr>
              <w:t>N/M</w:t>
            </w:r>
          </w:p>
        </w:tc>
      </w:tr>
    </w:tbl>
    <w:p>
      <w:pPr>
        <w:spacing w:after="0" w:line="205"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Year Ended December 31, 2022 v 2021</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131E29"/>
        </w:rPr>
        <w:t>The selling, general, and administrative impacts for the year-over-year comparison were driven by the following (in dollars and basis points):</w:t>
      </w:r>
    </w:p>
    <w:p>
      <w:pPr>
        <w:spacing w:after="0" w:line="142" w:lineRule="exact"/>
        <w:rPr>
          <w:sz w:val="20"/>
          <w:szCs w:val="20"/>
          <w:color w:val="auto"/>
        </w:rPr>
      </w:pPr>
    </w:p>
    <w:p>
      <w:pPr>
        <w:ind w:left="260" w:hanging="255"/>
        <w:spacing w:after="0"/>
        <w:tabs>
          <w:tab w:leader="none" w:pos="260" w:val="left"/>
        </w:tabs>
        <w:numPr>
          <w:ilvl w:val="0"/>
          <w:numId w:val="53"/>
        </w:numPr>
        <w:rPr>
          <w:rFonts w:ascii="Arial" w:cs="Arial" w:eastAsia="Arial" w:hAnsi="Arial"/>
          <w:sz w:val="17"/>
          <w:szCs w:val="17"/>
          <w:b w:val="1"/>
          <w:bCs w:val="1"/>
          <w:color w:val="D7282F"/>
        </w:rPr>
      </w:pPr>
      <w:r>
        <w:rPr>
          <w:rFonts w:ascii="Arial" w:cs="Arial" w:eastAsia="Arial" w:hAnsi="Arial"/>
          <w:sz w:val="14"/>
          <w:szCs w:val="14"/>
          <w:color w:val="131E29"/>
        </w:rPr>
        <w:t>$116.1 million or 1,570 bps from lower equity-based compensation charges related to one-time awards vested as of the IPO.</w:t>
      </w:r>
    </w:p>
    <w:p>
      <w:pPr>
        <w:spacing w:after="0" w:line="101" w:lineRule="exact"/>
        <w:rPr>
          <w:rFonts w:ascii="Arial" w:cs="Arial" w:eastAsia="Arial" w:hAnsi="Arial"/>
          <w:sz w:val="17"/>
          <w:szCs w:val="17"/>
          <w:b w:val="1"/>
          <w:bCs w:val="1"/>
          <w:color w:val="D7282F"/>
        </w:rPr>
      </w:pPr>
    </w:p>
    <w:p>
      <w:pPr>
        <w:ind w:left="260" w:hanging="255"/>
        <w:spacing w:after="0"/>
        <w:tabs>
          <w:tab w:leader="none" w:pos="260" w:val="left"/>
        </w:tabs>
        <w:numPr>
          <w:ilvl w:val="0"/>
          <w:numId w:val="53"/>
        </w:numPr>
        <w:rPr>
          <w:rFonts w:ascii="Arial" w:cs="Arial" w:eastAsia="Arial" w:hAnsi="Arial"/>
          <w:sz w:val="17"/>
          <w:szCs w:val="17"/>
          <w:b w:val="1"/>
          <w:bCs w:val="1"/>
          <w:color w:val="D7282F"/>
        </w:rPr>
      </w:pPr>
      <w:r>
        <w:rPr>
          <w:rFonts w:ascii="Arial" w:cs="Arial" w:eastAsia="Arial" w:hAnsi="Arial"/>
          <w:sz w:val="14"/>
          <w:szCs w:val="14"/>
          <w:color w:val="131E29"/>
        </w:rPr>
        <w:t xml:space="preserve">$10.3 million or 140 bps from </w:t>
      </w:r>
      <w:r>
        <w:rPr>
          <w:rFonts w:ascii="Arial" w:cs="Arial" w:eastAsia="Arial" w:hAnsi="Arial"/>
          <w:sz w:val="14"/>
          <w:szCs w:val="14"/>
          <w:color w:val="000000"/>
        </w:rPr>
        <w:t>non-recurring costs and donations associated with our IPO in the prior year.</w:t>
      </w:r>
    </w:p>
    <w:p>
      <w:pPr>
        <w:spacing w:after="0" w:line="133" w:lineRule="exact"/>
        <w:rPr>
          <w:sz w:val="20"/>
          <w:szCs w:val="20"/>
          <w:color w:val="auto"/>
        </w:rPr>
      </w:pPr>
    </w:p>
    <w:p>
      <w:pPr>
        <w:ind w:left="300" w:hanging="295"/>
        <w:spacing w:after="0"/>
        <w:tabs>
          <w:tab w:leader="none" w:pos="300" w:val="left"/>
        </w:tabs>
        <w:numPr>
          <w:ilvl w:val="0"/>
          <w:numId w:val="54"/>
        </w:numPr>
        <w:rPr>
          <w:rFonts w:ascii="Arial" w:cs="Arial" w:eastAsia="Arial" w:hAnsi="Arial"/>
          <w:sz w:val="17"/>
          <w:szCs w:val="17"/>
          <w:b w:val="1"/>
          <w:bCs w:val="1"/>
          <w:color w:val="006098"/>
        </w:rPr>
      </w:pPr>
      <w:r>
        <w:rPr>
          <w:rFonts w:ascii="Arial" w:cs="Arial" w:eastAsia="Arial" w:hAnsi="Arial"/>
          <w:sz w:val="14"/>
          <w:szCs w:val="14"/>
          <w:color w:val="131E29"/>
        </w:rPr>
        <w:t>$31.6 million from investments in human capital, processes, and systems to support our revenue growth.</w:t>
      </w:r>
    </w:p>
    <w:p>
      <w:pPr>
        <w:spacing w:after="0" w:line="133" w:lineRule="exact"/>
        <w:rPr>
          <w:rFonts w:ascii="Arial" w:cs="Arial" w:eastAsia="Arial" w:hAnsi="Arial"/>
          <w:sz w:val="17"/>
          <w:szCs w:val="17"/>
          <w:b w:val="1"/>
          <w:bCs w:val="1"/>
          <w:color w:val="006098"/>
        </w:rPr>
      </w:pPr>
    </w:p>
    <w:p>
      <w:pPr>
        <w:ind w:left="300" w:hanging="295"/>
        <w:spacing w:after="0"/>
        <w:tabs>
          <w:tab w:leader="none" w:pos="300" w:val="left"/>
        </w:tabs>
        <w:numPr>
          <w:ilvl w:val="0"/>
          <w:numId w:val="54"/>
        </w:numPr>
        <w:rPr>
          <w:rFonts w:ascii="Arial" w:cs="Arial" w:eastAsia="Arial" w:hAnsi="Arial"/>
          <w:sz w:val="17"/>
          <w:szCs w:val="17"/>
          <w:b w:val="1"/>
          <w:bCs w:val="1"/>
          <w:color w:val="006098"/>
        </w:rPr>
      </w:pPr>
      <w:r>
        <w:rPr>
          <w:rFonts w:ascii="Arial" w:cs="Arial" w:eastAsia="Arial" w:hAnsi="Arial"/>
          <w:sz w:val="14"/>
          <w:szCs w:val="14"/>
          <w:color w:val="131E29"/>
        </w:rPr>
        <w:t>$8.3 million or 110 bps from higher costs incurred as a result of being a public company.</w:t>
      </w:r>
    </w:p>
    <w:p>
      <w:pPr>
        <w:spacing w:after="0" w:line="158" w:lineRule="exact"/>
        <w:rPr>
          <w:rFonts w:ascii="Arial" w:cs="Arial" w:eastAsia="Arial" w:hAnsi="Arial"/>
          <w:sz w:val="17"/>
          <w:szCs w:val="17"/>
          <w:b w:val="1"/>
          <w:bCs w:val="1"/>
          <w:color w:val="006098"/>
        </w:rPr>
      </w:pPr>
    </w:p>
    <w:p>
      <w:pPr>
        <w:ind w:left="260" w:hanging="255"/>
        <w:spacing w:after="0" w:line="228" w:lineRule="auto"/>
        <w:tabs>
          <w:tab w:leader="none" w:pos="293" w:val="left"/>
        </w:tabs>
        <w:numPr>
          <w:ilvl w:val="0"/>
          <w:numId w:val="54"/>
        </w:numPr>
        <w:rPr>
          <w:rFonts w:ascii="Arial" w:cs="Arial" w:eastAsia="Arial" w:hAnsi="Arial"/>
          <w:sz w:val="17"/>
          <w:szCs w:val="17"/>
          <w:b w:val="1"/>
          <w:bCs w:val="1"/>
          <w:color w:val="006098"/>
        </w:rPr>
      </w:pPr>
      <w:r>
        <w:rPr>
          <w:rFonts w:ascii="Arial" w:cs="Arial" w:eastAsia="Arial" w:hAnsi="Arial"/>
          <w:sz w:val="14"/>
          <w:szCs w:val="14"/>
          <w:color w:val="131E29"/>
        </w:rPr>
        <w:t>$2.4 million or 30 bps from company-wide event costs celebrating 30 years serving high QUALITY, hand-crafted beverages with unparalleled SPEED and superior SERVICE to our customers.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78" w:name="page79"/>
    <w:bookmarkEnd w:id="78"/>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60" w:hanging="255"/>
        <w:spacing w:after="0" w:line="228" w:lineRule="auto"/>
        <w:tabs>
          <w:tab w:leader="none" w:pos="365" w:val="left"/>
        </w:tabs>
        <w:numPr>
          <w:ilvl w:val="0"/>
          <w:numId w:val="55"/>
        </w:numPr>
        <w:rPr>
          <w:rFonts w:ascii="Arial" w:cs="Arial" w:eastAsia="Arial" w:hAnsi="Arial"/>
          <w:sz w:val="17"/>
          <w:szCs w:val="17"/>
          <w:b w:val="1"/>
          <w:bCs w:val="1"/>
          <w:color w:val="006098"/>
        </w:rPr>
      </w:pPr>
      <w:r>
        <w:rPr>
          <w:rFonts w:ascii="Arial" w:cs="Arial" w:eastAsia="Arial" w:hAnsi="Arial"/>
          <w:sz w:val="14"/>
          <w:szCs w:val="14"/>
          <w:color w:val="131E29"/>
        </w:rPr>
        <w:t>$2.3 million or 30 bps from the write-off of prepaid expenses for COVID-19 impacted projects and events. Our 2023 annual kick-off meeting and our virtual corporate engagement platform built in response to COVID-19 as a substitute for in-person engagement practices pre-pandemic were both cancelled due to COVID-19.</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131E29"/>
        </w:rPr>
        <w:t>The summation of the impact of the specific items above would have decreased selling, general and administrative expenses from prior year by 1,540 bps to be 37.7% of revenue.</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131E29"/>
        </w:rPr>
        <w:t>However, leverage from revenue growth reduces that percentage by 1,290 bps to be 24.8% of revenue.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Other Expense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6"/>
          </w:tcPr>
          <w:p>
            <w:pPr>
              <w:ind w:left="400"/>
              <w:spacing w:after="0"/>
              <w:rPr>
                <w:sz w:val="20"/>
                <w:szCs w:val="20"/>
                <w:color w:val="auto"/>
              </w:rPr>
            </w:pPr>
            <w:r>
              <w:rPr>
                <w:rFonts w:ascii="Arial" w:cs="Arial" w:eastAsia="Arial" w:hAnsi="Arial"/>
                <w:sz w:val="14"/>
                <w:szCs w:val="14"/>
                <w:b w:val="1"/>
                <w:bCs w:val="1"/>
                <w:color w:val="131E29"/>
              </w:rPr>
              <w:t>Year Ended December 31,</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82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gridSpan w:val="5"/>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100" w:type="dxa"/>
            <w:vAlign w:val="bottom"/>
            <w:tcBorders>
              <w:bottom w:val="single" w:sz="8" w:color="D2DCE5"/>
            </w:tcBorders>
          </w:tcPr>
          <w:p>
            <w:pPr>
              <w:spacing w:after="0"/>
              <w:rPr>
                <w:sz w:val="16"/>
                <w:szCs w:val="16"/>
                <w:color w:val="auto"/>
              </w:rPr>
            </w:pPr>
          </w:p>
        </w:tc>
        <w:tc>
          <w:tcPr>
            <w:tcW w:w="240" w:type="dxa"/>
            <w:vAlign w:val="bottom"/>
            <w:tcBorders>
              <w:bottom w:val="single" w:sz="8" w:color="131E29"/>
            </w:tcBorders>
          </w:tcPr>
          <w:p>
            <w:pPr>
              <w:spacing w:after="0"/>
              <w:rPr>
                <w:sz w:val="16"/>
                <w:szCs w:val="16"/>
                <w:color w:val="auto"/>
              </w:rPr>
            </w:pPr>
          </w:p>
        </w:tc>
        <w:tc>
          <w:tcPr>
            <w:tcW w:w="860" w:type="dxa"/>
            <w:vAlign w:val="bottom"/>
            <w:tcBorders>
              <w:bottom w:val="single" w:sz="8" w:color="131E29"/>
            </w:tcBorders>
          </w:tcPr>
          <w:p>
            <w:pPr>
              <w:jc w:val="right"/>
              <w:ind w:right="329"/>
              <w:spacing w:after="0"/>
              <w:rPr>
                <w:sz w:val="20"/>
                <w:szCs w:val="20"/>
                <w:color w:val="auto"/>
              </w:rPr>
            </w:pPr>
            <w:r>
              <w:rPr>
                <w:rFonts w:ascii="Arial" w:cs="Arial" w:eastAsia="Arial" w:hAnsi="Arial"/>
                <w:sz w:val="14"/>
                <w:szCs w:val="14"/>
                <w:b w:val="1"/>
                <w:bCs w:val="1"/>
                <w:color w:val="131E29"/>
              </w:rPr>
              <w:t>2022</w:t>
            </w:r>
          </w:p>
        </w:tc>
        <w:tc>
          <w:tcPr>
            <w:tcW w:w="100" w:type="dxa"/>
            <w:vAlign w:val="bottom"/>
            <w:tcBorders>
              <w:bottom w:val="single" w:sz="8" w:color="D2DCE5"/>
            </w:tcBorders>
          </w:tcPr>
          <w:p>
            <w:pPr>
              <w:spacing w:after="0"/>
              <w:rPr>
                <w:sz w:val="16"/>
                <w:szCs w:val="16"/>
                <w:color w:val="auto"/>
              </w:rPr>
            </w:pPr>
          </w:p>
        </w:tc>
        <w:tc>
          <w:tcPr>
            <w:tcW w:w="200" w:type="dxa"/>
            <w:vAlign w:val="bottom"/>
            <w:tcBorders>
              <w:bottom w:val="single" w:sz="8" w:color="131E29"/>
            </w:tcBorders>
          </w:tcPr>
          <w:p>
            <w:pPr>
              <w:spacing w:after="0"/>
              <w:rPr>
                <w:sz w:val="16"/>
                <w:szCs w:val="16"/>
                <w:color w:val="auto"/>
              </w:rPr>
            </w:pPr>
          </w:p>
        </w:tc>
        <w:tc>
          <w:tcPr>
            <w:tcW w:w="740" w:type="dxa"/>
            <w:vAlign w:val="bottom"/>
            <w:tcBorders>
              <w:bottom w:val="single" w:sz="8" w:color="131E29"/>
            </w:tcBorders>
          </w:tcPr>
          <w:p>
            <w:pPr>
              <w:jc w:val="right"/>
              <w:ind w:right="249"/>
              <w:spacing w:after="0"/>
              <w:rPr>
                <w:sz w:val="20"/>
                <w:szCs w:val="20"/>
                <w:color w:val="auto"/>
              </w:rPr>
            </w:pPr>
            <w:r>
              <w:rPr>
                <w:rFonts w:ascii="Arial" w:cs="Arial" w:eastAsia="Arial" w:hAnsi="Arial"/>
                <w:sz w:val="14"/>
                <w:szCs w:val="14"/>
                <w:b w:val="1"/>
                <w:bCs w:val="1"/>
                <w:color w:val="131E29"/>
              </w:rPr>
              <w:t>2021</w:t>
            </w:r>
          </w:p>
        </w:tc>
        <w:tc>
          <w:tcPr>
            <w:tcW w:w="100" w:type="dxa"/>
            <w:vAlign w:val="bottom"/>
            <w:tcBorders>
              <w:bottom w:val="single" w:sz="8" w:color="D2DCE5"/>
            </w:tcBorders>
          </w:tcPr>
          <w:p>
            <w:pPr>
              <w:spacing w:after="0"/>
              <w:rPr>
                <w:sz w:val="16"/>
                <w:szCs w:val="16"/>
                <w:color w:val="auto"/>
              </w:rPr>
            </w:pPr>
          </w:p>
        </w:tc>
        <w:tc>
          <w:tcPr>
            <w:tcW w:w="220" w:type="dxa"/>
            <w:vAlign w:val="bottom"/>
            <w:tcBorders>
              <w:bottom w:val="single" w:sz="8" w:color="131E29"/>
            </w:tcBorders>
          </w:tcPr>
          <w:p>
            <w:pPr>
              <w:spacing w:after="0"/>
              <w:rPr>
                <w:sz w:val="16"/>
                <w:szCs w:val="16"/>
                <w:color w:val="auto"/>
              </w:rPr>
            </w:pPr>
          </w:p>
        </w:tc>
        <w:tc>
          <w:tcPr>
            <w:tcW w:w="780" w:type="dxa"/>
            <w:vAlign w:val="bottom"/>
            <w:tcBorders>
              <w:bottom w:val="single" w:sz="8" w:color="131E29"/>
            </w:tcBorders>
          </w:tcPr>
          <w:p>
            <w:pPr>
              <w:jc w:val="right"/>
              <w:ind w:right="269"/>
              <w:spacing w:after="0"/>
              <w:rPr>
                <w:sz w:val="20"/>
                <w:szCs w:val="20"/>
                <w:color w:val="auto"/>
              </w:rPr>
            </w:pPr>
            <w:r>
              <w:rPr>
                <w:rFonts w:ascii="Arial" w:cs="Arial" w:eastAsia="Arial" w:hAnsi="Arial"/>
                <w:sz w:val="14"/>
                <w:szCs w:val="14"/>
                <w:b w:val="1"/>
                <w:bCs w:val="1"/>
                <w:color w:val="131E29"/>
              </w:rPr>
              <w:t>2020</w:t>
            </w:r>
          </w:p>
        </w:tc>
        <w:tc>
          <w:tcPr>
            <w:tcW w:w="80" w:type="dxa"/>
            <w:vAlign w:val="bottom"/>
            <w:tcBorders>
              <w:bottom w:val="single" w:sz="8" w:color="D2DCE5"/>
            </w:tcBorders>
          </w:tcPr>
          <w:p>
            <w:pPr>
              <w:spacing w:after="0"/>
              <w:rPr>
                <w:sz w:val="16"/>
                <w:szCs w:val="16"/>
                <w:color w:val="auto"/>
              </w:rPr>
            </w:pPr>
          </w:p>
        </w:tc>
        <w:tc>
          <w:tcPr>
            <w:tcW w:w="320" w:type="dxa"/>
            <w:vAlign w:val="bottom"/>
            <w:tcBorders>
              <w:bottom w:val="single" w:sz="8" w:color="131E29"/>
            </w:tcBorders>
          </w:tcPr>
          <w:p>
            <w:pPr>
              <w:spacing w:after="0"/>
              <w:rPr>
                <w:sz w:val="16"/>
                <w:szCs w:val="16"/>
                <w:color w:val="auto"/>
              </w:rPr>
            </w:pPr>
          </w:p>
        </w:tc>
        <w:tc>
          <w:tcPr>
            <w:tcW w:w="1780" w:type="dxa"/>
            <w:vAlign w:val="bottom"/>
            <w:tcBorders>
              <w:bottom w:val="single" w:sz="8" w:color="131E29"/>
            </w:tcBorders>
            <w:gridSpan w:val="4"/>
          </w:tcPr>
          <w:p>
            <w:pPr>
              <w:ind w:left="320"/>
              <w:spacing w:after="0"/>
              <w:rPr>
                <w:sz w:val="20"/>
                <w:szCs w:val="20"/>
                <w:color w:val="auto"/>
              </w:rPr>
            </w:pPr>
            <w:r>
              <w:rPr>
                <w:rFonts w:ascii="Arial" w:cs="Arial" w:eastAsia="Arial" w:hAnsi="Arial"/>
                <w:sz w:val="14"/>
                <w:szCs w:val="14"/>
                <w:b w:val="1"/>
                <w:bCs w:val="1"/>
                <w:color w:val="131E29"/>
              </w:rPr>
              <w:t>2022 v. 2021</w:t>
            </w:r>
          </w:p>
        </w:tc>
        <w:tc>
          <w:tcPr>
            <w:tcW w:w="100" w:type="dxa"/>
            <w:vAlign w:val="bottom"/>
            <w:tcBorders>
              <w:bottom w:val="single" w:sz="8" w:color="D2DCE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131E29"/>
              </w:rPr>
              <w:t>2021 v. 2020</w:t>
            </w:r>
          </w:p>
        </w:tc>
        <w:tc>
          <w:tcPr>
            <w:tcW w:w="0" w:type="dxa"/>
            <w:vAlign w:val="bottom"/>
          </w:tcPr>
          <w:p>
            <w:pPr>
              <w:spacing w:after="0"/>
              <w:rPr>
                <w:sz w:val="1"/>
                <w:szCs w:val="1"/>
                <w:color w:val="auto"/>
              </w:rPr>
            </w:pPr>
          </w:p>
        </w:tc>
      </w:tr>
      <w:tr>
        <w:trPr>
          <w:trHeight w:val="192"/>
        </w:trPr>
        <w:tc>
          <w:tcPr>
            <w:tcW w:w="38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Interest expense on finance leases</w:t>
            </w:r>
          </w:p>
        </w:tc>
        <w:tc>
          <w:tcPr>
            <w:tcW w:w="240" w:type="dxa"/>
            <w:vAlign w:val="bottom"/>
            <w:tcBorders>
              <w:bottom w:val="single" w:sz="8" w:color="D2DCE5"/>
            </w:tcBorders>
            <w:shd w:val="clear" w:color="auto" w:fill="D2DCE5"/>
          </w:tcPr>
          <w:p>
            <w:pPr>
              <w:jc w:val="right"/>
              <w:ind w:right="89"/>
              <w:spacing w:after="0"/>
              <w:rPr>
                <w:sz w:val="20"/>
                <w:szCs w:val="20"/>
                <w:color w:val="auto"/>
              </w:rPr>
            </w:pPr>
            <w:r>
              <w:rPr>
                <w:rFonts w:ascii="Arial" w:cs="Arial" w:eastAsia="Arial" w:hAnsi="Arial"/>
                <w:sz w:val="14"/>
                <w:szCs w:val="14"/>
                <w:color w:val="131E29"/>
                <w:w w:val="76"/>
              </w:rPr>
              <w:t>$</w:t>
            </w:r>
          </w:p>
        </w:tc>
        <w:tc>
          <w:tcPr>
            <w:tcW w:w="8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(9,296)</w:t>
            </w:r>
          </w:p>
        </w:tc>
        <w:tc>
          <w:tcPr>
            <w:tcW w:w="100" w:type="dxa"/>
            <w:vAlign w:val="bottom"/>
            <w:tcBorders>
              <w:bottom w:val="single" w:sz="8" w:color="D2DCE5"/>
            </w:tcBorders>
            <w:shd w:val="clear" w:color="auto" w:fill="D2DCE5"/>
          </w:tcPr>
          <w:p>
            <w:pPr>
              <w:spacing w:after="0"/>
              <w:rPr>
                <w:sz w:val="16"/>
                <w:szCs w:val="16"/>
                <w:color w:val="auto"/>
              </w:rPr>
            </w:pPr>
          </w:p>
        </w:tc>
        <w:tc>
          <w:tcPr>
            <w:tcW w:w="200" w:type="dxa"/>
            <w:vAlign w:val="bottom"/>
            <w:tcBorders>
              <w:bottom w:val="single" w:sz="8" w:color="D2DCE5"/>
            </w:tcBorders>
            <w:shd w:val="clear" w:color="auto" w:fill="D2DCE5"/>
          </w:tcPr>
          <w:p>
            <w:pPr>
              <w:jc w:val="right"/>
              <w:ind w:right="49"/>
              <w:spacing w:after="0"/>
              <w:rPr>
                <w:sz w:val="20"/>
                <w:szCs w:val="20"/>
                <w:color w:val="auto"/>
              </w:rPr>
            </w:pPr>
            <w:r>
              <w:rPr>
                <w:rFonts w:ascii="Arial" w:cs="Arial" w:eastAsia="Arial" w:hAnsi="Arial"/>
                <w:sz w:val="14"/>
                <w:szCs w:val="14"/>
                <w:color w:val="131E29"/>
                <w:w w:val="76"/>
              </w:rPr>
              <w:t>$</w:t>
            </w:r>
          </w:p>
        </w:tc>
        <w:tc>
          <w:tcPr>
            <w:tcW w:w="7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(4,145)</w:t>
            </w:r>
          </w:p>
        </w:tc>
        <w:tc>
          <w:tcPr>
            <w:tcW w:w="100" w:type="dxa"/>
            <w:vAlign w:val="bottom"/>
            <w:tcBorders>
              <w:bottom w:val="single" w:sz="8" w:color="D2DCE5"/>
            </w:tcBorders>
            <w:shd w:val="clear" w:color="auto" w:fill="D2DCE5"/>
          </w:tcPr>
          <w:p>
            <w:pPr>
              <w:spacing w:after="0"/>
              <w:rPr>
                <w:sz w:val="16"/>
                <w:szCs w:val="16"/>
                <w:color w:val="auto"/>
              </w:rPr>
            </w:pPr>
          </w:p>
        </w:tc>
        <w:tc>
          <w:tcPr>
            <w:tcW w:w="220" w:type="dxa"/>
            <w:vAlign w:val="bottom"/>
            <w:tcBorders>
              <w:bottom w:val="single" w:sz="8" w:color="D2DCE5"/>
            </w:tcBorders>
            <w:shd w:val="clear" w:color="auto" w:fill="D2DCE5"/>
          </w:tcPr>
          <w:p>
            <w:pPr>
              <w:jc w:val="right"/>
              <w:ind w:right="69"/>
              <w:spacing w:after="0"/>
              <w:rPr>
                <w:sz w:val="20"/>
                <w:szCs w:val="20"/>
                <w:color w:val="auto"/>
              </w:rPr>
            </w:pPr>
            <w:r>
              <w:rPr>
                <w:rFonts w:ascii="Arial" w:cs="Arial" w:eastAsia="Arial" w:hAnsi="Arial"/>
                <w:sz w:val="14"/>
                <w:szCs w:val="14"/>
                <w:color w:val="131E29"/>
                <w:w w:val="76"/>
              </w:rPr>
              <w:t>$</w:t>
            </w:r>
          </w:p>
        </w:tc>
        <w:tc>
          <w:tcPr>
            <w:tcW w:w="7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(2,115)</w:t>
            </w:r>
          </w:p>
        </w:tc>
        <w:tc>
          <w:tcPr>
            <w:tcW w:w="80" w:type="dxa"/>
            <w:vAlign w:val="bottom"/>
            <w:tcBorders>
              <w:bottom w:val="single" w:sz="8" w:color="D2DCE5"/>
            </w:tcBorders>
            <w:shd w:val="clear" w:color="auto" w:fill="D2DCE5"/>
          </w:tcPr>
          <w:p>
            <w:pPr>
              <w:spacing w:after="0"/>
              <w:rPr>
                <w:sz w:val="16"/>
                <w:szCs w:val="16"/>
                <w:color w:val="auto"/>
              </w:rPr>
            </w:pPr>
          </w:p>
        </w:tc>
        <w:tc>
          <w:tcPr>
            <w:tcW w:w="320" w:type="dxa"/>
            <w:vAlign w:val="bottom"/>
            <w:tcBorders>
              <w:bottom w:val="single" w:sz="8" w:color="D2DCE5"/>
            </w:tcBorders>
            <w:shd w:val="clear" w:color="auto" w:fill="D2DCE5"/>
          </w:tcPr>
          <w:p>
            <w:pPr>
              <w:jc w:val="right"/>
              <w:ind w:right="149"/>
              <w:spacing w:after="0"/>
              <w:rPr>
                <w:sz w:val="20"/>
                <w:szCs w:val="20"/>
                <w:color w:val="auto"/>
              </w:rPr>
            </w:pPr>
            <w:r>
              <w:rPr>
                <w:rFonts w:ascii="Arial" w:cs="Arial" w:eastAsia="Arial" w:hAnsi="Arial"/>
                <w:sz w:val="14"/>
                <w:szCs w:val="14"/>
                <w:color w:val="131E29"/>
              </w:rPr>
              <w:t>$</w:t>
            </w:r>
          </w:p>
        </w:tc>
        <w:tc>
          <w:tcPr>
            <w:tcW w:w="7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(5,151)</w:t>
            </w:r>
          </w:p>
        </w:tc>
        <w:tc>
          <w:tcPr>
            <w:tcW w:w="100" w:type="dxa"/>
            <w:vAlign w:val="bottom"/>
            <w:tcBorders>
              <w:bottom w:val="single" w:sz="8" w:color="D2DCE5"/>
            </w:tcBorders>
            <w:shd w:val="clear" w:color="auto" w:fill="D2DCE5"/>
          </w:tcPr>
          <w:p>
            <w:pPr>
              <w:spacing w:after="0"/>
              <w:rPr>
                <w:sz w:val="16"/>
                <w:szCs w:val="16"/>
                <w:color w:val="auto"/>
              </w:rPr>
            </w:pPr>
          </w:p>
        </w:tc>
        <w:tc>
          <w:tcPr>
            <w:tcW w:w="160" w:type="dxa"/>
            <w:vAlign w:val="bottom"/>
            <w:tcBorders>
              <w:bottom w:val="single" w:sz="8" w:color="D2DCE5"/>
            </w:tcBorders>
            <w:shd w:val="clear" w:color="auto" w:fill="D2DCE5"/>
          </w:tcPr>
          <w:p>
            <w:pPr>
              <w:spacing w:after="0"/>
              <w:rPr>
                <w:sz w:val="16"/>
                <w:szCs w:val="16"/>
                <w:color w:val="auto"/>
              </w:rPr>
            </w:pPr>
          </w:p>
        </w:tc>
        <w:tc>
          <w:tcPr>
            <w:tcW w:w="760" w:type="dxa"/>
            <w:vAlign w:val="bottom"/>
            <w:tcBorders>
              <w:bottom w:val="single" w:sz="8" w:color="D2DCE5"/>
            </w:tcBorders>
            <w:shd w:val="clear" w:color="auto" w:fill="D2DCE5"/>
          </w:tcPr>
          <w:p>
            <w:pPr>
              <w:jc w:val="center"/>
              <w:ind w:right="89"/>
              <w:spacing w:after="0"/>
              <w:rPr>
                <w:sz w:val="20"/>
                <w:szCs w:val="20"/>
                <w:color w:val="auto"/>
              </w:rPr>
            </w:pPr>
            <w:r>
              <w:rPr>
                <w:rFonts w:ascii="Arial" w:cs="Arial" w:eastAsia="Arial" w:hAnsi="Arial"/>
                <w:sz w:val="14"/>
                <w:szCs w:val="14"/>
                <w:color w:val="131E29"/>
              </w:rPr>
              <w:t>124.3%</w:t>
            </w:r>
          </w:p>
        </w:tc>
        <w:tc>
          <w:tcPr>
            <w:tcW w:w="100" w:type="dxa"/>
            <w:vAlign w:val="bottom"/>
            <w:tcBorders>
              <w:bottom w:val="single" w:sz="8" w:color="D2DCE5"/>
            </w:tcBorders>
            <w:shd w:val="clear" w:color="auto" w:fill="D2DCE5"/>
          </w:tcPr>
          <w:p>
            <w:pPr>
              <w:spacing w:after="0"/>
              <w:rPr>
                <w:sz w:val="16"/>
                <w:szCs w:val="16"/>
                <w:color w:val="auto"/>
              </w:rPr>
            </w:pPr>
          </w:p>
        </w:tc>
        <w:tc>
          <w:tcPr>
            <w:tcW w:w="260" w:type="dxa"/>
            <w:vAlign w:val="bottom"/>
            <w:tcBorders>
              <w:bottom w:val="single" w:sz="8" w:color="D2DCE5"/>
            </w:tcBorders>
            <w:shd w:val="clear" w:color="auto" w:fill="D2DCE5"/>
          </w:tcPr>
          <w:p>
            <w:pPr>
              <w:jc w:val="right"/>
              <w:ind w:right="109"/>
              <w:spacing w:after="0"/>
              <w:rPr>
                <w:sz w:val="20"/>
                <w:szCs w:val="20"/>
                <w:color w:val="auto"/>
              </w:rPr>
            </w:pPr>
            <w:r>
              <w:rPr>
                <w:rFonts w:ascii="Arial" w:cs="Arial" w:eastAsia="Arial" w:hAnsi="Arial"/>
                <w:sz w:val="14"/>
                <w:szCs w:val="14"/>
                <w:color w:val="131E29"/>
                <w:w w:val="76"/>
              </w:rPr>
              <w:t>$</w:t>
            </w:r>
          </w:p>
        </w:tc>
        <w:tc>
          <w:tcPr>
            <w:tcW w:w="6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(2,030)</w:t>
            </w:r>
          </w:p>
        </w:tc>
        <w:tc>
          <w:tcPr>
            <w:tcW w:w="80" w:type="dxa"/>
            <w:vAlign w:val="bottom"/>
            <w:tcBorders>
              <w:bottom w:val="single" w:sz="8" w:color="D2DCE5"/>
            </w:tcBorders>
            <w:shd w:val="clear" w:color="auto" w:fill="D2DCE5"/>
          </w:tcPr>
          <w:p>
            <w:pPr>
              <w:spacing w:after="0"/>
              <w:rPr>
                <w:sz w:val="16"/>
                <w:szCs w:val="16"/>
                <w:color w:val="auto"/>
              </w:rPr>
            </w:pPr>
          </w:p>
        </w:tc>
        <w:tc>
          <w:tcPr>
            <w:tcW w:w="94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4"/>
                <w:szCs w:val="14"/>
                <w:color w:val="131E29"/>
              </w:rPr>
              <w:t>96.0%</w:t>
            </w:r>
          </w:p>
        </w:tc>
        <w:tc>
          <w:tcPr>
            <w:tcW w:w="0" w:type="dxa"/>
            <w:vAlign w:val="bottom"/>
          </w:tcPr>
          <w:p>
            <w:pPr>
              <w:spacing w:after="0"/>
              <w:rPr>
                <w:sz w:val="1"/>
                <w:szCs w:val="1"/>
                <w:color w:val="auto"/>
              </w:rPr>
            </w:pPr>
          </w:p>
        </w:tc>
      </w:tr>
      <w:tr>
        <w:trPr>
          <w:trHeight w:val="257"/>
        </w:trPr>
        <w:tc>
          <w:tcPr>
            <w:tcW w:w="3820" w:type="dxa"/>
            <w:vAlign w:val="bottom"/>
            <w:gridSpan w:val="2"/>
          </w:tcPr>
          <w:p>
            <w:pPr>
              <w:ind w:left="20"/>
              <w:spacing w:after="0"/>
              <w:rPr>
                <w:sz w:val="20"/>
                <w:szCs w:val="20"/>
                <w:color w:val="auto"/>
              </w:rPr>
            </w:pPr>
            <w:r>
              <w:rPr>
                <w:rFonts w:ascii="Arial" w:cs="Arial" w:eastAsia="Arial" w:hAnsi="Arial"/>
                <w:sz w:val="14"/>
                <w:szCs w:val="14"/>
                <w:color w:val="131E29"/>
              </w:rPr>
              <w:t xml:space="preserve">Other interest expense, net </w:t>
            </w:r>
            <w:r>
              <w:rPr>
                <w:rFonts w:ascii="Arial" w:cs="Arial" w:eastAsia="Arial" w:hAnsi="Arial"/>
                <w:sz w:val="18"/>
                <w:szCs w:val="18"/>
                <w:color w:val="131E29"/>
                <w:vertAlign w:val="superscript"/>
              </w:rPr>
              <w:t>1</w:t>
            </w:r>
          </w:p>
        </w:tc>
        <w:tc>
          <w:tcPr>
            <w:tcW w:w="240" w:type="dxa"/>
            <w:vAlign w:val="bottom"/>
          </w:tcPr>
          <w:p>
            <w:pPr>
              <w:spacing w:after="0"/>
              <w:rPr>
                <w:sz w:val="22"/>
                <w:szCs w:val="2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131E29"/>
              </w:rPr>
              <w:t>(8,722)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131E29"/>
              </w:rPr>
              <w:t>(2,948)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131E29"/>
              </w:rPr>
              <w:t>(1,621)</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131E29"/>
              </w:rPr>
              <w:t>(5,774)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vMerge w:val="restart"/>
          </w:tcPr>
          <w:p>
            <w:pPr>
              <w:jc w:val="center"/>
              <w:ind w:right="89"/>
              <w:spacing w:after="0"/>
              <w:rPr>
                <w:sz w:val="20"/>
                <w:szCs w:val="20"/>
                <w:color w:val="auto"/>
              </w:rPr>
            </w:pPr>
            <w:r>
              <w:rPr>
                <w:rFonts w:ascii="Arial" w:cs="Arial" w:eastAsia="Arial" w:hAnsi="Arial"/>
                <w:sz w:val="14"/>
                <w:szCs w:val="14"/>
                <w:color w:val="131E29"/>
              </w:rPr>
              <w:t>195.9%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131E29"/>
              </w:rPr>
              <w:t>(1,327)</w:t>
            </w:r>
          </w:p>
        </w:tc>
        <w:tc>
          <w:tcPr>
            <w:tcW w:w="80" w:type="dxa"/>
            <w:vAlign w:val="bottom"/>
          </w:tcPr>
          <w:p>
            <w:pPr>
              <w:spacing w:after="0"/>
              <w:rPr>
                <w:sz w:val="22"/>
                <w:szCs w:val="22"/>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color w:val="131E29"/>
              </w:rPr>
              <w:t>81.9%</w:t>
            </w:r>
          </w:p>
        </w:tc>
        <w:tc>
          <w:tcPr>
            <w:tcW w:w="0" w:type="dxa"/>
            <w:vAlign w:val="bottom"/>
          </w:tcPr>
          <w:p>
            <w:pPr>
              <w:spacing w:after="0"/>
              <w:rPr>
                <w:sz w:val="1"/>
                <w:szCs w:val="1"/>
                <w:color w:val="auto"/>
              </w:rPr>
            </w:pPr>
          </w:p>
        </w:tc>
      </w:tr>
      <w:tr>
        <w:trPr>
          <w:trHeight w:val="61"/>
        </w:trPr>
        <w:tc>
          <w:tcPr>
            <w:tcW w:w="3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3720" w:type="dxa"/>
            <w:vAlign w:val="bottom"/>
            <w:tcBorders>
              <w:bottom w:val="single" w:sz="8" w:color="D2DCE5"/>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8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 xml:space="preserve">Interest expense, net </w:t>
            </w:r>
            <w:r>
              <w:rPr>
                <w:rFonts w:ascii="Arial" w:cs="Arial" w:eastAsia="Arial" w:hAnsi="Arial"/>
                <w:sz w:val="18"/>
                <w:szCs w:val="18"/>
                <w:color w:val="131E29"/>
                <w:vertAlign w:val="superscript"/>
              </w:rPr>
              <w:t>1</w:t>
            </w:r>
          </w:p>
        </w:tc>
        <w:tc>
          <w:tcPr>
            <w:tcW w:w="240" w:type="dxa"/>
            <w:vAlign w:val="bottom"/>
            <w:vMerge w:val="restart"/>
            <w:shd w:val="clear" w:color="auto" w:fill="D2DCE5"/>
          </w:tcPr>
          <w:p>
            <w:pPr>
              <w:jc w:val="right"/>
              <w:ind w:right="89"/>
              <w:spacing w:after="0"/>
              <w:rPr>
                <w:sz w:val="20"/>
                <w:szCs w:val="20"/>
                <w:color w:val="auto"/>
              </w:rPr>
            </w:pPr>
            <w:r>
              <w:rPr>
                <w:rFonts w:ascii="Arial" w:cs="Arial" w:eastAsia="Arial" w:hAnsi="Arial"/>
                <w:sz w:val="14"/>
                <w:szCs w:val="14"/>
                <w:color w:val="131E29"/>
                <w:w w:val="76"/>
              </w:rPr>
              <w:t>$</w:t>
            </w:r>
          </w:p>
        </w:tc>
        <w:tc>
          <w:tcPr>
            <w:tcW w:w="86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(18,018)</w:t>
            </w:r>
          </w:p>
        </w:tc>
        <w:tc>
          <w:tcPr>
            <w:tcW w:w="100" w:type="dxa"/>
            <w:vAlign w:val="bottom"/>
            <w:shd w:val="clear" w:color="auto" w:fill="D2DCE5"/>
          </w:tcPr>
          <w:p>
            <w:pPr>
              <w:spacing w:after="0"/>
              <w:rPr>
                <w:sz w:val="20"/>
                <w:szCs w:val="20"/>
                <w:color w:val="auto"/>
              </w:rPr>
            </w:pPr>
          </w:p>
        </w:tc>
        <w:tc>
          <w:tcPr>
            <w:tcW w:w="200" w:type="dxa"/>
            <w:vAlign w:val="bottom"/>
            <w:vMerge w:val="restart"/>
            <w:shd w:val="clear" w:color="auto" w:fill="D2DCE5"/>
          </w:tcPr>
          <w:p>
            <w:pPr>
              <w:jc w:val="right"/>
              <w:ind w:right="49"/>
              <w:spacing w:after="0"/>
              <w:rPr>
                <w:sz w:val="20"/>
                <w:szCs w:val="20"/>
                <w:color w:val="auto"/>
              </w:rPr>
            </w:pPr>
            <w:r>
              <w:rPr>
                <w:rFonts w:ascii="Arial" w:cs="Arial" w:eastAsia="Arial" w:hAnsi="Arial"/>
                <w:sz w:val="14"/>
                <w:szCs w:val="14"/>
                <w:color w:val="131E29"/>
                <w:w w:val="76"/>
              </w:rPr>
              <w:t>$</w:t>
            </w:r>
          </w:p>
        </w:tc>
        <w:tc>
          <w:tcPr>
            <w:tcW w:w="74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(7,093)</w:t>
            </w:r>
          </w:p>
        </w:tc>
        <w:tc>
          <w:tcPr>
            <w:tcW w:w="100" w:type="dxa"/>
            <w:vAlign w:val="bottom"/>
            <w:shd w:val="clear" w:color="auto" w:fill="D2DCE5"/>
          </w:tcPr>
          <w:p>
            <w:pPr>
              <w:spacing w:after="0"/>
              <w:rPr>
                <w:sz w:val="20"/>
                <w:szCs w:val="20"/>
                <w:color w:val="auto"/>
              </w:rPr>
            </w:pPr>
          </w:p>
        </w:tc>
        <w:tc>
          <w:tcPr>
            <w:tcW w:w="220" w:type="dxa"/>
            <w:vAlign w:val="bottom"/>
            <w:vMerge w:val="restart"/>
            <w:shd w:val="clear" w:color="auto" w:fill="D2DCE5"/>
          </w:tcPr>
          <w:p>
            <w:pPr>
              <w:jc w:val="right"/>
              <w:ind w:right="69"/>
              <w:spacing w:after="0"/>
              <w:rPr>
                <w:sz w:val="20"/>
                <w:szCs w:val="20"/>
                <w:color w:val="auto"/>
              </w:rPr>
            </w:pPr>
            <w:r>
              <w:rPr>
                <w:rFonts w:ascii="Arial" w:cs="Arial" w:eastAsia="Arial" w:hAnsi="Arial"/>
                <w:sz w:val="14"/>
                <w:szCs w:val="14"/>
                <w:color w:val="131E29"/>
                <w:w w:val="76"/>
              </w:rPr>
              <w:t>$</w:t>
            </w:r>
          </w:p>
        </w:tc>
        <w:tc>
          <w:tcPr>
            <w:tcW w:w="78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(3,736)</w:t>
            </w:r>
          </w:p>
        </w:tc>
        <w:tc>
          <w:tcPr>
            <w:tcW w:w="80" w:type="dxa"/>
            <w:vAlign w:val="bottom"/>
            <w:shd w:val="clear" w:color="auto" w:fill="D2DCE5"/>
          </w:tcPr>
          <w:p>
            <w:pPr>
              <w:spacing w:after="0"/>
              <w:rPr>
                <w:sz w:val="20"/>
                <w:szCs w:val="20"/>
                <w:color w:val="auto"/>
              </w:rPr>
            </w:pPr>
          </w:p>
        </w:tc>
        <w:tc>
          <w:tcPr>
            <w:tcW w:w="320" w:type="dxa"/>
            <w:vAlign w:val="bottom"/>
            <w:vMerge w:val="restart"/>
            <w:shd w:val="clear" w:color="auto" w:fill="D2DCE5"/>
          </w:tcPr>
          <w:p>
            <w:pPr>
              <w:jc w:val="right"/>
              <w:ind w:right="149"/>
              <w:spacing w:after="0"/>
              <w:rPr>
                <w:sz w:val="20"/>
                <w:szCs w:val="20"/>
                <w:color w:val="auto"/>
              </w:rPr>
            </w:pPr>
            <w:r>
              <w:rPr>
                <w:rFonts w:ascii="Arial" w:cs="Arial" w:eastAsia="Arial" w:hAnsi="Arial"/>
                <w:sz w:val="14"/>
                <w:szCs w:val="14"/>
                <w:color w:val="131E29"/>
              </w:rPr>
              <w:t>$</w:t>
            </w:r>
          </w:p>
        </w:tc>
        <w:tc>
          <w:tcPr>
            <w:tcW w:w="76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(10,925)</w:t>
            </w:r>
          </w:p>
        </w:tc>
        <w:tc>
          <w:tcPr>
            <w:tcW w:w="100" w:type="dxa"/>
            <w:vAlign w:val="bottom"/>
            <w:shd w:val="clear" w:color="auto" w:fill="D2DCE5"/>
          </w:tcPr>
          <w:p>
            <w:pPr>
              <w:spacing w:after="0"/>
              <w:rPr>
                <w:sz w:val="20"/>
                <w:szCs w:val="20"/>
                <w:color w:val="auto"/>
              </w:rPr>
            </w:pPr>
          </w:p>
        </w:tc>
        <w:tc>
          <w:tcPr>
            <w:tcW w:w="160" w:type="dxa"/>
            <w:vAlign w:val="bottom"/>
            <w:shd w:val="clear" w:color="auto" w:fill="D2DCE5"/>
          </w:tcPr>
          <w:p>
            <w:pPr>
              <w:spacing w:after="0"/>
              <w:rPr>
                <w:sz w:val="20"/>
                <w:szCs w:val="20"/>
                <w:color w:val="auto"/>
              </w:rPr>
            </w:pPr>
          </w:p>
        </w:tc>
        <w:tc>
          <w:tcPr>
            <w:tcW w:w="760" w:type="dxa"/>
            <w:vAlign w:val="bottom"/>
            <w:vMerge w:val="restart"/>
            <w:shd w:val="clear" w:color="auto" w:fill="D2DCE5"/>
          </w:tcPr>
          <w:p>
            <w:pPr>
              <w:jc w:val="center"/>
              <w:ind w:right="89"/>
              <w:spacing w:after="0"/>
              <w:rPr>
                <w:sz w:val="20"/>
                <w:szCs w:val="20"/>
                <w:color w:val="auto"/>
              </w:rPr>
            </w:pPr>
            <w:r>
              <w:rPr>
                <w:rFonts w:ascii="Arial" w:cs="Arial" w:eastAsia="Arial" w:hAnsi="Arial"/>
                <w:sz w:val="14"/>
                <w:szCs w:val="14"/>
                <w:color w:val="131E29"/>
              </w:rPr>
              <w:t>154.0%</w:t>
            </w:r>
          </w:p>
        </w:tc>
        <w:tc>
          <w:tcPr>
            <w:tcW w:w="100" w:type="dxa"/>
            <w:vAlign w:val="bottom"/>
            <w:shd w:val="clear" w:color="auto" w:fill="D2DCE5"/>
          </w:tcPr>
          <w:p>
            <w:pPr>
              <w:spacing w:after="0"/>
              <w:rPr>
                <w:sz w:val="20"/>
                <w:szCs w:val="20"/>
                <w:color w:val="auto"/>
              </w:rPr>
            </w:pPr>
          </w:p>
        </w:tc>
        <w:tc>
          <w:tcPr>
            <w:tcW w:w="260" w:type="dxa"/>
            <w:vAlign w:val="bottom"/>
            <w:vMerge w:val="restart"/>
            <w:shd w:val="clear" w:color="auto" w:fill="D2DCE5"/>
          </w:tcPr>
          <w:p>
            <w:pPr>
              <w:jc w:val="right"/>
              <w:ind w:right="109"/>
              <w:spacing w:after="0"/>
              <w:rPr>
                <w:sz w:val="20"/>
                <w:szCs w:val="20"/>
                <w:color w:val="auto"/>
              </w:rPr>
            </w:pPr>
            <w:r>
              <w:rPr>
                <w:rFonts w:ascii="Arial" w:cs="Arial" w:eastAsia="Arial" w:hAnsi="Arial"/>
                <w:sz w:val="14"/>
                <w:szCs w:val="14"/>
                <w:color w:val="131E29"/>
                <w:w w:val="76"/>
              </w:rPr>
              <w:t>$</w:t>
            </w:r>
          </w:p>
        </w:tc>
        <w:tc>
          <w:tcPr>
            <w:tcW w:w="66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(3,357)</w:t>
            </w:r>
          </w:p>
        </w:tc>
        <w:tc>
          <w:tcPr>
            <w:tcW w:w="80" w:type="dxa"/>
            <w:vAlign w:val="bottom"/>
            <w:shd w:val="clear" w:color="auto" w:fill="D2DCE5"/>
          </w:tcPr>
          <w:p>
            <w:pPr>
              <w:spacing w:after="0"/>
              <w:rPr>
                <w:sz w:val="20"/>
                <w:szCs w:val="20"/>
                <w:color w:val="auto"/>
              </w:rPr>
            </w:pPr>
          </w:p>
        </w:tc>
        <w:tc>
          <w:tcPr>
            <w:tcW w:w="940" w:type="dxa"/>
            <w:vAlign w:val="bottom"/>
            <w:vMerge w:val="restart"/>
            <w:shd w:val="clear" w:color="auto" w:fill="D2DCE5"/>
          </w:tcPr>
          <w:p>
            <w:pPr>
              <w:jc w:val="center"/>
              <w:spacing w:after="0"/>
              <w:rPr>
                <w:sz w:val="20"/>
                <w:szCs w:val="20"/>
                <w:color w:val="auto"/>
              </w:rPr>
            </w:pPr>
            <w:r>
              <w:rPr>
                <w:rFonts w:ascii="Arial" w:cs="Arial" w:eastAsia="Arial" w:hAnsi="Arial"/>
                <w:sz w:val="14"/>
                <w:szCs w:val="14"/>
                <w:color w:val="131E29"/>
              </w:rPr>
              <w:t>89.9%</w:t>
            </w:r>
          </w:p>
        </w:tc>
        <w:tc>
          <w:tcPr>
            <w:tcW w:w="0" w:type="dxa"/>
            <w:vAlign w:val="bottom"/>
          </w:tcPr>
          <w:p>
            <w:pPr>
              <w:spacing w:after="0"/>
              <w:rPr>
                <w:sz w:val="1"/>
                <w:szCs w:val="1"/>
                <w:color w:val="auto"/>
              </w:rPr>
            </w:pPr>
          </w:p>
        </w:tc>
      </w:tr>
      <w:tr>
        <w:trPr>
          <w:trHeight w:val="83"/>
        </w:trPr>
        <w:tc>
          <w:tcPr>
            <w:tcW w:w="3720" w:type="dxa"/>
            <w:vAlign w:val="bottom"/>
            <w:tcBorders>
              <w:bottom w:val="single" w:sz="8" w:color="D2DCE5"/>
            </w:tcBorders>
            <w:shd w:val="clear" w:color="auto" w:fill="D2DCE5"/>
          </w:tcPr>
          <w:p>
            <w:pPr>
              <w:spacing w:after="0"/>
              <w:rPr>
                <w:sz w:val="7"/>
                <w:szCs w:val="7"/>
                <w:color w:val="auto"/>
              </w:rPr>
            </w:pPr>
          </w:p>
        </w:tc>
        <w:tc>
          <w:tcPr>
            <w:tcW w:w="100" w:type="dxa"/>
            <w:vAlign w:val="bottom"/>
            <w:tcBorders>
              <w:bottom w:val="single" w:sz="8" w:color="D2DCE5"/>
            </w:tcBorders>
            <w:shd w:val="clear" w:color="auto" w:fill="D2DCE5"/>
          </w:tcPr>
          <w:p>
            <w:pPr>
              <w:spacing w:after="0"/>
              <w:rPr>
                <w:sz w:val="7"/>
                <w:szCs w:val="7"/>
                <w:color w:val="auto"/>
              </w:rPr>
            </w:pPr>
          </w:p>
        </w:tc>
        <w:tc>
          <w:tcPr>
            <w:tcW w:w="240" w:type="dxa"/>
            <w:vAlign w:val="bottom"/>
            <w:tcBorders>
              <w:bottom w:val="single" w:sz="8" w:color="D2DCE5"/>
            </w:tcBorders>
            <w:vMerge w:val="continue"/>
            <w:shd w:val="clear" w:color="auto" w:fill="D2DCE5"/>
          </w:tcPr>
          <w:p>
            <w:pPr>
              <w:spacing w:after="0"/>
              <w:rPr>
                <w:sz w:val="7"/>
                <w:szCs w:val="7"/>
                <w:color w:val="auto"/>
              </w:rPr>
            </w:pPr>
          </w:p>
        </w:tc>
        <w:tc>
          <w:tcPr>
            <w:tcW w:w="860" w:type="dxa"/>
            <w:vAlign w:val="bottom"/>
            <w:tcBorders>
              <w:bottom w:val="single" w:sz="8" w:color="D2DCE5"/>
            </w:tcBorders>
            <w:vMerge w:val="continue"/>
            <w:shd w:val="clear" w:color="auto" w:fill="D2DCE5"/>
          </w:tcPr>
          <w:p>
            <w:pPr>
              <w:spacing w:after="0"/>
              <w:rPr>
                <w:sz w:val="7"/>
                <w:szCs w:val="7"/>
                <w:color w:val="auto"/>
              </w:rPr>
            </w:pPr>
          </w:p>
        </w:tc>
        <w:tc>
          <w:tcPr>
            <w:tcW w:w="100" w:type="dxa"/>
            <w:vAlign w:val="bottom"/>
            <w:tcBorders>
              <w:bottom w:val="single" w:sz="8" w:color="D2DCE5"/>
            </w:tcBorders>
            <w:shd w:val="clear" w:color="auto" w:fill="D2DCE5"/>
          </w:tcPr>
          <w:p>
            <w:pPr>
              <w:spacing w:after="0"/>
              <w:rPr>
                <w:sz w:val="7"/>
                <w:szCs w:val="7"/>
                <w:color w:val="auto"/>
              </w:rPr>
            </w:pPr>
          </w:p>
        </w:tc>
        <w:tc>
          <w:tcPr>
            <w:tcW w:w="200" w:type="dxa"/>
            <w:vAlign w:val="bottom"/>
            <w:tcBorders>
              <w:bottom w:val="single" w:sz="8" w:color="D2DCE5"/>
            </w:tcBorders>
            <w:vMerge w:val="continue"/>
            <w:shd w:val="clear" w:color="auto" w:fill="D2DCE5"/>
          </w:tcPr>
          <w:p>
            <w:pPr>
              <w:spacing w:after="0"/>
              <w:rPr>
                <w:sz w:val="7"/>
                <w:szCs w:val="7"/>
                <w:color w:val="auto"/>
              </w:rPr>
            </w:pPr>
          </w:p>
        </w:tc>
        <w:tc>
          <w:tcPr>
            <w:tcW w:w="740" w:type="dxa"/>
            <w:vAlign w:val="bottom"/>
            <w:tcBorders>
              <w:bottom w:val="single" w:sz="8" w:color="D2DCE5"/>
            </w:tcBorders>
            <w:vMerge w:val="continue"/>
            <w:shd w:val="clear" w:color="auto" w:fill="D2DCE5"/>
          </w:tcPr>
          <w:p>
            <w:pPr>
              <w:spacing w:after="0"/>
              <w:rPr>
                <w:sz w:val="7"/>
                <w:szCs w:val="7"/>
                <w:color w:val="auto"/>
              </w:rPr>
            </w:pPr>
          </w:p>
        </w:tc>
        <w:tc>
          <w:tcPr>
            <w:tcW w:w="100" w:type="dxa"/>
            <w:vAlign w:val="bottom"/>
            <w:tcBorders>
              <w:bottom w:val="single" w:sz="8" w:color="D2DCE5"/>
            </w:tcBorders>
            <w:shd w:val="clear" w:color="auto" w:fill="D2DCE5"/>
          </w:tcPr>
          <w:p>
            <w:pPr>
              <w:spacing w:after="0"/>
              <w:rPr>
                <w:sz w:val="7"/>
                <w:szCs w:val="7"/>
                <w:color w:val="auto"/>
              </w:rPr>
            </w:pPr>
          </w:p>
        </w:tc>
        <w:tc>
          <w:tcPr>
            <w:tcW w:w="220" w:type="dxa"/>
            <w:vAlign w:val="bottom"/>
            <w:tcBorders>
              <w:bottom w:val="single" w:sz="8" w:color="D2DCE5"/>
            </w:tcBorders>
            <w:vMerge w:val="continue"/>
            <w:shd w:val="clear" w:color="auto" w:fill="D2DCE5"/>
          </w:tcPr>
          <w:p>
            <w:pPr>
              <w:spacing w:after="0"/>
              <w:rPr>
                <w:sz w:val="7"/>
                <w:szCs w:val="7"/>
                <w:color w:val="auto"/>
              </w:rPr>
            </w:pPr>
          </w:p>
        </w:tc>
        <w:tc>
          <w:tcPr>
            <w:tcW w:w="780" w:type="dxa"/>
            <w:vAlign w:val="bottom"/>
            <w:tcBorders>
              <w:bottom w:val="single" w:sz="8" w:color="D2DCE5"/>
            </w:tcBorders>
            <w:vMerge w:val="continue"/>
            <w:shd w:val="clear" w:color="auto" w:fill="D2DCE5"/>
          </w:tcPr>
          <w:p>
            <w:pPr>
              <w:spacing w:after="0"/>
              <w:rPr>
                <w:sz w:val="7"/>
                <w:szCs w:val="7"/>
                <w:color w:val="auto"/>
              </w:rPr>
            </w:pPr>
          </w:p>
        </w:tc>
        <w:tc>
          <w:tcPr>
            <w:tcW w:w="80" w:type="dxa"/>
            <w:vAlign w:val="bottom"/>
            <w:tcBorders>
              <w:bottom w:val="single" w:sz="8" w:color="D2DCE5"/>
            </w:tcBorders>
            <w:shd w:val="clear" w:color="auto" w:fill="D2DCE5"/>
          </w:tcPr>
          <w:p>
            <w:pPr>
              <w:spacing w:after="0"/>
              <w:rPr>
                <w:sz w:val="7"/>
                <w:szCs w:val="7"/>
                <w:color w:val="auto"/>
              </w:rPr>
            </w:pPr>
          </w:p>
        </w:tc>
        <w:tc>
          <w:tcPr>
            <w:tcW w:w="320" w:type="dxa"/>
            <w:vAlign w:val="bottom"/>
            <w:tcBorders>
              <w:bottom w:val="single" w:sz="8" w:color="D2DCE5"/>
            </w:tcBorders>
            <w:vMerge w:val="continue"/>
            <w:shd w:val="clear" w:color="auto" w:fill="D2DCE5"/>
          </w:tcPr>
          <w:p>
            <w:pPr>
              <w:spacing w:after="0"/>
              <w:rPr>
                <w:sz w:val="7"/>
                <w:szCs w:val="7"/>
                <w:color w:val="auto"/>
              </w:rPr>
            </w:pPr>
          </w:p>
        </w:tc>
        <w:tc>
          <w:tcPr>
            <w:tcW w:w="760" w:type="dxa"/>
            <w:vAlign w:val="bottom"/>
            <w:tcBorders>
              <w:bottom w:val="single" w:sz="8" w:color="D2DCE5"/>
            </w:tcBorders>
            <w:vMerge w:val="continue"/>
            <w:shd w:val="clear" w:color="auto" w:fill="D2DCE5"/>
          </w:tcPr>
          <w:p>
            <w:pPr>
              <w:spacing w:after="0"/>
              <w:rPr>
                <w:sz w:val="7"/>
                <w:szCs w:val="7"/>
                <w:color w:val="auto"/>
              </w:rPr>
            </w:pPr>
          </w:p>
        </w:tc>
        <w:tc>
          <w:tcPr>
            <w:tcW w:w="100" w:type="dxa"/>
            <w:vAlign w:val="bottom"/>
            <w:tcBorders>
              <w:bottom w:val="single" w:sz="8" w:color="D2DCE5"/>
            </w:tcBorders>
            <w:shd w:val="clear" w:color="auto" w:fill="D2DCE5"/>
          </w:tcPr>
          <w:p>
            <w:pPr>
              <w:spacing w:after="0"/>
              <w:rPr>
                <w:sz w:val="7"/>
                <w:szCs w:val="7"/>
                <w:color w:val="auto"/>
              </w:rPr>
            </w:pPr>
          </w:p>
        </w:tc>
        <w:tc>
          <w:tcPr>
            <w:tcW w:w="160" w:type="dxa"/>
            <w:vAlign w:val="bottom"/>
            <w:tcBorders>
              <w:bottom w:val="single" w:sz="8" w:color="D2DCE5"/>
            </w:tcBorders>
            <w:shd w:val="clear" w:color="auto" w:fill="D2DCE5"/>
          </w:tcPr>
          <w:p>
            <w:pPr>
              <w:spacing w:after="0"/>
              <w:rPr>
                <w:sz w:val="7"/>
                <w:szCs w:val="7"/>
                <w:color w:val="auto"/>
              </w:rPr>
            </w:pPr>
          </w:p>
        </w:tc>
        <w:tc>
          <w:tcPr>
            <w:tcW w:w="760" w:type="dxa"/>
            <w:vAlign w:val="bottom"/>
            <w:tcBorders>
              <w:bottom w:val="single" w:sz="8" w:color="D2DCE5"/>
            </w:tcBorders>
            <w:vMerge w:val="continue"/>
            <w:shd w:val="clear" w:color="auto" w:fill="D2DCE5"/>
          </w:tcPr>
          <w:p>
            <w:pPr>
              <w:spacing w:after="0"/>
              <w:rPr>
                <w:sz w:val="7"/>
                <w:szCs w:val="7"/>
                <w:color w:val="auto"/>
              </w:rPr>
            </w:pPr>
          </w:p>
        </w:tc>
        <w:tc>
          <w:tcPr>
            <w:tcW w:w="100" w:type="dxa"/>
            <w:vAlign w:val="bottom"/>
            <w:tcBorders>
              <w:bottom w:val="single" w:sz="8" w:color="D2DCE5"/>
            </w:tcBorders>
            <w:shd w:val="clear" w:color="auto" w:fill="D2DCE5"/>
          </w:tcPr>
          <w:p>
            <w:pPr>
              <w:spacing w:after="0"/>
              <w:rPr>
                <w:sz w:val="7"/>
                <w:szCs w:val="7"/>
                <w:color w:val="auto"/>
              </w:rPr>
            </w:pPr>
          </w:p>
        </w:tc>
        <w:tc>
          <w:tcPr>
            <w:tcW w:w="260" w:type="dxa"/>
            <w:vAlign w:val="bottom"/>
            <w:tcBorders>
              <w:bottom w:val="single" w:sz="8" w:color="D2DCE5"/>
            </w:tcBorders>
            <w:vMerge w:val="continue"/>
            <w:shd w:val="clear" w:color="auto" w:fill="D2DCE5"/>
          </w:tcPr>
          <w:p>
            <w:pPr>
              <w:spacing w:after="0"/>
              <w:rPr>
                <w:sz w:val="7"/>
                <w:szCs w:val="7"/>
                <w:color w:val="auto"/>
              </w:rPr>
            </w:pPr>
          </w:p>
        </w:tc>
        <w:tc>
          <w:tcPr>
            <w:tcW w:w="660" w:type="dxa"/>
            <w:vAlign w:val="bottom"/>
            <w:tcBorders>
              <w:bottom w:val="single" w:sz="8" w:color="D2DCE5"/>
            </w:tcBorders>
            <w:vMerge w:val="continue"/>
            <w:shd w:val="clear" w:color="auto" w:fill="D2DCE5"/>
          </w:tcPr>
          <w:p>
            <w:pPr>
              <w:spacing w:after="0"/>
              <w:rPr>
                <w:sz w:val="7"/>
                <w:szCs w:val="7"/>
                <w:color w:val="auto"/>
              </w:rPr>
            </w:pPr>
          </w:p>
        </w:tc>
        <w:tc>
          <w:tcPr>
            <w:tcW w:w="80" w:type="dxa"/>
            <w:vAlign w:val="bottom"/>
            <w:tcBorders>
              <w:bottom w:val="single" w:sz="8" w:color="D2DCE5"/>
            </w:tcBorders>
            <w:shd w:val="clear" w:color="auto" w:fill="D2DCE5"/>
          </w:tcPr>
          <w:p>
            <w:pPr>
              <w:spacing w:after="0"/>
              <w:rPr>
                <w:sz w:val="7"/>
                <w:szCs w:val="7"/>
                <w:color w:val="auto"/>
              </w:rPr>
            </w:pPr>
          </w:p>
        </w:tc>
        <w:tc>
          <w:tcPr>
            <w:tcW w:w="940" w:type="dxa"/>
            <w:vAlign w:val="bottom"/>
            <w:tcBorders>
              <w:bottom w:val="single" w:sz="8" w:color="D2DCE5"/>
            </w:tcBorders>
            <w:vMerge w:val="continue"/>
            <w:shd w:val="clear" w:color="auto" w:fill="D2DCE5"/>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3820" w:type="dxa"/>
            <w:vAlign w:val="bottom"/>
            <w:gridSpan w:val="2"/>
          </w:tcPr>
          <w:p>
            <w:pPr>
              <w:ind w:left="20"/>
              <w:spacing w:after="0"/>
              <w:rPr>
                <w:sz w:val="20"/>
                <w:szCs w:val="20"/>
                <w:color w:val="auto"/>
              </w:rPr>
            </w:pPr>
            <w:r>
              <w:rPr>
                <w:rFonts w:ascii="Arial" w:cs="Arial" w:eastAsia="Arial" w:hAnsi="Arial"/>
                <w:sz w:val="14"/>
                <w:szCs w:val="14"/>
                <w:color w:val="131E29"/>
              </w:rPr>
              <w:t>Other income (expense)</w:t>
            </w: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3,976</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(1,240)</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(363)</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5,216</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ind w:left="160"/>
              <w:spacing w:after="0"/>
              <w:rPr>
                <w:sz w:val="20"/>
                <w:szCs w:val="20"/>
                <w:color w:val="auto"/>
              </w:rPr>
            </w:pPr>
            <w:r>
              <w:rPr>
                <w:rFonts w:ascii="Arial" w:cs="Arial" w:eastAsia="Arial" w:hAnsi="Arial"/>
                <w:sz w:val="14"/>
                <w:szCs w:val="14"/>
                <w:color w:val="131E29"/>
              </w:rPr>
              <w:t>N/M</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(877)</w:t>
            </w:r>
          </w:p>
        </w:tc>
        <w:tc>
          <w:tcPr>
            <w:tcW w:w="80" w:type="dxa"/>
            <w:vAlign w:val="bottom"/>
          </w:tcPr>
          <w:p>
            <w:pPr>
              <w:spacing w:after="0"/>
              <w:rPr>
                <w:sz w:val="15"/>
                <w:szCs w:val="15"/>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131E29"/>
              </w:rPr>
              <w:t>241.6%</w:t>
            </w:r>
          </w:p>
        </w:tc>
        <w:tc>
          <w:tcPr>
            <w:tcW w:w="0" w:type="dxa"/>
            <w:vAlign w:val="bottom"/>
          </w:tcPr>
          <w:p>
            <w:pPr>
              <w:spacing w:after="0"/>
              <w:rPr>
                <w:sz w:val="1"/>
                <w:szCs w:val="1"/>
                <w:color w:val="auto"/>
              </w:rPr>
            </w:pPr>
          </w:p>
        </w:tc>
      </w:tr>
      <w:tr>
        <w:trPr>
          <w:trHeight w:val="22"/>
        </w:trPr>
        <w:tc>
          <w:tcPr>
            <w:tcW w:w="3720" w:type="dxa"/>
            <w:vAlign w:val="bottom"/>
            <w:tcBorders>
              <w:bottom w:val="single" w:sz="8" w:color="D2DCE5"/>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82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4"/>
                <w:szCs w:val="14"/>
                <w:color w:val="131E29"/>
              </w:rPr>
              <w:t>Total other expense</w:t>
            </w:r>
          </w:p>
        </w:tc>
        <w:tc>
          <w:tcPr>
            <w:tcW w:w="240" w:type="dxa"/>
            <w:vAlign w:val="bottom"/>
            <w:tcBorders>
              <w:bottom w:val="single" w:sz="8" w:color="auto"/>
            </w:tcBorders>
            <w:shd w:val="clear" w:color="auto" w:fill="D2DCE5"/>
          </w:tcPr>
          <w:p>
            <w:pPr>
              <w:jc w:val="right"/>
              <w:ind w:right="89"/>
              <w:spacing w:after="0"/>
              <w:rPr>
                <w:sz w:val="20"/>
                <w:szCs w:val="20"/>
                <w:color w:val="auto"/>
              </w:rPr>
            </w:pPr>
            <w:r>
              <w:rPr>
                <w:rFonts w:ascii="Arial" w:cs="Arial" w:eastAsia="Arial" w:hAnsi="Arial"/>
                <w:sz w:val="14"/>
                <w:szCs w:val="14"/>
                <w:color w:val="131E29"/>
                <w:w w:val="76"/>
              </w:rPr>
              <w:t>$</w:t>
            </w:r>
          </w:p>
        </w:tc>
        <w:tc>
          <w:tcPr>
            <w:tcW w:w="8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(14,042)</w:t>
            </w:r>
          </w:p>
        </w:tc>
        <w:tc>
          <w:tcPr>
            <w:tcW w:w="100" w:type="dxa"/>
            <w:vAlign w:val="bottom"/>
            <w:tcBorders>
              <w:bottom w:val="single" w:sz="8" w:color="D2DCE5"/>
            </w:tcBorders>
            <w:shd w:val="clear" w:color="auto" w:fill="D2DCE5"/>
          </w:tcPr>
          <w:p>
            <w:pPr>
              <w:spacing w:after="0"/>
              <w:rPr>
                <w:sz w:val="19"/>
                <w:szCs w:val="19"/>
                <w:color w:val="auto"/>
              </w:rPr>
            </w:pPr>
          </w:p>
        </w:tc>
        <w:tc>
          <w:tcPr>
            <w:tcW w:w="200" w:type="dxa"/>
            <w:vAlign w:val="bottom"/>
            <w:tcBorders>
              <w:bottom w:val="single" w:sz="8" w:color="auto"/>
            </w:tcBorders>
            <w:shd w:val="clear" w:color="auto" w:fill="D2DCE5"/>
          </w:tcPr>
          <w:p>
            <w:pPr>
              <w:jc w:val="right"/>
              <w:ind w:right="49"/>
              <w:spacing w:after="0"/>
              <w:rPr>
                <w:sz w:val="20"/>
                <w:szCs w:val="20"/>
                <w:color w:val="auto"/>
              </w:rPr>
            </w:pPr>
            <w:r>
              <w:rPr>
                <w:rFonts w:ascii="Arial" w:cs="Arial" w:eastAsia="Arial" w:hAnsi="Arial"/>
                <w:sz w:val="14"/>
                <w:szCs w:val="14"/>
                <w:color w:val="131E29"/>
                <w:w w:val="76"/>
              </w:rPr>
              <w:t>$</w:t>
            </w:r>
          </w:p>
        </w:tc>
        <w:tc>
          <w:tcPr>
            <w:tcW w:w="7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(8,333)</w:t>
            </w:r>
          </w:p>
        </w:tc>
        <w:tc>
          <w:tcPr>
            <w:tcW w:w="100" w:type="dxa"/>
            <w:vAlign w:val="bottom"/>
            <w:tcBorders>
              <w:bottom w:val="single" w:sz="8" w:color="D2DCE5"/>
            </w:tcBorders>
            <w:shd w:val="clear" w:color="auto" w:fill="D2DCE5"/>
          </w:tcPr>
          <w:p>
            <w:pPr>
              <w:spacing w:after="0"/>
              <w:rPr>
                <w:sz w:val="19"/>
                <w:szCs w:val="19"/>
                <w:color w:val="auto"/>
              </w:rPr>
            </w:pPr>
          </w:p>
        </w:tc>
        <w:tc>
          <w:tcPr>
            <w:tcW w:w="220" w:type="dxa"/>
            <w:vAlign w:val="bottom"/>
            <w:tcBorders>
              <w:bottom w:val="single" w:sz="8" w:color="auto"/>
            </w:tcBorders>
            <w:shd w:val="clear" w:color="auto" w:fill="D2DCE5"/>
          </w:tcPr>
          <w:p>
            <w:pPr>
              <w:jc w:val="right"/>
              <w:ind w:right="69"/>
              <w:spacing w:after="0"/>
              <w:rPr>
                <w:sz w:val="20"/>
                <w:szCs w:val="20"/>
                <w:color w:val="auto"/>
              </w:rPr>
            </w:pPr>
            <w:r>
              <w:rPr>
                <w:rFonts w:ascii="Arial" w:cs="Arial" w:eastAsia="Arial" w:hAnsi="Arial"/>
                <w:sz w:val="14"/>
                <w:szCs w:val="14"/>
                <w:color w:val="131E29"/>
                <w:w w:val="76"/>
              </w:rPr>
              <w:t>$</w:t>
            </w:r>
          </w:p>
        </w:tc>
        <w:tc>
          <w:tcPr>
            <w:tcW w:w="7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(4,099)</w:t>
            </w:r>
          </w:p>
        </w:tc>
        <w:tc>
          <w:tcPr>
            <w:tcW w:w="80" w:type="dxa"/>
            <w:vAlign w:val="bottom"/>
            <w:tcBorders>
              <w:bottom w:val="single" w:sz="8" w:color="D2DCE5"/>
            </w:tcBorders>
            <w:shd w:val="clear" w:color="auto" w:fill="D2DCE5"/>
          </w:tcPr>
          <w:p>
            <w:pPr>
              <w:spacing w:after="0"/>
              <w:rPr>
                <w:sz w:val="19"/>
                <w:szCs w:val="19"/>
                <w:color w:val="auto"/>
              </w:rPr>
            </w:pPr>
          </w:p>
        </w:tc>
        <w:tc>
          <w:tcPr>
            <w:tcW w:w="320" w:type="dxa"/>
            <w:vAlign w:val="bottom"/>
            <w:tcBorders>
              <w:bottom w:val="single" w:sz="8" w:color="auto"/>
            </w:tcBorders>
            <w:shd w:val="clear" w:color="auto" w:fill="D2DCE5"/>
          </w:tcPr>
          <w:p>
            <w:pPr>
              <w:jc w:val="right"/>
              <w:ind w:right="149"/>
              <w:spacing w:after="0"/>
              <w:rPr>
                <w:sz w:val="20"/>
                <w:szCs w:val="20"/>
                <w:color w:val="auto"/>
              </w:rPr>
            </w:pPr>
            <w:r>
              <w:rPr>
                <w:rFonts w:ascii="Arial" w:cs="Arial" w:eastAsia="Arial" w:hAnsi="Arial"/>
                <w:sz w:val="14"/>
                <w:szCs w:val="14"/>
                <w:color w:val="131E29"/>
              </w:rPr>
              <w:t>$</w:t>
            </w:r>
          </w:p>
        </w:tc>
        <w:tc>
          <w:tcPr>
            <w:tcW w:w="7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(5,709)</w:t>
            </w:r>
          </w:p>
        </w:tc>
        <w:tc>
          <w:tcPr>
            <w:tcW w:w="100" w:type="dxa"/>
            <w:vAlign w:val="bottom"/>
            <w:tcBorders>
              <w:bottom w:val="single" w:sz="8" w:color="D2DCE5"/>
            </w:tcBorders>
            <w:shd w:val="clear" w:color="auto" w:fill="D2DCE5"/>
          </w:tcPr>
          <w:p>
            <w:pPr>
              <w:spacing w:after="0"/>
              <w:rPr>
                <w:sz w:val="19"/>
                <w:szCs w:val="19"/>
                <w:color w:val="auto"/>
              </w:rPr>
            </w:pPr>
          </w:p>
        </w:tc>
        <w:tc>
          <w:tcPr>
            <w:tcW w:w="160" w:type="dxa"/>
            <w:vAlign w:val="bottom"/>
            <w:tcBorders>
              <w:bottom w:val="single" w:sz="8" w:color="auto"/>
            </w:tcBorders>
            <w:shd w:val="clear" w:color="auto" w:fill="D2DCE5"/>
          </w:tcPr>
          <w:p>
            <w:pPr>
              <w:spacing w:after="0"/>
              <w:rPr>
                <w:sz w:val="19"/>
                <w:szCs w:val="19"/>
                <w:color w:val="auto"/>
              </w:rPr>
            </w:pPr>
          </w:p>
        </w:tc>
        <w:tc>
          <w:tcPr>
            <w:tcW w:w="760" w:type="dxa"/>
            <w:vAlign w:val="bottom"/>
            <w:tcBorders>
              <w:bottom w:val="single" w:sz="8" w:color="auto"/>
            </w:tcBorders>
            <w:shd w:val="clear" w:color="auto" w:fill="D2DCE5"/>
          </w:tcPr>
          <w:p>
            <w:pPr>
              <w:jc w:val="center"/>
              <w:ind w:right="89"/>
              <w:spacing w:after="0"/>
              <w:rPr>
                <w:sz w:val="20"/>
                <w:szCs w:val="20"/>
                <w:color w:val="auto"/>
              </w:rPr>
            </w:pPr>
            <w:r>
              <w:rPr>
                <w:rFonts w:ascii="Arial" w:cs="Arial" w:eastAsia="Arial" w:hAnsi="Arial"/>
                <w:sz w:val="14"/>
                <w:szCs w:val="14"/>
                <w:color w:val="131E29"/>
              </w:rPr>
              <w:t>68.5%</w:t>
            </w:r>
          </w:p>
        </w:tc>
        <w:tc>
          <w:tcPr>
            <w:tcW w:w="100" w:type="dxa"/>
            <w:vAlign w:val="bottom"/>
            <w:tcBorders>
              <w:bottom w:val="single" w:sz="8" w:color="D2DCE5"/>
            </w:tcBorders>
            <w:shd w:val="clear" w:color="auto" w:fill="D2DCE5"/>
          </w:tcPr>
          <w:p>
            <w:pPr>
              <w:spacing w:after="0"/>
              <w:rPr>
                <w:sz w:val="19"/>
                <w:szCs w:val="19"/>
                <w:color w:val="auto"/>
              </w:rPr>
            </w:pPr>
          </w:p>
        </w:tc>
        <w:tc>
          <w:tcPr>
            <w:tcW w:w="260" w:type="dxa"/>
            <w:vAlign w:val="bottom"/>
            <w:tcBorders>
              <w:bottom w:val="single" w:sz="8" w:color="auto"/>
            </w:tcBorders>
            <w:shd w:val="clear" w:color="auto" w:fill="D2DCE5"/>
          </w:tcPr>
          <w:p>
            <w:pPr>
              <w:jc w:val="right"/>
              <w:ind w:right="109"/>
              <w:spacing w:after="0"/>
              <w:rPr>
                <w:sz w:val="20"/>
                <w:szCs w:val="20"/>
                <w:color w:val="auto"/>
              </w:rPr>
            </w:pPr>
            <w:r>
              <w:rPr>
                <w:rFonts w:ascii="Arial" w:cs="Arial" w:eastAsia="Arial" w:hAnsi="Arial"/>
                <w:sz w:val="14"/>
                <w:szCs w:val="14"/>
                <w:color w:val="131E29"/>
                <w:w w:val="76"/>
              </w:rPr>
              <w:t>$</w:t>
            </w:r>
          </w:p>
        </w:tc>
        <w:tc>
          <w:tcPr>
            <w:tcW w:w="6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(4,234)</w:t>
            </w:r>
          </w:p>
        </w:tc>
        <w:tc>
          <w:tcPr>
            <w:tcW w:w="80" w:type="dxa"/>
            <w:vAlign w:val="bottom"/>
            <w:tcBorders>
              <w:bottom w:val="single" w:sz="8" w:color="D2DCE5"/>
            </w:tcBorders>
            <w:shd w:val="clear" w:color="auto" w:fill="D2DCE5"/>
          </w:tcPr>
          <w:p>
            <w:pPr>
              <w:spacing w:after="0"/>
              <w:rPr>
                <w:sz w:val="19"/>
                <w:szCs w:val="19"/>
                <w:color w:val="auto"/>
              </w:rPr>
            </w:pPr>
          </w:p>
        </w:tc>
        <w:tc>
          <w:tcPr>
            <w:tcW w:w="940" w:type="dxa"/>
            <w:vAlign w:val="bottom"/>
            <w:tcBorders>
              <w:bottom w:val="single" w:sz="8" w:color="auto"/>
            </w:tcBorders>
            <w:shd w:val="clear" w:color="auto" w:fill="D2DCE5"/>
          </w:tcPr>
          <w:p>
            <w:pPr>
              <w:jc w:val="center"/>
              <w:spacing w:after="0"/>
              <w:rPr>
                <w:sz w:val="20"/>
                <w:szCs w:val="20"/>
                <w:color w:val="auto"/>
              </w:rPr>
            </w:pPr>
            <w:r>
              <w:rPr>
                <w:rFonts w:ascii="Arial" w:cs="Arial" w:eastAsia="Arial" w:hAnsi="Arial"/>
                <w:sz w:val="14"/>
                <w:szCs w:val="14"/>
                <w:color w:val="131E29"/>
              </w:rPr>
              <w:t>103.3%</w:t>
            </w:r>
          </w:p>
        </w:tc>
        <w:tc>
          <w:tcPr>
            <w:tcW w:w="0" w:type="dxa"/>
            <w:vAlign w:val="bottom"/>
          </w:tcPr>
          <w:p>
            <w:pPr>
              <w:spacing w:after="0"/>
              <w:rPr>
                <w:sz w:val="1"/>
                <w:szCs w:val="1"/>
                <w:color w:val="auto"/>
              </w:rPr>
            </w:pPr>
          </w:p>
        </w:tc>
      </w:tr>
      <w:tr>
        <w:trPr>
          <w:trHeight w:val="20"/>
        </w:trPr>
        <w:tc>
          <w:tcPr>
            <w:tcW w:w="3720" w:type="dxa"/>
            <w:vAlign w:val="bottom"/>
            <w:tcBorders>
              <w:top w:val="single" w:sz="8" w:color="D2DCE5"/>
              <w:bottom w:val="single" w:sz="8" w:color="D2DCE5"/>
            </w:tcBorders>
            <w:vMerge w:val="restart"/>
          </w:tcPr>
          <w:p>
            <w:pPr>
              <w:spacing w:after="0"/>
              <w:rPr>
                <w:sz w:val="20"/>
                <w:szCs w:val="20"/>
                <w:color w:val="auto"/>
              </w:rPr>
            </w:pPr>
            <w:r>
              <w:rPr>
                <w:rFonts w:ascii="Arial" w:cs="Arial" w:eastAsia="Arial" w:hAnsi="Arial"/>
                <w:sz w:val="14"/>
                <w:szCs w:val="14"/>
                <w:color w:val="131E29"/>
              </w:rPr>
              <w:t>_________________</w:t>
            </w:r>
          </w:p>
        </w:tc>
        <w:tc>
          <w:tcPr>
            <w:tcW w:w="100" w:type="dxa"/>
            <w:vAlign w:val="bottom"/>
            <w:tcBorders>
              <w:top w:val="single" w:sz="8" w:color="D2DCE5"/>
            </w:tcBorders>
          </w:tcPr>
          <w:p>
            <w:pPr>
              <w:spacing w:after="0" w:line="20" w:lineRule="exact"/>
              <w:rPr>
                <w:sz w:val="1"/>
                <w:szCs w:val="1"/>
                <w:color w:val="auto"/>
              </w:rPr>
            </w:pPr>
          </w:p>
        </w:tc>
        <w:tc>
          <w:tcPr>
            <w:tcW w:w="240" w:type="dxa"/>
            <w:vAlign w:val="bottom"/>
            <w:tcBorders>
              <w:top w:val="single" w:sz="8" w:color="D2DCE5"/>
              <w:bottom w:val="single" w:sz="8" w:color="auto"/>
            </w:tcBorders>
          </w:tcPr>
          <w:p>
            <w:pPr>
              <w:spacing w:after="0" w:line="20" w:lineRule="exact"/>
              <w:rPr>
                <w:sz w:val="1"/>
                <w:szCs w:val="1"/>
                <w:color w:val="auto"/>
              </w:rPr>
            </w:pPr>
          </w:p>
        </w:tc>
        <w:tc>
          <w:tcPr>
            <w:tcW w:w="86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00" w:type="dxa"/>
            <w:vAlign w:val="bottom"/>
            <w:tcBorders>
              <w:top w:val="single" w:sz="8" w:color="D2DCE5"/>
              <w:bottom w:val="single" w:sz="8" w:color="auto"/>
            </w:tcBorders>
          </w:tcPr>
          <w:p>
            <w:pPr>
              <w:spacing w:after="0" w:line="20" w:lineRule="exact"/>
              <w:rPr>
                <w:sz w:val="1"/>
                <w:szCs w:val="1"/>
                <w:color w:val="auto"/>
              </w:rPr>
            </w:pPr>
          </w:p>
        </w:tc>
        <w:tc>
          <w:tcPr>
            <w:tcW w:w="7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20" w:type="dxa"/>
            <w:vAlign w:val="bottom"/>
            <w:tcBorders>
              <w:top w:val="single" w:sz="8" w:color="D2DCE5"/>
              <w:bottom w:val="single" w:sz="8" w:color="auto"/>
            </w:tcBorders>
          </w:tcPr>
          <w:p>
            <w:pPr>
              <w:spacing w:after="0" w:line="20" w:lineRule="exact"/>
              <w:rPr>
                <w:sz w:val="1"/>
                <w:szCs w:val="1"/>
                <w:color w:val="auto"/>
              </w:rPr>
            </w:pPr>
          </w:p>
        </w:tc>
        <w:tc>
          <w:tcPr>
            <w:tcW w:w="78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20" w:type="dxa"/>
            <w:vAlign w:val="bottom"/>
            <w:tcBorders>
              <w:top w:val="single" w:sz="8" w:color="D2DCE5"/>
              <w:bottom w:val="single" w:sz="8" w:color="auto"/>
            </w:tcBorders>
          </w:tcPr>
          <w:p>
            <w:pPr>
              <w:spacing w:after="0" w:line="20" w:lineRule="exact"/>
              <w:rPr>
                <w:sz w:val="1"/>
                <w:szCs w:val="1"/>
                <w:color w:val="auto"/>
              </w:rPr>
            </w:pPr>
          </w:p>
        </w:tc>
        <w:tc>
          <w:tcPr>
            <w:tcW w:w="76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D2DCE5"/>
              <w:bottom w:val="single" w:sz="8" w:color="auto"/>
            </w:tcBorders>
          </w:tcPr>
          <w:p>
            <w:pPr>
              <w:spacing w:after="0" w:line="20" w:lineRule="exact"/>
              <w:rPr>
                <w:sz w:val="1"/>
                <w:szCs w:val="1"/>
                <w:color w:val="auto"/>
              </w:rPr>
            </w:pPr>
          </w:p>
        </w:tc>
        <w:tc>
          <w:tcPr>
            <w:tcW w:w="76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60" w:type="dxa"/>
            <w:vAlign w:val="bottom"/>
            <w:tcBorders>
              <w:top w:val="single" w:sz="8" w:color="D2DCE5"/>
              <w:bottom w:val="single" w:sz="8" w:color="auto"/>
            </w:tcBorders>
          </w:tcPr>
          <w:p>
            <w:pPr>
              <w:spacing w:after="0" w:line="20" w:lineRule="exact"/>
              <w:rPr>
                <w:sz w:val="1"/>
                <w:szCs w:val="1"/>
                <w:color w:val="auto"/>
              </w:rPr>
            </w:pPr>
          </w:p>
        </w:tc>
        <w:tc>
          <w:tcPr>
            <w:tcW w:w="6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94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40" w:hanging="135"/>
        <w:spacing w:after="0" w:line="205" w:lineRule="auto"/>
        <w:tabs>
          <w:tab w:leader="none" w:pos="224" w:val="left"/>
        </w:tabs>
        <w:numPr>
          <w:ilvl w:val="0"/>
          <w:numId w:val="56"/>
        </w:numPr>
        <w:rPr>
          <w:rFonts w:ascii="Arial" w:cs="Arial" w:eastAsia="Arial" w:hAnsi="Arial"/>
          <w:sz w:val="18"/>
          <w:szCs w:val="18"/>
          <w:color w:val="131E29"/>
          <w:vertAlign w:val="superscript"/>
        </w:rPr>
      </w:pPr>
      <w:r>
        <w:rPr>
          <w:rFonts w:ascii="Arial" w:cs="Arial" w:eastAsia="Arial" w:hAnsi="Arial"/>
          <w:sz w:val="11"/>
          <w:szCs w:val="11"/>
          <w:color w:val="131E29"/>
        </w:rPr>
        <w:t xml:space="preserve">Effective as of the second half of 2022 </w:t>
      </w:r>
      <w:r>
        <w:rPr>
          <w:rFonts w:ascii="Arial" w:cs="Arial" w:eastAsia="Arial" w:hAnsi="Arial"/>
          <w:sz w:val="11"/>
          <w:szCs w:val="11"/>
          <w:color w:val="000000"/>
        </w:rPr>
        <w:t>and on a prospective basis, we recorded commitment fees for the unused portion of the revolving credit facility as interest expense. These amounts were previously recorded as</w:t>
      </w:r>
      <w:r>
        <w:rPr>
          <w:rFonts w:ascii="Arial" w:cs="Arial" w:eastAsia="Arial" w:hAnsi="Arial"/>
          <w:sz w:val="11"/>
          <w:szCs w:val="11"/>
          <w:color w:val="131E29"/>
        </w:rPr>
        <w:t xml:space="preserve"> </w:t>
      </w:r>
      <w:r>
        <w:rPr>
          <w:rFonts w:ascii="Arial" w:cs="Arial" w:eastAsia="Arial" w:hAnsi="Arial"/>
          <w:sz w:val="11"/>
          <w:szCs w:val="11"/>
          <w:color w:val="000000"/>
        </w:rPr>
        <w:t>selling, general, and administrative expense.</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Year Ended December 31, 2022 v 2021</w:t>
      </w:r>
    </w:p>
    <w:p>
      <w:pPr>
        <w:spacing w:after="0" w:line="9" w:lineRule="exact"/>
        <w:rPr>
          <w:sz w:val="20"/>
          <w:szCs w:val="20"/>
          <w:color w:val="auto"/>
        </w:rPr>
      </w:pPr>
    </w:p>
    <w:p>
      <w:pPr>
        <w:spacing w:after="0" w:line="266" w:lineRule="auto"/>
        <w:rPr>
          <w:sz w:val="20"/>
          <w:szCs w:val="20"/>
          <w:color w:val="auto"/>
        </w:rPr>
      </w:pPr>
      <w:r>
        <w:rPr>
          <w:rFonts w:ascii="Arial" w:cs="Arial" w:eastAsia="Arial" w:hAnsi="Arial"/>
          <w:sz w:val="14"/>
          <w:szCs w:val="14"/>
          <w:color w:val="131E29"/>
        </w:rPr>
        <w:t>The increase in interest expense, net was primarily driven by additional finance leases for new shop builds, increased borrowings associated with our credit facility, and activity related to our interest rate swap.</w:t>
      </w:r>
    </w:p>
    <w:p>
      <w:pPr>
        <w:spacing w:after="0" w:line="110" w:lineRule="exact"/>
        <w:rPr>
          <w:sz w:val="20"/>
          <w:szCs w:val="20"/>
          <w:color w:val="auto"/>
        </w:rPr>
      </w:pPr>
    </w:p>
    <w:p>
      <w:pPr>
        <w:spacing w:after="0" w:line="266" w:lineRule="auto"/>
        <w:rPr>
          <w:sz w:val="20"/>
          <w:szCs w:val="20"/>
          <w:color w:val="auto"/>
        </w:rPr>
      </w:pPr>
      <w:r>
        <w:rPr>
          <w:rFonts w:ascii="Arial" w:cs="Arial" w:eastAsia="Arial" w:hAnsi="Arial"/>
          <w:sz w:val="14"/>
          <w:szCs w:val="14"/>
          <w:color w:val="131E29"/>
        </w:rPr>
        <w:t>The increase in other income (expense) was primarily driven by the recognition of a remeasurement gain related to the TRAs liability and sales of previously written off Dutchwear inventory.</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Income Tax Expense (Benefit)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80" w:type="dxa"/>
            <w:vAlign w:val="bottom"/>
            <w:gridSpan w:val="6"/>
          </w:tcPr>
          <w:p>
            <w:pPr>
              <w:ind w:left="140"/>
              <w:spacing w:after="0"/>
              <w:rPr>
                <w:sz w:val="20"/>
                <w:szCs w:val="20"/>
                <w:color w:val="auto"/>
              </w:rPr>
            </w:pPr>
            <w:r>
              <w:rPr>
                <w:rFonts w:ascii="Arial" w:cs="Arial" w:eastAsia="Arial" w:hAnsi="Arial"/>
                <w:sz w:val="14"/>
                <w:szCs w:val="14"/>
                <w:b w:val="1"/>
                <w:bCs w:val="1"/>
                <w:color w:val="131E29"/>
              </w:rPr>
              <w:t>Year Ended December 31,</w:t>
            </w: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
        </w:trPr>
        <w:tc>
          <w:tcPr>
            <w:tcW w:w="346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gridSpan w:val="2"/>
          </w:tcPr>
          <w:p>
            <w:pPr>
              <w:spacing w:after="0" w:line="20" w:lineRule="exact"/>
              <w:rPr>
                <w:sz w:val="1"/>
                <w:szCs w:val="1"/>
                <w:color w:val="auto"/>
              </w:rPr>
            </w:pPr>
          </w:p>
        </w:tc>
      </w:tr>
      <w:tr>
        <w:trPr>
          <w:trHeight w:val="193"/>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100" w:type="dxa"/>
            <w:vAlign w:val="bottom"/>
            <w:tcBorders>
              <w:bottom w:val="single" w:sz="8" w:color="D2DCE5"/>
            </w:tcBorders>
          </w:tcPr>
          <w:p>
            <w:pPr>
              <w:spacing w:after="0"/>
              <w:rPr>
                <w:sz w:val="16"/>
                <w:szCs w:val="16"/>
                <w:color w:val="auto"/>
              </w:rPr>
            </w:pPr>
          </w:p>
        </w:tc>
        <w:tc>
          <w:tcPr>
            <w:tcW w:w="180" w:type="dxa"/>
            <w:vAlign w:val="bottom"/>
            <w:tcBorders>
              <w:bottom w:val="single" w:sz="8" w:color="131E29"/>
            </w:tcBorders>
          </w:tcPr>
          <w:p>
            <w:pPr>
              <w:spacing w:after="0"/>
              <w:rPr>
                <w:sz w:val="16"/>
                <w:szCs w:val="16"/>
                <w:color w:val="auto"/>
              </w:rPr>
            </w:pPr>
          </w:p>
        </w:tc>
        <w:tc>
          <w:tcPr>
            <w:tcW w:w="880" w:type="dxa"/>
            <w:vAlign w:val="bottom"/>
            <w:tcBorders>
              <w:bottom w:val="single" w:sz="8" w:color="131E29"/>
            </w:tcBorders>
          </w:tcPr>
          <w:p>
            <w:pPr>
              <w:jc w:val="right"/>
              <w:ind w:right="309"/>
              <w:spacing w:after="0"/>
              <w:rPr>
                <w:sz w:val="20"/>
                <w:szCs w:val="20"/>
                <w:color w:val="auto"/>
              </w:rPr>
            </w:pPr>
            <w:r>
              <w:rPr>
                <w:rFonts w:ascii="Arial" w:cs="Arial" w:eastAsia="Arial" w:hAnsi="Arial"/>
                <w:sz w:val="14"/>
                <w:szCs w:val="14"/>
                <w:b w:val="1"/>
                <w:bCs w:val="1"/>
                <w:color w:val="131E29"/>
              </w:rPr>
              <w:t>2022</w:t>
            </w:r>
          </w:p>
        </w:tc>
        <w:tc>
          <w:tcPr>
            <w:tcW w:w="80" w:type="dxa"/>
            <w:vAlign w:val="bottom"/>
            <w:tcBorders>
              <w:bottom w:val="single" w:sz="8" w:color="D2DCE5"/>
            </w:tcBorders>
          </w:tcPr>
          <w:p>
            <w:pPr>
              <w:spacing w:after="0"/>
              <w:rPr>
                <w:sz w:val="16"/>
                <w:szCs w:val="16"/>
                <w:color w:val="auto"/>
              </w:rPr>
            </w:pPr>
          </w:p>
        </w:tc>
        <w:tc>
          <w:tcPr>
            <w:tcW w:w="200" w:type="dxa"/>
            <w:vAlign w:val="bottom"/>
            <w:tcBorders>
              <w:bottom w:val="single" w:sz="8" w:color="131E29"/>
            </w:tcBorders>
          </w:tcPr>
          <w:p>
            <w:pPr>
              <w:spacing w:after="0"/>
              <w:rPr>
                <w:sz w:val="16"/>
                <w:szCs w:val="16"/>
                <w:color w:val="auto"/>
              </w:rPr>
            </w:pPr>
          </w:p>
        </w:tc>
        <w:tc>
          <w:tcPr>
            <w:tcW w:w="760" w:type="dxa"/>
            <w:vAlign w:val="bottom"/>
            <w:tcBorders>
              <w:bottom w:val="single" w:sz="8" w:color="131E29"/>
            </w:tcBorders>
          </w:tcPr>
          <w:p>
            <w:pPr>
              <w:jc w:val="right"/>
              <w:ind w:right="249"/>
              <w:spacing w:after="0"/>
              <w:rPr>
                <w:sz w:val="20"/>
                <w:szCs w:val="20"/>
                <w:color w:val="auto"/>
              </w:rPr>
            </w:pPr>
            <w:r>
              <w:rPr>
                <w:rFonts w:ascii="Arial" w:cs="Arial" w:eastAsia="Arial" w:hAnsi="Arial"/>
                <w:sz w:val="14"/>
                <w:szCs w:val="14"/>
                <w:b w:val="1"/>
                <w:bCs w:val="1"/>
                <w:color w:val="131E29"/>
              </w:rPr>
              <w:t>2021</w:t>
            </w:r>
          </w:p>
        </w:tc>
        <w:tc>
          <w:tcPr>
            <w:tcW w:w="80" w:type="dxa"/>
            <w:vAlign w:val="bottom"/>
            <w:tcBorders>
              <w:bottom w:val="single" w:sz="8" w:color="D2DCE5"/>
            </w:tcBorders>
          </w:tcPr>
          <w:p>
            <w:pPr>
              <w:spacing w:after="0"/>
              <w:rPr>
                <w:sz w:val="16"/>
                <w:szCs w:val="16"/>
                <w:color w:val="auto"/>
              </w:rPr>
            </w:pPr>
          </w:p>
        </w:tc>
        <w:tc>
          <w:tcPr>
            <w:tcW w:w="720" w:type="dxa"/>
            <w:vAlign w:val="bottom"/>
            <w:tcBorders>
              <w:bottom w:val="single" w:sz="8" w:color="131E29"/>
            </w:tcBorders>
          </w:tcPr>
          <w:p>
            <w:pPr>
              <w:jc w:val="right"/>
              <w:spacing w:after="0"/>
              <w:rPr>
                <w:sz w:val="20"/>
                <w:szCs w:val="20"/>
                <w:color w:val="auto"/>
              </w:rPr>
            </w:pPr>
            <w:r>
              <w:rPr>
                <w:rFonts w:ascii="Arial" w:cs="Arial" w:eastAsia="Arial" w:hAnsi="Arial"/>
                <w:sz w:val="14"/>
                <w:szCs w:val="14"/>
                <w:b w:val="1"/>
                <w:bCs w:val="1"/>
                <w:color w:val="131E29"/>
              </w:rPr>
              <w:t>2020</w:t>
            </w:r>
          </w:p>
        </w:tc>
        <w:tc>
          <w:tcPr>
            <w:tcW w:w="300" w:type="dxa"/>
            <w:vAlign w:val="bottom"/>
            <w:tcBorders>
              <w:bottom w:val="single" w:sz="8" w:color="131E29"/>
            </w:tcBorders>
          </w:tcPr>
          <w:p>
            <w:pPr>
              <w:spacing w:after="0"/>
              <w:rPr>
                <w:sz w:val="16"/>
                <w:szCs w:val="16"/>
                <w:color w:val="auto"/>
              </w:rPr>
            </w:pPr>
          </w:p>
        </w:tc>
        <w:tc>
          <w:tcPr>
            <w:tcW w:w="100" w:type="dxa"/>
            <w:vAlign w:val="bottom"/>
            <w:tcBorders>
              <w:bottom w:val="single" w:sz="8" w:color="D2DCE5"/>
            </w:tcBorders>
          </w:tcPr>
          <w:p>
            <w:pPr>
              <w:spacing w:after="0"/>
              <w:rPr>
                <w:sz w:val="16"/>
                <w:szCs w:val="16"/>
                <w:color w:val="auto"/>
              </w:rPr>
            </w:pPr>
          </w:p>
        </w:tc>
        <w:tc>
          <w:tcPr>
            <w:tcW w:w="240" w:type="dxa"/>
            <w:vAlign w:val="bottom"/>
            <w:tcBorders>
              <w:bottom w:val="single" w:sz="8" w:color="131E29"/>
            </w:tcBorders>
          </w:tcPr>
          <w:p>
            <w:pPr>
              <w:spacing w:after="0"/>
              <w:rPr>
                <w:sz w:val="16"/>
                <w:szCs w:val="16"/>
                <w:color w:val="auto"/>
              </w:rPr>
            </w:pPr>
          </w:p>
        </w:tc>
        <w:tc>
          <w:tcPr>
            <w:tcW w:w="1940" w:type="dxa"/>
            <w:vAlign w:val="bottom"/>
            <w:tcBorders>
              <w:bottom w:val="single" w:sz="8" w:color="131E29"/>
            </w:tcBorders>
            <w:gridSpan w:val="2"/>
          </w:tcPr>
          <w:p>
            <w:pPr>
              <w:ind w:left="440"/>
              <w:spacing w:after="0"/>
              <w:rPr>
                <w:sz w:val="20"/>
                <w:szCs w:val="20"/>
                <w:color w:val="auto"/>
              </w:rPr>
            </w:pPr>
            <w:r>
              <w:rPr>
                <w:rFonts w:ascii="Arial" w:cs="Arial" w:eastAsia="Arial" w:hAnsi="Arial"/>
                <w:sz w:val="14"/>
                <w:szCs w:val="14"/>
                <w:b w:val="1"/>
                <w:bCs w:val="1"/>
                <w:color w:val="131E29"/>
              </w:rPr>
              <w:t>2022 v. 2021</w:t>
            </w:r>
          </w:p>
        </w:tc>
        <w:tc>
          <w:tcPr>
            <w:tcW w:w="100" w:type="dxa"/>
            <w:vAlign w:val="bottom"/>
            <w:tcBorders>
              <w:bottom w:val="single" w:sz="8" w:color="D2DCE5"/>
            </w:tcBorders>
          </w:tcPr>
          <w:p>
            <w:pPr>
              <w:spacing w:after="0"/>
              <w:rPr>
                <w:sz w:val="16"/>
                <w:szCs w:val="16"/>
                <w:color w:val="auto"/>
              </w:rPr>
            </w:pPr>
          </w:p>
        </w:tc>
        <w:tc>
          <w:tcPr>
            <w:tcW w:w="260" w:type="dxa"/>
            <w:vAlign w:val="bottom"/>
            <w:tcBorders>
              <w:bottom w:val="single" w:sz="8" w:color="131E29"/>
            </w:tcBorders>
          </w:tcPr>
          <w:p>
            <w:pPr>
              <w:spacing w:after="0"/>
              <w:rPr>
                <w:sz w:val="16"/>
                <w:szCs w:val="16"/>
                <w:color w:val="auto"/>
              </w:rPr>
            </w:pPr>
          </w:p>
        </w:tc>
        <w:tc>
          <w:tcPr>
            <w:tcW w:w="1980" w:type="dxa"/>
            <w:vAlign w:val="bottom"/>
            <w:tcBorders>
              <w:bottom w:val="single" w:sz="8" w:color="131E29"/>
            </w:tcBorders>
            <w:gridSpan w:val="2"/>
          </w:tcPr>
          <w:p>
            <w:pPr>
              <w:ind w:left="460"/>
              <w:spacing w:after="0"/>
              <w:rPr>
                <w:sz w:val="20"/>
                <w:szCs w:val="20"/>
                <w:color w:val="auto"/>
              </w:rPr>
            </w:pPr>
            <w:r>
              <w:rPr>
                <w:rFonts w:ascii="Arial" w:cs="Arial" w:eastAsia="Arial" w:hAnsi="Arial"/>
                <w:sz w:val="14"/>
                <w:szCs w:val="14"/>
                <w:b w:val="1"/>
                <w:bCs w:val="1"/>
                <w:color w:val="131E29"/>
              </w:rPr>
              <w:t>2021 v. 2020</w:t>
            </w:r>
          </w:p>
        </w:tc>
      </w:tr>
      <w:tr>
        <w:trPr>
          <w:trHeight w:val="192"/>
        </w:trPr>
        <w:tc>
          <w:tcPr>
            <w:tcW w:w="34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Income tax expense (benefit)</w:t>
            </w:r>
          </w:p>
        </w:tc>
        <w:tc>
          <w:tcPr>
            <w:tcW w:w="180" w:type="dxa"/>
            <w:vAlign w:val="bottom"/>
            <w:tcBorders>
              <w:bottom w:val="single" w:sz="8" w:color="D2DCE5"/>
            </w:tcBorders>
            <w:shd w:val="clear" w:color="auto" w:fill="D2DCE5"/>
          </w:tcPr>
          <w:p>
            <w:pPr>
              <w:jc w:val="right"/>
              <w:ind w:right="29"/>
              <w:spacing w:after="0"/>
              <w:rPr>
                <w:sz w:val="20"/>
                <w:szCs w:val="20"/>
                <w:color w:val="auto"/>
              </w:rPr>
            </w:pPr>
            <w:r>
              <w:rPr>
                <w:rFonts w:ascii="Arial" w:cs="Arial" w:eastAsia="Arial" w:hAnsi="Arial"/>
                <w:sz w:val="14"/>
                <w:szCs w:val="14"/>
                <w:color w:val="131E29"/>
                <w:w w:val="76"/>
              </w:rPr>
              <w:t>$</w:t>
            </w:r>
          </w:p>
        </w:tc>
        <w:tc>
          <w:tcPr>
            <w:tcW w:w="8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2,599</w:t>
            </w:r>
          </w:p>
        </w:tc>
        <w:tc>
          <w:tcPr>
            <w:tcW w:w="80" w:type="dxa"/>
            <w:vAlign w:val="bottom"/>
            <w:tcBorders>
              <w:bottom w:val="single" w:sz="8" w:color="D2DCE5"/>
            </w:tcBorders>
            <w:shd w:val="clear" w:color="auto" w:fill="D2DCE5"/>
          </w:tcPr>
          <w:p>
            <w:pPr>
              <w:spacing w:after="0"/>
              <w:rPr>
                <w:sz w:val="16"/>
                <w:szCs w:val="16"/>
                <w:color w:val="auto"/>
              </w:rPr>
            </w:pPr>
          </w:p>
        </w:tc>
        <w:tc>
          <w:tcPr>
            <w:tcW w:w="200" w:type="dxa"/>
            <w:vAlign w:val="bottom"/>
            <w:tcBorders>
              <w:bottom w:val="single" w:sz="8" w:color="D2DCE5"/>
            </w:tcBorders>
            <w:shd w:val="clear" w:color="auto" w:fill="D2DCE5"/>
          </w:tcPr>
          <w:p>
            <w:pPr>
              <w:jc w:val="right"/>
              <w:ind w:right="29"/>
              <w:spacing w:after="0"/>
              <w:rPr>
                <w:sz w:val="20"/>
                <w:szCs w:val="20"/>
                <w:color w:val="auto"/>
              </w:rPr>
            </w:pPr>
            <w:r>
              <w:rPr>
                <w:rFonts w:ascii="Arial" w:cs="Arial" w:eastAsia="Arial" w:hAnsi="Arial"/>
                <w:sz w:val="14"/>
                <w:szCs w:val="14"/>
                <w:color w:val="131E29"/>
              </w:rPr>
              <w:t>$</w:t>
            </w:r>
          </w:p>
        </w:tc>
        <w:tc>
          <w:tcPr>
            <w:tcW w:w="7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(1,628)</w:t>
            </w:r>
          </w:p>
        </w:tc>
        <w:tc>
          <w:tcPr>
            <w:tcW w:w="80" w:type="dxa"/>
            <w:vAlign w:val="bottom"/>
            <w:tcBorders>
              <w:bottom w:val="single" w:sz="8" w:color="D2DCE5"/>
            </w:tcBorders>
            <w:shd w:val="clear" w:color="auto" w:fill="D2DCE5"/>
          </w:tcPr>
          <w:p>
            <w:pPr>
              <w:spacing w:after="0"/>
              <w:rPr>
                <w:sz w:val="16"/>
                <w:szCs w:val="16"/>
                <w:color w:val="auto"/>
              </w:rPr>
            </w:pPr>
          </w:p>
        </w:tc>
        <w:tc>
          <w:tcPr>
            <w:tcW w:w="720" w:type="dxa"/>
            <w:vAlign w:val="bottom"/>
            <w:tcBorders>
              <w:bottom w:val="single" w:sz="8" w:color="D2DCE5"/>
            </w:tcBorders>
            <w:shd w:val="clear" w:color="auto" w:fill="D2DCE5"/>
          </w:tcPr>
          <w:p>
            <w:pPr>
              <w:jc w:val="right"/>
              <w:ind w:right="549"/>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w w:val="94"/>
              </w:rPr>
              <w:t>843</w:t>
            </w:r>
          </w:p>
        </w:tc>
        <w:tc>
          <w:tcPr>
            <w:tcW w:w="100" w:type="dxa"/>
            <w:vAlign w:val="bottom"/>
            <w:tcBorders>
              <w:bottom w:val="single" w:sz="8" w:color="D2DCE5"/>
            </w:tcBorders>
            <w:shd w:val="clear" w:color="auto" w:fill="D2DCE5"/>
          </w:tcPr>
          <w:p>
            <w:pPr>
              <w:spacing w:after="0"/>
              <w:rPr>
                <w:sz w:val="16"/>
                <w:szCs w:val="16"/>
                <w:color w:val="auto"/>
              </w:rPr>
            </w:pPr>
          </w:p>
        </w:tc>
        <w:tc>
          <w:tcPr>
            <w:tcW w:w="240" w:type="dxa"/>
            <w:vAlign w:val="bottom"/>
            <w:tcBorders>
              <w:bottom w:val="single" w:sz="8" w:color="D2DCE5"/>
            </w:tcBorders>
            <w:shd w:val="clear" w:color="auto" w:fill="D2DCE5"/>
          </w:tcPr>
          <w:p>
            <w:pPr>
              <w:jc w:val="right"/>
              <w:ind w:right="89"/>
              <w:spacing w:after="0"/>
              <w:rPr>
                <w:sz w:val="20"/>
                <w:szCs w:val="20"/>
                <w:color w:val="auto"/>
              </w:rPr>
            </w:pPr>
            <w:r>
              <w:rPr>
                <w:rFonts w:ascii="Arial" w:cs="Arial" w:eastAsia="Arial" w:hAnsi="Arial"/>
                <w:sz w:val="14"/>
                <w:szCs w:val="14"/>
                <w:color w:val="131E29"/>
                <w:w w:val="76"/>
              </w:rPr>
              <w:t>$</w:t>
            </w:r>
          </w:p>
        </w:tc>
        <w:tc>
          <w:tcPr>
            <w:tcW w:w="920" w:type="dxa"/>
            <w:vAlign w:val="bottom"/>
            <w:tcBorders>
              <w:bottom w:val="single" w:sz="8" w:color="D2DCE5"/>
            </w:tcBorders>
            <w:shd w:val="clear" w:color="auto" w:fill="D2DCE5"/>
          </w:tcPr>
          <w:p>
            <w:pPr>
              <w:jc w:val="right"/>
              <w:ind w:right="129"/>
              <w:spacing w:after="0"/>
              <w:rPr>
                <w:sz w:val="20"/>
                <w:szCs w:val="20"/>
                <w:color w:val="auto"/>
              </w:rPr>
            </w:pPr>
            <w:r>
              <w:rPr>
                <w:rFonts w:ascii="Arial" w:cs="Arial" w:eastAsia="Arial" w:hAnsi="Arial"/>
                <w:sz w:val="14"/>
                <w:szCs w:val="14"/>
                <w:color w:val="131E29"/>
              </w:rPr>
              <w:t>4,227</w:t>
            </w:r>
          </w:p>
        </w:tc>
        <w:tc>
          <w:tcPr>
            <w:tcW w:w="1020" w:type="dxa"/>
            <w:vAlign w:val="bottom"/>
            <w:tcBorders>
              <w:bottom w:val="single" w:sz="8" w:color="D2DCE5"/>
            </w:tcBorders>
            <w:shd w:val="clear" w:color="auto" w:fill="D2DCE5"/>
          </w:tcPr>
          <w:p>
            <w:pPr>
              <w:jc w:val="right"/>
              <w:ind w:right="169"/>
              <w:spacing w:after="0"/>
              <w:rPr>
                <w:sz w:val="20"/>
                <w:szCs w:val="20"/>
                <w:color w:val="auto"/>
              </w:rPr>
            </w:pPr>
            <w:r>
              <w:rPr>
                <w:rFonts w:ascii="Arial" w:cs="Arial" w:eastAsia="Arial" w:hAnsi="Arial"/>
                <w:sz w:val="14"/>
                <w:szCs w:val="14"/>
                <w:color w:val="131E29"/>
              </w:rPr>
              <w:t>(259.6)%</w:t>
            </w:r>
          </w:p>
        </w:tc>
        <w:tc>
          <w:tcPr>
            <w:tcW w:w="100" w:type="dxa"/>
            <w:vAlign w:val="bottom"/>
            <w:tcBorders>
              <w:bottom w:val="single" w:sz="8" w:color="D2DCE5"/>
            </w:tcBorders>
            <w:shd w:val="clear" w:color="auto" w:fill="D2DCE5"/>
          </w:tcPr>
          <w:p>
            <w:pPr>
              <w:spacing w:after="0"/>
              <w:rPr>
                <w:sz w:val="16"/>
                <w:szCs w:val="16"/>
                <w:color w:val="auto"/>
              </w:rPr>
            </w:pPr>
          </w:p>
        </w:tc>
        <w:tc>
          <w:tcPr>
            <w:tcW w:w="260" w:type="dxa"/>
            <w:vAlign w:val="bottom"/>
            <w:tcBorders>
              <w:bottom w:val="single" w:sz="8" w:color="D2DCE5"/>
            </w:tcBorders>
            <w:shd w:val="clear" w:color="auto" w:fill="D2DCE5"/>
          </w:tcPr>
          <w:p>
            <w:pPr>
              <w:jc w:val="right"/>
              <w:ind w:right="109"/>
              <w:spacing w:after="0"/>
              <w:rPr>
                <w:sz w:val="20"/>
                <w:szCs w:val="20"/>
                <w:color w:val="auto"/>
              </w:rPr>
            </w:pPr>
            <w:r>
              <w:rPr>
                <w:rFonts w:ascii="Arial" w:cs="Arial" w:eastAsia="Arial" w:hAnsi="Arial"/>
                <w:sz w:val="14"/>
                <w:szCs w:val="14"/>
                <w:color w:val="131E29"/>
                <w:w w:val="76"/>
              </w:rPr>
              <w:t>$</w:t>
            </w:r>
          </w:p>
        </w:tc>
        <w:tc>
          <w:tcPr>
            <w:tcW w:w="8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(2,471)</w:t>
            </w:r>
          </w:p>
        </w:tc>
        <w:tc>
          <w:tcPr>
            <w:tcW w:w="1160" w:type="dxa"/>
            <w:vAlign w:val="bottom"/>
            <w:tcBorders>
              <w:bottom w:val="single" w:sz="8" w:color="D2DCE5"/>
            </w:tcBorders>
            <w:shd w:val="clear" w:color="auto" w:fill="D2DCE5"/>
          </w:tcPr>
          <w:p>
            <w:pPr>
              <w:jc w:val="right"/>
              <w:ind w:right="189"/>
              <w:spacing w:after="0"/>
              <w:rPr>
                <w:sz w:val="20"/>
                <w:szCs w:val="20"/>
                <w:color w:val="auto"/>
              </w:rPr>
            </w:pPr>
            <w:r>
              <w:rPr>
                <w:rFonts w:ascii="Arial" w:cs="Arial" w:eastAsia="Arial" w:hAnsi="Arial"/>
                <w:sz w:val="14"/>
                <w:szCs w:val="14"/>
                <w:color w:val="131E29"/>
              </w:rPr>
              <w:t>(293.1)%</w:t>
            </w:r>
          </w:p>
        </w:tc>
      </w:tr>
      <w:tr>
        <w:trPr>
          <w:trHeight w:val="191"/>
        </w:trPr>
        <w:tc>
          <w:tcPr>
            <w:tcW w:w="3460" w:type="dxa"/>
            <w:vAlign w:val="bottom"/>
            <w:gridSpan w:val="2"/>
          </w:tcPr>
          <w:p>
            <w:pPr>
              <w:ind w:left="20"/>
              <w:spacing w:after="0"/>
              <w:rPr>
                <w:sz w:val="20"/>
                <w:szCs w:val="20"/>
                <w:color w:val="auto"/>
              </w:rPr>
            </w:pPr>
            <w:r>
              <w:rPr>
                <w:rFonts w:ascii="Arial" w:cs="Arial" w:eastAsia="Arial" w:hAnsi="Arial"/>
                <w:sz w:val="14"/>
                <w:szCs w:val="14"/>
                <w:color w:val="131E29"/>
              </w:rPr>
              <w:t>Effective tax rate</w:t>
            </w:r>
          </w:p>
        </w:tc>
        <w:tc>
          <w:tcPr>
            <w:tcW w:w="180" w:type="dxa"/>
            <w:vAlign w:val="bottom"/>
          </w:tcPr>
          <w:p>
            <w:pPr>
              <w:spacing w:after="0"/>
              <w:rPr>
                <w:sz w:val="16"/>
                <w:szCs w:val="16"/>
                <w:color w:val="auto"/>
              </w:rPr>
            </w:pPr>
          </w:p>
        </w:tc>
        <w:tc>
          <w:tcPr>
            <w:tcW w:w="880" w:type="dxa"/>
            <w:vAlign w:val="bottom"/>
          </w:tcPr>
          <w:p>
            <w:pPr>
              <w:jc w:val="right"/>
              <w:ind w:right="209"/>
              <w:spacing w:after="0"/>
              <w:rPr>
                <w:sz w:val="20"/>
                <w:szCs w:val="20"/>
                <w:color w:val="auto"/>
              </w:rPr>
            </w:pPr>
            <w:r>
              <w:rPr>
                <w:rFonts w:ascii="Arial" w:cs="Arial" w:eastAsia="Arial" w:hAnsi="Arial"/>
                <w:sz w:val="14"/>
                <w:szCs w:val="14"/>
                <w:color w:val="131E29"/>
              </w:rPr>
              <w:t>(15.6)%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49"/>
              <w:spacing w:after="0"/>
              <w:rPr>
                <w:sz w:val="20"/>
                <w:szCs w:val="20"/>
                <w:color w:val="auto"/>
              </w:rPr>
            </w:pPr>
            <w:r>
              <w:rPr>
                <w:rFonts w:ascii="Arial" w:cs="Arial" w:eastAsia="Arial" w:hAnsi="Arial"/>
                <w:sz w:val="14"/>
                <w:szCs w:val="14"/>
                <w:color w:val="131E29"/>
              </w:rPr>
              <w:t>1.4%</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12.2%</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469"/>
              <w:spacing w:after="0"/>
              <w:rPr>
                <w:sz w:val="20"/>
                <w:szCs w:val="20"/>
                <w:color w:val="auto"/>
              </w:rPr>
            </w:pPr>
            <w:r>
              <w:rPr>
                <w:rFonts w:ascii="Arial" w:cs="Arial" w:eastAsia="Arial" w:hAnsi="Arial"/>
                <w:sz w:val="14"/>
                <w:szCs w:val="14"/>
                <w:color w:val="131E29"/>
              </w:rPr>
              <w:t>N/A</w:t>
            </w: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color w:val="131E29"/>
              </w:rPr>
              <w:t>N/M</w:t>
            </w:r>
          </w:p>
        </w:tc>
        <w:tc>
          <w:tcPr>
            <w:tcW w:w="260" w:type="dxa"/>
            <w:vAlign w:val="bottom"/>
          </w:tcPr>
          <w:p>
            <w:pPr>
              <w:spacing w:after="0"/>
              <w:rPr>
                <w:sz w:val="16"/>
                <w:szCs w:val="16"/>
                <w:color w:val="auto"/>
              </w:rPr>
            </w:pPr>
          </w:p>
        </w:tc>
        <w:tc>
          <w:tcPr>
            <w:tcW w:w="820" w:type="dxa"/>
            <w:vAlign w:val="bottom"/>
          </w:tcPr>
          <w:p>
            <w:pPr>
              <w:jc w:val="right"/>
              <w:ind w:right="349"/>
              <w:spacing w:after="0"/>
              <w:rPr>
                <w:sz w:val="20"/>
                <w:szCs w:val="20"/>
                <w:color w:val="auto"/>
              </w:rPr>
            </w:pPr>
            <w:r>
              <w:rPr>
                <w:rFonts w:ascii="Arial" w:cs="Arial" w:eastAsia="Arial" w:hAnsi="Arial"/>
                <w:sz w:val="14"/>
                <w:szCs w:val="14"/>
                <w:color w:val="131E29"/>
              </w:rPr>
              <w:t>N/A</w:t>
            </w:r>
          </w:p>
        </w:tc>
        <w:tc>
          <w:tcPr>
            <w:tcW w:w="1160" w:type="dxa"/>
            <w:vAlign w:val="bottom"/>
          </w:tcPr>
          <w:p>
            <w:pPr>
              <w:jc w:val="center"/>
              <w:ind w:left="29"/>
              <w:spacing w:after="0"/>
              <w:rPr>
                <w:sz w:val="20"/>
                <w:szCs w:val="20"/>
                <w:color w:val="auto"/>
              </w:rPr>
            </w:pPr>
            <w:r>
              <w:rPr>
                <w:rFonts w:ascii="Arial" w:cs="Arial" w:eastAsia="Arial" w:hAnsi="Arial"/>
                <w:sz w:val="14"/>
                <w:szCs w:val="14"/>
                <w:color w:val="131E29"/>
              </w:rPr>
              <w:t>N/M</w:t>
            </w:r>
          </w:p>
        </w:tc>
      </w:tr>
    </w:tbl>
    <w:p>
      <w:pPr>
        <w:spacing w:after="0" w:line="223"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Year Ended December 31, 2022 v 2021</w:t>
      </w:r>
    </w:p>
    <w:p>
      <w:pPr>
        <w:spacing w:after="0" w:line="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The increase in tax expense was primarily driven by mix of income earned by state tax jurisdiction and lower loss attributable to non-controlling interests, partially offset by adjustments to the outside basis differences as a result of the 2021 tax filings and higher tax credits.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Liquidity and Capital Resources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Cash Overview</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131E29"/>
        </w:rPr>
        <w:t>We had cash and cash equivalents of $20.2 million and $18.5 million as of December 31, 2022 and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79" w:name="page80"/>
    <w:bookmarkEnd w:id="79"/>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266" w:lineRule="auto"/>
        <w:rPr>
          <w:sz w:val="20"/>
          <w:szCs w:val="20"/>
          <w:color w:val="auto"/>
        </w:rPr>
      </w:pPr>
      <w:r>
        <w:rPr>
          <w:rFonts w:ascii="Arial" w:cs="Arial" w:eastAsia="Arial" w:hAnsi="Arial"/>
          <w:sz w:val="14"/>
          <w:szCs w:val="14"/>
          <w:color w:val="131E29"/>
        </w:rPr>
        <w:t>For the year ended December 31, 2022, our principal sources of liquidity were cash flows from our term loan and revolving credit facilities, and operations. Our principal uses of liquidity for the year ended December 31, 2022 were to pay off our prior revolving credit facility and fund our new shop builds and working capital needs.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Cash Flows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131E29"/>
        </w:rPr>
        <w:t>The following table summarizes our cash flows for the periods presented: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40" w:type="dxa"/>
            <w:vAlign w:val="bottom"/>
            <w:gridSpan w:val="6"/>
          </w:tcPr>
          <w:p>
            <w:pPr>
              <w:ind w:left="600"/>
              <w:spacing w:after="0"/>
              <w:rPr>
                <w:sz w:val="20"/>
                <w:szCs w:val="20"/>
                <w:color w:val="auto"/>
              </w:rPr>
            </w:pPr>
            <w:r>
              <w:rPr>
                <w:rFonts w:ascii="Arial" w:cs="Arial" w:eastAsia="Arial" w:hAnsi="Arial"/>
                <w:sz w:val="14"/>
                <w:szCs w:val="14"/>
                <w:b w:val="1"/>
                <w:bCs w:val="1"/>
                <w:color w:val="131E29"/>
                <w:w w:val="99"/>
              </w:rPr>
              <w:t>Year Ended December 31,</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
        </w:trPr>
        <w:tc>
          <w:tcPr>
            <w:tcW w:w="320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gridSpan w:val="5"/>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gridSpan w:val="3"/>
          </w:tcPr>
          <w:p>
            <w:pPr>
              <w:spacing w:after="0" w:line="20" w:lineRule="exact"/>
              <w:rPr>
                <w:sz w:val="1"/>
                <w:szCs w:val="1"/>
                <w:color w:val="auto"/>
              </w:rPr>
            </w:pPr>
          </w:p>
        </w:tc>
      </w:tr>
      <w:tr>
        <w:trPr>
          <w:trHeight w:val="193"/>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80" w:type="dxa"/>
            <w:vAlign w:val="bottom"/>
            <w:tcBorders>
              <w:bottom w:val="single" w:sz="8" w:color="D2DCE5"/>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131E29"/>
              </w:rPr>
              <w:t>2022</w:t>
            </w:r>
          </w:p>
        </w:tc>
        <w:tc>
          <w:tcPr>
            <w:tcW w:w="80" w:type="dxa"/>
            <w:vAlign w:val="bottom"/>
            <w:tcBorders>
              <w:bottom w:val="single" w:sz="8" w:color="D2DCE5"/>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131E29"/>
              </w:rPr>
              <w:t>2021</w:t>
            </w:r>
          </w:p>
        </w:tc>
        <w:tc>
          <w:tcPr>
            <w:tcW w:w="100" w:type="dxa"/>
            <w:vAlign w:val="bottom"/>
            <w:tcBorders>
              <w:bottom w:val="single" w:sz="8" w:color="D2DCE5"/>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131E29"/>
              </w:rPr>
              <w:t>2020</w:t>
            </w:r>
          </w:p>
        </w:tc>
        <w:tc>
          <w:tcPr>
            <w:tcW w:w="80" w:type="dxa"/>
            <w:vAlign w:val="bottom"/>
            <w:tcBorders>
              <w:bottom w:val="single" w:sz="8" w:color="D2DCE5"/>
            </w:tcBorders>
          </w:tcPr>
          <w:p>
            <w:pPr>
              <w:spacing w:after="0"/>
              <w:rPr>
                <w:sz w:val="16"/>
                <w:szCs w:val="16"/>
                <w:color w:val="auto"/>
              </w:rPr>
            </w:pPr>
          </w:p>
        </w:tc>
        <w:tc>
          <w:tcPr>
            <w:tcW w:w="300" w:type="dxa"/>
            <w:vAlign w:val="bottom"/>
            <w:tcBorders>
              <w:bottom w:val="single" w:sz="8" w:color="131E29"/>
            </w:tcBorders>
          </w:tcPr>
          <w:p>
            <w:pPr>
              <w:spacing w:after="0"/>
              <w:rPr>
                <w:sz w:val="16"/>
                <w:szCs w:val="16"/>
                <w:color w:val="auto"/>
              </w:rPr>
            </w:pPr>
          </w:p>
        </w:tc>
        <w:tc>
          <w:tcPr>
            <w:tcW w:w="1940" w:type="dxa"/>
            <w:vAlign w:val="bottom"/>
            <w:tcBorders>
              <w:bottom w:val="single" w:sz="8" w:color="131E29"/>
            </w:tcBorders>
            <w:gridSpan w:val="4"/>
          </w:tcPr>
          <w:p>
            <w:pPr>
              <w:ind w:left="420"/>
              <w:spacing w:after="0"/>
              <w:rPr>
                <w:sz w:val="20"/>
                <w:szCs w:val="20"/>
                <w:color w:val="auto"/>
              </w:rPr>
            </w:pPr>
            <w:r>
              <w:rPr>
                <w:rFonts w:ascii="Arial" w:cs="Arial" w:eastAsia="Arial" w:hAnsi="Arial"/>
                <w:sz w:val="14"/>
                <w:szCs w:val="14"/>
                <w:b w:val="1"/>
                <w:bCs w:val="1"/>
                <w:color w:val="131E29"/>
              </w:rPr>
              <w:t>2022 v. 2021</w:t>
            </w:r>
          </w:p>
        </w:tc>
        <w:tc>
          <w:tcPr>
            <w:tcW w:w="100" w:type="dxa"/>
            <w:vAlign w:val="bottom"/>
            <w:tcBorders>
              <w:bottom w:val="single" w:sz="8" w:color="D2DCE5"/>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131E29"/>
              </w:rPr>
              <w:t>2021 v. 2020</w:t>
            </w:r>
          </w:p>
        </w:tc>
      </w:tr>
      <w:tr>
        <w:trPr>
          <w:trHeight w:val="192"/>
        </w:trPr>
        <w:tc>
          <w:tcPr>
            <w:tcW w:w="32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Net cash flows provided by operating activities</w:t>
            </w:r>
          </w:p>
        </w:tc>
        <w:tc>
          <w:tcPr>
            <w:tcW w:w="240" w:type="dxa"/>
            <w:vAlign w:val="bottom"/>
            <w:tcBorders>
              <w:bottom w:val="single" w:sz="8" w:color="D2DCE5"/>
            </w:tcBorders>
            <w:shd w:val="clear" w:color="auto" w:fill="D2DCE5"/>
          </w:tcPr>
          <w:p>
            <w:pPr>
              <w:jc w:val="right"/>
              <w:ind w:right="69"/>
              <w:spacing w:after="0"/>
              <w:rPr>
                <w:sz w:val="20"/>
                <w:szCs w:val="20"/>
                <w:color w:val="auto"/>
              </w:rPr>
            </w:pPr>
            <w:r>
              <w:rPr>
                <w:rFonts w:ascii="Arial" w:cs="Arial" w:eastAsia="Arial" w:hAnsi="Arial"/>
                <w:sz w:val="14"/>
                <w:szCs w:val="14"/>
                <w:color w:val="131E29"/>
              </w:rPr>
              <w:t>$</w:t>
            </w:r>
          </w:p>
        </w:tc>
        <w:tc>
          <w:tcPr>
            <w:tcW w:w="8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59,883</w:t>
            </w:r>
          </w:p>
        </w:tc>
        <w:tc>
          <w:tcPr>
            <w:tcW w:w="80" w:type="dxa"/>
            <w:vAlign w:val="bottom"/>
            <w:tcBorders>
              <w:bottom w:val="single" w:sz="8" w:color="D2DCE5"/>
            </w:tcBorders>
            <w:shd w:val="clear" w:color="auto" w:fill="D2DCE5"/>
          </w:tcPr>
          <w:p>
            <w:pPr>
              <w:spacing w:after="0"/>
              <w:rPr>
                <w:sz w:val="16"/>
                <w:szCs w:val="16"/>
                <w:color w:val="auto"/>
              </w:rPr>
            </w:pPr>
          </w:p>
        </w:tc>
        <w:tc>
          <w:tcPr>
            <w:tcW w:w="240" w:type="dxa"/>
            <w:vAlign w:val="bottom"/>
            <w:tcBorders>
              <w:bottom w:val="single" w:sz="8" w:color="D2DCE5"/>
            </w:tcBorders>
            <w:shd w:val="clear" w:color="auto" w:fill="D2DCE5"/>
          </w:tcPr>
          <w:p>
            <w:pPr>
              <w:jc w:val="right"/>
              <w:ind w:right="69"/>
              <w:spacing w:after="0"/>
              <w:rPr>
                <w:sz w:val="20"/>
                <w:szCs w:val="20"/>
                <w:color w:val="auto"/>
              </w:rPr>
            </w:pPr>
            <w:r>
              <w:rPr>
                <w:rFonts w:ascii="Arial" w:cs="Arial" w:eastAsia="Arial" w:hAnsi="Arial"/>
                <w:sz w:val="14"/>
                <w:szCs w:val="14"/>
                <w:color w:val="131E29"/>
              </w:rPr>
              <w:t>$</w:t>
            </w:r>
          </w:p>
        </w:tc>
        <w:tc>
          <w:tcPr>
            <w:tcW w:w="8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80,375</w:t>
            </w:r>
          </w:p>
        </w:tc>
        <w:tc>
          <w:tcPr>
            <w:tcW w:w="100" w:type="dxa"/>
            <w:vAlign w:val="bottom"/>
            <w:tcBorders>
              <w:bottom w:val="single" w:sz="8" w:color="D2DCE5"/>
            </w:tcBorders>
            <w:shd w:val="clear" w:color="auto" w:fill="D2DCE5"/>
          </w:tcPr>
          <w:p>
            <w:pPr>
              <w:spacing w:after="0"/>
              <w:rPr>
                <w:sz w:val="16"/>
                <w:szCs w:val="16"/>
                <w:color w:val="auto"/>
              </w:rPr>
            </w:pPr>
          </w:p>
        </w:tc>
        <w:tc>
          <w:tcPr>
            <w:tcW w:w="240" w:type="dxa"/>
            <w:vAlign w:val="bottom"/>
            <w:tcBorders>
              <w:bottom w:val="single" w:sz="8" w:color="D2DCE5"/>
            </w:tcBorders>
            <w:shd w:val="clear" w:color="auto" w:fill="D2DCE5"/>
          </w:tcPr>
          <w:p>
            <w:pPr>
              <w:jc w:val="right"/>
              <w:ind w:right="89"/>
              <w:spacing w:after="0"/>
              <w:rPr>
                <w:sz w:val="20"/>
                <w:szCs w:val="20"/>
                <w:color w:val="auto"/>
              </w:rPr>
            </w:pPr>
            <w:r>
              <w:rPr>
                <w:rFonts w:ascii="Arial" w:cs="Arial" w:eastAsia="Arial" w:hAnsi="Arial"/>
                <w:sz w:val="14"/>
                <w:szCs w:val="14"/>
                <w:color w:val="131E29"/>
                <w:w w:val="76"/>
              </w:rPr>
              <w:t>$</w:t>
            </w:r>
          </w:p>
        </w:tc>
        <w:tc>
          <w:tcPr>
            <w:tcW w:w="8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53,549</w:t>
            </w: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7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(20,492)</w:t>
            </w:r>
          </w:p>
        </w:tc>
        <w:tc>
          <w:tcPr>
            <w:tcW w:w="80" w:type="dxa"/>
            <w:vAlign w:val="bottom"/>
            <w:tcBorders>
              <w:bottom w:val="single" w:sz="8" w:color="D2DCE5"/>
            </w:tcBorders>
            <w:shd w:val="clear" w:color="auto" w:fill="D2DCE5"/>
          </w:tcPr>
          <w:p>
            <w:pPr>
              <w:spacing w:after="0"/>
              <w:rPr>
                <w:sz w:val="16"/>
                <w:szCs w:val="16"/>
                <w:color w:val="auto"/>
              </w:rPr>
            </w:pPr>
          </w:p>
        </w:tc>
        <w:tc>
          <w:tcPr>
            <w:tcW w:w="260" w:type="dxa"/>
            <w:vAlign w:val="bottom"/>
            <w:tcBorders>
              <w:bottom w:val="single" w:sz="8" w:color="D2DCE5"/>
            </w:tcBorders>
            <w:shd w:val="clear" w:color="auto" w:fill="D2DCE5"/>
          </w:tcPr>
          <w:p>
            <w:pPr>
              <w:spacing w:after="0"/>
              <w:rPr>
                <w:sz w:val="16"/>
                <w:szCs w:val="16"/>
                <w:color w:val="auto"/>
              </w:rPr>
            </w:pPr>
          </w:p>
        </w:tc>
        <w:tc>
          <w:tcPr>
            <w:tcW w:w="820" w:type="dxa"/>
            <w:vAlign w:val="bottom"/>
            <w:tcBorders>
              <w:bottom w:val="single" w:sz="8" w:color="D2DCE5"/>
            </w:tcBorders>
            <w:shd w:val="clear" w:color="auto" w:fill="D2DCE5"/>
          </w:tcPr>
          <w:p>
            <w:pPr>
              <w:jc w:val="center"/>
              <w:ind w:right="169"/>
              <w:spacing w:after="0"/>
              <w:rPr>
                <w:sz w:val="20"/>
                <w:szCs w:val="20"/>
                <w:color w:val="auto"/>
              </w:rPr>
            </w:pPr>
            <w:r>
              <w:rPr>
                <w:rFonts w:ascii="Arial" w:cs="Arial" w:eastAsia="Arial" w:hAnsi="Arial"/>
                <w:sz w:val="14"/>
                <w:szCs w:val="14"/>
                <w:color w:val="131E29"/>
              </w:rPr>
              <w:t>(25.5)%</w:t>
            </w:r>
          </w:p>
        </w:tc>
        <w:tc>
          <w:tcPr>
            <w:tcW w:w="10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jc w:val="right"/>
              <w:ind w:right="149"/>
              <w:spacing w:after="0"/>
              <w:rPr>
                <w:sz w:val="20"/>
                <w:szCs w:val="20"/>
                <w:color w:val="auto"/>
              </w:rPr>
            </w:pPr>
            <w:r>
              <w:rPr>
                <w:rFonts w:ascii="Arial" w:cs="Arial" w:eastAsia="Arial" w:hAnsi="Arial"/>
                <w:sz w:val="14"/>
                <w:szCs w:val="14"/>
                <w:color w:val="131E29"/>
                <w:w w:val="76"/>
              </w:rPr>
              <w:t>$</w:t>
            </w:r>
          </w:p>
        </w:tc>
        <w:tc>
          <w:tcPr>
            <w:tcW w:w="780" w:type="dxa"/>
            <w:vAlign w:val="bottom"/>
            <w:tcBorders>
              <w:bottom w:val="single" w:sz="8" w:color="D2DCE5"/>
            </w:tcBorders>
            <w:shd w:val="clear" w:color="auto" w:fill="D2DCE5"/>
          </w:tcPr>
          <w:p>
            <w:pPr>
              <w:jc w:val="center"/>
              <w:ind w:left="149"/>
              <w:spacing w:after="0"/>
              <w:rPr>
                <w:sz w:val="20"/>
                <w:szCs w:val="20"/>
                <w:color w:val="auto"/>
              </w:rPr>
            </w:pPr>
            <w:r>
              <w:rPr>
                <w:rFonts w:ascii="Arial" w:cs="Arial" w:eastAsia="Arial" w:hAnsi="Arial"/>
                <w:sz w:val="14"/>
                <w:szCs w:val="14"/>
                <w:color w:val="131E29"/>
              </w:rPr>
              <w:t>26,826</w:t>
            </w:r>
          </w:p>
        </w:tc>
        <w:tc>
          <w:tcPr>
            <w:tcW w:w="80" w:type="dxa"/>
            <w:vAlign w:val="bottom"/>
            <w:tcBorders>
              <w:bottom w:val="single" w:sz="8" w:color="D2DCE5"/>
            </w:tcBorders>
            <w:shd w:val="clear" w:color="auto" w:fill="D2DCE5"/>
          </w:tcPr>
          <w:p>
            <w:pPr>
              <w:spacing w:after="0"/>
              <w:rPr>
                <w:sz w:val="16"/>
                <w:szCs w:val="16"/>
                <w:color w:val="auto"/>
              </w:rPr>
            </w:pPr>
          </w:p>
        </w:tc>
        <w:tc>
          <w:tcPr>
            <w:tcW w:w="108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4"/>
                <w:szCs w:val="14"/>
                <w:color w:val="131E29"/>
              </w:rPr>
              <w:t>50.1%</w:t>
            </w:r>
          </w:p>
        </w:tc>
      </w:tr>
      <w:tr>
        <w:trPr>
          <w:trHeight w:val="191"/>
        </w:trPr>
        <w:tc>
          <w:tcPr>
            <w:tcW w:w="3200" w:type="dxa"/>
            <w:vAlign w:val="bottom"/>
            <w:gridSpan w:val="2"/>
          </w:tcPr>
          <w:p>
            <w:pPr>
              <w:ind w:left="20"/>
              <w:spacing w:after="0"/>
              <w:rPr>
                <w:sz w:val="20"/>
                <w:szCs w:val="20"/>
                <w:color w:val="auto"/>
              </w:rPr>
            </w:pPr>
            <w:r>
              <w:rPr>
                <w:rFonts w:ascii="Arial" w:cs="Arial" w:eastAsia="Arial" w:hAnsi="Arial"/>
                <w:sz w:val="14"/>
                <w:szCs w:val="14"/>
                <w:color w:val="131E29"/>
              </w:rPr>
              <w:t>Net cash flows used in investing activities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131E29"/>
              </w:rPr>
              <w:t>(192,572)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131E29"/>
              </w:rPr>
              <w:t>(121,089)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131E29"/>
              </w:rPr>
              <w:t>(45,570)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131E29"/>
              </w:rPr>
              <w:t>(71,483)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center"/>
              <w:ind w:right="169"/>
              <w:spacing w:after="0"/>
              <w:rPr>
                <w:sz w:val="20"/>
                <w:szCs w:val="20"/>
                <w:color w:val="auto"/>
              </w:rPr>
            </w:pPr>
            <w:r>
              <w:rPr>
                <w:rFonts w:ascii="Arial" w:cs="Arial" w:eastAsia="Arial" w:hAnsi="Arial"/>
                <w:sz w:val="14"/>
                <w:szCs w:val="14"/>
                <w:color w:val="131E29"/>
                <w:w w:val="95"/>
              </w:rPr>
              <w:t>59.0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center"/>
              <w:ind w:left="129"/>
              <w:spacing w:after="0"/>
              <w:rPr>
                <w:sz w:val="20"/>
                <w:szCs w:val="20"/>
                <w:color w:val="auto"/>
              </w:rPr>
            </w:pPr>
            <w:r>
              <w:rPr>
                <w:rFonts w:ascii="Arial" w:cs="Arial" w:eastAsia="Arial" w:hAnsi="Arial"/>
                <w:sz w:val="14"/>
                <w:szCs w:val="14"/>
                <w:color w:val="131E29"/>
              </w:rPr>
              <w:t>(75,519)</w:t>
            </w:r>
          </w:p>
        </w:tc>
        <w:tc>
          <w:tcPr>
            <w:tcW w:w="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131E29"/>
              </w:rPr>
              <w:t>165.7</w:t>
            </w:r>
          </w:p>
        </w:tc>
      </w:tr>
      <w:tr>
        <w:trPr>
          <w:trHeight w:val="22"/>
        </w:trPr>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2"/>
        </w:trPr>
        <w:tc>
          <w:tcPr>
            <w:tcW w:w="32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Net cash provided by financing activities</w:t>
            </w:r>
          </w:p>
        </w:tc>
        <w:tc>
          <w:tcPr>
            <w:tcW w:w="240" w:type="dxa"/>
            <w:vAlign w:val="bottom"/>
            <w:tcBorders>
              <w:bottom w:val="single" w:sz="8" w:color="D2DCE5"/>
            </w:tcBorders>
            <w:shd w:val="clear" w:color="auto" w:fill="D2DCE5"/>
          </w:tcPr>
          <w:p>
            <w:pPr>
              <w:spacing w:after="0"/>
              <w:rPr>
                <w:sz w:val="18"/>
                <w:szCs w:val="18"/>
                <w:color w:val="auto"/>
              </w:rPr>
            </w:pPr>
          </w:p>
        </w:tc>
        <w:tc>
          <w:tcPr>
            <w:tcW w:w="8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134,361</w:t>
            </w:r>
          </w:p>
        </w:tc>
        <w:tc>
          <w:tcPr>
            <w:tcW w:w="80" w:type="dxa"/>
            <w:vAlign w:val="bottom"/>
            <w:tcBorders>
              <w:bottom w:val="single" w:sz="8" w:color="D2DCE5"/>
            </w:tcBorders>
            <w:shd w:val="clear" w:color="auto" w:fill="D2DCE5"/>
          </w:tcPr>
          <w:p>
            <w:pPr>
              <w:spacing w:after="0"/>
              <w:rPr>
                <w:sz w:val="18"/>
                <w:szCs w:val="18"/>
                <w:color w:val="auto"/>
              </w:rPr>
            </w:pPr>
          </w:p>
        </w:tc>
        <w:tc>
          <w:tcPr>
            <w:tcW w:w="240" w:type="dxa"/>
            <w:vAlign w:val="bottom"/>
            <w:tcBorders>
              <w:bottom w:val="single" w:sz="8" w:color="D2DCE5"/>
            </w:tcBorders>
            <w:shd w:val="clear" w:color="auto" w:fill="D2DCE5"/>
          </w:tcPr>
          <w:p>
            <w:pPr>
              <w:spacing w:after="0"/>
              <w:rPr>
                <w:sz w:val="18"/>
                <w:szCs w:val="18"/>
                <w:color w:val="auto"/>
              </w:rPr>
            </w:pPr>
          </w:p>
        </w:tc>
        <w:tc>
          <w:tcPr>
            <w:tcW w:w="8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27,580</w:t>
            </w:r>
          </w:p>
        </w:tc>
        <w:tc>
          <w:tcPr>
            <w:tcW w:w="100" w:type="dxa"/>
            <w:vAlign w:val="bottom"/>
            <w:tcBorders>
              <w:bottom w:val="single" w:sz="8" w:color="D2DCE5"/>
            </w:tcBorders>
            <w:shd w:val="clear" w:color="auto" w:fill="D2DCE5"/>
          </w:tcPr>
          <w:p>
            <w:pPr>
              <w:spacing w:after="0"/>
              <w:rPr>
                <w:sz w:val="18"/>
                <w:szCs w:val="18"/>
                <w:color w:val="auto"/>
              </w:rPr>
            </w:pPr>
          </w:p>
        </w:tc>
        <w:tc>
          <w:tcPr>
            <w:tcW w:w="240" w:type="dxa"/>
            <w:vAlign w:val="bottom"/>
            <w:tcBorders>
              <w:bottom w:val="single" w:sz="8" w:color="D2DCE5"/>
            </w:tcBorders>
            <w:shd w:val="clear" w:color="auto" w:fill="D2DCE5"/>
          </w:tcPr>
          <w:p>
            <w:pPr>
              <w:spacing w:after="0"/>
              <w:rPr>
                <w:sz w:val="18"/>
                <w:szCs w:val="18"/>
                <w:color w:val="auto"/>
              </w:rPr>
            </w:pPr>
          </w:p>
        </w:tc>
        <w:tc>
          <w:tcPr>
            <w:tcW w:w="8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8,077</w:t>
            </w:r>
          </w:p>
        </w:tc>
        <w:tc>
          <w:tcPr>
            <w:tcW w:w="80" w:type="dxa"/>
            <w:vAlign w:val="bottom"/>
            <w:tcBorders>
              <w:bottom w:val="single" w:sz="8" w:color="D2DCE5"/>
            </w:tcBorders>
            <w:shd w:val="clear" w:color="auto" w:fill="D2DCE5"/>
          </w:tcPr>
          <w:p>
            <w:pPr>
              <w:spacing w:after="0"/>
              <w:rPr>
                <w:sz w:val="18"/>
                <w:szCs w:val="18"/>
                <w:color w:val="auto"/>
              </w:rPr>
            </w:pPr>
          </w:p>
        </w:tc>
        <w:tc>
          <w:tcPr>
            <w:tcW w:w="300" w:type="dxa"/>
            <w:vAlign w:val="bottom"/>
            <w:tcBorders>
              <w:bottom w:val="single" w:sz="8" w:color="D2DCE5"/>
            </w:tcBorders>
            <w:shd w:val="clear" w:color="auto" w:fill="D2DCE5"/>
          </w:tcPr>
          <w:p>
            <w:pPr>
              <w:spacing w:after="0"/>
              <w:rPr>
                <w:sz w:val="18"/>
                <w:szCs w:val="18"/>
                <w:color w:val="auto"/>
              </w:rPr>
            </w:pPr>
          </w:p>
        </w:tc>
        <w:tc>
          <w:tcPr>
            <w:tcW w:w="7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106,781</w:t>
            </w:r>
          </w:p>
        </w:tc>
        <w:tc>
          <w:tcPr>
            <w:tcW w:w="80" w:type="dxa"/>
            <w:vAlign w:val="bottom"/>
            <w:tcBorders>
              <w:bottom w:val="single" w:sz="8" w:color="D2DCE5"/>
            </w:tcBorders>
            <w:shd w:val="clear" w:color="auto" w:fill="D2DCE5"/>
          </w:tcPr>
          <w:p>
            <w:pPr>
              <w:spacing w:after="0"/>
              <w:rPr>
                <w:sz w:val="18"/>
                <w:szCs w:val="18"/>
                <w:color w:val="auto"/>
              </w:rPr>
            </w:pPr>
          </w:p>
        </w:tc>
        <w:tc>
          <w:tcPr>
            <w:tcW w:w="260" w:type="dxa"/>
            <w:vAlign w:val="bottom"/>
            <w:tcBorders>
              <w:bottom w:val="single" w:sz="8" w:color="D2DCE5"/>
            </w:tcBorders>
            <w:shd w:val="clear" w:color="auto" w:fill="D2DCE5"/>
          </w:tcPr>
          <w:p>
            <w:pPr>
              <w:spacing w:after="0"/>
              <w:rPr>
                <w:sz w:val="18"/>
                <w:szCs w:val="18"/>
                <w:color w:val="auto"/>
              </w:rPr>
            </w:pPr>
          </w:p>
        </w:tc>
        <w:tc>
          <w:tcPr>
            <w:tcW w:w="920" w:type="dxa"/>
            <w:vAlign w:val="bottom"/>
            <w:tcBorders>
              <w:bottom w:val="single" w:sz="8" w:color="D2DCE5"/>
            </w:tcBorders>
            <w:gridSpan w:val="2"/>
            <w:shd w:val="clear" w:color="auto" w:fill="D2DCE5"/>
          </w:tcPr>
          <w:p>
            <w:pPr>
              <w:ind w:left="160"/>
              <w:spacing w:after="0"/>
              <w:rPr>
                <w:sz w:val="20"/>
                <w:szCs w:val="20"/>
                <w:color w:val="auto"/>
              </w:rPr>
            </w:pPr>
            <w:r>
              <w:rPr>
                <w:rFonts w:ascii="Arial" w:cs="Arial" w:eastAsia="Arial" w:hAnsi="Arial"/>
                <w:sz w:val="14"/>
                <w:szCs w:val="14"/>
                <w:color w:val="131E29"/>
              </w:rPr>
              <w:t>N/M</w:t>
            </w:r>
          </w:p>
        </w:tc>
        <w:tc>
          <w:tcPr>
            <w:tcW w:w="300" w:type="dxa"/>
            <w:vAlign w:val="bottom"/>
            <w:tcBorders>
              <w:bottom w:val="single" w:sz="8" w:color="D2DCE5"/>
            </w:tcBorders>
            <w:shd w:val="clear" w:color="auto" w:fill="D2DCE5"/>
          </w:tcPr>
          <w:p>
            <w:pPr>
              <w:spacing w:after="0"/>
              <w:rPr>
                <w:sz w:val="18"/>
                <w:szCs w:val="18"/>
                <w:color w:val="auto"/>
              </w:rPr>
            </w:pPr>
          </w:p>
        </w:tc>
        <w:tc>
          <w:tcPr>
            <w:tcW w:w="780" w:type="dxa"/>
            <w:vAlign w:val="bottom"/>
            <w:tcBorders>
              <w:bottom w:val="single" w:sz="8" w:color="D2DCE5"/>
            </w:tcBorders>
            <w:shd w:val="clear" w:color="auto" w:fill="D2DCE5"/>
          </w:tcPr>
          <w:p>
            <w:pPr>
              <w:jc w:val="center"/>
              <w:ind w:left="149"/>
              <w:spacing w:after="0"/>
              <w:rPr>
                <w:sz w:val="20"/>
                <w:szCs w:val="20"/>
                <w:color w:val="auto"/>
              </w:rPr>
            </w:pPr>
            <w:r>
              <w:rPr>
                <w:rFonts w:ascii="Arial" w:cs="Arial" w:eastAsia="Arial" w:hAnsi="Arial"/>
                <w:sz w:val="14"/>
                <w:szCs w:val="14"/>
                <w:color w:val="131E29"/>
              </w:rPr>
              <w:t>19,503</w:t>
            </w:r>
          </w:p>
        </w:tc>
        <w:tc>
          <w:tcPr>
            <w:tcW w:w="80" w:type="dxa"/>
            <w:vAlign w:val="bottom"/>
            <w:tcBorders>
              <w:bottom w:val="single" w:sz="8" w:color="D2DCE5"/>
            </w:tcBorders>
            <w:shd w:val="clear" w:color="auto" w:fill="D2DCE5"/>
          </w:tcPr>
          <w:p>
            <w:pPr>
              <w:spacing w:after="0"/>
              <w:rPr>
                <w:sz w:val="18"/>
                <w:szCs w:val="18"/>
                <w:color w:val="auto"/>
              </w:rPr>
            </w:pPr>
          </w:p>
        </w:tc>
        <w:tc>
          <w:tcPr>
            <w:tcW w:w="1080" w:type="dxa"/>
            <w:vAlign w:val="bottom"/>
            <w:tcBorders>
              <w:bottom w:val="single" w:sz="8" w:color="D2DCE5"/>
            </w:tcBorders>
            <w:shd w:val="clear" w:color="auto" w:fill="D2DCE5"/>
          </w:tcPr>
          <w:p>
            <w:pPr>
              <w:ind w:left="420"/>
              <w:spacing w:after="0"/>
              <w:rPr>
                <w:sz w:val="20"/>
                <w:szCs w:val="20"/>
                <w:color w:val="auto"/>
              </w:rPr>
            </w:pPr>
            <w:r>
              <w:rPr>
                <w:rFonts w:ascii="Arial" w:cs="Arial" w:eastAsia="Arial" w:hAnsi="Arial"/>
                <w:sz w:val="14"/>
                <w:szCs w:val="14"/>
                <w:color w:val="131E29"/>
              </w:rPr>
              <w:t>N/M</w:t>
            </w:r>
          </w:p>
        </w:tc>
      </w:tr>
      <w:tr>
        <w:trPr>
          <w:trHeight w:val="181"/>
        </w:trPr>
        <w:tc>
          <w:tcPr>
            <w:tcW w:w="3200" w:type="dxa"/>
            <w:vAlign w:val="bottom"/>
            <w:gridSpan w:val="2"/>
          </w:tcPr>
          <w:p>
            <w:pPr>
              <w:ind w:left="20"/>
              <w:spacing w:after="0"/>
              <w:rPr>
                <w:sz w:val="20"/>
                <w:szCs w:val="20"/>
                <w:color w:val="auto"/>
              </w:rPr>
            </w:pPr>
            <w:r>
              <w:rPr>
                <w:rFonts w:ascii="Arial" w:cs="Arial" w:eastAsia="Arial" w:hAnsi="Arial"/>
                <w:sz w:val="14"/>
                <w:szCs w:val="14"/>
                <w:color w:val="131E29"/>
              </w:rPr>
              <w:t>Net increase (decrease) in cash</w:t>
            </w:r>
          </w:p>
        </w:tc>
        <w:tc>
          <w:tcPr>
            <w:tcW w:w="2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131E2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1,672</w:t>
            </w:r>
          </w:p>
        </w:tc>
        <w:tc>
          <w:tcPr>
            <w:tcW w:w="80" w:type="dxa"/>
            <w:vAlign w:val="bottom"/>
          </w:tcPr>
          <w:p>
            <w:pPr>
              <w:spacing w:after="0"/>
              <w:rPr>
                <w:sz w:val="15"/>
                <w:szCs w:val="15"/>
                <w:color w:val="auto"/>
              </w:rPr>
            </w:pPr>
          </w:p>
        </w:tc>
        <w:tc>
          <w:tcPr>
            <w:tcW w:w="2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131E2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(13,134)</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131E29"/>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16,056</w:t>
            </w:r>
          </w:p>
        </w:tc>
        <w:tc>
          <w:tcPr>
            <w:tcW w:w="80" w:type="dxa"/>
            <w:vAlign w:val="bottom"/>
          </w:tcPr>
          <w:p>
            <w:pPr>
              <w:spacing w:after="0"/>
              <w:rPr>
                <w:sz w:val="15"/>
                <w:szCs w:val="15"/>
                <w:color w:val="auto"/>
              </w:rPr>
            </w:pPr>
          </w:p>
        </w:tc>
        <w:tc>
          <w:tcPr>
            <w:tcW w:w="30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131E2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14,806</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center"/>
              <w:ind w:right="169"/>
              <w:spacing w:after="0"/>
              <w:rPr>
                <w:sz w:val="20"/>
                <w:szCs w:val="20"/>
                <w:color w:val="auto"/>
              </w:rPr>
            </w:pPr>
            <w:r>
              <w:rPr>
                <w:rFonts w:ascii="Arial" w:cs="Arial" w:eastAsia="Arial" w:hAnsi="Arial"/>
                <w:sz w:val="14"/>
                <w:szCs w:val="14"/>
                <w:color w:val="131E29"/>
              </w:rPr>
              <w:t>(112.7)%</w:t>
            </w:r>
          </w:p>
        </w:tc>
        <w:tc>
          <w:tcPr>
            <w:tcW w:w="100" w:type="dxa"/>
            <w:vAlign w:val="bottom"/>
          </w:tcPr>
          <w:p>
            <w:pPr>
              <w:spacing w:after="0"/>
              <w:rPr>
                <w:sz w:val="15"/>
                <w:szCs w:val="15"/>
                <w:color w:val="auto"/>
              </w:rPr>
            </w:pPr>
          </w:p>
        </w:tc>
        <w:tc>
          <w:tcPr>
            <w:tcW w:w="300" w:type="dxa"/>
            <w:vAlign w:val="bottom"/>
            <w:tcBorders>
              <w:top w:val="single" w:sz="8" w:color="auto"/>
            </w:tcBorders>
          </w:tcPr>
          <w:p>
            <w:pPr>
              <w:jc w:val="right"/>
              <w:ind w:right="149"/>
              <w:spacing w:after="0"/>
              <w:rPr>
                <w:sz w:val="20"/>
                <w:szCs w:val="20"/>
                <w:color w:val="auto"/>
              </w:rPr>
            </w:pPr>
            <w:r>
              <w:rPr>
                <w:rFonts w:ascii="Arial" w:cs="Arial" w:eastAsia="Arial" w:hAnsi="Arial"/>
                <w:sz w:val="14"/>
                <w:szCs w:val="14"/>
                <w:color w:val="131E29"/>
                <w:w w:val="76"/>
              </w:rPr>
              <w:t>$</w:t>
            </w:r>
          </w:p>
        </w:tc>
        <w:tc>
          <w:tcPr>
            <w:tcW w:w="780" w:type="dxa"/>
            <w:vAlign w:val="bottom"/>
            <w:tcBorders>
              <w:top w:val="single" w:sz="8" w:color="auto"/>
            </w:tcBorders>
          </w:tcPr>
          <w:p>
            <w:pPr>
              <w:jc w:val="center"/>
              <w:ind w:left="129"/>
              <w:spacing w:after="0"/>
              <w:rPr>
                <w:sz w:val="20"/>
                <w:szCs w:val="20"/>
                <w:color w:val="auto"/>
              </w:rPr>
            </w:pPr>
            <w:r>
              <w:rPr>
                <w:rFonts w:ascii="Arial" w:cs="Arial" w:eastAsia="Arial" w:hAnsi="Arial"/>
                <w:sz w:val="14"/>
                <w:szCs w:val="14"/>
                <w:color w:val="131E29"/>
              </w:rPr>
              <w:t>(29,190)</w:t>
            </w:r>
          </w:p>
        </w:tc>
        <w:tc>
          <w:tcPr>
            <w:tcW w:w="80" w:type="dxa"/>
            <w:vAlign w:val="bottom"/>
          </w:tcPr>
          <w:p>
            <w:pPr>
              <w:spacing w:after="0"/>
              <w:rPr>
                <w:sz w:val="15"/>
                <w:szCs w:val="15"/>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131E29"/>
                <w:w w:val="98"/>
              </w:rPr>
              <w:t>(181.8)%</w:t>
            </w:r>
          </w:p>
        </w:tc>
      </w:tr>
      <w:tr>
        <w:trPr>
          <w:trHeight w:val="22"/>
        </w:trPr>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0"/>
        </w:trPr>
        <w:tc>
          <w:tcPr>
            <w:tcW w:w="32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Cash and cash equivalents at beginning of</w:t>
            </w:r>
          </w:p>
        </w:tc>
        <w:tc>
          <w:tcPr>
            <w:tcW w:w="240" w:type="dxa"/>
            <w:vAlign w:val="bottom"/>
            <w:shd w:val="clear" w:color="auto" w:fill="D2DCE5"/>
          </w:tcPr>
          <w:p>
            <w:pPr>
              <w:spacing w:after="0"/>
              <w:rPr>
                <w:sz w:val="16"/>
                <w:szCs w:val="16"/>
                <w:color w:val="auto"/>
              </w:rPr>
            </w:pPr>
          </w:p>
        </w:tc>
        <w:tc>
          <w:tcPr>
            <w:tcW w:w="8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240" w:type="dxa"/>
            <w:vAlign w:val="bottom"/>
            <w:shd w:val="clear" w:color="auto" w:fill="D2DCE5"/>
          </w:tcPr>
          <w:p>
            <w:pPr>
              <w:spacing w:after="0"/>
              <w:rPr>
                <w:sz w:val="16"/>
                <w:szCs w:val="16"/>
                <w:color w:val="auto"/>
              </w:rPr>
            </w:pPr>
          </w:p>
        </w:tc>
        <w:tc>
          <w:tcPr>
            <w:tcW w:w="84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240" w:type="dxa"/>
            <w:vAlign w:val="bottom"/>
            <w:shd w:val="clear" w:color="auto" w:fill="D2DCE5"/>
          </w:tcPr>
          <w:p>
            <w:pPr>
              <w:spacing w:after="0"/>
              <w:rPr>
                <w:sz w:val="16"/>
                <w:szCs w:val="16"/>
                <w:color w:val="auto"/>
              </w:rPr>
            </w:pPr>
          </w:p>
        </w:tc>
        <w:tc>
          <w:tcPr>
            <w:tcW w:w="8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7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260" w:type="dxa"/>
            <w:vAlign w:val="bottom"/>
            <w:shd w:val="clear" w:color="auto" w:fill="D2DCE5"/>
          </w:tcPr>
          <w:p>
            <w:pPr>
              <w:spacing w:after="0"/>
              <w:rPr>
                <w:sz w:val="16"/>
                <w:szCs w:val="16"/>
                <w:color w:val="auto"/>
              </w:rPr>
            </w:pPr>
          </w:p>
        </w:tc>
        <w:tc>
          <w:tcPr>
            <w:tcW w:w="82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7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080" w:type="dxa"/>
            <w:vAlign w:val="bottom"/>
            <w:shd w:val="clear" w:color="auto" w:fill="D2DCE5"/>
          </w:tcPr>
          <w:p>
            <w:pPr>
              <w:spacing w:after="0"/>
              <w:rPr>
                <w:sz w:val="16"/>
                <w:szCs w:val="16"/>
                <w:color w:val="auto"/>
              </w:rPr>
            </w:pPr>
          </w:p>
        </w:tc>
      </w:tr>
      <w:tr>
        <w:trPr>
          <w:trHeight w:val="192"/>
        </w:trPr>
        <w:tc>
          <w:tcPr>
            <w:tcW w:w="32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period</w:t>
            </w:r>
          </w:p>
        </w:tc>
        <w:tc>
          <w:tcPr>
            <w:tcW w:w="240" w:type="dxa"/>
            <w:vAlign w:val="bottom"/>
            <w:tcBorders>
              <w:bottom w:val="single" w:sz="8" w:color="D2DCE5"/>
            </w:tcBorders>
            <w:shd w:val="clear" w:color="auto" w:fill="D2DCE5"/>
          </w:tcPr>
          <w:p>
            <w:pPr>
              <w:spacing w:after="0"/>
              <w:rPr>
                <w:sz w:val="16"/>
                <w:szCs w:val="16"/>
                <w:color w:val="auto"/>
              </w:rPr>
            </w:pPr>
          </w:p>
        </w:tc>
        <w:tc>
          <w:tcPr>
            <w:tcW w:w="8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18,506</w:t>
            </w:r>
          </w:p>
        </w:tc>
        <w:tc>
          <w:tcPr>
            <w:tcW w:w="80" w:type="dxa"/>
            <w:vAlign w:val="bottom"/>
            <w:tcBorders>
              <w:bottom w:val="single" w:sz="8" w:color="D2DCE5"/>
            </w:tcBorders>
            <w:shd w:val="clear" w:color="auto" w:fill="D2DCE5"/>
          </w:tcPr>
          <w:p>
            <w:pPr>
              <w:spacing w:after="0"/>
              <w:rPr>
                <w:sz w:val="16"/>
                <w:szCs w:val="16"/>
                <w:color w:val="auto"/>
              </w:rPr>
            </w:pPr>
          </w:p>
        </w:tc>
        <w:tc>
          <w:tcPr>
            <w:tcW w:w="240" w:type="dxa"/>
            <w:vAlign w:val="bottom"/>
            <w:tcBorders>
              <w:bottom w:val="single" w:sz="8" w:color="D2DCE5"/>
            </w:tcBorders>
            <w:shd w:val="clear" w:color="auto" w:fill="D2DCE5"/>
          </w:tcPr>
          <w:p>
            <w:pPr>
              <w:spacing w:after="0"/>
              <w:rPr>
                <w:sz w:val="16"/>
                <w:szCs w:val="16"/>
                <w:color w:val="auto"/>
              </w:rPr>
            </w:pPr>
          </w:p>
        </w:tc>
        <w:tc>
          <w:tcPr>
            <w:tcW w:w="8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31,640</w:t>
            </w:r>
          </w:p>
        </w:tc>
        <w:tc>
          <w:tcPr>
            <w:tcW w:w="100" w:type="dxa"/>
            <w:vAlign w:val="bottom"/>
            <w:tcBorders>
              <w:bottom w:val="single" w:sz="8" w:color="D2DCE5"/>
            </w:tcBorders>
            <w:shd w:val="clear" w:color="auto" w:fill="D2DCE5"/>
          </w:tcPr>
          <w:p>
            <w:pPr>
              <w:spacing w:after="0"/>
              <w:rPr>
                <w:sz w:val="16"/>
                <w:szCs w:val="16"/>
                <w:color w:val="auto"/>
              </w:rPr>
            </w:pPr>
          </w:p>
        </w:tc>
        <w:tc>
          <w:tcPr>
            <w:tcW w:w="240" w:type="dxa"/>
            <w:vAlign w:val="bottom"/>
            <w:tcBorders>
              <w:bottom w:val="single" w:sz="8" w:color="D2DCE5"/>
            </w:tcBorders>
            <w:shd w:val="clear" w:color="auto" w:fill="D2DCE5"/>
          </w:tcPr>
          <w:p>
            <w:pPr>
              <w:spacing w:after="0"/>
              <w:rPr>
                <w:sz w:val="16"/>
                <w:szCs w:val="16"/>
                <w:color w:val="auto"/>
              </w:rPr>
            </w:pPr>
          </w:p>
        </w:tc>
        <w:tc>
          <w:tcPr>
            <w:tcW w:w="8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15,584</w:t>
            </w: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7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(13,134)</w:t>
            </w:r>
          </w:p>
        </w:tc>
        <w:tc>
          <w:tcPr>
            <w:tcW w:w="80" w:type="dxa"/>
            <w:vAlign w:val="bottom"/>
            <w:tcBorders>
              <w:bottom w:val="single" w:sz="8" w:color="D2DCE5"/>
            </w:tcBorders>
            <w:shd w:val="clear" w:color="auto" w:fill="D2DCE5"/>
          </w:tcPr>
          <w:p>
            <w:pPr>
              <w:spacing w:after="0"/>
              <w:rPr>
                <w:sz w:val="16"/>
                <w:szCs w:val="16"/>
                <w:color w:val="auto"/>
              </w:rPr>
            </w:pPr>
          </w:p>
        </w:tc>
        <w:tc>
          <w:tcPr>
            <w:tcW w:w="260" w:type="dxa"/>
            <w:vAlign w:val="bottom"/>
            <w:tcBorders>
              <w:bottom w:val="single" w:sz="8" w:color="D2DCE5"/>
            </w:tcBorders>
            <w:shd w:val="clear" w:color="auto" w:fill="D2DCE5"/>
          </w:tcPr>
          <w:p>
            <w:pPr>
              <w:spacing w:after="0"/>
              <w:rPr>
                <w:sz w:val="16"/>
                <w:szCs w:val="16"/>
                <w:color w:val="auto"/>
              </w:rPr>
            </w:pPr>
          </w:p>
        </w:tc>
        <w:tc>
          <w:tcPr>
            <w:tcW w:w="820" w:type="dxa"/>
            <w:vAlign w:val="bottom"/>
            <w:tcBorders>
              <w:bottom w:val="single" w:sz="8" w:color="D2DCE5"/>
            </w:tcBorders>
            <w:shd w:val="clear" w:color="auto" w:fill="D2DCE5"/>
          </w:tcPr>
          <w:p>
            <w:pPr>
              <w:jc w:val="center"/>
              <w:ind w:right="169"/>
              <w:spacing w:after="0"/>
              <w:rPr>
                <w:sz w:val="20"/>
                <w:szCs w:val="20"/>
                <w:color w:val="auto"/>
              </w:rPr>
            </w:pPr>
            <w:r>
              <w:rPr>
                <w:rFonts w:ascii="Arial" w:cs="Arial" w:eastAsia="Arial" w:hAnsi="Arial"/>
                <w:sz w:val="14"/>
                <w:szCs w:val="14"/>
                <w:color w:val="131E29"/>
              </w:rPr>
              <w:t>(41.5)</w:t>
            </w:r>
          </w:p>
        </w:tc>
        <w:tc>
          <w:tcPr>
            <w:tcW w:w="10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780" w:type="dxa"/>
            <w:vAlign w:val="bottom"/>
            <w:tcBorders>
              <w:bottom w:val="single" w:sz="8" w:color="D2DCE5"/>
            </w:tcBorders>
            <w:shd w:val="clear" w:color="auto" w:fill="D2DCE5"/>
          </w:tcPr>
          <w:p>
            <w:pPr>
              <w:jc w:val="center"/>
              <w:ind w:left="149"/>
              <w:spacing w:after="0"/>
              <w:rPr>
                <w:sz w:val="20"/>
                <w:szCs w:val="20"/>
                <w:color w:val="auto"/>
              </w:rPr>
            </w:pPr>
            <w:r>
              <w:rPr>
                <w:rFonts w:ascii="Arial" w:cs="Arial" w:eastAsia="Arial" w:hAnsi="Arial"/>
                <w:sz w:val="14"/>
                <w:szCs w:val="14"/>
                <w:color w:val="131E29"/>
              </w:rPr>
              <w:t>16,056</w:t>
            </w:r>
          </w:p>
        </w:tc>
        <w:tc>
          <w:tcPr>
            <w:tcW w:w="80" w:type="dxa"/>
            <w:vAlign w:val="bottom"/>
            <w:tcBorders>
              <w:bottom w:val="single" w:sz="8" w:color="D2DCE5"/>
            </w:tcBorders>
            <w:shd w:val="clear" w:color="auto" w:fill="D2DCE5"/>
          </w:tcPr>
          <w:p>
            <w:pPr>
              <w:spacing w:after="0"/>
              <w:rPr>
                <w:sz w:val="16"/>
                <w:szCs w:val="16"/>
                <w:color w:val="auto"/>
              </w:rPr>
            </w:pPr>
          </w:p>
        </w:tc>
        <w:tc>
          <w:tcPr>
            <w:tcW w:w="108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4"/>
                <w:szCs w:val="14"/>
                <w:color w:val="131E29"/>
              </w:rPr>
              <w:t>103.0</w:t>
            </w:r>
          </w:p>
        </w:tc>
      </w:tr>
      <w:tr>
        <w:trPr>
          <w:trHeight w:val="203"/>
        </w:trPr>
        <w:tc>
          <w:tcPr>
            <w:tcW w:w="3200" w:type="dxa"/>
            <w:vAlign w:val="bottom"/>
            <w:gridSpan w:val="2"/>
          </w:tcPr>
          <w:p>
            <w:pPr>
              <w:ind w:left="20"/>
              <w:spacing w:after="0"/>
              <w:rPr>
                <w:sz w:val="20"/>
                <w:szCs w:val="20"/>
                <w:color w:val="auto"/>
              </w:rPr>
            </w:pPr>
            <w:r>
              <w:rPr>
                <w:rFonts w:ascii="Arial" w:cs="Arial" w:eastAsia="Arial" w:hAnsi="Arial"/>
                <w:sz w:val="14"/>
                <w:szCs w:val="14"/>
                <w:color w:val="131E29"/>
              </w:rPr>
              <w:t>Cash and cash equivalents at end of period</w:t>
            </w: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131E2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rPr>
              <w:t>20,178</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131E2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rPr>
              <w:t>18,506</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131E29"/>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rPr>
              <w:t>31,640</w:t>
            </w: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131E2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rPr>
              <w:t>1,672</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center"/>
              <w:ind w:right="189"/>
              <w:spacing w:after="0"/>
              <w:rPr>
                <w:sz w:val="20"/>
                <w:szCs w:val="20"/>
                <w:color w:val="auto"/>
              </w:rPr>
            </w:pPr>
            <w:r>
              <w:rPr>
                <w:rFonts w:ascii="Arial" w:cs="Arial" w:eastAsia="Arial" w:hAnsi="Arial"/>
                <w:sz w:val="14"/>
                <w:szCs w:val="14"/>
                <w:color w:val="131E29"/>
              </w:rPr>
              <w:t>9.0%</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color w:val="131E29"/>
                <w:w w:val="76"/>
              </w:rPr>
              <w:t>$</w:t>
            </w:r>
          </w:p>
        </w:tc>
        <w:tc>
          <w:tcPr>
            <w:tcW w:w="780" w:type="dxa"/>
            <w:vAlign w:val="bottom"/>
            <w:tcBorders>
              <w:top w:val="single" w:sz="8" w:color="auto"/>
              <w:bottom w:val="single" w:sz="8" w:color="auto"/>
            </w:tcBorders>
          </w:tcPr>
          <w:p>
            <w:pPr>
              <w:jc w:val="center"/>
              <w:ind w:left="129"/>
              <w:spacing w:after="0"/>
              <w:rPr>
                <w:sz w:val="20"/>
                <w:szCs w:val="20"/>
                <w:color w:val="auto"/>
              </w:rPr>
            </w:pPr>
            <w:r>
              <w:rPr>
                <w:rFonts w:ascii="Arial" w:cs="Arial" w:eastAsia="Arial" w:hAnsi="Arial"/>
                <w:sz w:val="14"/>
                <w:szCs w:val="14"/>
                <w:color w:val="131E29"/>
              </w:rPr>
              <w:t>(13,134)</w:t>
            </w:r>
          </w:p>
        </w:tc>
        <w:tc>
          <w:tcPr>
            <w:tcW w:w="8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131E29"/>
                <w:w w:val="97"/>
              </w:rPr>
              <w:t>(41.5)%</w:t>
            </w:r>
          </w:p>
        </w:tc>
      </w:tr>
      <w:tr>
        <w:trPr>
          <w:trHeight w:val="20"/>
        </w:trPr>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Operating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131E29"/>
        </w:rPr>
        <w:t>The decrease in operating activities cash flows was primarily driven by:</w:t>
      </w:r>
    </w:p>
    <w:p>
      <w:pPr>
        <w:spacing w:after="0" w:line="142" w:lineRule="exact"/>
        <w:rPr>
          <w:sz w:val="20"/>
          <w:szCs w:val="20"/>
          <w:color w:val="auto"/>
        </w:rPr>
      </w:pPr>
    </w:p>
    <w:p>
      <w:pPr>
        <w:ind w:left="260" w:hanging="255"/>
        <w:spacing w:after="0"/>
        <w:tabs>
          <w:tab w:leader="none" w:pos="260" w:val="left"/>
        </w:tabs>
        <w:numPr>
          <w:ilvl w:val="0"/>
          <w:numId w:val="57"/>
        </w:numPr>
        <w:rPr>
          <w:rFonts w:ascii="Arial" w:cs="Arial" w:eastAsia="Arial" w:hAnsi="Arial"/>
          <w:sz w:val="17"/>
          <w:szCs w:val="17"/>
          <w:b w:val="1"/>
          <w:bCs w:val="1"/>
          <w:color w:val="D7282F"/>
        </w:rPr>
      </w:pPr>
      <w:r>
        <w:rPr>
          <w:rFonts w:ascii="Arial" w:cs="Arial" w:eastAsia="Arial" w:hAnsi="Arial"/>
          <w:sz w:val="14"/>
          <w:szCs w:val="14"/>
          <w:color w:val="131E29"/>
        </w:rPr>
        <w:t>Higher cost of sales and inventory due to increases in the number of shops and raw material costs</w:t>
      </w:r>
    </w:p>
    <w:p>
      <w:pPr>
        <w:spacing w:after="0" w:line="133" w:lineRule="exact"/>
        <w:rPr>
          <w:rFonts w:ascii="Arial" w:cs="Arial" w:eastAsia="Arial" w:hAnsi="Arial"/>
          <w:sz w:val="17"/>
          <w:szCs w:val="17"/>
          <w:b w:val="1"/>
          <w:bCs w:val="1"/>
          <w:color w:val="D7282F"/>
        </w:rPr>
      </w:pPr>
    </w:p>
    <w:p>
      <w:pPr>
        <w:ind w:left="260" w:hanging="255"/>
        <w:spacing w:after="0"/>
        <w:tabs>
          <w:tab w:leader="none" w:pos="260" w:val="left"/>
        </w:tabs>
        <w:numPr>
          <w:ilvl w:val="0"/>
          <w:numId w:val="57"/>
        </w:numPr>
        <w:rPr>
          <w:rFonts w:ascii="Arial" w:cs="Arial" w:eastAsia="Arial" w:hAnsi="Arial"/>
          <w:sz w:val="17"/>
          <w:szCs w:val="17"/>
          <w:b w:val="1"/>
          <w:bCs w:val="1"/>
          <w:color w:val="D7282F"/>
        </w:rPr>
      </w:pPr>
      <w:r>
        <w:rPr>
          <w:rFonts w:ascii="Arial" w:cs="Arial" w:eastAsia="Arial" w:hAnsi="Arial"/>
          <w:sz w:val="14"/>
          <w:szCs w:val="14"/>
          <w:color w:val="131E29"/>
        </w:rPr>
        <w:t>Higher lease costs as a result of a increase in the number of company-operated shops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Investing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131E29"/>
        </w:rPr>
        <w:t>The increase in investing activities cash outflows was primarily driven by:</w:t>
      </w:r>
    </w:p>
    <w:p>
      <w:pPr>
        <w:spacing w:after="0" w:line="142" w:lineRule="exact"/>
        <w:rPr>
          <w:sz w:val="20"/>
          <w:szCs w:val="20"/>
          <w:color w:val="auto"/>
        </w:rPr>
      </w:pPr>
    </w:p>
    <w:p>
      <w:pPr>
        <w:ind w:left="300" w:hanging="295"/>
        <w:spacing w:after="0"/>
        <w:tabs>
          <w:tab w:leader="none" w:pos="300" w:val="left"/>
        </w:tabs>
        <w:numPr>
          <w:ilvl w:val="0"/>
          <w:numId w:val="58"/>
        </w:numPr>
        <w:rPr>
          <w:rFonts w:ascii="Arial" w:cs="Arial" w:eastAsia="Arial" w:hAnsi="Arial"/>
          <w:sz w:val="17"/>
          <w:szCs w:val="17"/>
          <w:b w:val="1"/>
          <w:bCs w:val="1"/>
          <w:color w:val="006098"/>
        </w:rPr>
      </w:pPr>
      <w:r>
        <w:rPr>
          <w:rFonts w:ascii="Arial" w:cs="Arial" w:eastAsia="Arial" w:hAnsi="Arial"/>
          <w:sz w:val="14"/>
          <w:szCs w:val="14"/>
          <w:color w:val="auto"/>
        </w:rPr>
        <w:t>Investment in capital expenditures as a result of new company-operated shop openings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Financing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131E29"/>
        </w:rPr>
        <w:t>The increase in financing activities cash flows was primarily driven by:</w:t>
      </w:r>
    </w:p>
    <w:p>
      <w:pPr>
        <w:spacing w:after="0" w:line="142" w:lineRule="exact"/>
        <w:rPr>
          <w:sz w:val="20"/>
          <w:szCs w:val="20"/>
          <w:color w:val="auto"/>
        </w:rPr>
      </w:pPr>
    </w:p>
    <w:p>
      <w:pPr>
        <w:ind w:left="300" w:hanging="295"/>
        <w:spacing w:after="0"/>
        <w:tabs>
          <w:tab w:leader="none" w:pos="300" w:val="left"/>
        </w:tabs>
        <w:numPr>
          <w:ilvl w:val="0"/>
          <w:numId w:val="59"/>
        </w:numPr>
        <w:rPr>
          <w:rFonts w:ascii="Arial" w:cs="Arial" w:eastAsia="Arial" w:hAnsi="Arial"/>
          <w:sz w:val="17"/>
          <w:szCs w:val="17"/>
          <w:b w:val="1"/>
          <w:bCs w:val="1"/>
          <w:color w:val="006098"/>
        </w:rPr>
      </w:pPr>
      <w:r>
        <w:rPr>
          <w:rFonts w:ascii="Arial" w:cs="Arial" w:eastAsia="Arial" w:hAnsi="Arial"/>
          <w:sz w:val="14"/>
          <w:szCs w:val="14"/>
          <w:color w:val="auto"/>
        </w:rPr>
        <w:t>Higher net proceeds from our credit facilities</w:t>
      </w:r>
    </w:p>
    <w:p>
      <w:pPr>
        <w:spacing w:after="0" w:line="133" w:lineRule="exact"/>
        <w:rPr>
          <w:sz w:val="20"/>
          <w:szCs w:val="20"/>
          <w:color w:val="auto"/>
        </w:rPr>
      </w:pPr>
    </w:p>
    <w:p>
      <w:pPr>
        <w:ind w:left="260" w:hanging="255"/>
        <w:spacing w:after="0"/>
        <w:tabs>
          <w:tab w:leader="none" w:pos="260" w:val="left"/>
        </w:tabs>
        <w:numPr>
          <w:ilvl w:val="0"/>
          <w:numId w:val="60"/>
        </w:numPr>
        <w:rPr>
          <w:rFonts w:ascii="Arial" w:cs="Arial" w:eastAsia="Arial" w:hAnsi="Arial"/>
          <w:sz w:val="17"/>
          <w:szCs w:val="17"/>
          <w:b w:val="1"/>
          <w:bCs w:val="1"/>
          <w:color w:val="D7282F"/>
        </w:rPr>
      </w:pPr>
      <w:r>
        <w:rPr>
          <w:rFonts w:ascii="Arial" w:cs="Arial" w:eastAsia="Arial" w:hAnsi="Arial"/>
          <w:sz w:val="14"/>
          <w:szCs w:val="14"/>
          <w:color w:val="auto"/>
        </w:rPr>
        <w:t>Non-recurring net IPO related activities in the prior year</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Cash Requirements</w:t>
      </w:r>
    </w:p>
    <w:p>
      <w:pPr>
        <w:spacing w:after="0" w:line="15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We believe that cash provided by operating activities, cash and cash equivalents, and proceeds from our 2022 Credit Facility are adequate to fund our debt service requirements, lease obligations, and working capital obligations for at least the next 12 months.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Our future capital requirements may vary materially from period to period and will depend on many factors, primarily our expansion and growth by opening additional company-operated shops and/or reacquiring existing franchised shops. We currently expect to fund our material capital requirements in the long term with additional proceeds from our 2022 Credit Facility, but we may also seek additional debt or equity financing.</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80" w:name="page81"/>
    <w:bookmarkEnd w:id="80"/>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170" w:lineRule="exact"/>
        <w:rPr>
          <w:sz w:val="20"/>
          <w:szCs w:val="20"/>
          <w:color w:val="auto"/>
        </w:rPr>
      </w:pPr>
      <w:r>
        <w:rPr>
          <w:rFonts w:ascii="Arial" w:cs="Arial" w:eastAsia="Arial" w:hAnsi="Arial"/>
          <w:sz w:val="14"/>
          <w:szCs w:val="14"/>
          <w:color w:val="131E29"/>
        </w:rPr>
        <w:t>From time to time, we may explore additional financing sources which could include equity, equity</w:t>
      </w:r>
      <w:r>
        <w:rPr>
          <w:rFonts w:ascii="MS PGothic" w:cs="MS PGothic" w:eastAsia="MS PGothic" w:hAnsi="MS PGothic"/>
          <w:sz w:val="14"/>
          <w:szCs w:val="14"/>
          <w:color w:val="131E29"/>
        </w:rPr>
        <w:t>‑</w:t>
      </w:r>
      <w:r>
        <w:rPr>
          <w:rFonts w:ascii="Arial" w:cs="Arial" w:eastAsia="Arial" w:hAnsi="Arial"/>
          <w:sz w:val="14"/>
          <w:szCs w:val="14"/>
          <w:color w:val="131E29"/>
        </w:rPr>
        <w:t>linked, and debt financing arrangements. Further, the payments that we may be required to make under the TRAs may be significant, and we are currently unable to estimate the timing of the payments that may be due thereunder.</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Other than operating expenses, our cash requirements for 2023 are expected to consist primarily of capital expenditures for investments in our new and existing shops, our supply chain, and our corporate facilities, including new roasting facility that is estimated to be approximately $15 million to $20 million. The total capital expenditures for 2023 are estimated to be approximately $225 million to $250 million.</w:t>
      </w:r>
    </w:p>
    <w:p>
      <w:pPr>
        <w:spacing w:after="0" w:line="11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We expect to fund our current and long-term material cash requirements primarily with operating cash flows, and, as needed, proceeds from our 2022 Credit Facility. Our current and long-term material cash requirements as of December 31, 2022, primarily include the following:</w:t>
      </w:r>
    </w:p>
    <w:p>
      <w:pPr>
        <w:spacing w:after="0" w:line="92" w:lineRule="exact"/>
        <w:rPr>
          <w:sz w:val="20"/>
          <w:szCs w:val="20"/>
          <w:color w:val="auto"/>
        </w:rPr>
      </w:pPr>
    </w:p>
    <w:p>
      <w:pPr>
        <w:ind w:left="260" w:hanging="255"/>
        <w:spacing w:after="0" w:line="293" w:lineRule="auto"/>
        <w:tabs>
          <w:tab w:leader="none" w:pos="256" w:val="left"/>
        </w:tabs>
        <w:numPr>
          <w:ilvl w:val="0"/>
          <w:numId w:val="61"/>
        </w:numPr>
        <w:rPr>
          <w:rFonts w:ascii="Arial" w:cs="Arial" w:eastAsia="Arial" w:hAnsi="Arial"/>
          <w:sz w:val="14"/>
          <w:szCs w:val="14"/>
          <w:color w:val="131E29"/>
        </w:rPr>
      </w:pPr>
      <w:r>
        <w:rPr>
          <w:rFonts w:ascii="Arial" w:cs="Arial" w:eastAsia="Arial" w:hAnsi="Arial"/>
          <w:sz w:val="14"/>
          <w:szCs w:val="14"/>
          <w:b w:val="1"/>
          <w:bCs w:val="1"/>
          <w:color w:val="006098"/>
        </w:rPr>
        <w:t xml:space="preserve">Debt Obligations: </w:t>
      </w:r>
      <w:r>
        <w:rPr>
          <w:rFonts w:ascii="Arial" w:cs="Arial" w:eastAsia="Arial" w:hAnsi="Arial"/>
          <w:sz w:val="14"/>
          <w:szCs w:val="14"/>
          <w:color w:val="131E29"/>
        </w:rPr>
        <w:t>Refer to NOTE 9 — Debt, of the notes to the consolidated financial statements, included elsewhere in this Form 10-K, for further information of our</w:t>
      </w:r>
      <w:r>
        <w:rPr>
          <w:rFonts w:ascii="Arial" w:cs="Arial" w:eastAsia="Arial" w:hAnsi="Arial"/>
          <w:sz w:val="14"/>
          <w:szCs w:val="14"/>
          <w:b w:val="1"/>
          <w:bCs w:val="1"/>
          <w:color w:val="006098"/>
        </w:rPr>
        <w:t xml:space="preserve"> </w:t>
      </w:r>
      <w:r>
        <w:rPr>
          <w:rFonts w:ascii="Arial" w:cs="Arial" w:eastAsia="Arial" w:hAnsi="Arial"/>
          <w:sz w:val="14"/>
          <w:szCs w:val="14"/>
          <w:color w:val="131E29"/>
        </w:rPr>
        <w:t>obligations and the timing of expected payments. In addition, we have approximately $113 million revolving loans outstanding, which are expected to be paid within 1 year.</w:t>
      </w:r>
    </w:p>
    <w:p>
      <w:pPr>
        <w:spacing w:after="0" w:line="73" w:lineRule="exact"/>
        <w:rPr>
          <w:rFonts w:ascii="Arial" w:cs="Arial" w:eastAsia="Arial" w:hAnsi="Arial"/>
          <w:sz w:val="14"/>
          <w:szCs w:val="14"/>
          <w:color w:val="131E29"/>
        </w:rPr>
      </w:pPr>
    </w:p>
    <w:p>
      <w:pPr>
        <w:ind w:left="260" w:hanging="255"/>
        <w:spacing w:after="0" w:line="293" w:lineRule="auto"/>
        <w:tabs>
          <w:tab w:leader="none" w:pos="256" w:val="left"/>
        </w:tabs>
        <w:numPr>
          <w:ilvl w:val="0"/>
          <w:numId w:val="61"/>
        </w:numPr>
        <w:rPr>
          <w:rFonts w:ascii="Arial" w:cs="Arial" w:eastAsia="Arial" w:hAnsi="Arial"/>
          <w:sz w:val="14"/>
          <w:szCs w:val="14"/>
          <w:color w:val="131E29"/>
        </w:rPr>
      </w:pPr>
      <w:r>
        <w:rPr>
          <w:rFonts w:ascii="Arial" w:cs="Arial" w:eastAsia="Arial" w:hAnsi="Arial"/>
          <w:sz w:val="14"/>
          <w:szCs w:val="14"/>
          <w:b w:val="1"/>
          <w:bCs w:val="1"/>
          <w:color w:val="006098"/>
        </w:rPr>
        <w:t xml:space="preserve">Operating and Finance Leases: </w:t>
      </w:r>
      <w:r>
        <w:rPr>
          <w:rFonts w:ascii="Arial" w:cs="Arial" w:eastAsia="Arial" w:hAnsi="Arial"/>
          <w:sz w:val="14"/>
          <w:szCs w:val="14"/>
          <w:color w:val="131E29"/>
        </w:rPr>
        <w:t>Refer to NOTE 8 — Leases, of the notes to the consolidated financial statements, included elsewhere in this Form 10-K, for further</w:t>
      </w:r>
      <w:r>
        <w:rPr>
          <w:rFonts w:ascii="Arial" w:cs="Arial" w:eastAsia="Arial" w:hAnsi="Arial"/>
          <w:sz w:val="14"/>
          <w:szCs w:val="14"/>
          <w:b w:val="1"/>
          <w:bCs w:val="1"/>
          <w:color w:val="006098"/>
        </w:rPr>
        <w:t xml:space="preserve"> </w:t>
      </w:r>
      <w:r>
        <w:rPr>
          <w:rFonts w:ascii="Arial" w:cs="Arial" w:eastAsia="Arial" w:hAnsi="Arial"/>
          <w:sz w:val="14"/>
          <w:szCs w:val="14"/>
          <w:color w:val="131E29"/>
        </w:rPr>
        <w:t>information of our obligations and the timing of expected payments.</w:t>
      </w:r>
    </w:p>
    <w:p>
      <w:pPr>
        <w:spacing w:after="0" w:line="73" w:lineRule="exact"/>
        <w:rPr>
          <w:rFonts w:ascii="Arial" w:cs="Arial" w:eastAsia="Arial" w:hAnsi="Arial"/>
          <w:sz w:val="14"/>
          <w:szCs w:val="14"/>
          <w:color w:val="131E29"/>
        </w:rPr>
      </w:pPr>
    </w:p>
    <w:p>
      <w:pPr>
        <w:jc w:val="both"/>
        <w:ind w:left="260" w:hanging="255"/>
        <w:spacing w:after="0" w:line="273" w:lineRule="auto"/>
        <w:tabs>
          <w:tab w:leader="none" w:pos="256" w:val="left"/>
        </w:tabs>
        <w:numPr>
          <w:ilvl w:val="0"/>
          <w:numId w:val="61"/>
        </w:numPr>
        <w:rPr>
          <w:rFonts w:ascii="Arial" w:cs="Arial" w:eastAsia="Arial" w:hAnsi="Arial"/>
          <w:sz w:val="14"/>
          <w:szCs w:val="14"/>
          <w:color w:val="131E29"/>
        </w:rPr>
      </w:pPr>
      <w:r>
        <w:rPr>
          <w:rFonts w:ascii="Arial" w:cs="Arial" w:eastAsia="Arial" w:hAnsi="Arial"/>
          <w:sz w:val="14"/>
          <w:szCs w:val="14"/>
          <w:b w:val="1"/>
          <w:bCs w:val="1"/>
          <w:color w:val="006098"/>
        </w:rPr>
        <w:t xml:space="preserve">Purchase Obligations: </w:t>
      </w:r>
      <w:r>
        <w:rPr>
          <w:rFonts w:ascii="Arial" w:cs="Arial" w:eastAsia="Arial" w:hAnsi="Arial"/>
          <w:sz w:val="14"/>
          <w:szCs w:val="14"/>
          <w:color w:val="131E29"/>
        </w:rPr>
        <w:t>include all legally binding contracts, including firm minimum commitments for inventory purchases, commitments for the purchase, construction or</w:t>
      </w:r>
      <w:r>
        <w:rPr>
          <w:rFonts w:ascii="Arial" w:cs="Arial" w:eastAsia="Arial" w:hAnsi="Arial"/>
          <w:sz w:val="14"/>
          <w:szCs w:val="14"/>
          <w:b w:val="1"/>
          <w:bCs w:val="1"/>
          <w:color w:val="006098"/>
        </w:rPr>
        <w:t xml:space="preserve"> </w:t>
      </w:r>
      <w:r>
        <w:rPr>
          <w:rFonts w:ascii="Arial" w:cs="Arial" w:eastAsia="Arial" w:hAnsi="Arial"/>
          <w:sz w:val="14"/>
          <w:szCs w:val="14"/>
          <w:color w:val="131E29"/>
        </w:rPr>
        <w:t>remodeling of real estate facilities, equipment purchases, marketing-related contracts, software acquisition/license commitments and service contracts. As of December 31, 2022, purchase obligations were approximately $160 million, of which substantially all are expected to be paid within one year.</w:t>
      </w:r>
    </w:p>
    <w:p>
      <w:pPr>
        <w:spacing w:after="0" w:line="87" w:lineRule="exact"/>
        <w:rPr>
          <w:rFonts w:ascii="Arial" w:cs="Arial" w:eastAsia="Arial" w:hAnsi="Arial"/>
          <w:sz w:val="14"/>
          <w:szCs w:val="14"/>
          <w:color w:val="131E29"/>
        </w:rPr>
      </w:pPr>
    </w:p>
    <w:p>
      <w:pPr>
        <w:ind w:left="260" w:hanging="255"/>
        <w:spacing w:after="0" w:line="293" w:lineRule="auto"/>
        <w:tabs>
          <w:tab w:leader="none" w:pos="256" w:val="left"/>
        </w:tabs>
        <w:numPr>
          <w:ilvl w:val="0"/>
          <w:numId w:val="61"/>
        </w:numPr>
        <w:rPr>
          <w:rFonts w:ascii="Arial" w:cs="Arial" w:eastAsia="Arial" w:hAnsi="Arial"/>
          <w:sz w:val="14"/>
          <w:szCs w:val="14"/>
          <w:color w:val="131E29"/>
        </w:rPr>
      </w:pPr>
      <w:r>
        <w:rPr>
          <w:rFonts w:ascii="Arial" w:cs="Arial" w:eastAsia="Arial" w:hAnsi="Arial"/>
          <w:sz w:val="14"/>
          <w:szCs w:val="14"/>
          <w:b w:val="1"/>
          <w:bCs w:val="1"/>
          <w:color w:val="006098"/>
        </w:rPr>
        <w:t xml:space="preserve">TRAs Obligations: </w:t>
      </w:r>
      <w:r>
        <w:rPr>
          <w:rFonts w:ascii="Arial" w:cs="Arial" w:eastAsia="Arial" w:hAnsi="Arial"/>
          <w:sz w:val="14"/>
          <w:szCs w:val="14"/>
          <w:color w:val="131E29"/>
        </w:rPr>
        <w:t>Refer to NOTE 12 — Tax Receivable Agreements and NOTE 18 — Commitments and Contingencies, of the notes to the consolidated financial statements,</w:t>
      </w:r>
      <w:r>
        <w:rPr>
          <w:rFonts w:ascii="Arial" w:cs="Arial" w:eastAsia="Arial" w:hAnsi="Arial"/>
          <w:sz w:val="14"/>
          <w:szCs w:val="14"/>
          <w:b w:val="1"/>
          <w:bCs w:val="1"/>
          <w:color w:val="006098"/>
        </w:rPr>
        <w:t xml:space="preserve"> </w:t>
      </w:r>
      <w:r>
        <w:rPr>
          <w:rFonts w:ascii="Arial" w:cs="Arial" w:eastAsia="Arial" w:hAnsi="Arial"/>
          <w:sz w:val="14"/>
          <w:szCs w:val="14"/>
          <w:color w:val="131E29"/>
        </w:rPr>
        <w:t>included elsewhere in this Form 10-K, for further information of our obligations and the timing of expected payments.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Credit Facility</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JP Morgan Credit Facility</w:t>
      </w:r>
    </w:p>
    <w:p>
      <w:pPr>
        <w:spacing w:after="0" w:line="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On February 28, 2022 (the Effective Date) we amended our Senior Secured Credit Facility with JPMorgan Chase, N.A. The 2022 Credit Facility has a total capacity of $500 million, consisting of a $250 million revolving credit facility, a term loan facility of up to $ 100 million, and a delayed draw term loan facility of up to $150 million. The revolving credit facility includes sub-limits for issuance of letters of credit and swing line loans of up to $50 million and $15 million, respectively. It also contains an option allowing Dutch Bros PubCo to increase the size of the 2022 Credit Facility by up to an additional $150 million, with the agreement of the committing lenders. The 2022 Credit Facility expires five years after the Effective Date.</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Upon entering into the 2022 Credit Facility, we drew a $100 million term loan and approximately $28 million in revolving loans, and the existing credit facility was repaid and terminated.</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Interest on borrowings under the 2022 Credit Facility is based on (a) the Alternate Base Rate plus an applicable margin, or (b) the Adjusted Term SOFR Rate plus an applicable margin, and is payable in accordance with the selected interest rate period (at least quarterly) and upon maturity. Principal payments for the term loans are required on a quarterly basis in accordance with an amortization schedule and upon certain disposition of assets.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81" w:name="page82"/>
    <w:bookmarkEnd w:id="81"/>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Obligations under the 2022 Credit Facility are guaranteed by Dutch Bros OpCo and its subsidiaries, and secured by a first priority perfected security interest in substantially all of the assets of the guarantors.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Interest Rate Swap Contract</w:t>
      </w:r>
    </w:p>
    <w:p>
      <w:pPr>
        <w:spacing w:after="0" w:line="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On April 1, 2022, Dutch Bros PubCo entered into an interest rate swap transaction with JPMorgan Chase Bank, N.A. with respect to $70 million of the term loan under the 2022 Credit Facility. The purpose of the floating-to-fixed interest rate swap was to fix the interest base rate charged on the term loan at 2.67% for the $70 million notional amount. The interest rate swap matures on February 28, 2027.</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Critical Accounting Estimates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The methods, assumptions, and estimates that we use in applying our accounting policies may require us to apply judgments regarding matters that are inherently uncertain. We consider an accounting policy to be a critical estimate if: (1) we must make assumptions that were uncertain when the judgment was made, and (2) changes in the estimate assumptions, or selection of a different estimate methodology, could have a significant impact on our financial position and the results that we report in our consolidated financial statements. While we believe that our estimates, assumptions, and judgments are reasonable, they are based on information available when the estimate was made.</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Refer to NOTE 2 — Basis of Presentation and Summary of Significant Accounting Policies within the consolidated financial statements, included elsewhere in this Form 10-K, for further information on our critical accounting estimates and policies, which are as follows: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Dutch Rewards Loyalty Program</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In February 2021, Dutch Rewards was established. Eligible customers who register for the Dutch Rewards loyalty program collect points for every dollar spent. After accumulating a certain number of points, the customer can convert the points into a reward that can be redeemed for a free drink. Points collected, if not redeemed for rewards expire within 180 days, and rewards that are not used expire six months after issuance.</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The estimation of the standalone selling price of points and rewards issued to customers involves several assumptions, primarily the valuation of points, estimated value of product for which a reward is expected to be redeemed, and estimated probability of future expirations of points and rewards. Our estimate of points and other rewards that we expect to be redeemed is based on current and historical company-specific data including redemption rates. These inputs are subject to change over time due to factors such as menu price increases, changes in points redemption options, and changes in customer behavior. Changes in our estimates and inputs could result in material changes to our Dutch Rewards program liability and loyalty program revenue.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Based on the terms and conditions of the Dutch Rewards program, we experienced the first actual instance of points expirations starting in the second half of 2022. Our historical data was considered insufficient to make reasonable estimates of the probability of future expirations of points and rewards through the end of the third quarter. We began estimating breakage in the fourth quarter. See NOTE 3 — Revenue Recognition for further details.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Leases</w:t>
      </w:r>
    </w:p>
    <w:p>
      <w:pPr>
        <w:spacing w:after="0" w:line="15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At the commencement of each lease, we evaluate the lease agreement to determine whether it is an operating or finance lease. The evaluation requires significant judgments in determining the fair value of the lease right-of-use asset and the lease liability and appropriate lease terms.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Our lease agreements generally do not provide an implicit interest rate; as such, the discount rate used to measure the initial lease liability is equal to the rate the Company would pay on a collateralized basis to borrow an amount equal to the lease payments under similar terms. The discount rate is subject to fluctuation based on market interest rates and our credit risk profile.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82" w:name="page83"/>
    <w:bookmarkEnd w:id="82"/>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We also estimate the lease term at commencement. The lease term commences on the date when we take possession of the leased property, irrespective of the contractual lease payments schedule. To determine the length of the lease term at inception, we consider both termination and renewal option periods available. Reasonably certain renewal periods are included in the lease term at commencement, and are generally based on historical leasing activity.</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131E29"/>
        </w:rPr>
        <w:t>Variations in judgment applied to these estimates could result in material differences such as the following:</w:t>
      </w:r>
    </w:p>
    <w:p>
      <w:pPr>
        <w:spacing w:after="0" w:line="136" w:lineRule="exact"/>
        <w:rPr>
          <w:sz w:val="20"/>
          <w:szCs w:val="20"/>
          <w:color w:val="auto"/>
        </w:rPr>
      </w:pPr>
    </w:p>
    <w:p>
      <w:pPr>
        <w:ind w:left="100" w:hanging="95"/>
        <w:spacing w:after="0"/>
        <w:tabs>
          <w:tab w:leader="none" w:pos="100" w:val="left"/>
        </w:tabs>
        <w:numPr>
          <w:ilvl w:val="0"/>
          <w:numId w:val="62"/>
        </w:numPr>
        <w:rPr>
          <w:rFonts w:ascii="Arial" w:cs="Arial" w:eastAsia="Arial" w:hAnsi="Arial"/>
          <w:sz w:val="14"/>
          <w:szCs w:val="14"/>
          <w:color w:val="131E29"/>
        </w:rPr>
      </w:pPr>
      <w:r>
        <w:rPr>
          <w:rFonts w:ascii="Arial" w:cs="Arial" w:eastAsia="Arial" w:hAnsi="Arial"/>
          <w:sz w:val="14"/>
          <w:szCs w:val="14"/>
          <w:color w:val="131E29"/>
        </w:rPr>
        <w:t>Lease expenses, including rent, depreciation and amortization</w:t>
      </w:r>
    </w:p>
    <w:p>
      <w:pPr>
        <w:spacing w:after="0" w:line="136" w:lineRule="exact"/>
        <w:rPr>
          <w:rFonts w:ascii="Arial" w:cs="Arial" w:eastAsia="Arial" w:hAnsi="Arial"/>
          <w:sz w:val="14"/>
          <w:szCs w:val="14"/>
          <w:color w:val="131E29"/>
        </w:rPr>
      </w:pPr>
    </w:p>
    <w:p>
      <w:pPr>
        <w:ind w:left="100" w:hanging="95"/>
        <w:spacing w:after="0"/>
        <w:tabs>
          <w:tab w:leader="none" w:pos="100" w:val="left"/>
        </w:tabs>
        <w:numPr>
          <w:ilvl w:val="0"/>
          <w:numId w:val="62"/>
        </w:numPr>
        <w:rPr>
          <w:rFonts w:ascii="Arial" w:cs="Arial" w:eastAsia="Arial" w:hAnsi="Arial"/>
          <w:sz w:val="14"/>
          <w:szCs w:val="14"/>
          <w:color w:val="131E29"/>
        </w:rPr>
      </w:pPr>
      <w:r>
        <w:rPr>
          <w:rFonts w:ascii="Arial" w:cs="Arial" w:eastAsia="Arial" w:hAnsi="Arial"/>
          <w:sz w:val="14"/>
          <w:szCs w:val="14"/>
          <w:color w:val="131E29"/>
        </w:rPr>
        <w:t>Fair value of lease right-of-use asset and lease liability</w:t>
      </w:r>
    </w:p>
    <w:p>
      <w:pPr>
        <w:spacing w:after="0" w:line="136" w:lineRule="exact"/>
        <w:rPr>
          <w:rFonts w:ascii="Arial" w:cs="Arial" w:eastAsia="Arial" w:hAnsi="Arial"/>
          <w:sz w:val="14"/>
          <w:szCs w:val="14"/>
          <w:color w:val="131E29"/>
        </w:rPr>
      </w:pPr>
    </w:p>
    <w:p>
      <w:pPr>
        <w:ind w:left="100" w:hanging="95"/>
        <w:spacing w:after="0"/>
        <w:tabs>
          <w:tab w:leader="none" w:pos="100" w:val="left"/>
        </w:tabs>
        <w:numPr>
          <w:ilvl w:val="0"/>
          <w:numId w:val="62"/>
        </w:numPr>
        <w:rPr>
          <w:rFonts w:ascii="Arial" w:cs="Arial" w:eastAsia="Arial" w:hAnsi="Arial"/>
          <w:sz w:val="14"/>
          <w:szCs w:val="14"/>
          <w:color w:val="131E29"/>
        </w:rPr>
      </w:pPr>
      <w:r>
        <w:rPr>
          <w:rFonts w:ascii="Arial" w:cs="Arial" w:eastAsia="Arial" w:hAnsi="Arial"/>
          <w:sz w:val="14"/>
          <w:szCs w:val="14"/>
          <w:color w:val="131E29"/>
        </w:rPr>
        <w:t>Reasonably certain lease term</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131E29"/>
        </w:rPr>
        <w:t>See NOTE 8 — Leases for further details.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Income Taxes</w:t>
      </w:r>
    </w:p>
    <w:p>
      <w:pPr>
        <w:spacing w:after="0" w:line="15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In determining the provision for income taxes, we make estimates and judgments which affect our evaluation of the carrying value of our deferred tax assets as well as our calculation of certain tax liabilities. We evaluate the carrying value of our deferred tax assets on a quarterly basis. In completing this evaluation, we consider all available positive and negative evidence. Such evidence includes historical operating results, the existence of cumulative earnings and losses in the most recent fiscal years, taxable income in prior carryback year(s) if permitted under the tax law, expectations for future pre-tax operating income, the time period over which our temporary differences will reverse, and the implementation of feasible and prudent tax planning strategies. Estimating future taxable income is inherently uncertain and requires judgment.</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Our expense/(benefit) for income taxes, deferred tax assets and liabilities including valuation allowance requires the use of estimates based on our management’s interpretation and application of complex tax laws and accounting guidance.</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Deferred taxes are recorded using the asset and liability method, whereby tax assets and liabilities are determined based on the differences between the financial statement and tax basis of assets and liabilities using enacted tax rates in effect for the year in which the differences are expected to reverse. We regularly evaluate the valuation allowances established for deferred tax assets for which future realization is uncertain. In assessing the realizability of deferred tax assets, we consider both positive and negative evidence, including scheduled reversals of deferred tax assets and liabilities, projected future taxable income, tax planning strategies and results of recent operations. If, based on the weight of available evidence, it is more likely than not that the deferred tax assets will not be realized, a valuation allowance is recorded. See NOTE 13 — Income Taxes for further details.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Tax Receivable Agreements</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In connection with our IPO, we entered into two TRAs with certain non-controlling interest owners (the Continuing Members). The TRAs generally provide for us to pay the Continuing Members 85% of the net cash savings, if any, in U.S. federal, state and local income tax or franchise tax that we actually realize or are deemed to realize in certain circumstances. We will retain the benefit of the remaining 15% of these net cash savings. As of December 31, 2022, we recognized $220.9 million of liabilities relating to our obligations under the TRAs.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83" w:name="page84"/>
    <w:bookmarkEnd w:id="83"/>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Changes in the projected TRAs liability resulting from these tax benefit arrangements may occur based on changes in anticipated future taxable income, changes in applicable tax rates or other changes in tax attributes that may occur and impact the expected future tax benefits to be received by the Company. Estimating future taxable income is a key input in calculating the TRAs liability, and is inherently uncertain and requires judgment. In projecting future taxable income, we consider our historical results and incorporate certain assumptions. See NOTE 12 — Tax Receivable Agreements for further details.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Non-GAAP Financial Measures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In addition to disclosing financial results in accordance with GAAP, this document contains references to the non-GAAP financial measures below. We believe these non-GAAP financial measures provide investors with useful supplemental information about our operating performance, enable comparison of financial trends and results between periods where certain items may vary independent of business performance, and allow for greater transparency with respect to key metrics used by management in operating our business and measuring our performance.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Our non-GAAP financial measures reflect adjustments based on one or more of the following items. These non-GAAP financial measures should not be considered a substitute for, or superior to, financial measures calculated in accordance with GAAP, and the financial results calculated in accordance with GAAP and reconciliations from these results should be carefully evaluated.</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Company-operated shop contribution (in dollars and as a percentage of revenue)</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Definition and/or calculation</w:t>
      </w:r>
    </w:p>
    <w:p>
      <w:pPr>
        <w:spacing w:after="0" w:line="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Company-operated segment gross profit, before company-operated shop depreciation and amortization. Company-operated shop contribution in dollars (as defined), taken as a percentage of company-operated shop revenue.</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Usefulness to management and investors</w:t>
      </w:r>
    </w:p>
    <w:p>
      <w:pPr>
        <w:spacing w:after="0" w:line="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This non-GAAP measure is used by our management in making performance decisions without the impact of non-cash depreciation and amortization charges. This is a standard metric used across our industry by investors.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EBITDA, Adjusted EBITDA (in dollars and as a percentage of revenue)</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EBITDA — definition and/or calculation</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131E29"/>
        </w:rPr>
        <w:t>Net income (loss) before interest expense (net of interest income), income taxes expense (benefit), and depreciation and amortization expense.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Adjusted EBITDA — definition and/or calculation</w:t>
      </w:r>
    </w:p>
    <w:p>
      <w:pPr>
        <w:spacing w:after="0" w:line="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Defined as EBITDA (as defined above), excluding equity-based compensation, expenses and donations associated with equity offerings, COVID-19: “Thank You” pay and catastrophic leave expenses, COVID-19: prepaid costs not utilized, costs incurred for company-wide milestone events, executives transitions costs, and (gain) loss on the remeasurement of the liability related to the TRAs. Adjusted EBITDA in dollars (as defined), taken as a percentage of total revenue.</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Usefulness to management and investors</w:t>
      </w:r>
    </w:p>
    <w:p>
      <w:pPr>
        <w:spacing w:after="0" w:line="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These non-GAAP measures are supplemental operating performance measures we believe facilitate comparisons to historical performance and competitors’ operating results. We believe the non-GAAP measures presented provide investors with a supplemental view of our operating performance that facilitates analysis and comparisons of our ongoing business operations because they exclude items that may not be indicative of our ongoing operating performance.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84" w:name="page85"/>
    <w:bookmarkEnd w:id="84"/>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Adjusted selling, general, and administrative (in dollars and as a percentage of revenue)</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Definition and/or calculation</w:t>
      </w:r>
    </w:p>
    <w:p>
      <w:pPr>
        <w:spacing w:after="0" w:line="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Selling, general, and administrative expenses, excluding equity-based compensation expense, expenses and donations associated with equity offering, COVID-19: prepaid costs not utilized, costs incurred for company-wide milestone events, and executive transitions costs.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Usefulness to management and investors</w:t>
      </w:r>
    </w:p>
    <w:p>
      <w:pPr>
        <w:spacing w:after="0" w:line="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This non-GAAP measure is used as a supplemental measure of operating performance that we believe is useful to evaluate our performance period over period and relative to our competitors. We believe the non-GAAP measures presented provide investors with a supplemental view of our operating performance that facilitates analysis and comparisons of our ongoing business operations because they exclude items that may not be indicative of our ongoing operating performance.</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Non-GAAP adjustments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131E29"/>
        </w:rPr>
        <w:t>Below are the definitions of the non-GAAP adjustments that are used in the calculation of our non-GAAP measures, as described above.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Equity-based compensation</w:t>
      </w:r>
    </w:p>
    <w:p>
      <w:pPr>
        <w:spacing w:after="0" w:line="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Non-cash expenses related to the grant and vesting of stock awards, restricted stock awards and restricted stock units in Dutch Bros PubCo and/or Profit Interest Units in Dutch Bros OpCo to certain eligible employees. These awards are accounted for in accordance with guidance prescribed for in accounting for share-based compensation.</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Expenses associated with equity offerings</w:t>
      </w:r>
    </w:p>
    <w:p>
      <w:pPr>
        <w:spacing w:after="0" w:line="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Costs incurred as a result of our equity offerings. These costs include legal fees, consulting fees, tax and accounting fees, and payroll taxes related to the grant and vesting of equity awards for certain employees.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Donations associated with equity offerings</w:t>
      </w:r>
    </w:p>
    <w:p>
      <w:pPr>
        <w:spacing w:after="0" w:line="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In connection with our IPO, we made a donation to the Dutch Bros Foundation. This donation is separate from other donations to the Dutch Bros Foundation that we may periodically make.</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COVID-19: “Thank You” pay and catastrophic leave</w:t>
      </w:r>
    </w:p>
    <w:p>
      <w:pPr>
        <w:spacing w:after="0" w:line="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Costs related to two separate programs established to support employees during the COVID-19 pandemic. We implemented an hourly wage supplement program for shop employees who continued to work while their state or county was under a stay at home order or similar lockdown requirement. This program lasted in various markets until April 2021. We also established a catastrophic leave policy that provided paid leave to employees who were required to quarantine due to in-shop exposures and could not work their regular hours. All COVID-19-related protocols, including catastrophic leave, will remain in effect until the end of the COVID-19 pandemic as determined by the appropriate government agency.</w:t>
      </w: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COVID-19: Prepaid costs not utilized</w:t>
      </w:r>
    </w:p>
    <w:p>
      <w:pPr>
        <w:spacing w:after="0" w:line="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Costs related to the write-off of previously prepaid expenses for the cancellation of our 2023 annual kick-off meeting as a result of COVID-19 concerns and the development of a virtual corporate engagement platform built in response to the health restrictions of the COVID-19 pandemic. The platform was developed as a substitute for in person engagement practices used pre-pandemic. The platform has been determined ineffective, particularly as we shift back to in-person events with the easing of restrictions related to the COVID-19 pandemic.</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Milestone events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131E29"/>
        </w:rPr>
        <w:t>Costs incurred for company-wide events to celebrate 30 years of serving high QUALITY, hand-crafted beverages with unparalleled SPEED and superior SERVICE to our customers.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85" w:name="page86"/>
    <w:bookmarkEnd w:id="85"/>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Executives transition costs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131E29"/>
        </w:rPr>
        <w:t>Employee severance and related benefit costs, as well as sign-on bonus(es) for several executive-level transitions occurring in 2022 and 2023.</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TRAs remeasurements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131E29"/>
        </w:rPr>
        <w:t>(Gain) loss impacts on consolidated statements of operations related to adjustments of our TRAs liabilities.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131E29"/>
        </w:rPr>
        <w:t>Following are the reconciliations of the most comparable GAAP metric to non-GAAP metrics presented: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5"/>
          </w:tcPr>
          <w:p>
            <w:pPr>
              <w:ind w:left="20"/>
              <w:spacing w:after="0"/>
              <w:rPr>
                <w:sz w:val="20"/>
                <w:szCs w:val="20"/>
                <w:color w:val="auto"/>
              </w:rPr>
            </w:pPr>
            <w:r>
              <w:rPr>
                <w:rFonts w:ascii="Arial" w:cs="Arial" w:eastAsia="Arial" w:hAnsi="Arial"/>
                <w:sz w:val="14"/>
                <w:szCs w:val="14"/>
                <w:b w:val="1"/>
                <w:bCs w:val="1"/>
                <w:color w:val="131E29"/>
              </w:rPr>
              <w:t>Year Ended December 31,</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3"/>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3"/>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131E29"/>
              </w:rPr>
              <w:t>2022</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131E29"/>
              </w:rPr>
              <w:t>2021 ¹</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131E29"/>
              </w:rPr>
              <w:t>2020 ¹</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780" w:type="dxa"/>
            <w:vAlign w:val="bottom"/>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80" w:type="dxa"/>
            <w:vAlign w:val="bottom"/>
            <w:tcBorders>
              <w:bottom w:val="single" w:sz="8" w:color="D2DCE5"/>
            </w:tcBorders>
          </w:tcPr>
          <w:p>
            <w:pPr>
              <w:spacing w:after="0"/>
              <w:rPr>
                <w:sz w:val="16"/>
                <w:szCs w:val="16"/>
                <w:color w:val="auto"/>
              </w:rPr>
            </w:pPr>
          </w:p>
        </w:tc>
        <w:tc>
          <w:tcPr>
            <w:tcW w:w="104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6"/>
                <w:szCs w:val="16"/>
                <w:color w:val="auto"/>
              </w:rPr>
            </w:pPr>
          </w:p>
        </w:tc>
        <w:tc>
          <w:tcPr>
            <w:tcW w:w="6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131E29"/>
              </w:rPr>
              <w:t>%</w:t>
            </w:r>
          </w:p>
        </w:tc>
        <w:tc>
          <w:tcPr>
            <w:tcW w:w="100" w:type="dxa"/>
            <w:vAlign w:val="bottom"/>
            <w:tcBorders>
              <w:bottom w:val="single" w:sz="8" w:color="D2DCE5"/>
            </w:tcBorders>
          </w:tcPr>
          <w:p>
            <w:pPr>
              <w:spacing w:after="0"/>
              <w:rPr>
                <w:sz w:val="16"/>
                <w:szCs w:val="16"/>
                <w:color w:val="auto"/>
              </w:rPr>
            </w:pPr>
          </w:p>
        </w:tc>
        <w:tc>
          <w:tcPr>
            <w:tcW w:w="102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6"/>
                <w:szCs w:val="16"/>
                <w:color w:val="auto"/>
              </w:rPr>
            </w:pPr>
          </w:p>
        </w:tc>
        <w:tc>
          <w:tcPr>
            <w:tcW w:w="9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131E29"/>
              </w:rPr>
              <w:t>%</w:t>
            </w:r>
          </w:p>
        </w:tc>
        <w:tc>
          <w:tcPr>
            <w:tcW w:w="0" w:type="dxa"/>
            <w:vAlign w:val="bottom"/>
          </w:tcPr>
          <w:p>
            <w:pPr>
              <w:spacing w:after="0"/>
              <w:rPr>
                <w:sz w:val="1"/>
                <w:szCs w:val="1"/>
                <w:color w:val="auto"/>
              </w:rPr>
            </w:pPr>
          </w:p>
        </w:tc>
      </w:tr>
      <w:tr>
        <w:trPr>
          <w:trHeight w:val="246"/>
        </w:trPr>
        <w:tc>
          <w:tcPr>
            <w:tcW w:w="578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 xml:space="preserve">Company-operated shop gross profit </w:t>
            </w:r>
            <w:r>
              <w:rPr>
                <w:rFonts w:ascii="Arial" w:cs="Arial" w:eastAsia="Arial" w:hAnsi="Arial"/>
                <w:sz w:val="18"/>
                <w:szCs w:val="18"/>
                <w:b w:val="1"/>
                <w:bCs w:val="1"/>
                <w:color w:val="131E29"/>
                <w:vertAlign w:val="superscript"/>
              </w:rPr>
              <w:t>2</w:t>
            </w:r>
          </w:p>
        </w:tc>
        <w:tc>
          <w:tcPr>
            <w:tcW w:w="104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121,327</w:t>
            </w:r>
          </w:p>
        </w:tc>
        <w:tc>
          <w:tcPr>
            <w:tcW w:w="80" w:type="dxa"/>
            <w:vAlign w:val="bottom"/>
            <w:shd w:val="clear" w:color="auto" w:fill="D2DCE5"/>
          </w:tcPr>
          <w:p>
            <w:pPr>
              <w:spacing w:after="0"/>
              <w:rPr>
                <w:sz w:val="21"/>
                <w:szCs w:val="21"/>
                <w:color w:val="auto"/>
              </w:rPr>
            </w:pPr>
          </w:p>
        </w:tc>
        <w:tc>
          <w:tcPr>
            <w:tcW w:w="66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19.0</w:t>
            </w:r>
          </w:p>
        </w:tc>
        <w:tc>
          <w:tcPr>
            <w:tcW w:w="100" w:type="dxa"/>
            <w:vAlign w:val="bottom"/>
            <w:shd w:val="clear" w:color="auto" w:fill="D2DCE5"/>
          </w:tcPr>
          <w:p>
            <w:pPr>
              <w:spacing w:after="0"/>
              <w:rPr>
                <w:sz w:val="21"/>
                <w:szCs w:val="21"/>
                <w:color w:val="auto"/>
              </w:rPr>
            </w:pPr>
          </w:p>
        </w:tc>
        <w:tc>
          <w:tcPr>
            <w:tcW w:w="102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86,701</w:t>
            </w:r>
          </w:p>
        </w:tc>
        <w:tc>
          <w:tcPr>
            <w:tcW w:w="80" w:type="dxa"/>
            <w:vAlign w:val="bottom"/>
            <w:shd w:val="clear" w:color="auto" w:fill="D2DCE5"/>
          </w:tcPr>
          <w:p>
            <w:pPr>
              <w:spacing w:after="0"/>
              <w:rPr>
                <w:sz w:val="21"/>
                <w:szCs w:val="21"/>
                <w:color w:val="auto"/>
              </w:rPr>
            </w:pPr>
          </w:p>
        </w:tc>
        <w:tc>
          <w:tcPr>
            <w:tcW w:w="160" w:type="dxa"/>
            <w:vAlign w:val="bottom"/>
            <w:shd w:val="clear" w:color="auto" w:fill="D2DCE5"/>
          </w:tcPr>
          <w:p>
            <w:pPr>
              <w:spacing w:after="0"/>
              <w:rPr>
                <w:sz w:val="21"/>
                <w:szCs w:val="21"/>
                <w:color w:val="auto"/>
              </w:rPr>
            </w:pPr>
          </w:p>
        </w:tc>
        <w:tc>
          <w:tcPr>
            <w:tcW w:w="580" w:type="dxa"/>
            <w:vAlign w:val="bottom"/>
            <w:vMerge w:val="restart"/>
            <w:shd w:val="clear" w:color="auto" w:fill="D2DCE5"/>
          </w:tcPr>
          <w:p>
            <w:pPr>
              <w:jc w:val="right"/>
              <w:ind w:right="9"/>
              <w:spacing w:after="0"/>
              <w:rPr>
                <w:sz w:val="20"/>
                <w:szCs w:val="20"/>
                <w:color w:val="auto"/>
              </w:rPr>
            </w:pPr>
            <w:r>
              <w:rPr>
                <w:rFonts w:ascii="Arial" w:cs="Arial" w:eastAsia="Arial" w:hAnsi="Arial"/>
                <w:sz w:val="14"/>
                <w:szCs w:val="14"/>
                <w:color w:val="131E29"/>
              </w:rPr>
              <w:t>21.5</w:t>
            </w:r>
          </w:p>
        </w:tc>
        <w:tc>
          <w:tcPr>
            <w:tcW w:w="80" w:type="dxa"/>
            <w:vAlign w:val="bottom"/>
            <w:shd w:val="clear" w:color="auto" w:fill="D2DCE5"/>
          </w:tcPr>
          <w:p>
            <w:pPr>
              <w:spacing w:after="0"/>
              <w:rPr>
                <w:sz w:val="21"/>
                <w:szCs w:val="21"/>
                <w:color w:val="auto"/>
              </w:rPr>
            </w:pPr>
          </w:p>
        </w:tc>
        <w:tc>
          <w:tcPr>
            <w:tcW w:w="92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60,546</w:t>
            </w:r>
          </w:p>
        </w:tc>
        <w:tc>
          <w:tcPr>
            <w:tcW w:w="80" w:type="dxa"/>
            <w:vAlign w:val="bottom"/>
            <w:shd w:val="clear" w:color="auto" w:fill="D2DCE5"/>
          </w:tcPr>
          <w:p>
            <w:pPr>
              <w:spacing w:after="0"/>
              <w:rPr>
                <w:sz w:val="21"/>
                <w:szCs w:val="21"/>
                <w:color w:val="auto"/>
              </w:rPr>
            </w:pPr>
          </w:p>
        </w:tc>
        <w:tc>
          <w:tcPr>
            <w:tcW w:w="160" w:type="dxa"/>
            <w:vAlign w:val="bottom"/>
            <w:shd w:val="clear" w:color="auto" w:fill="D2DCE5"/>
          </w:tcPr>
          <w:p>
            <w:pPr>
              <w:spacing w:after="0"/>
              <w:rPr>
                <w:sz w:val="21"/>
                <w:szCs w:val="21"/>
                <w:color w:val="auto"/>
              </w:rPr>
            </w:pPr>
          </w:p>
        </w:tc>
        <w:tc>
          <w:tcPr>
            <w:tcW w:w="54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24.8</w:t>
            </w:r>
          </w:p>
        </w:tc>
        <w:tc>
          <w:tcPr>
            <w:tcW w:w="0" w:type="dxa"/>
            <w:vAlign w:val="bottom"/>
          </w:tcPr>
          <w:p>
            <w:pPr>
              <w:spacing w:after="0"/>
              <w:rPr>
                <w:sz w:val="1"/>
                <w:szCs w:val="1"/>
                <w:color w:val="auto"/>
              </w:rPr>
            </w:pPr>
          </w:p>
        </w:tc>
      </w:tr>
      <w:tr>
        <w:trPr>
          <w:trHeight w:val="73"/>
        </w:trPr>
        <w:tc>
          <w:tcPr>
            <w:tcW w:w="5700" w:type="dxa"/>
            <w:vAlign w:val="bottom"/>
            <w:tcBorders>
              <w:bottom w:val="single" w:sz="8" w:color="D2DCE5"/>
            </w:tcBorders>
            <w:shd w:val="clear" w:color="auto" w:fill="D2DCE5"/>
          </w:tcPr>
          <w:p>
            <w:pPr>
              <w:spacing w:after="0"/>
              <w:rPr>
                <w:sz w:val="6"/>
                <w:szCs w:val="6"/>
                <w:color w:val="auto"/>
              </w:rPr>
            </w:pPr>
          </w:p>
        </w:tc>
        <w:tc>
          <w:tcPr>
            <w:tcW w:w="80" w:type="dxa"/>
            <w:vAlign w:val="bottom"/>
            <w:tcBorders>
              <w:bottom w:val="single" w:sz="8" w:color="D2DCE5"/>
            </w:tcBorders>
            <w:shd w:val="clear" w:color="auto" w:fill="D2DCE5"/>
          </w:tcPr>
          <w:p>
            <w:pPr>
              <w:spacing w:after="0"/>
              <w:rPr>
                <w:sz w:val="6"/>
                <w:szCs w:val="6"/>
                <w:color w:val="auto"/>
              </w:rPr>
            </w:pPr>
          </w:p>
        </w:tc>
        <w:tc>
          <w:tcPr>
            <w:tcW w:w="1040" w:type="dxa"/>
            <w:vAlign w:val="bottom"/>
            <w:tcBorders>
              <w:bottom w:val="single" w:sz="8" w:color="D2DCE5"/>
            </w:tcBorders>
            <w:vMerge w:val="continue"/>
            <w:shd w:val="clear" w:color="auto" w:fill="D2DCE5"/>
          </w:tcPr>
          <w:p>
            <w:pPr>
              <w:spacing w:after="0"/>
              <w:rPr>
                <w:sz w:val="6"/>
                <w:szCs w:val="6"/>
                <w:color w:val="auto"/>
              </w:rPr>
            </w:pPr>
          </w:p>
        </w:tc>
        <w:tc>
          <w:tcPr>
            <w:tcW w:w="80" w:type="dxa"/>
            <w:vAlign w:val="bottom"/>
            <w:tcBorders>
              <w:bottom w:val="single" w:sz="8" w:color="D2DCE5"/>
            </w:tcBorders>
            <w:shd w:val="clear" w:color="auto" w:fill="D2DCE5"/>
          </w:tcPr>
          <w:p>
            <w:pPr>
              <w:spacing w:after="0"/>
              <w:rPr>
                <w:sz w:val="6"/>
                <w:szCs w:val="6"/>
                <w:color w:val="auto"/>
              </w:rPr>
            </w:pPr>
          </w:p>
        </w:tc>
        <w:tc>
          <w:tcPr>
            <w:tcW w:w="660" w:type="dxa"/>
            <w:vAlign w:val="bottom"/>
            <w:tcBorders>
              <w:bottom w:val="single" w:sz="8" w:color="D2DCE5"/>
            </w:tcBorders>
            <w:vMerge w:val="continue"/>
            <w:shd w:val="clear" w:color="auto" w:fill="D2DCE5"/>
          </w:tcPr>
          <w:p>
            <w:pPr>
              <w:spacing w:after="0"/>
              <w:rPr>
                <w:sz w:val="6"/>
                <w:szCs w:val="6"/>
                <w:color w:val="auto"/>
              </w:rPr>
            </w:pPr>
          </w:p>
        </w:tc>
        <w:tc>
          <w:tcPr>
            <w:tcW w:w="100" w:type="dxa"/>
            <w:vAlign w:val="bottom"/>
            <w:tcBorders>
              <w:bottom w:val="single" w:sz="8" w:color="D2DCE5"/>
            </w:tcBorders>
            <w:shd w:val="clear" w:color="auto" w:fill="D2DCE5"/>
          </w:tcPr>
          <w:p>
            <w:pPr>
              <w:spacing w:after="0"/>
              <w:rPr>
                <w:sz w:val="6"/>
                <w:szCs w:val="6"/>
                <w:color w:val="auto"/>
              </w:rPr>
            </w:pPr>
          </w:p>
        </w:tc>
        <w:tc>
          <w:tcPr>
            <w:tcW w:w="1020" w:type="dxa"/>
            <w:vAlign w:val="bottom"/>
            <w:tcBorders>
              <w:bottom w:val="single" w:sz="8" w:color="D2DCE5"/>
            </w:tcBorders>
            <w:vMerge w:val="continue"/>
            <w:shd w:val="clear" w:color="auto" w:fill="D2DCE5"/>
          </w:tcPr>
          <w:p>
            <w:pPr>
              <w:spacing w:after="0"/>
              <w:rPr>
                <w:sz w:val="6"/>
                <w:szCs w:val="6"/>
                <w:color w:val="auto"/>
              </w:rPr>
            </w:pPr>
          </w:p>
        </w:tc>
        <w:tc>
          <w:tcPr>
            <w:tcW w:w="80" w:type="dxa"/>
            <w:vAlign w:val="bottom"/>
            <w:tcBorders>
              <w:bottom w:val="single" w:sz="8" w:color="D2DCE5"/>
            </w:tcBorders>
            <w:shd w:val="clear" w:color="auto" w:fill="D2DCE5"/>
          </w:tcPr>
          <w:p>
            <w:pPr>
              <w:spacing w:after="0"/>
              <w:rPr>
                <w:sz w:val="6"/>
                <w:szCs w:val="6"/>
                <w:color w:val="auto"/>
              </w:rPr>
            </w:pPr>
          </w:p>
        </w:tc>
        <w:tc>
          <w:tcPr>
            <w:tcW w:w="160" w:type="dxa"/>
            <w:vAlign w:val="bottom"/>
            <w:tcBorders>
              <w:bottom w:val="single" w:sz="8" w:color="D2DCE5"/>
            </w:tcBorders>
            <w:shd w:val="clear" w:color="auto" w:fill="D2DCE5"/>
          </w:tcPr>
          <w:p>
            <w:pPr>
              <w:spacing w:after="0"/>
              <w:rPr>
                <w:sz w:val="6"/>
                <w:szCs w:val="6"/>
                <w:color w:val="auto"/>
              </w:rPr>
            </w:pPr>
          </w:p>
        </w:tc>
        <w:tc>
          <w:tcPr>
            <w:tcW w:w="580" w:type="dxa"/>
            <w:vAlign w:val="bottom"/>
            <w:tcBorders>
              <w:bottom w:val="single" w:sz="8" w:color="D2DCE5"/>
            </w:tcBorders>
            <w:vMerge w:val="continue"/>
            <w:shd w:val="clear" w:color="auto" w:fill="D2DCE5"/>
          </w:tcPr>
          <w:p>
            <w:pPr>
              <w:spacing w:after="0"/>
              <w:rPr>
                <w:sz w:val="6"/>
                <w:szCs w:val="6"/>
                <w:color w:val="auto"/>
              </w:rPr>
            </w:pPr>
          </w:p>
        </w:tc>
        <w:tc>
          <w:tcPr>
            <w:tcW w:w="80" w:type="dxa"/>
            <w:vAlign w:val="bottom"/>
            <w:tcBorders>
              <w:bottom w:val="single" w:sz="8" w:color="D2DCE5"/>
            </w:tcBorders>
            <w:shd w:val="clear" w:color="auto" w:fill="D2DCE5"/>
          </w:tcPr>
          <w:p>
            <w:pPr>
              <w:spacing w:after="0"/>
              <w:rPr>
                <w:sz w:val="6"/>
                <w:szCs w:val="6"/>
                <w:color w:val="auto"/>
              </w:rPr>
            </w:pPr>
          </w:p>
        </w:tc>
        <w:tc>
          <w:tcPr>
            <w:tcW w:w="920" w:type="dxa"/>
            <w:vAlign w:val="bottom"/>
            <w:tcBorders>
              <w:bottom w:val="single" w:sz="8" w:color="D2DCE5"/>
            </w:tcBorders>
            <w:vMerge w:val="continue"/>
            <w:shd w:val="clear" w:color="auto" w:fill="D2DCE5"/>
          </w:tcPr>
          <w:p>
            <w:pPr>
              <w:spacing w:after="0"/>
              <w:rPr>
                <w:sz w:val="6"/>
                <w:szCs w:val="6"/>
                <w:color w:val="auto"/>
              </w:rPr>
            </w:pPr>
          </w:p>
        </w:tc>
        <w:tc>
          <w:tcPr>
            <w:tcW w:w="80" w:type="dxa"/>
            <w:vAlign w:val="bottom"/>
            <w:tcBorders>
              <w:bottom w:val="single" w:sz="8" w:color="D2DCE5"/>
            </w:tcBorders>
            <w:shd w:val="clear" w:color="auto" w:fill="D2DCE5"/>
          </w:tcPr>
          <w:p>
            <w:pPr>
              <w:spacing w:after="0"/>
              <w:rPr>
                <w:sz w:val="6"/>
                <w:szCs w:val="6"/>
                <w:color w:val="auto"/>
              </w:rPr>
            </w:pPr>
          </w:p>
        </w:tc>
        <w:tc>
          <w:tcPr>
            <w:tcW w:w="160" w:type="dxa"/>
            <w:vAlign w:val="bottom"/>
            <w:tcBorders>
              <w:bottom w:val="single" w:sz="8" w:color="D2DCE5"/>
            </w:tcBorders>
            <w:shd w:val="clear" w:color="auto" w:fill="D2DCE5"/>
          </w:tcPr>
          <w:p>
            <w:pPr>
              <w:spacing w:after="0"/>
              <w:rPr>
                <w:sz w:val="6"/>
                <w:szCs w:val="6"/>
                <w:color w:val="auto"/>
              </w:rPr>
            </w:pPr>
          </w:p>
        </w:tc>
        <w:tc>
          <w:tcPr>
            <w:tcW w:w="540" w:type="dxa"/>
            <w:vAlign w:val="bottom"/>
            <w:tcBorders>
              <w:bottom w:val="single" w:sz="8" w:color="D2DCE5"/>
            </w:tcBorders>
            <w:vMerge w:val="continue"/>
            <w:shd w:val="clear" w:color="auto" w:fill="D2DCE5"/>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780" w:type="dxa"/>
            <w:vAlign w:val="bottom"/>
            <w:gridSpan w:val="2"/>
          </w:tcPr>
          <w:p>
            <w:pPr>
              <w:ind w:left="140"/>
              <w:spacing w:after="0"/>
              <w:rPr>
                <w:sz w:val="20"/>
                <w:szCs w:val="20"/>
                <w:color w:val="auto"/>
              </w:rPr>
            </w:pPr>
            <w:r>
              <w:rPr>
                <w:rFonts w:ascii="Arial" w:cs="Arial" w:eastAsia="Arial" w:hAnsi="Arial"/>
                <w:sz w:val="14"/>
                <w:szCs w:val="14"/>
                <w:color w:val="131E29"/>
              </w:rPr>
              <w:t>Depreciation and amortization</w:t>
            </w:r>
          </w:p>
        </w:tc>
        <w:tc>
          <w:tcPr>
            <w:tcW w:w="1040" w:type="dxa"/>
            <w:vAlign w:val="bottom"/>
          </w:tcPr>
          <w:p>
            <w:pPr>
              <w:jc w:val="right"/>
              <w:spacing w:after="0"/>
              <w:rPr>
                <w:sz w:val="20"/>
                <w:szCs w:val="20"/>
                <w:color w:val="auto"/>
              </w:rPr>
            </w:pPr>
            <w:r>
              <w:rPr>
                <w:rFonts w:ascii="Arial" w:cs="Arial" w:eastAsia="Arial" w:hAnsi="Arial"/>
                <w:sz w:val="14"/>
                <w:szCs w:val="14"/>
                <w:color w:val="131E29"/>
              </w:rPr>
              <w:t>36,306</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131E29"/>
              </w:rPr>
              <w:t>5.6</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16,291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9"/>
              <w:spacing w:after="0"/>
              <w:rPr>
                <w:sz w:val="20"/>
                <w:szCs w:val="20"/>
                <w:color w:val="auto"/>
              </w:rPr>
            </w:pPr>
            <w:r>
              <w:rPr>
                <w:rFonts w:ascii="Arial" w:cs="Arial" w:eastAsia="Arial" w:hAnsi="Arial"/>
                <w:sz w:val="14"/>
                <w:szCs w:val="14"/>
                <w:color w:val="131E29"/>
              </w:rPr>
              <w:t>4.0</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131E29"/>
              </w:rPr>
              <w:t>9,737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131E29"/>
              </w:rPr>
              <w:t>4.0</w:t>
            </w:r>
          </w:p>
        </w:tc>
        <w:tc>
          <w:tcPr>
            <w:tcW w:w="0" w:type="dxa"/>
            <w:vAlign w:val="bottom"/>
          </w:tcPr>
          <w:p>
            <w:pPr>
              <w:spacing w:after="0"/>
              <w:rPr>
                <w:sz w:val="1"/>
                <w:szCs w:val="1"/>
                <w:color w:val="auto"/>
              </w:rPr>
            </w:pPr>
          </w:p>
        </w:tc>
      </w:tr>
      <w:tr>
        <w:trPr>
          <w:trHeight w:val="22"/>
        </w:trPr>
        <w:tc>
          <w:tcPr>
            <w:tcW w:w="570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578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 xml:space="preserve">Company-operated shop contribution </w:t>
            </w:r>
            <w:r>
              <w:rPr>
                <w:rFonts w:ascii="Arial" w:cs="Arial" w:eastAsia="Arial" w:hAnsi="Arial"/>
                <w:sz w:val="18"/>
                <w:szCs w:val="18"/>
                <w:b w:val="1"/>
                <w:bCs w:val="1"/>
                <w:color w:val="131E29"/>
                <w:vertAlign w:val="superscript"/>
              </w:rPr>
              <w:t>2</w:t>
            </w:r>
          </w:p>
        </w:tc>
        <w:tc>
          <w:tcPr>
            <w:tcW w:w="104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157,633</w:t>
            </w:r>
          </w:p>
        </w:tc>
        <w:tc>
          <w:tcPr>
            <w:tcW w:w="80" w:type="dxa"/>
            <w:vAlign w:val="bottom"/>
            <w:shd w:val="clear" w:color="auto" w:fill="D2DCE5"/>
          </w:tcPr>
          <w:p>
            <w:pPr>
              <w:spacing w:after="0"/>
              <w:rPr>
                <w:sz w:val="19"/>
                <w:szCs w:val="19"/>
                <w:color w:val="auto"/>
              </w:rPr>
            </w:pPr>
          </w:p>
        </w:tc>
        <w:tc>
          <w:tcPr>
            <w:tcW w:w="66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24.6</w:t>
            </w:r>
          </w:p>
        </w:tc>
        <w:tc>
          <w:tcPr>
            <w:tcW w:w="100" w:type="dxa"/>
            <w:vAlign w:val="bottom"/>
            <w:shd w:val="clear" w:color="auto" w:fill="D2DCE5"/>
          </w:tcPr>
          <w:p>
            <w:pPr>
              <w:spacing w:after="0"/>
              <w:rPr>
                <w:sz w:val="19"/>
                <w:szCs w:val="19"/>
                <w:color w:val="auto"/>
              </w:rPr>
            </w:pPr>
          </w:p>
        </w:tc>
        <w:tc>
          <w:tcPr>
            <w:tcW w:w="102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102,992</w:t>
            </w:r>
          </w:p>
        </w:tc>
        <w:tc>
          <w:tcPr>
            <w:tcW w:w="80" w:type="dxa"/>
            <w:vAlign w:val="bottom"/>
            <w:shd w:val="clear" w:color="auto" w:fill="D2DCE5"/>
          </w:tcPr>
          <w:p>
            <w:pPr>
              <w:spacing w:after="0"/>
              <w:rPr>
                <w:sz w:val="19"/>
                <w:szCs w:val="19"/>
                <w:color w:val="auto"/>
              </w:rPr>
            </w:pPr>
          </w:p>
        </w:tc>
        <w:tc>
          <w:tcPr>
            <w:tcW w:w="160" w:type="dxa"/>
            <w:vAlign w:val="bottom"/>
            <w:shd w:val="clear" w:color="auto" w:fill="D2DCE5"/>
          </w:tcPr>
          <w:p>
            <w:pPr>
              <w:spacing w:after="0"/>
              <w:rPr>
                <w:sz w:val="19"/>
                <w:szCs w:val="19"/>
                <w:color w:val="auto"/>
              </w:rPr>
            </w:pPr>
          </w:p>
        </w:tc>
        <w:tc>
          <w:tcPr>
            <w:tcW w:w="580" w:type="dxa"/>
            <w:vAlign w:val="bottom"/>
            <w:vMerge w:val="restart"/>
            <w:shd w:val="clear" w:color="auto" w:fill="D2DCE5"/>
          </w:tcPr>
          <w:p>
            <w:pPr>
              <w:jc w:val="right"/>
              <w:ind w:right="9"/>
              <w:spacing w:after="0"/>
              <w:rPr>
                <w:sz w:val="20"/>
                <w:szCs w:val="20"/>
                <w:color w:val="auto"/>
              </w:rPr>
            </w:pPr>
            <w:r>
              <w:rPr>
                <w:rFonts w:ascii="Arial" w:cs="Arial" w:eastAsia="Arial" w:hAnsi="Arial"/>
                <w:sz w:val="14"/>
                <w:szCs w:val="14"/>
                <w:color w:val="131E29"/>
              </w:rPr>
              <w:t>25.5</w:t>
            </w:r>
          </w:p>
        </w:tc>
        <w:tc>
          <w:tcPr>
            <w:tcW w:w="80" w:type="dxa"/>
            <w:vAlign w:val="bottom"/>
            <w:shd w:val="clear" w:color="auto" w:fill="D2DCE5"/>
          </w:tcPr>
          <w:p>
            <w:pPr>
              <w:spacing w:after="0"/>
              <w:rPr>
                <w:sz w:val="19"/>
                <w:szCs w:val="19"/>
                <w:color w:val="auto"/>
              </w:rPr>
            </w:pPr>
          </w:p>
        </w:tc>
        <w:tc>
          <w:tcPr>
            <w:tcW w:w="92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70,283</w:t>
            </w:r>
          </w:p>
        </w:tc>
        <w:tc>
          <w:tcPr>
            <w:tcW w:w="80" w:type="dxa"/>
            <w:vAlign w:val="bottom"/>
            <w:shd w:val="clear" w:color="auto" w:fill="D2DCE5"/>
          </w:tcPr>
          <w:p>
            <w:pPr>
              <w:spacing w:after="0"/>
              <w:rPr>
                <w:sz w:val="19"/>
                <w:szCs w:val="19"/>
                <w:color w:val="auto"/>
              </w:rPr>
            </w:pPr>
          </w:p>
        </w:tc>
        <w:tc>
          <w:tcPr>
            <w:tcW w:w="160" w:type="dxa"/>
            <w:vAlign w:val="bottom"/>
            <w:shd w:val="clear" w:color="auto" w:fill="D2DCE5"/>
          </w:tcPr>
          <w:p>
            <w:pPr>
              <w:spacing w:after="0"/>
              <w:rPr>
                <w:sz w:val="19"/>
                <w:szCs w:val="19"/>
                <w:color w:val="auto"/>
              </w:rPr>
            </w:pPr>
          </w:p>
        </w:tc>
        <w:tc>
          <w:tcPr>
            <w:tcW w:w="54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28.7</w:t>
            </w:r>
          </w:p>
        </w:tc>
        <w:tc>
          <w:tcPr>
            <w:tcW w:w="0" w:type="dxa"/>
            <w:vAlign w:val="bottom"/>
          </w:tcPr>
          <w:p>
            <w:pPr>
              <w:spacing w:after="0"/>
              <w:rPr>
                <w:sz w:val="1"/>
                <w:szCs w:val="1"/>
                <w:color w:val="auto"/>
              </w:rPr>
            </w:pPr>
          </w:p>
        </w:tc>
      </w:tr>
      <w:tr>
        <w:trPr>
          <w:trHeight w:val="92"/>
        </w:trPr>
        <w:tc>
          <w:tcPr>
            <w:tcW w:w="5700" w:type="dxa"/>
            <w:vAlign w:val="bottom"/>
            <w:tcBorders>
              <w:bottom w:val="single" w:sz="8" w:color="D2DCE5"/>
            </w:tcBorders>
            <w:shd w:val="clear" w:color="auto" w:fill="D2DCE5"/>
          </w:tcPr>
          <w:p>
            <w:pPr>
              <w:spacing w:after="0"/>
              <w:rPr>
                <w:sz w:val="8"/>
                <w:szCs w:val="8"/>
                <w:color w:val="auto"/>
              </w:rPr>
            </w:pPr>
          </w:p>
        </w:tc>
        <w:tc>
          <w:tcPr>
            <w:tcW w:w="80" w:type="dxa"/>
            <w:vAlign w:val="bottom"/>
            <w:tcBorders>
              <w:bottom w:val="single" w:sz="8" w:color="D2DCE5"/>
            </w:tcBorders>
            <w:shd w:val="clear" w:color="auto" w:fill="D2DCE5"/>
          </w:tcPr>
          <w:p>
            <w:pPr>
              <w:spacing w:after="0"/>
              <w:rPr>
                <w:sz w:val="8"/>
                <w:szCs w:val="8"/>
                <w:color w:val="auto"/>
              </w:rPr>
            </w:pPr>
          </w:p>
        </w:tc>
        <w:tc>
          <w:tcPr>
            <w:tcW w:w="1040" w:type="dxa"/>
            <w:vAlign w:val="bottom"/>
            <w:tcBorders>
              <w:bottom w:val="single" w:sz="8" w:color="D2DCE5"/>
            </w:tcBorders>
            <w:vMerge w:val="continue"/>
            <w:shd w:val="clear" w:color="auto" w:fill="D2DCE5"/>
          </w:tcPr>
          <w:p>
            <w:pPr>
              <w:spacing w:after="0"/>
              <w:rPr>
                <w:sz w:val="8"/>
                <w:szCs w:val="8"/>
                <w:color w:val="auto"/>
              </w:rPr>
            </w:pPr>
          </w:p>
        </w:tc>
        <w:tc>
          <w:tcPr>
            <w:tcW w:w="80" w:type="dxa"/>
            <w:vAlign w:val="bottom"/>
            <w:tcBorders>
              <w:bottom w:val="single" w:sz="8" w:color="D2DCE5"/>
            </w:tcBorders>
            <w:shd w:val="clear" w:color="auto" w:fill="D2DCE5"/>
          </w:tcPr>
          <w:p>
            <w:pPr>
              <w:spacing w:after="0"/>
              <w:rPr>
                <w:sz w:val="8"/>
                <w:szCs w:val="8"/>
                <w:color w:val="auto"/>
              </w:rPr>
            </w:pPr>
          </w:p>
        </w:tc>
        <w:tc>
          <w:tcPr>
            <w:tcW w:w="660" w:type="dxa"/>
            <w:vAlign w:val="bottom"/>
            <w:tcBorders>
              <w:bottom w:val="single" w:sz="8" w:color="D2DCE5"/>
            </w:tcBorders>
            <w:vMerge w:val="continue"/>
            <w:shd w:val="clear" w:color="auto" w:fill="D2DCE5"/>
          </w:tcPr>
          <w:p>
            <w:pPr>
              <w:spacing w:after="0"/>
              <w:rPr>
                <w:sz w:val="8"/>
                <w:szCs w:val="8"/>
                <w:color w:val="auto"/>
              </w:rPr>
            </w:pPr>
          </w:p>
        </w:tc>
        <w:tc>
          <w:tcPr>
            <w:tcW w:w="100" w:type="dxa"/>
            <w:vAlign w:val="bottom"/>
            <w:tcBorders>
              <w:bottom w:val="single" w:sz="8" w:color="D2DCE5"/>
            </w:tcBorders>
            <w:shd w:val="clear" w:color="auto" w:fill="D2DCE5"/>
          </w:tcPr>
          <w:p>
            <w:pPr>
              <w:spacing w:after="0"/>
              <w:rPr>
                <w:sz w:val="8"/>
                <w:szCs w:val="8"/>
                <w:color w:val="auto"/>
              </w:rPr>
            </w:pPr>
          </w:p>
        </w:tc>
        <w:tc>
          <w:tcPr>
            <w:tcW w:w="1020" w:type="dxa"/>
            <w:vAlign w:val="bottom"/>
            <w:tcBorders>
              <w:bottom w:val="single" w:sz="8" w:color="D2DCE5"/>
            </w:tcBorders>
            <w:vMerge w:val="continue"/>
            <w:shd w:val="clear" w:color="auto" w:fill="D2DCE5"/>
          </w:tcPr>
          <w:p>
            <w:pPr>
              <w:spacing w:after="0"/>
              <w:rPr>
                <w:sz w:val="8"/>
                <w:szCs w:val="8"/>
                <w:color w:val="auto"/>
              </w:rPr>
            </w:pPr>
          </w:p>
        </w:tc>
        <w:tc>
          <w:tcPr>
            <w:tcW w:w="80" w:type="dxa"/>
            <w:vAlign w:val="bottom"/>
            <w:tcBorders>
              <w:bottom w:val="single" w:sz="8" w:color="D2DCE5"/>
            </w:tcBorders>
            <w:shd w:val="clear" w:color="auto" w:fill="D2DCE5"/>
          </w:tcPr>
          <w:p>
            <w:pPr>
              <w:spacing w:after="0"/>
              <w:rPr>
                <w:sz w:val="8"/>
                <w:szCs w:val="8"/>
                <w:color w:val="auto"/>
              </w:rPr>
            </w:pPr>
          </w:p>
        </w:tc>
        <w:tc>
          <w:tcPr>
            <w:tcW w:w="160" w:type="dxa"/>
            <w:vAlign w:val="bottom"/>
            <w:tcBorders>
              <w:bottom w:val="single" w:sz="8" w:color="D2DCE5"/>
            </w:tcBorders>
            <w:shd w:val="clear" w:color="auto" w:fill="D2DCE5"/>
          </w:tcPr>
          <w:p>
            <w:pPr>
              <w:spacing w:after="0"/>
              <w:rPr>
                <w:sz w:val="8"/>
                <w:szCs w:val="8"/>
                <w:color w:val="auto"/>
              </w:rPr>
            </w:pPr>
          </w:p>
        </w:tc>
        <w:tc>
          <w:tcPr>
            <w:tcW w:w="580" w:type="dxa"/>
            <w:vAlign w:val="bottom"/>
            <w:tcBorders>
              <w:bottom w:val="single" w:sz="8" w:color="D2DCE5"/>
            </w:tcBorders>
            <w:vMerge w:val="continue"/>
            <w:shd w:val="clear" w:color="auto" w:fill="D2DCE5"/>
          </w:tcPr>
          <w:p>
            <w:pPr>
              <w:spacing w:after="0"/>
              <w:rPr>
                <w:sz w:val="8"/>
                <w:szCs w:val="8"/>
                <w:color w:val="auto"/>
              </w:rPr>
            </w:pPr>
          </w:p>
        </w:tc>
        <w:tc>
          <w:tcPr>
            <w:tcW w:w="80" w:type="dxa"/>
            <w:vAlign w:val="bottom"/>
            <w:tcBorders>
              <w:bottom w:val="single" w:sz="8" w:color="D2DCE5"/>
            </w:tcBorders>
            <w:shd w:val="clear" w:color="auto" w:fill="D2DCE5"/>
          </w:tcPr>
          <w:p>
            <w:pPr>
              <w:spacing w:after="0"/>
              <w:rPr>
                <w:sz w:val="8"/>
                <w:szCs w:val="8"/>
                <w:color w:val="auto"/>
              </w:rPr>
            </w:pPr>
          </w:p>
        </w:tc>
        <w:tc>
          <w:tcPr>
            <w:tcW w:w="920" w:type="dxa"/>
            <w:vAlign w:val="bottom"/>
            <w:tcBorders>
              <w:bottom w:val="single" w:sz="8" w:color="D2DCE5"/>
            </w:tcBorders>
            <w:vMerge w:val="continue"/>
            <w:shd w:val="clear" w:color="auto" w:fill="D2DCE5"/>
          </w:tcPr>
          <w:p>
            <w:pPr>
              <w:spacing w:after="0"/>
              <w:rPr>
                <w:sz w:val="8"/>
                <w:szCs w:val="8"/>
                <w:color w:val="auto"/>
              </w:rPr>
            </w:pPr>
          </w:p>
        </w:tc>
        <w:tc>
          <w:tcPr>
            <w:tcW w:w="80" w:type="dxa"/>
            <w:vAlign w:val="bottom"/>
            <w:tcBorders>
              <w:bottom w:val="single" w:sz="8" w:color="D2DCE5"/>
            </w:tcBorders>
            <w:shd w:val="clear" w:color="auto" w:fill="D2DCE5"/>
          </w:tcPr>
          <w:p>
            <w:pPr>
              <w:spacing w:after="0"/>
              <w:rPr>
                <w:sz w:val="8"/>
                <w:szCs w:val="8"/>
                <w:color w:val="auto"/>
              </w:rPr>
            </w:pPr>
          </w:p>
        </w:tc>
        <w:tc>
          <w:tcPr>
            <w:tcW w:w="160" w:type="dxa"/>
            <w:vAlign w:val="bottom"/>
            <w:tcBorders>
              <w:bottom w:val="single" w:sz="8" w:color="D2DCE5"/>
            </w:tcBorders>
            <w:shd w:val="clear" w:color="auto" w:fill="D2DCE5"/>
          </w:tcPr>
          <w:p>
            <w:pPr>
              <w:spacing w:after="0"/>
              <w:rPr>
                <w:sz w:val="8"/>
                <w:szCs w:val="8"/>
                <w:color w:val="auto"/>
              </w:rPr>
            </w:pPr>
          </w:p>
        </w:tc>
        <w:tc>
          <w:tcPr>
            <w:tcW w:w="540" w:type="dxa"/>
            <w:vAlign w:val="bottom"/>
            <w:tcBorders>
              <w:bottom w:val="single" w:sz="8" w:color="D2DCE5"/>
            </w:tcBorders>
            <w:vMerge w:val="continue"/>
            <w:shd w:val="clear" w:color="auto" w:fill="D2DCE5"/>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131E29"/>
              </w:rPr>
              <w:t>Year Ended December 31,</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3"/>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131E29"/>
              </w:rPr>
              <w:t>2022</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131E29"/>
              </w:rPr>
              <w:t>2021 ¹</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131E29"/>
              </w:rPr>
              <w:t>2020 ¹</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800" w:type="dxa"/>
            <w:vAlign w:val="bottom"/>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80" w:type="dxa"/>
            <w:vAlign w:val="bottom"/>
            <w:tcBorders>
              <w:bottom w:val="single" w:sz="8" w:color="D2DCE5"/>
            </w:tcBorders>
          </w:tcPr>
          <w:p>
            <w:pPr>
              <w:spacing w:after="0"/>
              <w:rPr>
                <w:sz w:val="16"/>
                <w:szCs w:val="16"/>
                <w:color w:val="auto"/>
              </w:rPr>
            </w:pPr>
          </w:p>
        </w:tc>
        <w:tc>
          <w:tcPr>
            <w:tcW w:w="1040" w:type="dxa"/>
            <w:vAlign w:val="bottom"/>
            <w:tcBorders>
              <w:bottom w:val="single" w:sz="8" w:color="131E29"/>
            </w:tcBorders>
          </w:tcPr>
          <w:p>
            <w:pPr>
              <w:jc w:val="right"/>
              <w:ind w:right="40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6"/>
                <w:szCs w:val="16"/>
                <w:color w:val="auto"/>
              </w:rPr>
            </w:pPr>
          </w:p>
        </w:tc>
        <w:tc>
          <w:tcPr>
            <w:tcW w:w="600" w:type="dxa"/>
            <w:vAlign w:val="bottom"/>
            <w:tcBorders>
              <w:bottom w:val="single" w:sz="8" w:color="131E29"/>
            </w:tcBorders>
          </w:tcPr>
          <w:p>
            <w:pPr>
              <w:jc w:val="right"/>
              <w:ind w:right="16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6"/>
                <w:szCs w:val="16"/>
                <w:color w:val="auto"/>
              </w:rPr>
            </w:pPr>
          </w:p>
        </w:tc>
        <w:tc>
          <w:tcPr>
            <w:tcW w:w="1100" w:type="dxa"/>
            <w:vAlign w:val="bottom"/>
            <w:tcBorders>
              <w:bottom w:val="single" w:sz="8" w:color="131E29"/>
            </w:tcBorders>
          </w:tcPr>
          <w:p>
            <w:pPr>
              <w:jc w:val="right"/>
              <w:ind w:right="42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6"/>
                <w:szCs w:val="16"/>
                <w:color w:val="auto"/>
              </w:rPr>
            </w:pPr>
          </w:p>
        </w:tc>
        <w:tc>
          <w:tcPr>
            <w:tcW w:w="720" w:type="dxa"/>
            <w:vAlign w:val="bottom"/>
            <w:tcBorders>
              <w:bottom w:val="single" w:sz="8" w:color="131E29"/>
            </w:tcBorders>
          </w:tcPr>
          <w:p>
            <w:pPr>
              <w:jc w:val="right"/>
              <w:ind w:right="22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6"/>
                <w:szCs w:val="16"/>
                <w:color w:val="auto"/>
              </w:rPr>
            </w:pPr>
          </w:p>
        </w:tc>
        <w:tc>
          <w:tcPr>
            <w:tcW w:w="920" w:type="dxa"/>
            <w:vAlign w:val="bottom"/>
            <w:tcBorders>
              <w:bottom w:val="single" w:sz="8" w:color="131E29"/>
            </w:tcBorders>
          </w:tcPr>
          <w:p>
            <w:pPr>
              <w:jc w:val="right"/>
              <w:ind w:right="34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6"/>
                <w:szCs w:val="16"/>
                <w:color w:val="auto"/>
              </w:rPr>
            </w:pPr>
          </w:p>
        </w:tc>
        <w:tc>
          <w:tcPr>
            <w:tcW w:w="160" w:type="dxa"/>
            <w:vAlign w:val="bottom"/>
            <w:tcBorders>
              <w:bottom w:val="single" w:sz="8" w:color="131E29"/>
            </w:tcBorders>
          </w:tcPr>
          <w:p>
            <w:pPr>
              <w:spacing w:after="0"/>
              <w:rPr>
                <w:sz w:val="16"/>
                <w:szCs w:val="16"/>
                <w:color w:val="auto"/>
              </w:rPr>
            </w:pPr>
          </w:p>
        </w:tc>
        <w:tc>
          <w:tcPr>
            <w:tcW w:w="540" w:type="dxa"/>
            <w:vAlign w:val="bottom"/>
            <w:tcBorders>
              <w:bottom w:val="single" w:sz="8" w:color="131E29"/>
            </w:tcBorders>
          </w:tcPr>
          <w:p>
            <w:pPr>
              <w:jc w:val="right"/>
              <w:ind w:right="209"/>
              <w:spacing w:after="0"/>
              <w:rPr>
                <w:sz w:val="20"/>
                <w:szCs w:val="20"/>
                <w:color w:val="auto"/>
              </w:rPr>
            </w:pPr>
            <w:r>
              <w:rPr>
                <w:rFonts w:ascii="Arial" w:cs="Arial" w:eastAsia="Arial" w:hAnsi="Arial"/>
                <w:sz w:val="14"/>
                <w:szCs w:val="14"/>
                <w:b w:val="1"/>
                <w:bCs w:val="1"/>
                <w:color w:val="131E29"/>
              </w:rPr>
              <w:t>%</w:t>
            </w:r>
          </w:p>
        </w:tc>
        <w:tc>
          <w:tcPr>
            <w:tcW w:w="0" w:type="dxa"/>
            <w:vAlign w:val="bottom"/>
          </w:tcPr>
          <w:p>
            <w:pPr>
              <w:spacing w:after="0"/>
              <w:rPr>
                <w:sz w:val="1"/>
                <w:szCs w:val="1"/>
                <w:color w:val="auto"/>
              </w:rPr>
            </w:pPr>
          </w:p>
        </w:tc>
      </w:tr>
      <w:tr>
        <w:trPr>
          <w:trHeight w:val="246"/>
        </w:trPr>
        <w:tc>
          <w:tcPr>
            <w:tcW w:w="580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 xml:space="preserve">Net income (loss) </w:t>
            </w:r>
            <w:r>
              <w:rPr>
                <w:rFonts w:ascii="Arial" w:cs="Arial" w:eastAsia="Arial" w:hAnsi="Arial"/>
                <w:sz w:val="18"/>
                <w:szCs w:val="18"/>
                <w:b w:val="1"/>
                <w:bCs w:val="1"/>
                <w:color w:val="131E29"/>
                <w:vertAlign w:val="superscript"/>
              </w:rPr>
              <w:t>2</w:t>
            </w:r>
          </w:p>
        </w:tc>
        <w:tc>
          <w:tcPr>
            <w:tcW w:w="104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(19,253)</w:t>
            </w:r>
          </w:p>
        </w:tc>
        <w:tc>
          <w:tcPr>
            <w:tcW w:w="80" w:type="dxa"/>
            <w:vAlign w:val="bottom"/>
            <w:shd w:val="clear" w:color="auto" w:fill="D2DCE5"/>
          </w:tcPr>
          <w:p>
            <w:pPr>
              <w:spacing w:after="0"/>
              <w:rPr>
                <w:sz w:val="21"/>
                <w:szCs w:val="21"/>
                <w:color w:val="auto"/>
              </w:rPr>
            </w:pPr>
          </w:p>
        </w:tc>
        <w:tc>
          <w:tcPr>
            <w:tcW w:w="60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(2.6)</w:t>
            </w:r>
          </w:p>
        </w:tc>
        <w:tc>
          <w:tcPr>
            <w:tcW w:w="80" w:type="dxa"/>
            <w:vAlign w:val="bottom"/>
            <w:shd w:val="clear" w:color="auto" w:fill="D2DCE5"/>
          </w:tcPr>
          <w:p>
            <w:pPr>
              <w:spacing w:after="0"/>
              <w:rPr>
                <w:sz w:val="21"/>
                <w:szCs w:val="21"/>
                <w:color w:val="auto"/>
              </w:rPr>
            </w:pPr>
          </w:p>
        </w:tc>
        <w:tc>
          <w:tcPr>
            <w:tcW w:w="110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(117,931)</w:t>
            </w:r>
          </w:p>
        </w:tc>
        <w:tc>
          <w:tcPr>
            <w:tcW w:w="80" w:type="dxa"/>
            <w:vAlign w:val="bottom"/>
            <w:shd w:val="clear" w:color="auto" w:fill="D2DCE5"/>
          </w:tcPr>
          <w:p>
            <w:pPr>
              <w:spacing w:after="0"/>
              <w:rPr>
                <w:sz w:val="21"/>
                <w:szCs w:val="21"/>
                <w:color w:val="auto"/>
              </w:rPr>
            </w:pPr>
          </w:p>
        </w:tc>
        <w:tc>
          <w:tcPr>
            <w:tcW w:w="72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(23.7)</w:t>
            </w:r>
          </w:p>
        </w:tc>
        <w:tc>
          <w:tcPr>
            <w:tcW w:w="80" w:type="dxa"/>
            <w:vAlign w:val="bottom"/>
            <w:shd w:val="clear" w:color="auto" w:fill="D2DCE5"/>
          </w:tcPr>
          <w:p>
            <w:pPr>
              <w:spacing w:after="0"/>
              <w:rPr>
                <w:sz w:val="21"/>
                <w:szCs w:val="21"/>
                <w:color w:val="auto"/>
              </w:rPr>
            </w:pPr>
          </w:p>
        </w:tc>
        <w:tc>
          <w:tcPr>
            <w:tcW w:w="92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6,058</w:t>
            </w:r>
          </w:p>
        </w:tc>
        <w:tc>
          <w:tcPr>
            <w:tcW w:w="80" w:type="dxa"/>
            <w:vAlign w:val="bottom"/>
            <w:shd w:val="clear" w:color="auto" w:fill="D2DCE5"/>
          </w:tcPr>
          <w:p>
            <w:pPr>
              <w:spacing w:after="0"/>
              <w:rPr>
                <w:sz w:val="21"/>
                <w:szCs w:val="21"/>
                <w:color w:val="auto"/>
              </w:rPr>
            </w:pPr>
          </w:p>
        </w:tc>
        <w:tc>
          <w:tcPr>
            <w:tcW w:w="160" w:type="dxa"/>
            <w:vAlign w:val="bottom"/>
            <w:shd w:val="clear" w:color="auto" w:fill="D2DCE5"/>
          </w:tcPr>
          <w:p>
            <w:pPr>
              <w:spacing w:after="0"/>
              <w:rPr>
                <w:sz w:val="21"/>
                <w:szCs w:val="21"/>
                <w:color w:val="auto"/>
              </w:rPr>
            </w:pPr>
          </w:p>
        </w:tc>
        <w:tc>
          <w:tcPr>
            <w:tcW w:w="54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1.9</w:t>
            </w:r>
          </w:p>
        </w:tc>
        <w:tc>
          <w:tcPr>
            <w:tcW w:w="0" w:type="dxa"/>
            <w:vAlign w:val="bottom"/>
          </w:tcPr>
          <w:p>
            <w:pPr>
              <w:spacing w:after="0"/>
              <w:rPr>
                <w:sz w:val="1"/>
                <w:szCs w:val="1"/>
                <w:color w:val="auto"/>
              </w:rPr>
            </w:pPr>
          </w:p>
        </w:tc>
      </w:tr>
      <w:tr>
        <w:trPr>
          <w:trHeight w:val="73"/>
        </w:trPr>
        <w:tc>
          <w:tcPr>
            <w:tcW w:w="5720" w:type="dxa"/>
            <w:vAlign w:val="bottom"/>
            <w:tcBorders>
              <w:bottom w:val="single" w:sz="8" w:color="D2DCE5"/>
            </w:tcBorders>
            <w:shd w:val="clear" w:color="auto" w:fill="D2DCE5"/>
          </w:tcPr>
          <w:p>
            <w:pPr>
              <w:spacing w:after="0"/>
              <w:rPr>
                <w:sz w:val="6"/>
                <w:szCs w:val="6"/>
                <w:color w:val="auto"/>
              </w:rPr>
            </w:pPr>
          </w:p>
        </w:tc>
        <w:tc>
          <w:tcPr>
            <w:tcW w:w="80" w:type="dxa"/>
            <w:vAlign w:val="bottom"/>
            <w:tcBorders>
              <w:bottom w:val="single" w:sz="8" w:color="D2DCE5"/>
            </w:tcBorders>
            <w:shd w:val="clear" w:color="auto" w:fill="D2DCE5"/>
          </w:tcPr>
          <w:p>
            <w:pPr>
              <w:spacing w:after="0"/>
              <w:rPr>
                <w:sz w:val="6"/>
                <w:szCs w:val="6"/>
                <w:color w:val="auto"/>
              </w:rPr>
            </w:pPr>
          </w:p>
        </w:tc>
        <w:tc>
          <w:tcPr>
            <w:tcW w:w="1040" w:type="dxa"/>
            <w:vAlign w:val="bottom"/>
            <w:tcBorders>
              <w:bottom w:val="single" w:sz="8" w:color="D2DCE5"/>
            </w:tcBorders>
            <w:vMerge w:val="continue"/>
            <w:shd w:val="clear" w:color="auto" w:fill="D2DCE5"/>
          </w:tcPr>
          <w:p>
            <w:pPr>
              <w:spacing w:after="0"/>
              <w:rPr>
                <w:sz w:val="6"/>
                <w:szCs w:val="6"/>
                <w:color w:val="auto"/>
              </w:rPr>
            </w:pPr>
          </w:p>
        </w:tc>
        <w:tc>
          <w:tcPr>
            <w:tcW w:w="80" w:type="dxa"/>
            <w:vAlign w:val="bottom"/>
            <w:tcBorders>
              <w:bottom w:val="single" w:sz="8" w:color="D2DCE5"/>
            </w:tcBorders>
            <w:shd w:val="clear" w:color="auto" w:fill="D2DCE5"/>
          </w:tcPr>
          <w:p>
            <w:pPr>
              <w:spacing w:after="0"/>
              <w:rPr>
                <w:sz w:val="6"/>
                <w:szCs w:val="6"/>
                <w:color w:val="auto"/>
              </w:rPr>
            </w:pPr>
          </w:p>
        </w:tc>
        <w:tc>
          <w:tcPr>
            <w:tcW w:w="600" w:type="dxa"/>
            <w:vAlign w:val="bottom"/>
            <w:tcBorders>
              <w:bottom w:val="single" w:sz="8" w:color="D2DCE5"/>
            </w:tcBorders>
            <w:vMerge w:val="continue"/>
            <w:shd w:val="clear" w:color="auto" w:fill="D2DCE5"/>
          </w:tcPr>
          <w:p>
            <w:pPr>
              <w:spacing w:after="0"/>
              <w:rPr>
                <w:sz w:val="6"/>
                <w:szCs w:val="6"/>
                <w:color w:val="auto"/>
              </w:rPr>
            </w:pPr>
          </w:p>
        </w:tc>
        <w:tc>
          <w:tcPr>
            <w:tcW w:w="80" w:type="dxa"/>
            <w:vAlign w:val="bottom"/>
            <w:tcBorders>
              <w:bottom w:val="single" w:sz="8" w:color="D2DCE5"/>
            </w:tcBorders>
            <w:shd w:val="clear" w:color="auto" w:fill="D2DCE5"/>
          </w:tcPr>
          <w:p>
            <w:pPr>
              <w:spacing w:after="0"/>
              <w:rPr>
                <w:sz w:val="6"/>
                <w:szCs w:val="6"/>
                <w:color w:val="auto"/>
              </w:rPr>
            </w:pPr>
          </w:p>
        </w:tc>
        <w:tc>
          <w:tcPr>
            <w:tcW w:w="1100" w:type="dxa"/>
            <w:vAlign w:val="bottom"/>
            <w:tcBorders>
              <w:bottom w:val="single" w:sz="8" w:color="D2DCE5"/>
            </w:tcBorders>
            <w:vMerge w:val="continue"/>
            <w:shd w:val="clear" w:color="auto" w:fill="D2DCE5"/>
          </w:tcPr>
          <w:p>
            <w:pPr>
              <w:spacing w:after="0"/>
              <w:rPr>
                <w:sz w:val="6"/>
                <w:szCs w:val="6"/>
                <w:color w:val="auto"/>
              </w:rPr>
            </w:pPr>
          </w:p>
        </w:tc>
        <w:tc>
          <w:tcPr>
            <w:tcW w:w="80" w:type="dxa"/>
            <w:vAlign w:val="bottom"/>
            <w:tcBorders>
              <w:bottom w:val="single" w:sz="8" w:color="D2DCE5"/>
            </w:tcBorders>
            <w:shd w:val="clear" w:color="auto" w:fill="D2DCE5"/>
          </w:tcPr>
          <w:p>
            <w:pPr>
              <w:spacing w:after="0"/>
              <w:rPr>
                <w:sz w:val="6"/>
                <w:szCs w:val="6"/>
                <w:color w:val="auto"/>
              </w:rPr>
            </w:pPr>
          </w:p>
        </w:tc>
        <w:tc>
          <w:tcPr>
            <w:tcW w:w="720" w:type="dxa"/>
            <w:vAlign w:val="bottom"/>
            <w:tcBorders>
              <w:bottom w:val="single" w:sz="8" w:color="D2DCE5"/>
            </w:tcBorders>
            <w:vMerge w:val="continue"/>
            <w:shd w:val="clear" w:color="auto" w:fill="D2DCE5"/>
          </w:tcPr>
          <w:p>
            <w:pPr>
              <w:spacing w:after="0"/>
              <w:rPr>
                <w:sz w:val="6"/>
                <w:szCs w:val="6"/>
                <w:color w:val="auto"/>
              </w:rPr>
            </w:pPr>
          </w:p>
        </w:tc>
        <w:tc>
          <w:tcPr>
            <w:tcW w:w="80" w:type="dxa"/>
            <w:vAlign w:val="bottom"/>
            <w:tcBorders>
              <w:bottom w:val="single" w:sz="8" w:color="D2DCE5"/>
            </w:tcBorders>
            <w:shd w:val="clear" w:color="auto" w:fill="D2DCE5"/>
          </w:tcPr>
          <w:p>
            <w:pPr>
              <w:spacing w:after="0"/>
              <w:rPr>
                <w:sz w:val="6"/>
                <w:szCs w:val="6"/>
                <w:color w:val="auto"/>
              </w:rPr>
            </w:pPr>
          </w:p>
        </w:tc>
        <w:tc>
          <w:tcPr>
            <w:tcW w:w="920" w:type="dxa"/>
            <w:vAlign w:val="bottom"/>
            <w:tcBorders>
              <w:bottom w:val="single" w:sz="8" w:color="D2DCE5"/>
            </w:tcBorders>
            <w:vMerge w:val="continue"/>
            <w:shd w:val="clear" w:color="auto" w:fill="D2DCE5"/>
          </w:tcPr>
          <w:p>
            <w:pPr>
              <w:spacing w:after="0"/>
              <w:rPr>
                <w:sz w:val="6"/>
                <w:szCs w:val="6"/>
                <w:color w:val="auto"/>
              </w:rPr>
            </w:pPr>
          </w:p>
        </w:tc>
        <w:tc>
          <w:tcPr>
            <w:tcW w:w="80" w:type="dxa"/>
            <w:vAlign w:val="bottom"/>
            <w:tcBorders>
              <w:bottom w:val="single" w:sz="8" w:color="D2DCE5"/>
            </w:tcBorders>
            <w:shd w:val="clear" w:color="auto" w:fill="D2DCE5"/>
          </w:tcPr>
          <w:p>
            <w:pPr>
              <w:spacing w:after="0"/>
              <w:rPr>
                <w:sz w:val="6"/>
                <w:szCs w:val="6"/>
                <w:color w:val="auto"/>
              </w:rPr>
            </w:pPr>
          </w:p>
        </w:tc>
        <w:tc>
          <w:tcPr>
            <w:tcW w:w="160" w:type="dxa"/>
            <w:vAlign w:val="bottom"/>
            <w:tcBorders>
              <w:bottom w:val="single" w:sz="8" w:color="D2DCE5"/>
            </w:tcBorders>
            <w:shd w:val="clear" w:color="auto" w:fill="D2DCE5"/>
          </w:tcPr>
          <w:p>
            <w:pPr>
              <w:spacing w:after="0"/>
              <w:rPr>
                <w:sz w:val="6"/>
                <w:szCs w:val="6"/>
                <w:color w:val="auto"/>
              </w:rPr>
            </w:pPr>
          </w:p>
        </w:tc>
        <w:tc>
          <w:tcPr>
            <w:tcW w:w="540" w:type="dxa"/>
            <w:vAlign w:val="bottom"/>
            <w:tcBorders>
              <w:bottom w:val="single" w:sz="8" w:color="D2DCE5"/>
            </w:tcBorders>
            <w:vMerge w:val="continue"/>
            <w:shd w:val="clear" w:color="auto" w:fill="D2DCE5"/>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800" w:type="dxa"/>
            <w:vAlign w:val="bottom"/>
            <w:gridSpan w:val="2"/>
          </w:tcPr>
          <w:p>
            <w:pPr>
              <w:ind w:left="140"/>
              <w:spacing w:after="0"/>
              <w:rPr>
                <w:sz w:val="20"/>
                <w:szCs w:val="20"/>
                <w:color w:val="auto"/>
              </w:rPr>
            </w:pPr>
            <w:r>
              <w:rPr>
                <w:rFonts w:ascii="Arial" w:cs="Arial" w:eastAsia="Arial" w:hAnsi="Arial"/>
                <w:sz w:val="14"/>
                <w:szCs w:val="14"/>
                <w:color w:val="131E29"/>
              </w:rPr>
              <w:t>Depreciation and amortization</w:t>
            </w:r>
          </w:p>
        </w:tc>
        <w:tc>
          <w:tcPr>
            <w:tcW w:w="1040" w:type="dxa"/>
            <w:vAlign w:val="bottom"/>
          </w:tcPr>
          <w:p>
            <w:pPr>
              <w:jc w:val="right"/>
              <w:spacing w:after="0"/>
              <w:rPr>
                <w:sz w:val="20"/>
                <w:szCs w:val="20"/>
                <w:color w:val="auto"/>
              </w:rPr>
            </w:pPr>
            <w:r>
              <w:rPr>
                <w:rFonts w:ascii="Arial" w:cs="Arial" w:eastAsia="Arial" w:hAnsi="Arial"/>
                <w:sz w:val="14"/>
                <w:szCs w:val="14"/>
                <w:color w:val="131E29"/>
              </w:rPr>
              <w:t>44,728</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131E29"/>
              </w:rPr>
              <w:t>6.0</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131E29"/>
              </w:rPr>
              <w:t>25,217</w:t>
            </w:r>
          </w:p>
        </w:tc>
        <w:tc>
          <w:tcPr>
            <w:tcW w:w="8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131E29"/>
              </w:rPr>
              <w:t>5.1</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131E29"/>
              </w:rPr>
              <w:t>15,537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131E29"/>
              </w:rPr>
              <w:t>4.7</w:t>
            </w:r>
          </w:p>
        </w:tc>
        <w:tc>
          <w:tcPr>
            <w:tcW w:w="0" w:type="dxa"/>
            <w:vAlign w:val="bottom"/>
          </w:tcPr>
          <w:p>
            <w:pPr>
              <w:spacing w:after="0"/>
              <w:rPr>
                <w:sz w:val="1"/>
                <w:szCs w:val="1"/>
                <w:color w:val="auto"/>
              </w:rPr>
            </w:pPr>
          </w:p>
        </w:tc>
      </w:tr>
      <w:tr>
        <w:trPr>
          <w:trHeight w:val="22"/>
        </w:trPr>
        <w:tc>
          <w:tcPr>
            <w:tcW w:w="5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58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 xml:space="preserve">Interest expense, net </w:t>
            </w:r>
            <w:r>
              <w:rPr>
                <w:rFonts w:ascii="Arial" w:cs="Arial" w:eastAsia="Arial" w:hAnsi="Arial"/>
                <w:sz w:val="18"/>
                <w:szCs w:val="18"/>
                <w:color w:val="131E29"/>
                <w:vertAlign w:val="superscript"/>
              </w:rPr>
              <w:t>3</w:t>
            </w:r>
          </w:p>
        </w:tc>
        <w:tc>
          <w:tcPr>
            <w:tcW w:w="104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18,018</w:t>
            </w:r>
          </w:p>
        </w:tc>
        <w:tc>
          <w:tcPr>
            <w:tcW w:w="80" w:type="dxa"/>
            <w:vAlign w:val="bottom"/>
            <w:shd w:val="clear" w:color="auto" w:fill="D2DCE5"/>
          </w:tcPr>
          <w:p>
            <w:pPr>
              <w:spacing w:after="0"/>
              <w:rPr>
                <w:sz w:val="21"/>
                <w:szCs w:val="21"/>
                <w:color w:val="auto"/>
              </w:rPr>
            </w:pPr>
          </w:p>
        </w:tc>
        <w:tc>
          <w:tcPr>
            <w:tcW w:w="60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2.4</w:t>
            </w:r>
          </w:p>
        </w:tc>
        <w:tc>
          <w:tcPr>
            <w:tcW w:w="80" w:type="dxa"/>
            <w:vAlign w:val="bottom"/>
            <w:shd w:val="clear" w:color="auto" w:fill="D2DCE5"/>
          </w:tcPr>
          <w:p>
            <w:pPr>
              <w:spacing w:after="0"/>
              <w:rPr>
                <w:sz w:val="21"/>
                <w:szCs w:val="21"/>
                <w:color w:val="auto"/>
              </w:rPr>
            </w:pPr>
          </w:p>
        </w:tc>
        <w:tc>
          <w:tcPr>
            <w:tcW w:w="110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7,093</w:t>
            </w:r>
          </w:p>
        </w:tc>
        <w:tc>
          <w:tcPr>
            <w:tcW w:w="80" w:type="dxa"/>
            <w:vAlign w:val="bottom"/>
            <w:shd w:val="clear" w:color="auto" w:fill="D2DCE5"/>
          </w:tcPr>
          <w:p>
            <w:pPr>
              <w:spacing w:after="0"/>
              <w:rPr>
                <w:sz w:val="21"/>
                <w:szCs w:val="21"/>
                <w:color w:val="auto"/>
              </w:rPr>
            </w:pPr>
          </w:p>
        </w:tc>
        <w:tc>
          <w:tcPr>
            <w:tcW w:w="720" w:type="dxa"/>
            <w:vAlign w:val="bottom"/>
            <w:vMerge w:val="restart"/>
            <w:shd w:val="clear" w:color="auto" w:fill="D2DCE5"/>
          </w:tcPr>
          <w:p>
            <w:pPr>
              <w:jc w:val="right"/>
              <w:ind w:right="9"/>
              <w:spacing w:after="0"/>
              <w:rPr>
                <w:sz w:val="20"/>
                <w:szCs w:val="20"/>
                <w:color w:val="auto"/>
              </w:rPr>
            </w:pPr>
            <w:r>
              <w:rPr>
                <w:rFonts w:ascii="Arial" w:cs="Arial" w:eastAsia="Arial" w:hAnsi="Arial"/>
                <w:sz w:val="14"/>
                <w:szCs w:val="14"/>
                <w:color w:val="131E29"/>
              </w:rPr>
              <w:t>1.4</w:t>
            </w:r>
          </w:p>
        </w:tc>
        <w:tc>
          <w:tcPr>
            <w:tcW w:w="80" w:type="dxa"/>
            <w:vAlign w:val="bottom"/>
            <w:shd w:val="clear" w:color="auto" w:fill="D2DCE5"/>
          </w:tcPr>
          <w:p>
            <w:pPr>
              <w:spacing w:after="0"/>
              <w:rPr>
                <w:sz w:val="21"/>
                <w:szCs w:val="21"/>
                <w:color w:val="auto"/>
              </w:rPr>
            </w:pPr>
          </w:p>
        </w:tc>
        <w:tc>
          <w:tcPr>
            <w:tcW w:w="92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3,736</w:t>
            </w:r>
          </w:p>
        </w:tc>
        <w:tc>
          <w:tcPr>
            <w:tcW w:w="80" w:type="dxa"/>
            <w:vAlign w:val="bottom"/>
            <w:shd w:val="clear" w:color="auto" w:fill="D2DCE5"/>
          </w:tcPr>
          <w:p>
            <w:pPr>
              <w:spacing w:after="0"/>
              <w:rPr>
                <w:sz w:val="21"/>
                <w:szCs w:val="21"/>
                <w:color w:val="auto"/>
              </w:rPr>
            </w:pPr>
          </w:p>
        </w:tc>
        <w:tc>
          <w:tcPr>
            <w:tcW w:w="160" w:type="dxa"/>
            <w:vAlign w:val="bottom"/>
            <w:shd w:val="clear" w:color="auto" w:fill="D2DCE5"/>
          </w:tcPr>
          <w:p>
            <w:pPr>
              <w:spacing w:after="0"/>
              <w:rPr>
                <w:sz w:val="21"/>
                <w:szCs w:val="21"/>
                <w:color w:val="auto"/>
              </w:rPr>
            </w:pPr>
          </w:p>
        </w:tc>
        <w:tc>
          <w:tcPr>
            <w:tcW w:w="54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1.1</w:t>
            </w:r>
          </w:p>
        </w:tc>
        <w:tc>
          <w:tcPr>
            <w:tcW w:w="0" w:type="dxa"/>
            <w:vAlign w:val="bottom"/>
          </w:tcPr>
          <w:p>
            <w:pPr>
              <w:spacing w:after="0"/>
              <w:rPr>
                <w:sz w:val="1"/>
                <w:szCs w:val="1"/>
                <w:color w:val="auto"/>
              </w:rPr>
            </w:pPr>
          </w:p>
        </w:tc>
      </w:tr>
      <w:tr>
        <w:trPr>
          <w:trHeight w:val="73"/>
        </w:trPr>
        <w:tc>
          <w:tcPr>
            <w:tcW w:w="5720" w:type="dxa"/>
            <w:vAlign w:val="bottom"/>
            <w:tcBorders>
              <w:bottom w:val="single" w:sz="8" w:color="D2DCE5"/>
            </w:tcBorders>
            <w:shd w:val="clear" w:color="auto" w:fill="D2DCE5"/>
          </w:tcPr>
          <w:p>
            <w:pPr>
              <w:spacing w:after="0"/>
              <w:rPr>
                <w:sz w:val="6"/>
                <w:szCs w:val="6"/>
                <w:color w:val="auto"/>
              </w:rPr>
            </w:pPr>
          </w:p>
        </w:tc>
        <w:tc>
          <w:tcPr>
            <w:tcW w:w="80" w:type="dxa"/>
            <w:vAlign w:val="bottom"/>
            <w:tcBorders>
              <w:bottom w:val="single" w:sz="8" w:color="D2DCE5"/>
            </w:tcBorders>
            <w:shd w:val="clear" w:color="auto" w:fill="D2DCE5"/>
          </w:tcPr>
          <w:p>
            <w:pPr>
              <w:spacing w:after="0"/>
              <w:rPr>
                <w:sz w:val="6"/>
                <w:szCs w:val="6"/>
                <w:color w:val="auto"/>
              </w:rPr>
            </w:pPr>
          </w:p>
        </w:tc>
        <w:tc>
          <w:tcPr>
            <w:tcW w:w="1040" w:type="dxa"/>
            <w:vAlign w:val="bottom"/>
            <w:tcBorders>
              <w:bottom w:val="single" w:sz="8" w:color="D2DCE5"/>
            </w:tcBorders>
            <w:vMerge w:val="continue"/>
            <w:shd w:val="clear" w:color="auto" w:fill="D2DCE5"/>
          </w:tcPr>
          <w:p>
            <w:pPr>
              <w:spacing w:after="0"/>
              <w:rPr>
                <w:sz w:val="6"/>
                <w:szCs w:val="6"/>
                <w:color w:val="auto"/>
              </w:rPr>
            </w:pPr>
          </w:p>
        </w:tc>
        <w:tc>
          <w:tcPr>
            <w:tcW w:w="80" w:type="dxa"/>
            <w:vAlign w:val="bottom"/>
            <w:tcBorders>
              <w:bottom w:val="single" w:sz="8" w:color="D2DCE5"/>
            </w:tcBorders>
            <w:shd w:val="clear" w:color="auto" w:fill="D2DCE5"/>
          </w:tcPr>
          <w:p>
            <w:pPr>
              <w:spacing w:after="0"/>
              <w:rPr>
                <w:sz w:val="6"/>
                <w:szCs w:val="6"/>
                <w:color w:val="auto"/>
              </w:rPr>
            </w:pPr>
          </w:p>
        </w:tc>
        <w:tc>
          <w:tcPr>
            <w:tcW w:w="600" w:type="dxa"/>
            <w:vAlign w:val="bottom"/>
            <w:tcBorders>
              <w:bottom w:val="single" w:sz="8" w:color="D2DCE5"/>
            </w:tcBorders>
            <w:vMerge w:val="continue"/>
            <w:shd w:val="clear" w:color="auto" w:fill="D2DCE5"/>
          </w:tcPr>
          <w:p>
            <w:pPr>
              <w:spacing w:after="0"/>
              <w:rPr>
                <w:sz w:val="6"/>
                <w:szCs w:val="6"/>
                <w:color w:val="auto"/>
              </w:rPr>
            </w:pPr>
          </w:p>
        </w:tc>
        <w:tc>
          <w:tcPr>
            <w:tcW w:w="80" w:type="dxa"/>
            <w:vAlign w:val="bottom"/>
            <w:tcBorders>
              <w:bottom w:val="single" w:sz="8" w:color="D2DCE5"/>
            </w:tcBorders>
            <w:shd w:val="clear" w:color="auto" w:fill="D2DCE5"/>
          </w:tcPr>
          <w:p>
            <w:pPr>
              <w:spacing w:after="0"/>
              <w:rPr>
                <w:sz w:val="6"/>
                <w:szCs w:val="6"/>
                <w:color w:val="auto"/>
              </w:rPr>
            </w:pPr>
          </w:p>
        </w:tc>
        <w:tc>
          <w:tcPr>
            <w:tcW w:w="1100" w:type="dxa"/>
            <w:vAlign w:val="bottom"/>
            <w:tcBorders>
              <w:bottom w:val="single" w:sz="8" w:color="D2DCE5"/>
            </w:tcBorders>
            <w:vMerge w:val="continue"/>
            <w:shd w:val="clear" w:color="auto" w:fill="D2DCE5"/>
          </w:tcPr>
          <w:p>
            <w:pPr>
              <w:spacing w:after="0"/>
              <w:rPr>
                <w:sz w:val="6"/>
                <w:szCs w:val="6"/>
                <w:color w:val="auto"/>
              </w:rPr>
            </w:pPr>
          </w:p>
        </w:tc>
        <w:tc>
          <w:tcPr>
            <w:tcW w:w="80" w:type="dxa"/>
            <w:vAlign w:val="bottom"/>
            <w:tcBorders>
              <w:bottom w:val="single" w:sz="8" w:color="D2DCE5"/>
            </w:tcBorders>
            <w:shd w:val="clear" w:color="auto" w:fill="D2DCE5"/>
          </w:tcPr>
          <w:p>
            <w:pPr>
              <w:spacing w:after="0"/>
              <w:rPr>
                <w:sz w:val="6"/>
                <w:szCs w:val="6"/>
                <w:color w:val="auto"/>
              </w:rPr>
            </w:pPr>
          </w:p>
        </w:tc>
        <w:tc>
          <w:tcPr>
            <w:tcW w:w="720" w:type="dxa"/>
            <w:vAlign w:val="bottom"/>
            <w:tcBorders>
              <w:bottom w:val="single" w:sz="8" w:color="D2DCE5"/>
            </w:tcBorders>
            <w:vMerge w:val="continue"/>
            <w:shd w:val="clear" w:color="auto" w:fill="D2DCE5"/>
          </w:tcPr>
          <w:p>
            <w:pPr>
              <w:spacing w:after="0"/>
              <w:rPr>
                <w:sz w:val="6"/>
                <w:szCs w:val="6"/>
                <w:color w:val="auto"/>
              </w:rPr>
            </w:pPr>
          </w:p>
        </w:tc>
        <w:tc>
          <w:tcPr>
            <w:tcW w:w="80" w:type="dxa"/>
            <w:vAlign w:val="bottom"/>
            <w:tcBorders>
              <w:bottom w:val="single" w:sz="8" w:color="D2DCE5"/>
            </w:tcBorders>
            <w:shd w:val="clear" w:color="auto" w:fill="D2DCE5"/>
          </w:tcPr>
          <w:p>
            <w:pPr>
              <w:spacing w:after="0"/>
              <w:rPr>
                <w:sz w:val="6"/>
                <w:szCs w:val="6"/>
                <w:color w:val="auto"/>
              </w:rPr>
            </w:pPr>
          </w:p>
        </w:tc>
        <w:tc>
          <w:tcPr>
            <w:tcW w:w="920" w:type="dxa"/>
            <w:vAlign w:val="bottom"/>
            <w:tcBorders>
              <w:bottom w:val="single" w:sz="8" w:color="D2DCE5"/>
            </w:tcBorders>
            <w:vMerge w:val="continue"/>
            <w:shd w:val="clear" w:color="auto" w:fill="D2DCE5"/>
          </w:tcPr>
          <w:p>
            <w:pPr>
              <w:spacing w:after="0"/>
              <w:rPr>
                <w:sz w:val="6"/>
                <w:szCs w:val="6"/>
                <w:color w:val="auto"/>
              </w:rPr>
            </w:pPr>
          </w:p>
        </w:tc>
        <w:tc>
          <w:tcPr>
            <w:tcW w:w="80" w:type="dxa"/>
            <w:vAlign w:val="bottom"/>
            <w:tcBorders>
              <w:bottom w:val="single" w:sz="8" w:color="D2DCE5"/>
            </w:tcBorders>
            <w:shd w:val="clear" w:color="auto" w:fill="D2DCE5"/>
          </w:tcPr>
          <w:p>
            <w:pPr>
              <w:spacing w:after="0"/>
              <w:rPr>
                <w:sz w:val="6"/>
                <w:szCs w:val="6"/>
                <w:color w:val="auto"/>
              </w:rPr>
            </w:pPr>
          </w:p>
        </w:tc>
        <w:tc>
          <w:tcPr>
            <w:tcW w:w="160" w:type="dxa"/>
            <w:vAlign w:val="bottom"/>
            <w:tcBorders>
              <w:bottom w:val="single" w:sz="8" w:color="D2DCE5"/>
            </w:tcBorders>
            <w:shd w:val="clear" w:color="auto" w:fill="D2DCE5"/>
          </w:tcPr>
          <w:p>
            <w:pPr>
              <w:spacing w:after="0"/>
              <w:rPr>
                <w:sz w:val="6"/>
                <w:szCs w:val="6"/>
                <w:color w:val="auto"/>
              </w:rPr>
            </w:pPr>
          </w:p>
        </w:tc>
        <w:tc>
          <w:tcPr>
            <w:tcW w:w="540" w:type="dxa"/>
            <w:vAlign w:val="bottom"/>
            <w:tcBorders>
              <w:bottom w:val="single" w:sz="8" w:color="D2DCE5"/>
            </w:tcBorders>
            <w:vMerge w:val="continue"/>
            <w:shd w:val="clear" w:color="auto" w:fill="D2DCE5"/>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800" w:type="dxa"/>
            <w:vAlign w:val="bottom"/>
            <w:gridSpan w:val="2"/>
          </w:tcPr>
          <w:p>
            <w:pPr>
              <w:ind w:left="140"/>
              <w:spacing w:after="0"/>
              <w:rPr>
                <w:sz w:val="20"/>
                <w:szCs w:val="20"/>
                <w:color w:val="auto"/>
              </w:rPr>
            </w:pPr>
            <w:r>
              <w:rPr>
                <w:rFonts w:ascii="Arial" w:cs="Arial" w:eastAsia="Arial" w:hAnsi="Arial"/>
                <w:sz w:val="14"/>
                <w:szCs w:val="14"/>
                <w:color w:val="131E29"/>
              </w:rPr>
              <w:t>Income tax expense (benefit)</w:t>
            </w:r>
          </w:p>
        </w:tc>
        <w:tc>
          <w:tcPr>
            <w:tcW w:w="1040" w:type="dxa"/>
            <w:vAlign w:val="bottom"/>
          </w:tcPr>
          <w:p>
            <w:pPr>
              <w:jc w:val="right"/>
              <w:spacing w:after="0"/>
              <w:rPr>
                <w:sz w:val="20"/>
                <w:szCs w:val="20"/>
                <w:color w:val="auto"/>
              </w:rPr>
            </w:pPr>
            <w:r>
              <w:rPr>
                <w:rFonts w:ascii="Arial" w:cs="Arial" w:eastAsia="Arial" w:hAnsi="Arial"/>
                <w:sz w:val="14"/>
                <w:szCs w:val="14"/>
                <w:color w:val="131E29"/>
              </w:rPr>
              <w:t>2,599</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131E29"/>
              </w:rPr>
              <w:t>0.4</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131E29"/>
              </w:rPr>
              <w:t>(1,628)</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(0.3)</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131E29"/>
              </w:rPr>
              <w:t>843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131E29"/>
              </w:rPr>
              <w:t>0.3</w:t>
            </w:r>
          </w:p>
        </w:tc>
        <w:tc>
          <w:tcPr>
            <w:tcW w:w="0" w:type="dxa"/>
            <w:vAlign w:val="bottom"/>
          </w:tcPr>
          <w:p>
            <w:pPr>
              <w:spacing w:after="0"/>
              <w:rPr>
                <w:sz w:val="1"/>
                <w:szCs w:val="1"/>
                <w:color w:val="auto"/>
              </w:rPr>
            </w:pPr>
          </w:p>
        </w:tc>
      </w:tr>
      <w:tr>
        <w:trPr>
          <w:trHeight w:val="22"/>
        </w:trPr>
        <w:tc>
          <w:tcPr>
            <w:tcW w:w="572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600" w:type="dxa"/>
            <w:vAlign w:val="bottom"/>
            <w:tcBorders>
              <w:bottom w:val="single" w:sz="8" w:color="131E29"/>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720" w:type="dxa"/>
            <w:vAlign w:val="bottom"/>
            <w:tcBorders>
              <w:bottom w:val="single" w:sz="8" w:color="131E29"/>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160" w:type="dxa"/>
            <w:vAlign w:val="bottom"/>
            <w:tcBorders>
              <w:bottom w:val="single" w:sz="8" w:color="131E29"/>
            </w:tcBorders>
          </w:tcPr>
          <w:p>
            <w:pPr>
              <w:spacing w:after="0" w:line="20" w:lineRule="exact"/>
              <w:rPr>
                <w:sz w:val="1"/>
                <w:szCs w:val="1"/>
                <w:color w:val="auto"/>
              </w:rPr>
            </w:pPr>
          </w:p>
        </w:tc>
        <w:tc>
          <w:tcPr>
            <w:tcW w:w="540" w:type="dxa"/>
            <w:vAlign w:val="bottom"/>
            <w:tcBorders>
              <w:bottom w:val="single" w:sz="8" w:color="131E2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5800" w:type="dxa"/>
            <w:vAlign w:val="bottom"/>
            <w:gridSpan w:val="2"/>
            <w:shd w:val="clear" w:color="auto" w:fill="D2DCE5"/>
          </w:tcPr>
          <w:p>
            <w:pPr>
              <w:ind w:left="280"/>
              <w:spacing w:after="0"/>
              <w:rPr>
                <w:sz w:val="20"/>
                <w:szCs w:val="20"/>
                <w:color w:val="auto"/>
              </w:rPr>
            </w:pPr>
            <w:r>
              <w:rPr>
                <w:rFonts w:ascii="Arial" w:cs="Arial" w:eastAsia="Arial" w:hAnsi="Arial"/>
                <w:sz w:val="14"/>
                <w:szCs w:val="14"/>
                <w:b w:val="1"/>
                <w:bCs w:val="1"/>
                <w:color w:val="131E29"/>
              </w:rPr>
              <w:t xml:space="preserve">EBITDA </w:t>
            </w:r>
            <w:r>
              <w:rPr>
                <w:rFonts w:ascii="Arial" w:cs="Arial" w:eastAsia="Arial" w:hAnsi="Arial"/>
                <w:sz w:val="18"/>
                <w:szCs w:val="18"/>
                <w:b w:val="1"/>
                <w:bCs w:val="1"/>
                <w:color w:val="131E29"/>
                <w:vertAlign w:val="superscript"/>
              </w:rPr>
              <w:t>2</w:t>
            </w:r>
          </w:p>
        </w:tc>
        <w:tc>
          <w:tcPr>
            <w:tcW w:w="104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46,092</w:t>
            </w:r>
          </w:p>
        </w:tc>
        <w:tc>
          <w:tcPr>
            <w:tcW w:w="80" w:type="dxa"/>
            <w:vAlign w:val="bottom"/>
            <w:shd w:val="clear" w:color="auto" w:fill="D2DCE5"/>
          </w:tcPr>
          <w:p>
            <w:pPr>
              <w:spacing w:after="0"/>
              <w:rPr>
                <w:sz w:val="19"/>
                <w:szCs w:val="19"/>
                <w:color w:val="auto"/>
              </w:rPr>
            </w:pPr>
          </w:p>
        </w:tc>
        <w:tc>
          <w:tcPr>
            <w:tcW w:w="60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6.2</w:t>
            </w:r>
          </w:p>
        </w:tc>
        <w:tc>
          <w:tcPr>
            <w:tcW w:w="80" w:type="dxa"/>
            <w:vAlign w:val="bottom"/>
            <w:shd w:val="clear" w:color="auto" w:fill="D2DCE5"/>
          </w:tcPr>
          <w:p>
            <w:pPr>
              <w:spacing w:after="0"/>
              <w:rPr>
                <w:sz w:val="19"/>
                <w:szCs w:val="19"/>
                <w:color w:val="auto"/>
              </w:rPr>
            </w:pPr>
          </w:p>
        </w:tc>
        <w:tc>
          <w:tcPr>
            <w:tcW w:w="110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(87,249)</w:t>
            </w:r>
          </w:p>
        </w:tc>
        <w:tc>
          <w:tcPr>
            <w:tcW w:w="80" w:type="dxa"/>
            <w:vAlign w:val="bottom"/>
            <w:shd w:val="clear" w:color="auto" w:fill="D2DCE5"/>
          </w:tcPr>
          <w:p>
            <w:pPr>
              <w:spacing w:after="0"/>
              <w:rPr>
                <w:sz w:val="19"/>
                <w:szCs w:val="19"/>
                <w:color w:val="auto"/>
              </w:rPr>
            </w:pPr>
          </w:p>
        </w:tc>
        <w:tc>
          <w:tcPr>
            <w:tcW w:w="72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(17.5)</w:t>
            </w:r>
          </w:p>
        </w:tc>
        <w:tc>
          <w:tcPr>
            <w:tcW w:w="80" w:type="dxa"/>
            <w:vAlign w:val="bottom"/>
            <w:shd w:val="clear" w:color="auto" w:fill="D2DCE5"/>
          </w:tcPr>
          <w:p>
            <w:pPr>
              <w:spacing w:after="0"/>
              <w:rPr>
                <w:sz w:val="19"/>
                <w:szCs w:val="19"/>
                <w:color w:val="auto"/>
              </w:rPr>
            </w:pPr>
          </w:p>
        </w:tc>
        <w:tc>
          <w:tcPr>
            <w:tcW w:w="92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26,174</w:t>
            </w:r>
          </w:p>
        </w:tc>
        <w:tc>
          <w:tcPr>
            <w:tcW w:w="80" w:type="dxa"/>
            <w:vAlign w:val="bottom"/>
            <w:shd w:val="clear" w:color="auto" w:fill="D2DCE5"/>
          </w:tcPr>
          <w:p>
            <w:pPr>
              <w:spacing w:after="0"/>
              <w:rPr>
                <w:sz w:val="19"/>
                <w:szCs w:val="19"/>
                <w:color w:val="auto"/>
              </w:rPr>
            </w:pPr>
          </w:p>
        </w:tc>
        <w:tc>
          <w:tcPr>
            <w:tcW w:w="160" w:type="dxa"/>
            <w:vAlign w:val="bottom"/>
            <w:shd w:val="clear" w:color="auto" w:fill="D2DCE5"/>
          </w:tcPr>
          <w:p>
            <w:pPr>
              <w:spacing w:after="0"/>
              <w:rPr>
                <w:sz w:val="19"/>
                <w:szCs w:val="19"/>
                <w:color w:val="auto"/>
              </w:rPr>
            </w:pPr>
          </w:p>
        </w:tc>
        <w:tc>
          <w:tcPr>
            <w:tcW w:w="54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8.0</w:t>
            </w:r>
          </w:p>
        </w:tc>
        <w:tc>
          <w:tcPr>
            <w:tcW w:w="0" w:type="dxa"/>
            <w:vAlign w:val="bottom"/>
          </w:tcPr>
          <w:p>
            <w:pPr>
              <w:spacing w:after="0"/>
              <w:rPr>
                <w:sz w:val="1"/>
                <w:szCs w:val="1"/>
                <w:color w:val="auto"/>
              </w:rPr>
            </w:pPr>
          </w:p>
        </w:tc>
      </w:tr>
      <w:tr>
        <w:trPr>
          <w:trHeight w:val="93"/>
        </w:trPr>
        <w:tc>
          <w:tcPr>
            <w:tcW w:w="5720" w:type="dxa"/>
            <w:vAlign w:val="bottom"/>
            <w:tcBorders>
              <w:bottom w:val="single" w:sz="8" w:color="D2DCE5"/>
            </w:tcBorders>
            <w:shd w:val="clear" w:color="auto" w:fill="D2DCE5"/>
          </w:tcPr>
          <w:p>
            <w:pPr>
              <w:spacing w:after="0"/>
              <w:rPr>
                <w:sz w:val="8"/>
                <w:szCs w:val="8"/>
                <w:color w:val="auto"/>
              </w:rPr>
            </w:pPr>
          </w:p>
        </w:tc>
        <w:tc>
          <w:tcPr>
            <w:tcW w:w="80" w:type="dxa"/>
            <w:vAlign w:val="bottom"/>
            <w:tcBorders>
              <w:bottom w:val="single" w:sz="8" w:color="D2DCE5"/>
            </w:tcBorders>
            <w:shd w:val="clear" w:color="auto" w:fill="D2DCE5"/>
          </w:tcPr>
          <w:p>
            <w:pPr>
              <w:spacing w:after="0"/>
              <w:rPr>
                <w:sz w:val="8"/>
                <w:szCs w:val="8"/>
                <w:color w:val="auto"/>
              </w:rPr>
            </w:pPr>
          </w:p>
        </w:tc>
        <w:tc>
          <w:tcPr>
            <w:tcW w:w="1040" w:type="dxa"/>
            <w:vAlign w:val="bottom"/>
            <w:tcBorders>
              <w:bottom w:val="single" w:sz="8" w:color="D2DCE5"/>
            </w:tcBorders>
            <w:vMerge w:val="continue"/>
            <w:shd w:val="clear" w:color="auto" w:fill="D2DCE5"/>
          </w:tcPr>
          <w:p>
            <w:pPr>
              <w:spacing w:after="0"/>
              <w:rPr>
                <w:sz w:val="8"/>
                <w:szCs w:val="8"/>
                <w:color w:val="auto"/>
              </w:rPr>
            </w:pPr>
          </w:p>
        </w:tc>
        <w:tc>
          <w:tcPr>
            <w:tcW w:w="80" w:type="dxa"/>
            <w:vAlign w:val="bottom"/>
            <w:tcBorders>
              <w:bottom w:val="single" w:sz="8" w:color="D2DCE5"/>
            </w:tcBorders>
            <w:shd w:val="clear" w:color="auto" w:fill="D2DCE5"/>
          </w:tcPr>
          <w:p>
            <w:pPr>
              <w:spacing w:after="0"/>
              <w:rPr>
                <w:sz w:val="8"/>
                <w:szCs w:val="8"/>
                <w:color w:val="auto"/>
              </w:rPr>
            </w:pPr>
          </w:p>
        </w:tc>
        <w:tc>
          <w:tcPr>
            <w:tcW w:w="600" w:type="dxa"/>
            <w:vAlign w:val="bottom"/>
            <w:tcBorders>
              <w:bottom w:val="single" w:sz="8" w:color="D2DCE5"/>
            </w:tcBorders>
            <w:vMerge w:val="continue"/>
            <w:shd w:val="clear" w:color="auto" w:fill="D2DCE5"/>
          </w:tcPr>
          <w:p>
            <w:pPr>
              <w:spacing w:after="0"/>
              <w:rPr>
                <w:sz w:val="8"/>
                <w:szCs w:val="8"/>
                <w:color w:val="auto"/>
              </w:rPr>
            </w:pPr>
          </w:p>
        </w:tc>
        <w:tc>
          <w:tcPr>
            <w:tcW w:w="80" w:type="dxa"/>
            <w:vAlign w:val="bottom"/>
            <w:tcBorders>
              <w:bottom w:val="single" w:sz="8" w:color="D2DCE5"/>
            </w:tcBorders>
            <w:shd w:val="clear" w:color="auto" w:fill="D2DCE5"/>
          </w:tcPr>
          <w:p>
            <w:pPr>
              <w:spacing w:after="0"/>
              <w:rPr>
                <w:sz w:val="8"/>
                <w:szCs w:val="8"/>
                <w:color w:val="auto"/>
              </w:rPr>
            </w:pPr>
          </w:p>
        </w:tc>
        <w:tc>
          <w:tcPr>
            <w:tcW w:w="1100" w:type="dxa"/>
            <w:vAlign w:val="bottom"/>
            <w:tcBorders>
              <w:bottom w:val="single" w:sz="8" w:color="D2DCE5"/>
            </w:tcBorders>
            <w:vMerge w:val="continue"/>
            <w:shd w:val="clear" w:color="auto" w:fill="D2DCE5"/>
          </w:tcPr>
          <w:p>
            <w:pPr>
              <w:spacing w:after="0"/>
              <w:rPr>
                <w:sz w:val="8"/>
                <w:szCs w:val="8"/>
                <w:color w:val="auto"/>
              </w:rPr>
            </w:pPr>
          </w:p>
        </w:tc>
        <w:tc>
          <w:tcPr>
            <w:tcW w:w="80" w:type="dxa"/>
            <w:vAlign w:val="bottom"/>
            <w:tcBorders>
              <w:bottom w:val="single" w:sz="8" w:color="D2DCE5"/>
            </w:tcBorders>
            <w:shd w:val="clear" w:color="auto" w:fill="D2DCE5"/>
          </w:tcPr>
          <w:p>
            <w:pPr>
              <w:spacing w:after="0"/>
              <w:rPr>
                <w:sz w:val="8"/>
                <w:szCs w:val="8"/>
                <w:color w:val="auto"/>
              </w:rPr>
            </w:pPr>
          </w:p>
        </w:tc>
        <w:tc>
          <w:tcPr>
            <w:tcW w:w="720" w:type="dxa"/>
            <w:vAlign w:val="bottom"/>
            <w:tcBorders>
              <w:bottom w:val="single" w:sz="8" w:color="D2DCE5"/>
            </w:tcBorders>
            <w:vMerge w:val="continue"/>
            <w:shd w:val="clear" w:color="auto" w:fill="D2DCE5"/>
          </w:tcPr>
          <w:p>
            <w:pPr>
              <w:spacing w:after="0"/>
              <w:rPr>
                <w:sz w:val="8"/>
                <w:szCs w:val="8"/>
                <w:color w:val="auto"/>
              </w:rPr>
            </w:pPr>
          </w:p>
        </w:tc>
        <w:tc>
          <w:tcPr>
            <w:tcW w:w="80" w:type="dxa"/>
            <w:vAlign w:val="bottom"/>
            <w:tcBorders>
              <w:bottom w:val="single" w:sz="8" w:color="D2DCE5"/>
            </w:tcBorders>
            <w:shd w:val="clear" w:color="auto" w:fill="D2DCE5"/>
          </w:tcPr>
          <w:p>
            <w:pPr>
              <w:spacing w:after="0"/>
              <w:rPr>
                <w:sz w:val="8"/>
                <w:szCs w:val="8"/>
                <w:color w:val="auto"/>
              </w:rPr>
            </w:pPr>
          </w:p>
        </w:tc>
        <w:tc>
          <w:tcPr>
            <w:tcW w:w="920" w:type="dxa"/>
            <w:vAlign w:val="bottom"/>
            <w:tcBorders>
              <w:bottom w:val="single" w:sz="8" w:color="D2DCE5"/>
            </w:tcBorders>
            <w:vMerge w:val="continue"/>
            <w:shd w:val="clear" w:color="auto" w:fill="D2DCE5"/>
          </w:tcPr>
          <w:p>
            <w:pPr>
              <w:spacing w:after="0"/>
              <w:rPr>
                <w:sz w:val="8"/>
                <w:szCs w:val="8"/>
                <w:color w:val="auto"/>
              </w:rPr>
            </w:pPr>
          </w:p>
        </w:tc>
        <w:tc>
          <w:tcPr>
            <w:tcW w:w="80" w:type="dxa"/>
            <w:vAlign w:val="bottom"/>
            <w:tcBorders>
              <w:bottom w:val="single" w:sz="8" w:color="D2DCE5"/>
            </w:tcBorders>
            <w:shd w:val="clear" w:color="auto" w:fill="D2DCE5"/>
          </w:tcPr>
          <w:p>
            <w:pPr>
              <w:spacing w:after="0"/>
              <w:rPr>
                <w:sz w:val="8"/>
                <w:szCs w:val="8"/>
                <w:color w:val="auto"/>
              </w:rPr>
            </w:pPr>
          </w:p>
        </w:tc>
        <w:tc>
          <w:tcPr>
            <w:tcW w:w="160" w:type="dxa"/>
            <w:vAlign w:val="bottom"/>
            <w:tcBorders>
              <w:bottom w:val="single" w:sz="8" w:color="D2DCE5"/>
            </w:tcBorders>
            <w:shd w:val="clear" w:color="auto" w:fill="D2DCE5"/>
          </w:tcPr>
          <w:p>
            <w:pPr>
              <w:spacing w:after="0"/>
              <w:rPr>
                <w:sz w:val="8"/>
                <w:szCs w:val="8"/>
                <w:color w:val="auto"/>
              </w:rPr>
            </w:pPr>
          </w:p>
        </w:tc>
        <w:tc>
          <w:tcPr>
            <w:tcW w:w="540" w:type="dxa"/>
            <w:vAlign w:val="bottom"/>
            <w:tcBorders>
              <w:bottom w:val="single" w:sz="8" w:color="D2DCE5"/>
            </w:tcBorders>
            <w:vMerge w:val="continue"/>
            <w:shd w:val="clear" w:color="auto" w:fill="D2DCE5"/>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5800" w:type="dxa"/>
            <w:vAlign w:val="bottom"/>
            <w:gridSpan w:val="2"/>
          </w:tcPr>
          <w:p>
            <w:pPr>
              <w:ind w:left="140"/>
              <w:spacing w:after="0"/>
              <w:rPr>
                <w:sz w:val="20"/>
                <w:szCs w:val="20"/>
                <w:color w:val="auto"/>
              </w:rPr>
            </w:pPr>
            <w:r>
              <w:rPr>
                <w:rFonts w:ascii="Arial" w:cs="Arial" w:eastAsia="Arial" w:hAnsi="Arial"/>
                <w:sz w:val="14"/>
                <w:szCs w:val="14"/>
                <w:color w:val="131E29"/>
              </w:rPr>
              <w:t>Equity-based compensation</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41,657</w:t>
            </w:r>
          </w:p>
        </w:tc>
        <w:tc>
          <w:tcPr>
            <w:tcW w:w="80" w:type="dxa"/>
            <w:vAlign w:val="bottom"/>
          </w:tcPr>
          <w:p>
            <w:pPr>
              <w:spacing w:after="0"/>
              <w:rPr>
                <w:sz w:val="15"/>
                <w:szCs w:val="15"/>
                <w:color w:val="auto"/>
              </w:rPr>
            </w:pPr>
          </w:p>
        </w:tc>
        <w:tc>
          <w:tcPr>
            <w:tcW w:w="600" w:type="dxa"/>
            <w:vAlign w:val="bottom"/>
            <w:tcBorders>
              <w:top w:val="single" w:sz="8" w:color="131E29"/>
            </w:tcBorders>
          </w:tcPr>
          <w:p>
            <w:pPr>
              <w:jc w:val="right"/>
              <w:spacing w:after="0"/>
              <w:rPr>
                <w:sz w:val="20"/>
                <w:szCs w:val="20"/>
                <w:color w:val="auto"/>
              </w:rPr>
            </w:pPr>
            <w:r>
              <w:rPr>
                <w:rFonts w:ascii="Arial" w:cs="Arial" w:eastAsia="Arial" w:hAnsi="Arial"/>
                <w:sz w:val="14"/>
                <w:szCs w:val="14"/>
                <w:color w:val="131E29"/>
              </w:rPr>
              <w:t>5.6</w:t>
            </w:r>
          </w:p>
        </w:tc>
        <w:tc>
          <w:tcPr>
            <w:tcW w:w="80" w:type="dxa"/>
            <w:vAlign w:val="bottom"/>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157,716</w:t>
            </w:r>
          </w:p>
        </w:tc>
        <w:tc>
          <w:tcPr>
            <w:tcW w:w="80" w:type="dxa"/>
            <w:vAlign w:val="bottom"/>
          </w:tcPr>
          <w:p>
            <w:pPr>
              <w:spacing w:after="0"/>
              <w:rPr>
                <w:sz w:val="15"/>
                <w:szCs w:val="15"/>
                <w:color w:val="auto"/>
              </w:rPr>
            </w:pPr>
          </w:p>
        </w:tc>
        <w:tc>
          <w:tcPr>
            <w:tcW w:w="720" w:type="dxa"/>
            <w:vAlign w:val="bottom"/>
            <w:tcBorders>
              <w:top w:val="single" w:sz="8" w:color="131E29"/>
            </w:tcBorders>
          </w:tcPr>
          <w:p>
            <w:pPr>
              <w:jc w:val="right"/>
              <w:ind w:right="9"/>
              <w:spacing w:after="0"/>
              <w:rPr>
                <w:sz w:val="20"/>
                <w:szCs w:val="20"/>
                <w:color w:val="auto"/>
              </w:rPr>
            </w:pPr>
            <w:r>
              <w:rPr>
                <w:rFonts w:ascii="Arial" w:cs="Arial" w:eastAsia="Arial" w:hAnsi="Arial"/>
                <w:sz w:val="14"/>
                <w:szCs w:val="14"/>
                <w:color w:val="131E29"/>
              </w:rPr>
              <w:t>31.7</w:t>
            </w:r>
          </w:p>
        </w:tc>
        <w:tc>
          <w:tcPr>
            <w:tcW w:w="80" w:type="dxa"/>
            <w:vAlign w:val="bottom"/>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35,087</w:t>
            </w:r>
          </w:p>
        </w:tc>
        <w:tc>
          <w:tcPr>
            <w:tcW w:w="80" w:type="dxa"/>
            <w:vAlign w:val="bottom"/>
          </w:tcPr>
          <w:p>
            <w:pPr>
              <w:spacing w:after="0"/>
              <w:rPr>
                <w:sz w:val="15"/>
                <w:szCs w:val="15"/>
                <w:color w:val="auto"/>
              </w:rPr>
            </w:pPr>
          </w:p>
        </w:tc>
        <w:tc>
          <w:tcPr>
            <w:tcW w:w="160" w:type="dxa"/>
            <w:vAlign w:val="bottom"/>
            <w:tcBorders>
              <w:top w:val="single" w:sz="8" w:color="131E29"/>
            </w:tcBorders>
          </w:tcPr>
          <w:p>
            <w:pPr>
              <w:spacing w:after="0"/>
              <w:rPr>
                <w:sz w:val="15"/>
                <w:szCs w:val="15"/>
                <w:color w:val="auto"/>
              </w:rPr>
            </w:pPr>
          </w:p>
        </w:tc>
        <w:tc>
          <w:tcPr>
            <w:tcW w:w="540" w:type="dxa"/>
            <w:vAlign w:val="bottom"/>
            <w:tcBorders>
              <w:top w:val="single" w:sz="8" w:color="131E29"/>
            </w:tcBorders>
          </w:tcPr>
          <w:p>
            <w:pPr>
              <w:jc w:val="right"/>
              <w:spacing w:after="0"/>
              <w:rPr>
                <w:sz w:val="20"/>
                <w:szCs w:val="20"/>
                <w:color w:val="auto"/>
              </w:rPr>
            </w:pPr>
            <w:r>
              <w:rPr>
                <w:rFonts w:ascii="Arial" w:cs="Arial" w:eastAsia="Arial" w:hAnsi="Arial"/>
                <w:sz w:val="14"/>
                <w:szCs w:val="14"/>
                <w:color w:val="131E29"/>
              </w:rPr>
              <w:t>10.7</w:t>
            </w:r>
          </w:p>
        </w:tc>
        <w:tc>
          <w:tcPr>
            <w:tcW w:w="0" w:type="dxa"/>
            <w:vAlign w:val="bottom"/>
          </w:tcPr>
          <w:p>
            <w:pPr>
              <w:spacing w:after="0"/>
              <w:rPr>
                <w:sz w:val="1"/>
                <w:szCs w:val="1"/>
                <w:color w:val="auto"/>
              </w:rPr>
            </w:pPr>
          </w:p>
        </w:tc>
      </w:tr>
      <w:tr>
        <w:trPr>
          <w:trHeight w:val="22"/>
        </w:trPr>
        <w:tc>
          <w:tcPr>
            <w:tcW w:w="5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0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Expenses associated with equity offerings</w:t>
            </w:r>
          </w:p>
        </w:tc>
        <w:tc>
          <w:tcPr>
            <w:tcW w:w="112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8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6,523</w:t>
            </w:r>
          </w:p>
        </w:tc>
        <w:tc>
          <w:tcPr>
            <w:tcW w:w="80" w:type="dxa"/>
            <w:vAlign w:val="bottom"/>
            <w:tcBorders>
              <w:bottom w:val="single" w:sz="8" w:color="D2DCE5"/>
            </w:tcBorders>
            <w:shd w:val="clear" w:color="auto" w:fill="D2DCE5"/>
          </w:tcPr>
          <w:p>
            <w:pPr>
              <w:spacing w:after="0"/>
              <w:rPr>
                <w:sz w:val="16"/>
                <w:szCs w:val="16"/>
                <w:color w:val="auto"/>
              </w:rPr>
            </w:pPr>
          </w:p>
        </w:tc>
        <w:tc>
          <w:tcPr>
            <w:tcW w:w="720" w:type="dxa"/>
            <w:vAlign w:val="bottom"/>
            <w:tcBorders>
              <w:bottom w:val="single" w:sz="8" w:color="D2DCE5"/>
            </w:tcBorders>
            <w:shd w:val="clear" w:color="auto" w:fill="D2DCE5"/>
          </w:tcPr>
          <w:p>
            <w:pPr>
              <w:jc w:val="right"/>
              <w:ind w:right="9"/>
              <w:spacing w:after="0"/>
              <w:rPr>
                <w:sz w:val="20"/>
                <w:szCs w:val="20"/>
                <w:color w:val="auto"/>
              </w:rPr>
            </w:pPr>
            <w:r>
              <w:rPr>
                <w:rFonts w:ascii="Arial" w:cs="Arial" w:eastAsia="Arial" w:hAnsi="Arial"/>
                <w:sz w:val="14"/>
                <w:szCs w:val="14"/>
                <w:color w:val="131E29"/>
              </w:rPr>
              <w:t>1.3</w:t>
            </w:r>
          </w:p>
        </w:tc>
        <w:tc>
          <w:tcPr>
            <w:tcW w:w="80" w:type="dxa"/>
            <w:vAlign w:val="bottom"/>
            <w:tcBorders>
              <w:bottom w:val="single" w:sz="8" w:color="D2DCE5"/>
            </w:tcBorders>
            <w:shd w:val="clear" w:color="auto" w:fill="D2DCE5"/>
          </w:tcPr>
          <w:p>
            <w:pPr>
              <w:spacing w:after="0"/>
              <w:rPr>
                <w:sz w:val="16"/>
                <w:szCs w:val="16"/>
                <w:color w:val="auto"/>
              </w:rPr>
            </w:pPr>
          </w:p>
        </w:tc>
        <w:tc>
          <w:tcPr>
            <w:tcW w:w="1160" w:type="dxa"/>
            <w:vAlign w:val="bottom"/>
            <w:tcBorders>
              <w:bottom w:val="single" w:sz="8" w:color="D2DCE5"/>
            </w:tcBorders>
            <w:gridSpan w:val="3"/>
            <w:shd w:val="clear" w:color="auto" w:fill="D2DCE5"/>
          </w:tcPr>
          <w:p>
            <w:pPr>
              <w:jc w:val="right"/>
              <w:ind w:right="300"/>
              <w:spacing w:after="0"/>
              <w:rPr>
                <w:sz w:val="20"/>
                <w:szCs w:val="20"/>
                <w:color w:val="auto"/>
              </w:rPr>
            </w:pPr>
            <w:r>
              <w:rPr>
                <w:rFonts w:ascii="Arial" w:cs="Arial" w:eastAsia="Arial" w:hAnsi="Arial"/>
                <w:sz w:val="14"/>
                <w:szCs w:val="14"/>
                <w:color w:val="131E29"/>
              </w:rPr>
              <w:t>—</w:t>
            </w:r>
          </w:p>
        </w:tc>
        <w:tc>
          <w:tcPr>
            <w:tcW w:w="5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191"/>
        </w:trPr>
        <w:tc>
          <w:tcPr>
            <w:tcW w:w="5800" w:type="dxa"/>
            <w:vAlign w:val="bottom"/>
            <w:gridSpan w:val="2"/>
          </w:tcPr>
          <w:p>
            <w:pPr>
              <w:ind w:left="140"/>
              <w:spacing w:after="0"/>
              <w:rPr>
                <w:sz w:val="20"/>
                <w:szCs w:val="20"/>
                <w:color w:val="auto"/>
              </w:rPr>
            </w:pPr>
            <w:r>
              <w:rPr>
                <w:rFonts w:ascii="Arial" w:cs="Arial" w:eastAsia="Arial" w:hAnsi="Arial"/>
                <w:sz w:val="14"/>
                <w:szCs w:val="14"/>
                <w:color w:val="131E29"/>
              </w:rPr>
              <w:t>Donations associated with equity offerings</w:t>
            </w: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100" w:type="dxa"/>
            <w:vAlign w:val="bottom"/>
          </w:tcPr>
          <w:p>
            <w:pPr>
              <w:jc w:val="right"/>
              <w:spacing w:after="0"/>
              <w:rPr>
                <w:sz w:val="20"/>
                <w:szCs w:val="20"/>
                <w:color w:val="auto"/>
              </w:rPr>
            </w:pPr>
            <w:r>
              <w:rPr>
                <w:rFonts w:ascii="Arial" w:cs="Arial" w:eastAsia="Arial" w:hAnsi="Arial"/>
                <w:sz w:val="14"/>
                <w:szCs w:val="14"/>
                <w:color w:val="131E29"/>
              </w:rPr>
              <w:t>3,792</w:t>
            </w:r>
          </w:p>
        </w:tc>
        <w:tc>
          <w:tcPr>
            <w:tcW w:w="8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131E29"/>
              </w:rPr>
              <w:t>0.7</w:t>
            </w:r>
          </w:p>
        </w:tc>
        <w:tc>
          <w:tcPr>
            <w:tcW w:w="80" w:type="dxa"/>
            <w:vAlign w:val="bottom"/>
          </w:tcPr>
          <w:p>
            <w:pPr>
              <w:spacing w:after="0"/>
              <w:rPr>
                <w:sz w:val="16"/>
                <w:szCs w:val="16"/>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4"/>
                <w:szCs w:val="14"/>
                <w:color w:val="131E29"/>
              </w:rPr>
              <w:t>—</w:t>
            </w:r>
          </w:p>
        </w:tc>
        <w:tc>
          <w:tcPr>
            <w:tcW w:w="540" w:type="dxa"/>
            <w:vAlign w:val="bottom"/>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22"/>
        </w:trPr>
        <w:tc>
          <w:tcPr>
            <w:tcW w:w="5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0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COVID-19: Thank You pay and catastrophic leave</w:t>
            </w: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1,468</w:t>
            </w:r>
          </w:p>
        </w:tc>
        <w:tc>
          <w:tcPr>
            <w:tcW w:w="80" w:type="dxa"/>
            <w:vAlign w:val="bottom"/>
            <w:tcBorders>
              <w:bottom w:val="single" w:sz="8" w:color="D2DCE5"/>
            </w:tcBorders>
            <w:shd w:val="clear" w:color="auto" w:fill="D2DCE5"/>
          </w:tcPr>
          <w:p>
            <w:pPr>
              <w:spacing w:after="0"/>
              <w:rPr>
                <w:sz w:val="16"/>
                <w:szCs w:val="16"/>
                <w:color w:val="auto"/>
              </w:rPr>
            </w:pPr>
          </w:p>
        </w:tc>
        <w:tc>
          <w:tcPr>
            <w:tcW w:w="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0.2</w:t>
            </w:r>
          </w:p>
        </w:tc>
        <w:tc>
          <w:tcPr>
            <w:tcW w:w="80" w:type="dxa"/>
            <w:vAlign w:val="bottom"/>
            <w:tcBorders>
              <w:bottom w:val="single" w:sz="8" w:color="D2DCE5"/>
            </w:tcBorders>
            <w:shd w:val="clear" w:color="auto" w:fill="D2DCE5"/>
          </w:tcPr>
          <w:p>
            <w:pPr>
              <w:spacing w:after="0"/>
              <w:rPr>
                <w:sz w:val="16"/>
                <w:szCs w:val="16"/>
                <w:color w:val="auto"/>
              </w:rPr>
            </w:pPr>
          </w:p>
        </w:tc>
        <w:tc>
          <w:tcPr>
            <w:tcW w:w="1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3,350</w:t>
            </w:r>
          </w:p>
        </w:tc>
        <w:tc>
          <w:tcPr>
            <w:tcW w:w="80" w:type="dxa"/>
            <w:vAlign w:val="bottom"/>
            <w:tcBorders>
              <w:bottom w:val="single" w:sz="8" w:color="D2DCE5"/>
            </w:tcBorders>
            <w:shd w:val="clear" w:color="auto" w:fill="D2DCE5"/>
          </w:tcPr>
          <w:p>
            <w:pPr>
              <w:spacing w:after="0"/>
              <w:rPr>
                <w:sz w:val="16"/>
                <w:szCs w:val="16"/>
                <w:color w:val="auto"/>
              </w:rPr>
            </w:pPr>
          </w:p>
        </w:tc>
        <w:tc>
          <w:tcPr>
            <w:tcW w:w="720" w:type="dxa"/>
            <w:vAlign w:val="bottom"/>
            <w:tcBorders>
              <w:bottom w:val="single" w:sz="8" w:color="D2DCE5"/>
            </w:tcBorders>
            <w:shd w:val="clear" w:color="auto" w:fill="D2DCE5"/>
          </w:tcPr>
          <w:p>
            <w:pPr>
              <w:jc w:val="right"/>
              <w:ind w:right="9"/>
              <w:spacing w:after="0"/>
              <w:rPr>
                <w:sz w:val="20"/>
                <w:szCs w:val="20"/>
                <w:color w:val="auto"/>
              </w:rPr>
            </w:pPr>
            <w:r>
              <w:rPr>
                <w:rFonts w:ascii="Arial" w:cs="Arial" w:eastAsia="Arial" w:hAnsi="Arial"/>
                <w:sz w:val="14"/>
                <w:szCs w:val="14"/>
                <w:color w:val="131E29"/>
              </w:rPr>
              <w:t>0.7</w:t>
            </w:r>
          </w:p>
        </w:tc>
        <w:tc>
          <w:tcPr>
            <w:tcW w:w="80" w:type="dxa"/>
            <w:vAlign w:val="bottom"/>
            <w:tcBorders>
              <w:bottom w:val="single" w:sz="8" w:color="D2DCE5"/>
            </w:tcBorders>
            <w:shd w:val="clear" w:color="auto" w:fill="D2DCE5"/>
          </w:tcPr>
          <w:p>
            <w:pPr>
              <w:spacing w:after="0"/>
              <w:rPr>
                <w:sz w:val="16"/>
                <w:szCs w:val="16"/>
                <w:color w:val="auto"/>
              </w:rPr>
            </w:pPr>
          </w:p>
        </w:tc>
        <w:tc>
          <w:tcPr>
            <w:tcW w:w="9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4,942</w:t>
            </w:r>
          </w:p>
        </w:tc>
        <w:tc>
          <w:tcPr>
            <w:tcW w:w="80" w:type="dxa"/>
            <w:vAlign w:val="bottom"/>
            <w:tcBorders>
              <w:bottom w:val="single" w:sz="8" w:color="D2DCE5"/>
            </w:tcBorders>
            <w:shd w:val="clear" w:color="auto" w:fill="D2DCE5"/>
          </w:tcPr>
          <w:p>
            <w:pPr>
              <w:spacing w:after="0"/>
              <w:rPr>
                <w:sz w:val="16"/>
                <w:szCs w:val="16"/>
                <w:color w:val="auto"/>
              </w:rPr>
            </w:pPr>
          </w:p>
        </w:tc>
        <w:tc>
          <w:tcPr>
            <w:tcW w:w="160" w:type="dxa"/>
            <w:vAlign w:val="bottom"/>
            <w:tcBorders>
              <w:bottom w:val="single" w:sz="8" w:color="D2DCE5"/>
            </w:tcBorders>
            <w:shd w:val="clear" w:color="auto" w:fill="D2DCE5"/>
          </w:tcPr>
          <w:p>
            <w:pPr>
              <w:spacing w:after="0"/>
              <w:rPr>
                <w:sz w:val="16"/>
                <w:szCs w:val="16"/>
                <w:color w:val="auto"/>
              </w:rPr>
            </w:pPr>
          </w:p>
        </w:tc>
        <w:tc>
          <w:tcPr>
            <w:tcW w:w="5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1.5</w:t>
            </w:r>
          </w:p>
        </w:tc>
        <w:tc>
          <w:tcPr>
            <w:tcW w:w="0" w:type="dxa"/>
            <w:vAlign w:val="bottom"/>
          </w:tcPr>
          <w:p>
            <w:pPr>
              <w:spacing w:after="0"/>
              <w:rPr>
                <w:sz w:val="1"/>
                <w:szCs w:val="1"/>
                <w:color w:val="auto"/>
              </w:rPr>
            </w:pPr>
          </w:p>
        </w:tc>
      </w:tr>
      <w:tr>
        <w:trPr>
          <w:trHeight w:val="191"/>
        </w:trPr>
        <w:tc>
          <w:tcPr>
            <w:tcW w:w="5800" w:type="dxa"/>
            <w:vAlign w:val="bottom"/>
            <w:gridSpan w:val="2"/>
          </w:tcPr>
          <w:p>
            <w:pPr>
              <w:ind w:left="140"/>
              <w:spacing w:after="0"/>
              <w:rPr>
                <w:sz w:val="20"/>
                <w:szCs w:val="20"/>
                <w:color w:val="auto"/>
              </w:rPr>
            </w:pPr>
            <w:r>
              <w:rPr>
                <w:rFonts w:ascii="Arial" w:cs="Arial" w:eastAsia="Arial" w:hAnsi="Arial"/>
                <w:sz w:val="14"/>
                <w:szCs w:val="14"/>
                <w:color w:val="131E29"/>
              </w:rPr>
              <w:t>COVID-19: royalty abatement</w:t>
            </w: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920" w:type="dxa"/>
            <w:vAlign w:val="bottom"/>
          </w:tcPr>
          <w:p>
            <w:pPr>
              <w:jc w:val="right"/>
              <w:spacing w:after="0"/>
              <w:rPr>
                <w:sz w:val="20"/>
                <w:szCs w:val="20"/>
                <w:color w:val="auto"/>
              </w:rPr>
            </w:pPr>
            <w:r>
              <w:rPr>
                <w:rFonts w:ascii="Arial" w:cs="Arial" w:eastAsia="Arial" w:hAnsi="Arial"/>
                <w:sz w:val="14"/>
                <w:szCs w:val="14"/>
                <w:color w:val="131E29"/>
              </w:rPr>
              <w:t>1,400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131E29"/>
              </w:rPr>
              <w:t>0.4</w:t>
            </w:r>
          </w:p>
        </w:tc>
        <w:tc>
          <w:tcPr>
            <w:tcW w:w="0" w:type="dxa"/>
            <w:vAlign w:val="bottom"/>
          </w:tcPr>
          <w:p>
            <w:pPr>
              <w:spacing w:after="0"/>
              <w:rPr>
                <w:sz w:val="1"/>
                <w:szCs w:val="1"/>
                <w:color w:val="auto"/>
              </w:rPr>
            </w:pPr>
          </w:p>
        </w:tc>
      </w:tr>
      <w:tr>
        <w:trPr>
          <w:trHeight w:val="22"/>
        </w:trPr>
        <w:tc>
          <w:tcPr>
            <w:tcW w:w="5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0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COVID-19: first responder donation</w:t>
            </w:r>
          </w:p>
        </w:tc>
        <w:tc>
          <w:tcPr>
            <w:tcW w:w="112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8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18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80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9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2,000</w:t>
            </w:r>
          </w:p>
        </w:tc>
        <w:tc>
          <w:tcPr>
            <w:tcW w:w="80" w:type="dxa"/>
            <w:vAlign w:val="bottom"/>
            <w:tcBorders>
              <w:bottom w:val="single" w:sz="8" w:color="D2DCE5"/>
            </w:tcBorders>
            <w:shd w:val="clear" w:color="auto" w:fill="D2DCE5"/>
          </w:tcPr>
          <w:p>
            <w:pPr>
              <w:spacing w:after="0"/>
              <w:rPr>
                <w:sz w:val="16"/>
                <w:szCs w:val="16"/>
                <w:color w:val="auto"/>
              </w:rPr>
            </w:pPr>
          </w:p>
        </w:tc>
        <w:tc>
          <w:tcPr>
            <w:tcW w:w="160" w:type="dxa"/>
            <w:vAlign w:val="bottom"/>
            <w:tcBorders>
              <w:bottom w:val="single" w:sz="8" w:color="D2DCE5"/>
            </w:tcBorders>
            <w:shd w:val="clear" w:color="auto" w:fill="D2DCE5"/>
          </w:tcPr>
          <w:p>
            <w:pPr>
              <w:spacing w:after="0"/>
              <w:rPr>
                <w:sz w:val="16"/>
                <w:szCs w:val="16"/>
                <w:color w:val="auto"/>
              </w:rPr>
            </w:pPr>
          </w:p>
        </w:tc>
        <w:tc>
          <w:tcPr>
            <w:tcW w:w="5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0.6</w:t>
            </w:r>
          </w:p>
        </w:tc>
        <w:tc>
          <w:tcPr>
            <w:tcW w:w="0" w:type="dxa"/>
            <w:vAlign w:val="bottom"/>
          </w:tcPr>
          <w:p>
            <w:pPr>
              <w:spacing w:after="0"/>
              <w:rPr>
                <w:sz w:val="1"/>
                <w:szCs w:val="1"/>
                <w:color w:val="auto"/>
              </w:rPr>
            </w:pPr>
          </w:p>
        </w:tc>
      </w:tr>
      <w:tr>
        <w:trPr>
          <w:trHeight w:val="191"/>
        </w:trPr>
        <w:tc>
          <w:tcPr>
            <w:tcW w:w="5800" w:type="dxa"/>
            <w:vAlign w:val="bottom"/>
            <w:gridSpan w:val="2"/>
          </w:tcPr>
          <w:p>
            <w:pPr>
              <w:ind w:left="140"/>
              <w:spacing w:after="0"/>
              <w:rPr>
                <w:sz w:val="20"/>
                <w:szCs w:val="20"/>
                <w:color w:val="auto"/>
              </w:rPr>
            </w:pPr>
            <w:r>
              <w:rPr>
                <w:rFonts w:ascii="Arial" w:cs="Arial" w:eastAsia="Arial" w:hAnsi="Arial"/>
                <w:sz w:val="14"/>
                <w:szCs w:val="14"/>
                <w:color w:val="131E29"/>
              </w:rPr>
              <w:t>COVID-19: prepaid costs not utilized</w:t>
            </w:r>
          </w:p>
        </w:tc>
        <w:tc>
          <w:tcPr>
            <w:tcW w:w="1040" w:type="dxa"/>
            <w:vAlign w:val="bottom"/>
          </w:tcPr>
          <w:p>
            <w:pPr>
              <w:jc w:val="right"/>
              <w:spacing w:after="0"/>
              <w:rPr>
                <w:sz w:val="20"/>
                <w:szCs w:val="20"/>
                <w:color w:val="auto"/>
              </w:rPr>
            </w:pPr>
            <w:r>
              <w:rPr>
                <w:rFonts w:ascii="Arial" w:cs="Arial" w:eastAsia="Arial" w:hAnsi="Arial"/>
                <w:sz w:val="14"/>
                <w:szCs w:val="14"/>
                <w:color w:val="131E29"/>
              </w:rPr>
              <w:t>2,305</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131E29"/>
              </w:rPr>
              <w:t>0.3</w:t>
            </w:r>
          </w:p>
        </w:tc>
        <w:tc>
          <w:tcPr>
            <w:tcW w:w="8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1160" w:type="dxa"/>
            <w:vAlign w:val="bottom"/>
            <w:gridSpan w:val="3"/>
          </w:tcPr>
          <w:p>
            <w:pPr>
              <w:jc w:val="right"/>
              <w:ind w:right="300"/>
              <w:spacing w:after="0"/>
              <w:rPr>
                <w:sz w:val="20"/>
                <w:szCs w:val="20"/>
                <w:color w:val="auto"/>
              </w:rPr>
            </w:pPr>
            <w:r>
              <w:rPr>
                <w:rFonts w:ascii="Arial" w:cs="Arial" w:eastAsia="Arial" w:hAnsi="Arial"/>
                <w:sz w:val="14"/>
                <w:szCs w:val="14"/>
                <w:color w:val="131E29"/>
              </w:rPr>
              <w:t>—</w:t>
            </w:r>
          </w:p>
        </w:tc>
        <w:tc>
          <w:tcPr>
            <w:tcW w:w="540" w:type="dxa"/>
            <w:vAlign w:val="bottom"/>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22"/>
        </w:trPr>
        <w:tc>
          <w:tcPr>
            <w:tcW w:w="5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0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Dutch Rewards transition</w:t>
            </w:r>
          </w:p>
        </w:tc>
        <w:tc>
          <w:tcPr>
            <w:tcW w:w="112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8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18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80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9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(3,669)</w:t>
            </w:r>
          </w:p>
        </w:tc>
        <w:tc>
          <w:tcPr>
            <w:tcW w:w="80" w:type="dxa"/>
            <w:vAlign w:val="bottom"/>
            <w:tcBorders>
              <w:bottom w:val="single" w:sz="8" w:color="D2DCE5"/>
            </w:tcBorders>
            <w:shd w:val="clear" w:color="auto" w:fill="D2DCE5"/>
          </w:tcPr>
          <w:p>
            <w:pPr>
              <w:spacing w:after="0"/>
              <w:rPr>
                <w:sz w:val="16"/>
                <w:szCs w:val="16"/>
                <w:color w:val="auto"/>
              </w:rPr>
            </w:pPr>
          </w:p>
        </w:tc>
        <w:tc>
          <w:tcPr>
            <w:tcW w:w="160" w:type="dxa"/>
            <w:vAlign w:val="bottom"/>
            <w:tcBorders>
              <w:bottom w:val="single" w:sz="8" w:color="D2DCE5"/>
            </w:tcBorders>
            <w:shd w:val="clear" w:color="auto" w:fill="D2DCE5"/>
          </w:tcPr>
          <w:p>
            <w:pPr>
              <w:spacing w:after="0"/>
              <w:rPr>
                <w:sz w:val="16"/>
                <w:szCs w:val="16"/>
                <w:color w:val="auto"/>
              </w:rPr>
            </w:pPr>
          </w:p>
        </w:tc>
        <w:tc>
          <w:tcPr>
            <w:tcW w:w="5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(1.1)</w:t>
            </w:r>
          </w:p>
        </w:tc>
        <w:tc>
          <w:tcPr>
            <w:tcW w:w="0" w:type="dxa"/>
            <w:vAlign w:val="bottom"/>
          </w:tcPr>
          <w:p>
            <w:pPr>
              <w:spacing w:after="0"/>
              <w:rPr>
                <w:sz w:val="1"/>
                <w:szCs w:val="1"/>
                <w:color w:val="auto"/>
              </w:rPr>
            </w:pPr>
          </w:p>
        </w:tc>
      </w:tr>
      <w:tr>
        <w:trPr>
          <w:trHeight w:val="191"/>
        </w:trPr>
        <w:tc>
          <w:tcPr>
            <w:tcW w:w="5800" w:type="dxa"/>
            <w:vAlign w:val="bottom"/>
            <w:gridSpan w:val="2"/>
          </w:tcPr>
          <w:p>
            <w:pPr>
              <w:ind w:left="140"/>
              <w:spacing w:after="0"/>
              <w:rPr>
                <w:sz w:val="20"/>
                <w:szCs w:val="20"/>
                <w:color w:val="auto"/>
              </w:rPr>
            </w:pPr>
            <w:r>
              <w:rPr>
                <w:rFonts w:ascii="Arial" w:cs="Arial" w:eastAsia="Arial" w:hAnsi="Arial"/>
                <w:sz w:val="14"/>
                <w:szCs w:val="14"/>
                <w:color w:val="131E29"/>
              </w:rPr>
              <w:t>Dutchwear merchandising adjustment</w:t>
            </w: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920" w:type="dxa"/>
            <w:vAlign w:val="bottom"/>
          </w:tcPr>
          <w:p>
            <w:pPr>
              <w:jc w:val="right"/>
              <w:spacing w:after="0"/>
              <w:rPr>
                <w:sz w:val="20"/>
                <w:szCs w:val="20"/>
                <w:color w:val="auto"/>
              </w:rPr>
            </w:pPr>
            <w:r>
              <w:rPr>
                <w:rFonts w:ascii="Arial" w:cs="Arial" w:eastAsia="Arial" w:hAnsi="Arial"/>
                <w:sz w:val="14"/>
                <w:szCs w:val="14"/>
                <w:color w:val="131E29"/>
              </w:rPr>
              <w:t>4,163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131E29"/>
              </w:rPr>
              <w:t>1.3</w:t>
            </w:r>
          </w:p>
        </w:tc>
        <w:tc>
          <w:tcPr>
            <w:tcW w:w="0" w:type="dxa"/>
            <w:vAlign w:val="bottom"/>
          </w:tcPr>
          <w:p>
            <w:pPr>
              <w:spacing w:after="0"/>
              <w:rPr>
                <w:sz w:val="1"/>
                <w:szCs w:val="1"/>
                <w:color w:val="auto"/>
              </w:rPr>
            </w:pPr>
          </w:p>
        </w:tc>
      </w:tr>
      <w:tr>
        <w:trPr>
          <w:trHeight w:val="22"/>
        </w:trPr>
        <w:tc>
          <w:tcPr>
            <w:tcW w:w="5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0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Milestone events</w:t>
            </w: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2,434</w:t>
            </w:r>
          </w:p>
        </w:tc>
        <w:tc>
          <w:tcPr>
            <w:tcW w:w="80" w:type="dxa"/>
            <w:vAlign w:val="bottom"/>
            <w:tcBorders>
              <w:bottom w:val="single" w:sz="8" w:color="D2DCE5"/>
            </w:tcBorders>
            <w:shd w:val="clear" w:color="auto" w:fill="D2DCE5"/>
          </w:tcPr>
          <w:p>
            <w:pPr>
              <w:spacing w:after="0"/>
              <w:rPr>
                <w:sz w:val="16"/>
                <w:szCs w:val="16"/>
                <w:color w:val="auto"/>
              </w:rPr>
            </w:pPr>
          </w:p>
        </w:tc>
        <w:tc>
          <w:tcPr>
            <w:tcW w:w="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0.3</w:t>
            </w:r>
          </w:p>
        </w:tc>
        <w:tc>
          <w:tcPr>
            <w:tcW w:w="80" w:type="dxa"/>
            <w:vAlign w:val="bottom"/>
            <w:tcBorders>
              <w:bottom w:val="single" w:sz="8" w:color="D2DCE5"/>
            </w:tcBorders>
            <w:shd w:val="clear" w:color="auto" w:fill="D2DCE5"/>
          </w:tcPr>
          <w:p>
            <w:pPr>
              <w:spacing w:after="0"/>
              <w:rPr>
                <w:sz w:val="16"/>
                <w:szCs w:val="16"/>
                <w:color w:val="auto"/>
              </w:rPr>
            </w:pPr>
          </w:p>
        </w:tc>
        <w:tc>
          <w:tcPr>
            <w:tcW w:w="118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80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1160" w:type="dxa"/>
            <w:vAlign w:val="bottom"/>
            <w:tcBorders>
              <w:bottom w:val="single" w:sz="8" w:color="D2DCE5"/>
            </w:tcBorders>
            <w:gridSpan w:val="3"/>
            <w:shd w:val="clear" w:color="auto" w:fill="D2DCE5"/>
          </w:tcPr>
          <w:p>
            <w:pPr>
              <w:jc w:val="right"/>
              <w:ind w:right="300"/>
              <w:spacing w:after="0"/>
              <w:rPr>
                <w:sz w:val="20"/>
                <w:szCs w:val="20"/>
                <w:color w:val="auto"/>
              </w:rPr>
            </w:pPr>
            <w:r>
              <w:rPr>
                <w:rFonts w:ascii="Arial" w:cs="Arial" w:eastAsia="Arial" w:hAnsi="Arial"/>
                <w:sz w:val="14"/>
                <w:szCs w:val="14"/>
                <w:color w:val="131E29"/>
              </w:rPr>
              <w:t>—</w:t>
            </w:r>
          </w:p>
        </w:tc>
        <w:tc>
          <w:tcPr>
            <w:tcW w:w="5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191"/>
        </w:trPr>
        <w:tc>
          <w:tcPr>
            <w:tcW w:w="5800" w:type="dxa"/>
            <w:vAlign w:val="bottom"/>
            <w:gridSpan w:val="2"/>
          </w:tcPr>
          <w:p>
            <w:pPr>
              <w:ind w:left="140"/>
              <w:spacing w:after="0"/>
              <w:rPr>
                <w:sz w:val="20"/>
                <w:szCs w:val="20"/>
                <w:color w:val="auto"/>
              </w:rPr>
            </w:pPr>
            <w:r>
              <w:rPr>
                <w:rFonts w:ascii="Arial" w:cs="Arial" w:eastAsia="Arial" w:hAnsi="Arial"/>
                <w:sz w:val="14"/>
                <w:szCs w:val="14"/>
                <w:color w:val="131E29"/>
              </w:rPr>
              <w:t>Executives transition costs</w:t>
            </w:r>
          </w:p>
        </w:tc>
        <w:tc>
          <w:tcPr>
            <w:tcW w:w="1040" w:type="dxa"/>
            <w:vAlign w:val="bottom"/>
          </w:tcPr>
          <w:p>
            <w:pPr>
              <w:jc w:val="right"/>
              <w:spacing w:after="0"/>
              <w:rPr>
                <w:sz w:val="20"/>
                <w:szCs w:val="20"/>
                <w:color w:val="auto"/>
              </w:rPr>
            </w:pPr>
            <w:r>
              <w:rPr>
                <w:rFonts w:ascii="Arial" w:cs="Arial" w:eastAsia="Arial" w:hAnsi="Arial"/>
                <w:sz w:val="14"/>
                <w:szCs w:val="14"/>
                <w:color w:val="131E29"/>
              </w:rPr>
              <w:t>691</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131E29"/>
              </w:rPr>
              <w:t>0.1</w:t>
            </w:r>
          </w:p>
        </w:tc>
        <w:tc>
          <w:tcPr>
            <w:tcW w:w="8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1160" w:type="dxa"/>
            <w:vAlign w:val="bottom"/>
            <w:gridSpan w:val="3"/>
          </w:tcPr>
          <w:p>
            <w:pPr>
              <w:jc w:val="right"/>
              <w:ind w:right="300"/>
              <w:spacing w:after="0"/>
              <w:rPr>
                <w:sz w:val="20"/>
                <w:szCs w:val="20"/>
                <w:color w:val="auto"/>
              </w:rPr>
            </w:pPr>
            <w:r>
              <w:rPr>
                <w:rFonts w:ascii="Arial" w:cs="Arial" w:eastAsia="Arial" w:hAnsi="Arial"/>
                <w:sz w:val="14"/>
                <w:szCs w:val="14"/>
                <w:color w:val="131E29"/>
              </w:rPr>
              <w:t>—</w:t>
            </w:r>
          </w:p>
        </w:tc>
        <w:tc>
          <w:tcPr>
            <w:tcW w:w="540" w:type="dxa"/>
            <w:vAlign w:val="bottom"/>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22"/>
        </w:trPr>
        <w:tc>
          <w:tcPr>
            <w:tcW w:w="5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80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TRAs remeasurement</w:t>
            </w: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(3,466)</w:t>
            </w:r>
          </w:p>
        </w:tc>
        <w:tc>
          <w:tcPr>
            <w:tcW w:w="80" w:type="dxa"/>
            <w:vAlign w:val="bottom"/>
            <w:tcBorders>
              <w:bottom w:val="single" w:sz="8" w:color="D2DCE5"/>
            </w:tcBorders>
            <w:shd w:val="clear" w:color="auto" w:fill="D2DCE5"/>
          </w:tcPr>
          <w:p>
            <w:pPr>
              <w:spacing w:after="0"/>
              <w:rPr>
                <w:sz w:val="18"/>
                <w:szCs w:val="18"/>
                <w:color w:val="auto"/>
              </w:rPr>
            </w:pPr>
          </w:p>
        </w:tc>
        <w:tc>
          <w:tcPr>
            <w:tcW w:w="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(0.4)</w:t>
            </w:r>
          </w:p>
        </w:tc>
        <w:tc>
          <w:tcPr>
            <w:tcW w:w="80" w:type="dxa"/>
            <w:vAlign w:val="bottom"/>
            <w:tcBorders>
              <w:bottom w:val="single" w:sz="8" w:color="D2DCE5"/>
            </w:tcBorders>
            <w:shd w:val="clear" w:color="auto" w:fill="D2DCE5"/>
          </w:tcPr>
          <w:p>
            <w:pPr>
              <w:spacing w:after="0"/>
              <w:rPr>
                <w:sz w:val="18"/>
                <w:szCs w:val="18"/>
                <w:color w:val="auto"/>
              </w:rPr>
            </w:pPr>
          </w:p>
        </w:tc>
        <w:tc>
          <w:tcPr>
            <w:tcW w:w="118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80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1160" w:type="dxa"/>
            <w:vAlign w:val="bottom"/>
            <w:tcBorders>
              <w:bottom w:val="single" w:sz="8" w:color="D2DCE5"/>
            </w:tcBorders>
            <w:gridSpan w:val="3"/>
            <w:shd w:val="clear" w:color="auto" w:fill="D2DCE5"/>
          </w:tcPr>
          <w:p>
            <w:pPr>
              <w:jc w:val="right"/>
              <w:ind w:right="300"/>
              <w:spacing w:after="0"/>
              <w:rPr>
                <w:sz w:val="20"/>
                <w:szCs w:val="20"/>
                <w:color w:val="auto"/>
              </w:rPr>
            </w:pPr>
            <w:r>
              <w:rPr>
                <w:rFonts w:ascii="Arial" w:cs="Arial" w:eastAsia="Arial" w:hAnsi="Arial"/>
                <w:sz w:val="14"/>
                <w:szCs w:val="14"/>
                <w:color w:val="131E29"/>
              </w:rPr>
              <w:t>—</w:t>
            </w:r>
          </w:p>
        </w:tc>
        <w:tc>
          <w:tcPr>
            <w:tcW w:w="5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226"/>
        </w:trPr>
        <w:tc>
          <w:tcPr>
            <w:tcW w:w="5800" w:type="dxa"/>
            <w:vAlign w:val="bottom"/>
            <w:gridSpan w:val="2"/>
          </w:tcPr>
          <w:p>
            <w:pPr>
              <w:ind w:left="280"/>
              <w:spacing w:after="0"/>
              <w:rPr>
                <w:sz w:val="20"/>
                <w:szCs w:val="20"/>
                <w:color w:val="auto"/>
              </w:rPr>
            </w:pPr>
            <w:r>
              <w:rPr>
                <w:rFonts w:ascii="Arial" w:cs="Arial" w:eastAsia="Arial" w:hAnsi="Arial"/>
                <w:sz w:val="14"/>
                <w:szCs w:val="14"/>
                <w:b w:val="1"/>
                <w:bCs w:val="1"/>
                <w:color w:val="131E29"/>
              </w:rPr>
              <w:t xml:space="preserve">Adjusted EBITDA </w:t>
            </w:r>
            <w:r>
              <w:rPr>
                <w:rFonts w:ascii="Arial" w:cs="Arial" w:eastAsia="Arial" w:hAnsi="Arial"/>
                <w:sz w:val="18"/>
                <w:szCs w:val="18"/>
                <w:b w:val="1"/>
                <w:bCs w:val="1"/>
                <w:color w:val="131E29"/>
                <w:vertAlign w:val="superscript"/>
              </w:rPr>
              <w:t>2</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131E29"/>
              </w:rPr>
              <w:t>91,181</w:t>
            </w:r>
          </w:p>
        </w:tc>
        <w:tc>
          <w:tcPr>
            <w:tcW w:w="80" w:type="dxa"/>
            <w:vAlign w:val="bottom"/>
          </w:tcPr>
          <w:p>
            <w:pPr>
              <w:spacing w:after="0"/>
              <w:rPr>
                <w:sz w:val="19"/>
                <w:szCs w:val="19"/>
                <w:color w:val="auto"/>
              </w:rPr>
            </w:pPr>
          </w:p>
        </w:tc>
        <w:tc>
          <w:tcPr>
            <w:tcW w:w="600" w:type="dxa"/>
            <w:vAlign w:val="bottom"/>
            <w:tcBorders>
              <w:top w:val="single" w:sz="8" w:color="131E29"/>
            </w:tcBorders>
            <w:vMerge w:val="restart"/>
          </w:tcPr>
          <w:p>
            <w:pPr>
              <w:jc w:val="right"/>
              <w:spacing w:after="0"/>
              <w:rPr>
                <w:sz w:val="20"/>
                <w:szCs w:val="20"/>
                <w:color w:val="auto"/>
              </w:rPr>
            </w:pPr>
            <w:r>
              <w:rPr>
                <w:rFonts w:ascii="Arial" w:cs="Arial" w:eastAsia="Arial" w:hAnsi="Arial"/>
                <w:sz w:val="14"/>
                <w:szCs w:val="14"/>
                <w:color w:val="131E29"/>
              </w:rPr>
              <w:t>12.3</w:t>
            </w:r>
          </w:p>
        </w:tc>
        <w:tc>
          <w:tcPr>
            <w:tcW w:w="80" w:type="dxa"/>
            <w:vAlign w:val="bottom"/>
          </w:tcPr>
          <w:p>
            <w:pPr>
              <w:spacing w:after="0"/>
              <w:rPr>
                <w:sz w:val="19"/>
                <w:szCs w:val="19"/>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131E29"/>
              </w:rPr>
              <w:t>84,132</w:t>
            </w:r>
          </w:p>
        </w:tc>
        <w:tc>
          <w:tcPr>
            <w:tcW w:w="80" w:type="dxa"/>
            <w:vAlign w:val="bottom"/>
          </w:tcPr>
          <w:p>
            <w:pPr>
              <w:spacing w:after="0"/>
              <w:rPr>
                <w:sz w:val="19"/>
                <w:szCs w:val="19"/>
                <w:color w:val="auto"/>
              </w:rPr>
            </w:pPr>
          </w:p>
        </w:tc>
        <w:tc>
          <w:tcPr>
            <w:tcW w:w="720" w:type="dxa"/>
            <w:vAlign w:val="bottom"/>
            <w:tcBorders>
              <w:top w:val="single" w:sz="8" w:color="131E29"/>
            </w:tcBorders>
            <w:vMerge w:val="restart"/>
          </w:tcPr>
          <w:p>
            <w:pPr>
              <w:jc w:val="right"/>
              <w:ind w:right="9"/>
              <w:spacing w:after="0"/>
              <w:rPr>
                <w:sz w:val="20"/>
                <w:szCs w:val="20"/>
                <w:color w:val="auto"/>
              </w:rPr>
            </w:pPr>
            <w:r>
              <w:rPr>
                <w:rFonts w:ascii="Arial" w:cs="Arial" w:eastAsia="Arial" w:hAnsi="Arial"/>
                <w:sz w:val="14"/>
                <w:szCs w:val="14"/>
                <w:color w:val="131E29"/>
              </w:rPr>
              <w:t>16.9</w:t>
            </w:r>
          </w:p>
        </w:tc>
        <w:tc>
          <w:tcPr>
            <w:tcW w:w="80" w:type="dxa"/>
            <w:vAlign w:val="bottom"/>
          </w:tcPr>
          <w:p>
            <w:pPr>
              <w:spacing w:after="0"/>
              <w:rPr>
                <w:sz w:val="19"/>
                <w:szCs w:val="19"/>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131E29"/>
              </w:rPr>
              <w:t>70,097</w:t>
            </w:r>
          </w:p>
        </w:tc>
        <w:tc>
          <w:tcPr>
            <w:tcW w:w="80" w:type="dxa"/>
            <w:vAlign w:val="bottom"/>
          </w:tcPr>
          <w:p>
            <w:pPr>
              <w:spacing w:after="0"/>
              <w:rPr>
                <w:sz w:val="19"/>
                <w:szCs w:val="19"/>
                <w:color w:val="auto"/>
              </w:rPr>
            </w:pPr>
          </w:p>
        </w:tc>
        <w:tc>
          <w:tcPr>
            <w:tcW w:w="160" w:type="dxa"/>
            <w:vAlign w:val="bottom"/>
            <w:tcBorders>
              <w:top w:val="single" w:sz="8" w:color="131E29"/>
            </w:tcBorders>
          </w:tcPr>
          <w:p>
            <w:pPr>
              <w:spacing w:after="0"/>
              <w:rPr>
                <w:sz w:val="19"/>
                <w:szCs w:val="19"/>
                <w:color w:val="auto"/>
              </w:rPr>
            </w:pPr>
          </w:p>
        </w:tc>
        <w:tc>
          <w:tcPr>
            <w:tcW w:w="540" w:type="dxa"/>
            <w:vAlign w:val="bottom"/>
            <w:tcBorders>
              <w:top w:val="single" w:sz="8" w:color="131E29"/>
            </w:tcBorders>
            <w:vMerge w:val="restart"/>
          </w:tcPr>
          <w:p>
            <w:pPr>
              <w:jc w:val="right"/>
              <w:spacing w:after="0"/>
              <w:rPr>
                <w:sz w:val="20"/>
                <w:szCs w:val="20"/>
                <w:color w:val="auto"/>
              </w:rPr>
            </w:pPr>
            <w:r>
              <w:rPr>
                <w:rFonts w:ascii="Arial" w:cs="Arial" w:eastAsia="Arial" w:hAnsi="Arial"/>
                <w:sz w:val="14"/>
                <w:szCs w:val="14"/>
                <w:color w:val="131E29"/>
              </w:rPr>
              <w:t>21.4</w:t>
            </w:r>
          </w:p>
        </w:tc>
        <w:tc>
          <w:tcPr>
            <w:tcW w:w="0" w:type="dxa"/>
            <w:vAlign w:val="bottom"/>
          </w:tcPr>
          <w:p>
            <w:pPr>
              <w:spacing w:after="0"/>
              <w:rPr>
                <w:sz w:val="1"/>
                <w:szCs w:val="1"/>
                <w:color w:val="auto"/>
              </w:rPr>
            </w:pPr>
          </w:p>
        </w:tc>
      </w:tr>
      <w:tr>
        <w:trPr>
          <w:trHeight w:val="50"/>
        </w:trPr>
        <w:tc>
          <w:tcPr>
            <w:tcW w:w="5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5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131E29"/>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131E29"/>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131E29"/>
            </w:tcBorders>
          </w:tcPr>
          <w:p>
            <w:pPr>
              <w:spacing w:after="0" w:line="20" w:lineRule="exact"/>
              <w:rPr>
                <w:sz w:val="1"/>
                <w:szCs w:val="1"/>
                <w:color w:val="auto"/>
              </w:rPr>
            </w:pPr>
          </w:p>
        </w:tc>
        <w:tc>
          <w:tcPr>
            <w:tcW w:w="540" w:type="dxa"/>
            <w:vAlign w:val="bottom"/>
            <w:tcBorders>
              <w:bottom w:val="single" w:sz="8" w:color="131E2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131E29"/>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131E29"/>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131E29"/>
            </w:tcBorders>
          </w:tcPr>
          <w:p>
            <w:pPr>
              <w:spacing w:after="0" w:line="20" w:lineRule="exact"/>
              <w:rPr>
                <w:sz w:val="1"/>
                <w:szCs w:val="1"/>
                <w:color w:val="auto"/>
              </w:rPr>
            </w:pPr>
          </w:p>
        </w:tc>
        <w:tc>
          <w:tcPr>
            <w:tcW w:w="540" w:type="dxa"/>
            <w:vAlign w:val="bottom"/>
            <w:tcBorders>
              <w:bottom w:val="single" w:sz="8" w:color="131E2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86" w:name="page87"/>
    <w:bookmarkEnd w:id="86"/>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gridSpan w:val="4"/>
          </w:tcPr>
          <w:p>
            <w:pPr>
              <w:ind w:left="140"/>
              <w:spacing w:after="0"/>
              <w:rPr>
                <w:sz w:val="20"/>
                <w:szCs w:val="20"/>
                <w:color w:val="auto"/>
              </w:rPr>
            </w:pPr>
            <w:r>
              <w:rPr>
                <w:rFonts w:ascii="Arial" w:cs="Arial" w:eastAsia="Arial" w:hAnsi="Arial"/>
                <w:sz w:val="14"/>
                <w:szCs w:val="14"/>
                <w:b w:val="1"/>
                <w:bCs w:val="1"/>
                <w:color w:val="131E29"/>
              </w:rPr>
              <w:t>Year Ended December 31,</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131E29"/>
              </w:rPr>
              <w:t>2022</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131E29"/>
              </w:rPr>
              <w:t>2021 ¹</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131E29"/>
              </w:rPr>
              <w:t>2020</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640" w:type="dxa"/>
            <w:vAlign w:val="bottom"/>
            <w:gridSpan w:val="2"/>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80" w:type="dxa"/>
            <w:vAlign w:val="bottom"/>
            <w:tcBorders>
              <w:bottom w:val="single" w:sz="8" w:color="D2DCE5"/>
            </w:tcBorders>
          </w:tcPr>
          <w:p>
            <w:pPr>
              <w:spacing w:after="0"/>
              <w:rPr>
                <w:sz w:val="16"/>
                <w:szCs w:val="16"/>
                <w:color w:val="auto"/>
              </w:rPr>
            </w:pPr>
          </w:p>
        </w:tc>
        <w:tc>
          <w:tcPr>
            <w:tcW w:w="106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6"/>
                <w:szCs w:val="16"/>
                <w:color w:val="auto"/>
              </w:rPr>
            </w:pPr>
          </w:p>
        </w:tc>
        <w:tc>
          <w:tcPr>
            <w:tcW w:w="60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6"/>
                <w:szCs w:val="16"/>
                <w:color w:val="auto"/>
              </w:rPr>
            </w:pPr>
          </w:p>
        </w:tc>
        <w:tc>
          <w:tcPr>
            <w:tcW w:w="108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w:t>
            </w:r>
          </w:p>
        </w:tc>
        <w:tc>
          <w:tcPr>
            <w:tcW w:w="100" w:type="dxa"/>
            <w:vAlign w:val="bottom"/>
            <w:tcBorders>
              <w:bottom w:val="single" w:sz="8" w:color="D2DCE5"/>
            </w:tcBorders>
          </w:tcPr>
          <w:p>
            <w:pPr>
              <w:spacing w:after="0"/>
              <w:rPr>
                <w:sz w:val="16"/>
                <w:szCs w:val="16"/>
                <w:color w:val="auto"/>
              </w:rPr>
            </w:pPr>
          </w:p>
        </w:tc>
        <w:tc>
          <w:tcPr>
            <w:tcW w:w="7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6"/>
                <w:szCs w:val="16"/>
                <w:color w:val="auto"/>
              </w:rPr>
            </w:pPr>
          </w:p>
        </w:tc>
        <w:tc>
          <w:tcPr>
            <w:tcW w:w="108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6"/>
                <w:szCs w:val="16"/>
                <w:color w:val="auto"/>
              </w:rPr>
            </w:pPr>
          </w:p>
        </w:tc>
        <w:tc>
          <w:tcPr>
            <w:tcW w:w="70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131E29"/>
              </w:rPr>
              <w:t>%</w:t>
            </w:r>
          </w:p>
        </w:tc>
        <w:tc>
          <w:tcPr>
            <w:tcW w:w="0" w:type="dxa"/>
            <w:vAlign w:val="bottom"/>
          </w:tcPr>
          <w:p>
            <w:pPr>
              <w:spacing w:after="0"/>
              <w:rPr>
                <w:sz w:val="1"/>
                <w:szCs w:val="1"/>
                <w:color w:val="auto"/>
              </w:rPr>
            </w:pPr>
          </w:p>
        </w:tc>
      </w:tr>
      <w:tr>
        <w:trPr>
          <w:trHeight w:val="246"/>
        </w:trPr>
        <w:tc>
          <w:tcPr>
            <w:tcW w:w="564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 xml:space="preserve">Selling, general, and administrative </w:t>
            </w:r>
            <w:r>
              <w:rPr>
                <w:rFonts w:ascii="Arial" w:cs="Arial" w:eastAsia="Arial" w:hAnsi="Arial"/>
                <w:sz w:val="18"/>
                <w:szCs w:val="18"/>
                <w:b w:val="1"/>
                <w:bCs w:val="1"/>
                <w:color w:val="131E29"/>
                <w:vertAlign w:val="superscript"/>
              </w:rPr>
              <w:t>4</w:t>
            </w:r>
          </w:p>
        </w:tc>
        <w:tc>
          <w:tcPr>
            <w:tcW w:w="106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183,528</w:t>
            </w:r>
          </w:p>
        </w:tc>
        <w:tc>
          <w:tcPr>
            <w:tcW w:w="80" w:type="dxa"/>
            <w:vAlign w:val="bottom"/>
            <w:shd w:val="clear" w:color="auto" w:fill="D2DCE5"/>
          </w:tcPr>
          <w:p>
            <w:pPr>
              <w:spacing w:after="0"/>
              <w:rPr>
                <w:sz w:val="21"/>
                <w:szCs w:val="21"/>
                <w:color w:val="auto"/>
              </w:rPr>
            </w:pPr>
          </w:p>
        </w:tc>
        <w:tc>
          <w:tcPr>
            <w:tcW w:w="60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24.8</w:t>
            </w:r>
          </w:p>
        </w:tc>
        <w:tc>
          <w:tcPr>
            <w:tcW w:w="80" w:type="dxa"/>
            <w:vAlign w:val="bottom"/>
            <w:shd w:val="clear" w:color="auto" w:fill="D2DCE5"/>
          </w:tcPr>
          <w:p>
            <w:pPr>
              <w:spacing w:after="0"/>
              <w:rPr>
                <w:sz w:val="21"/>
                <w:szCs w:val="21"/>
                <w:color w:val="auto"/>
              </w:rPr>
            </w:pPr>
          </w:p>
        </w:tc>
        <w:tc>
          <w:tcPr>
            <w:tcW w:w="108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264,529</w:t>
            </w:r>
          </w:p>
        </w:tc>
        <w:tc>
          <w:tcPr>
            <w:tcW w:w="100" w:type="dxa"/>
            <w:vAlign w:val="bottom"/>
            <w:shd w:val="clear" w:color="auto" w:fill="D2DCE5"/>
          </w:tcPr>
          <w:p>
            <w:pPr>
              <w:spacing w:after="0"/>
              <w:rPr>
                <w:sz w:val="21"/>
                <w:szCs w:val="21"/>
                <w:color w:val="auto"/>
              </w:rPr>
            </w:pPr>
          </w:p>
        </w:tc>
        <w:tc>
          <w:tcPr>
            <w:tcW w:w="70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53.1</w:t>
            </w:r>
          </w:p>
        </w:tc>
        <w:tc>
          <w:tcPr>
            <w:tcW w:w="80" w:type="dxa"/>
            <w:vAlign w:val="bottom"/>
            <w:shd w:val="clear" w:color="auto" w:fill="D2DCE5"/>
          </w:tcPr>
          <w:p>
            <w:pPr>
              <w:spacing w:after="0"/>
              <w:rPr>
                <w:sz w:val="21"/>
                <w:szCs w:val="21"/>
                <w:color w:val="auto"/>
              </w:rPr>
            </w:pPr>
          </w:p>
        </w:tc>
        <w:tc>
          <w:tcPr>
            <w:tcW w:w="108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104,935</w:t>
            </w:r>
          </w:p>
        </w:tc>
        <w:tc>
          <w:tcPr>
            <w:tcW w:w="80" w:type="dxa"/>
            <w:vAlign w:val="bottom"/>
            <w:shd w:val="clear" w:color="auto" w:fill="D2DCE5"/>
          </w:tcPr>
          <w:p>
            <w:pPr>
              <w:spacing w:after="0"/>
              <w:rPr>
                <w:sz w:val="21"/>
                <w:szCs w:val="21"/>
                <w:color w:val="auto"/>
              </w:rPr>
            </w:pPr>
          </w:p>
        </w:tc>
        <w:tc>
          <w:tcPr>
            <w:tcW w:w="70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32.0</w:t>
            </w:r>
          </w:p>
        </w:tc>
        <w:tc>
          <w:tcPr>
            <w:tcW w:w="0" w:type="dxa"/>
            <w:vAlign w:val="bottom"/>
          </w:tcPr>
          <w:p>
            <w:pPr>
              <w:spacing w:after="0"/>
              <w:rPr>
                <w:sz w:val="1"/>
                <w:szCs w:val="1"/>
                <w:color w:val="auto"/>
              </w:rPr>
            </w:pPr>
          </w:p>
        </w:tc>
      </w:tr>
      <w:tr>
        <w:trPr>
          <w:trHeight w:val="73"/>
        </w:trPr>
        <w:tc>
          <w:tcPr>
            <w:tcW w:w="5560" w:type="dxa"/>
            <w:vAlign w:val="bottom"/>
            <w:tcBorders>
              <w:bottom w:val="single" w:sz="8" w:color="D2DCE5"/>
            </w:tcBorders>
            <w:shd w:val="clear" w:color="auto" w:fill="D2DCE5"/>
          </w:tcPr>
          <w:p>
            <w:pPr>
              <w:spacing w:after="0"/>
              <w:rPr>
                <w:sz w:val="6"/>
                <w:szCs w:val="6"/>
                <w:color w:val="auto"/>
              </w:rPr>
            </w:pPr>
          </w:p>
        </w:tc>
        <w:tc>
          <w:tcPr>
            <w:tcW w:w="80" w:type="dxa"/>
            <w:vAlign w:val="bottom"/>
            <w:tcBorders>
              <w:bottom w:val="single" w:sz="8" w:color="D2DCE5"/>
            </w:tcBorders>
            <w:shd w:val="clear" w:color="auto" w:fill="D2DCE5"/>
          </w:tcPr>
          <w:p>
            <w:pPr>
              <w:spacing w:after="0"/>
              <w:rPr>
                <w:sz w:val="6"/>
                <w:szCs w:val="6"/>
                <w:color w:val="auto"/>
              </w:rPr>
            </w:pPr>
          </w:p>
        </w:tc>
        <w:tc>
          <w:tcPr>
            <w:tcW w:w="1060" w:type="dxa"/>
            <w:vAlign w:val="bottom"/>
            <w:tcBorders>
              <w:bottom w:val="single" w:sz="8" w:color="D2DCE5"/>
            </w:tcBorders>
            <w:vMerge w:val="continue"/>
            <w:shd w:val="clear" w:color="auto" w:fill="D2DCE5"/>
          </w:tcPr>
          <w:p>
            <w:pPr>
              <w:spacing w:after="0"/>
              <w:rPr>
                <w:sz w:val="6"/>
                <w:szCs w:val="6"/>
                <w:color w:val="auto"/>
              </w:rPr>
            </w:pPr>
          </w:p>
        </w:tc>
        <w:tc>
          <w:tcPr>
            <w:tcW w:w="80" w:type="dxa"/>
            <w:vAlign w:val="bottom"/>
            <w:tcBorders>
              <w:bottom w:val="single" w:sz="8" w:color="D2DCE5"/>
            </w:tcBorders>
            <w:shd w:val="clear" w:color="auto" w:fill="D2DCE5"/>
          </w:tcPr>
          <w:p>
            <w:pPr>
              <w:spacing w:after="0"/>
              <w:rPr>
                <w:sz w:val="6"/>
                <w:szCs w:val="6"/>
                <w:color w:val="auto"/>
              </w:rPr>
            </w:pPr>
          </w:p>
        </w:tc>
        <w:tc>
          <w:tcPr>
            <w:tcW w:w="600" w:type="dxa"/>
            <w:vAlign w:val="bottom"/>
            <w:tcBorders>
              <w:bottom w:val="single" w:sz="8" w:color="D2DCE5"/>
            </w:tcBorders>
            <w:vMerge w:val="continue"/>
            <w:shd w:val="clear" w:color="auto" w:fill="D2DCE5"/>
          </w:tcPr>
          <w:p>
            <w:pPr>
              <w:spacing w:after="0"/>
              <w:rPr>
                <w:sz w:val="6"/>
                <w:szCs w:val="6"/>
                <w:color w:val="auto"/>
              </w:rPr>
            </w:pPr>
          </w:p>
        </w:tc>
        <w:tc>
          <w:tcPr>
            <w:tcW w:w="80" w:type="dxa"/>
            <w:vAlign w:val="bottom"/>
            <w:tcBorders>
              <w:bottom w:val="single" w:sz="8" w:color="D2DCE5"/>
            </w:tcBorders>
            <w:shd w:val="clear" w:color="auto" w:fill="D2DCE5"/>
          </w:tcPr>
          <w:p>
            <w:pPr>
              <w:spacing w:after="0"/>
              <w:rPr>
                <w:sz w:val="6"/>
                <w:szCs w:val="6"/>
                <w:color w:val="auto"/>
              </w:rPr>
            </w:pPr>
          </w:p>
        </w:tc>
        <w:tc>
          <w:tcPr>
            <w:tcW w:w="1080" w:type="dxa"/>
            <w:vAlign w:val="bottom"/>
            <w:tcBorders>
              <w:bottom w:val="single" w:sz="8" w:color="D2DCE5"/>
            </w:tcBorders>
            <w:vMerge w:val="continue"/>
            <w:shd w:val="clear" w:color="auto" w:fill="D2DCE5"/>
          </w:tcPr>
          <w:p>
            <w:pPr>
              <w:spacing w:after="0"/>
              <w:rPr>
                <w:sz w:val="6"/>
                <w:szCs w:val="6"/>
                <w:color w:val="auto"/>
              </w:rPr>
            </w:pPr>
          </w:p>
        </w:tc>
        <w:tc>
          <w:tcPr>
            <w:tcW w:w="100" w:type="dxa"/>
            <w:vAlign w:val="bottom"/>
            <w:tcBorders>
              <w:bottom w:val="single" w:sz="8" w:color="D2DCE5"/>
            </w:tcBorders>
            <w:shd w:val="clear" w:color="auto" w:fill="D2DCE5"/>
          </w:tcPr>
          <w:p>
            <w:pPr>
              <w:spacing w:after="0"/>
              <w:rPr>
                <w:sz w:val="6"/>
                <w:szCs w:val="6"/>
                <w:color w:val="auto"/>
              </w:rPr>
            </w:pPr>
          </w:p>
        </w:tc>
        <w:tc>
          <w:tcPr>
            <w:tcW w:w="700" w:type="dxa"/>
            <w:vAlign w:val="bottom"/>
            <w:tcBorders>
              <w:bottom w:val="single" w:sz="8" w:color="D2DCE5"/>
            </w:tcBorders>
            <w:vMerge w:val="continue"/>
            <w:shd w:val="clear" w:color="auto" w:fill="D2DCE5"/>
          </w:tcPr>
          <w:p>
            <w:pPr>
              <w:spacing w:after="0"/>
              <w:rPr>
                <w:sz w:val="6"/>
                <w:szCs w:val="6"/>
                <w:color w:val="auto"/>
              </w:rPr>
            </w:pPr>
          </w:p>
        </w:tc>
        <w:tc>
          <w:tcPr>
            <w:tcW w:w="80" w:type="dxa"/>
            <w:vAlign w:val="bottom"/>
            <w:tcBorders>
              <w:bottom w:val="single" w:sz="8" w:color="D2DCE5"/>
            </w:tcBorders>
            <w:shd w:val="clear" w:color="auto" w:fill="D2DCE5"/>
          </w:tcPr>
          <w:p>
            <w:pPr>
              <w:spacing w:after="0"/>
              <w:rPr>
                <w:sz w:val="6"/>
                <w:szCs w:val="6"/>
                <w:color w:val="auto"/>
              </w:rPr>
            </w:pPr>
          </w:p>
        </w:tc>
        <w:tc>
          <w:tcPr>
            <w:tcW w:w="1080" w:type="dxa"/>
            <w:vAlign w:val="bottom"/>
            <w:tcBorders>
              <w:bottom w:val="single" w:sz="8" w:color="D2DCE5"/>
            </w:tcBorders>
            <w:vMerge w:val="continue"/>
            <w:shd w:val="clear" w:color="auto" w:fill="D2DCE5"/>
          </w:tcPr>
          <w:p>
            <w:pPr>
              <w:spacing w:after="0"/>
              <w:rPr>
                <w:sz w:val="6"/>
                <w:szCs w:val="6"/>
                <w:color w:val="auto"/>
              </w:rPr>
            </w:pPr>
          </w:p>
        </w:tc>
        <w:tc>
          <w:tcPr>
            <w:tcW w:w="80" w:type="dxa"/>
            <w:vAlign w:val="bottom"/>
            <w:tcBorders>
              <w:bottom w:val="single" w:sz="8" w:color="D2DCE5"/>
            </w:tcBorders>
            <w:shd w:val="clear" w:color="auto" w:fill="D2DCE5"/>
          </w:tcPr>
          <w:p>
            <w:pPr>
              <w:spacing w:after="0"/>
              <w:rPr>
                <w:sz w:val="6"/>
                <w:szCs w:val="6"/>
                <w:color w:val="auto"/>
              </w:rPr>
            </w:pPr>
          </w:p>
        </w:tc>
        <w:tc>
          <w:tcPr>
            <w:tcW w:w="700" w:type="dxa"/>
            <w:vAlign w:val="bottom"/>
            <w:tcBorders>
              <w:bottom w:val="single" w:sz="8" w:color="D2DCE5"/>
            </w:tcBorders>
            <w:vMerge w:val="continue"/>
            <w:shd w:val="clear" w:color="auto" w:fill="D2DCE5"/>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640" w:type="dxa"/>
            <w:vAlign w:val="bottom"/>
            <w:gridSpan w:val="2"/>
          </w:tcPr>
          <w:p>
            <w:pPr>
              <w:ind w:left="140"/>
              <w:spacing w:after="0"/>
              <w:rPr>
                <w:sz w:val="20"/>
                <w:szCs w:val="20"/>
                <w:color w:val="auto"/>
              </w:rPr>
            </w:pPr>
            <w:r>
              <w:rPr>
                <w:rFonts w:ascii="Arial" w:cs="Arial" w:eastAsia="Arial" w:hAnsi="Arial"/>
                <w:sz w:val="14"/>
                <w:szCs w:val="14"/>
                <w:color w:val="131E29"/>
              </w:rPr>
              <w:t>Equity-based compensation</w:t>
            </w:r>
          </w:p>
        </w:tc>
        <w:tc>
          <w:tcPr>
            <w:tcW w:w="1060" w:type="dxa"/>
            <w:vAlign w:val="bottom"/>
          </w:tcPr>
          <w:p>
            <w:pPr>
              <w:jc w:val="right"/>
              <w:spacing w:after="0"/>
              <w:rPr>
                <w:sz w:val="20"/>
                <w:szCs w:val="20"/>
                <w:color w:val="auto"/>
              </w:rPr>
            </w:pPr>
            <w:r>
              <w:rPr>
                <w:rFonts w:ascii="Arial" w:cs="Arial" w:eastAsia="Arial" w:hAnsi="Arial"/>
                <w:sz w:val="14"/>
                <w:szCs w:val="14"/>
                <w:color w:val="131E29"/>
              </w:rPr>
              <w:t>(41,657)</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131E29"/>
              </w:rPr>
              <w:t>(5.6)</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131E29"/>
              </w:rPr>
              <w:t>(157,716)</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131E29"/>
              </w:rPr>
              <w:t>(31.7)</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131E29"/>
              </w:rPr>
              <w:t>(35,087)</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131E29"/>
              </w:rPr>
              <w:t>(10.7)</w:t>
            </w:r>
          </w:p>
        </w:tc>
        <w:tc>
          <w:tcPr>
            <w:tcW w:w="0" w:type="dxa"/>
            <w:vAlign w:val="bottom"/>
          </w:tcPr>
          <w:p>
            <w:pPr>
              <w:spacing w:after="0"/>
              <w:rPr>
                <w:sz w:val="1"/>
                <w:szCs w:val="1"/>
                <w:color w:val="auto"/>
              </w:rPr>
            </w:pPr>
          </w:p>
        </w:tc>
      </w:tr>
      <w:tr>
        <w:trPr>
          <w:trHeight w:val="22"/>
        </w:trPr>
        <w:tc>
          <w:tcPr>
            <w:tcW w:w="5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64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Expenses associated with equity offerings</w:t>
            </w:r>
          </w:p>
        </w:tc>
        <w:tc>
          <w:tcPr>
            <w:tcW w:w="114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8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0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(6,523)</w:t>
            </w:r>
          </w:p>
        </w:tc>
        <w:tc>
          <w:tcPr>
            <w:tcW w:w="100" w:type="dxa"/>
            <w:vAlign w:val="bottom"/>
            <w:tcBorders>
              <w:bottom w:val="single" w:sz="8" w:color="D2DCE5"/>
            </w:tcBorders>
            <w:shd w:val="clear" w:color="auto" w:fill="D2DCE5"/>
          </w:tcPr>
          <w:p>
            <w:pPr>
              <w:spacing w:after="0"/>
              <w:rPr>
                <w:sz w:val="16"/>
                <w:szCs w:val="16"/>
                <w:color w:val="auto"/>
              </w:rPr>
            </w:pP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(1.3)</w:t>
            </w:r>
          </w:p>
        </w:tc>
        <w:tc>
          <w:tcPr>
            <w:tcW w:w="80" w:type="dxa"/>
            <w:vAlign w:val="bottom"/>
            <w:tcBorders>
              <w:bottom w:val="single" w:sz="8" w:color="D2DCE5"/>
            </w:tcBorders>
            <w:shd w:val="clear" w:color="auto" w:fill="D2DCE5"/>
          </w:tcPr>
          <w:p>
            <w:pPr>
              <w:spacing w:after="0"/>
              <w:rPr>
                <w:sz w:val="16"/>
                <w:szCs w:val="16"/>
                <w:color w:val="auto"/>
              </w:rPr>
            </w:pPr>
          </w:p>
        </w:tc>
        <w:tc>
          <w:tcPr>
            <w:tcW w:w="116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191"/>
        </w:trPr>
        <w:tc>
          <w:tcPr>
            <w:tcW w:w="5640" w:type="dxa"/>
            <w:vAlign w:val="bottom"/>
            <w:gridSpan w:val="2"/>
          </w:tcPr>
          <w:p>
            <w:pPr>
              <w:ind w:left="140"/>
              <w:spacing w:after="0"/>
              <w:rPr>
                <w:sz w:val="20"/>
                <w:szCs w:val="20"/>
                <w:color w:val="auto"/>
              </w:rPr>
            </w:pPr>
            <w:r>
              <w:rPr>
                <w:rFonts w:ascii="Arial" w:cs="Arial" w:eastAsia="Arial" w:hAnsi="Arial"/>
                <w:sz w:val="14"/>
                <w:szCs w:val="14"/>
                <w:color w:val="131E29"/>
              </w:rPr>
              <w:t>Donations associated with equity offerings</w:t>
            </w: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080" w:type="dxa"/>
            <w:vAlign w:val="bottom"/>
          </w:tcPr>
          <w:p>
            <w:pPr>
              <w:jc w:val="right"/>
              <w:spacing w:after="0"/>
              <w:rPr>
                <w:sz w:val="20"/>
                <w:szCs w:val="20"/>
                <w:color w:val="auto"/>
              </w:rPr>
            </w:pPr>
            <w:r>
              <w:rPr>
                <w:rFonts w:ascii="Arial" w:cs="Arial" w:eastAsia="Arial" w:hAnsi="Arial"/>
                <w:sz w:val="14"/>
                <w:szCs w:val="14"/>
                <w:color w:val="131E29"/>
              </w:rPr>
              <w:t>(3,792)</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131E29"/>
              </w:rPr>
              <w:t>(0.7)</w:t>
            </w:r>
          </w:p>
        </w:tc>
        <w:tc>
          <w:tcPr>
            <w:tcW w:w="8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700" w:type="dxa"/>
            <w:vAlign w:val="bottom"/>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22"/>
        </w:trPr>
        <w:tc>
          <w:tcPr>
            <w:tcW w:w="5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64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COVID-19: prepaid costs not utilized</w:t>
            </w:r>
          </w:p>
        </w:tc>
        <w:tc>
          <w:tcPr>
            <w:tcW w:w="10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(2,305)</w:t>
            </w:r>
          </w:p>
        </w:tc>
        <w:tc>
          <w:tcPr>
            <w:tcW w:w="80" w:type="dxa"/>
            <w:vAlign w:val="bottom"/>
            <w:tcBorders>
              <w:bottom w:val="single" w:sz="8" w:color="D2DCE5"/>
            </w:tcBorders>
            <w:shd w:val="clear" w:color="auto" w:fill="D2DCE5"/>
          </w:tcPr>
          <w:p>
            <w:pPr>
              <w:spacing w:after="0"/>
              <w:rPr>
                <w:sz w:val="16"/>
                <w:szCs w:val="16"/>
                <w:color w:val="auto"/>
              </w:rPr>
            </w:pPr>
          </w:p>
        </w:tc>
        <w:tc>
          <w:tcPr>
            <w:tcW w:w="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(0.3)</w:t>
            </w:r>
          </w:p>
        </w:tc>
        <w:tc>
          <w:tcPr>
            <w:tcW w:w="80" w:type="dxa"/>
            <w:vAlign w:val="bottom"/>
            <w:tcBorders>
              <w:bottom w:val="single" w:sz="8" w:color="D2DCE5"/>
            </w:tcBorders>
            <w:shd w:val="clear" w:color="auto" w:fill="D2DCE5"/>
          </w:tcPr>
          <w:p>
            <w:pPr>
              <w:spacing w:after="0"/>
              <w:rPr>
                <w:sz w:val="16"/>
                <w:szCs w:val="16"/>
                <w:color w:val="auto"/>
              </w:rPr>
            </w:pPr>
          </w:p>
        </w:tc>
        <w:tc>
          <w:tcPr>
            <w:tcW w:w="118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78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16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191"/>
        </w:trPr>
        <w:tc>
          <w:tcPr>
            <w:tcW w:w="5640" w:type="dxa"/>
            <w:vAlign w:val="bottom"/>
            <w:gridSpan w:val="2"/>
          </w:tcPr>
          <w:p>
            <w:pPr>
              <w:ind w:left="140"/>
              <w:spacing w:after="0"/>
              <w:rPr>
                <w:sz w:val="20"/>
                <w:szCs w:val="20"/>
                <w:color w:val="auto"/>
              </w:rPr>
            </w:pPr>
            <w:r>
              <w:rPr>
                <w:rFonts w:ascii="Arial" w:cs="Arial" w:eastAsia="Arial" w:hAnsi="Arial"/>
                <w:sz w:val="14"/>
                <w:szCs w:val="14"/>
                <w:color w:val="131E29"/>
              </w:rPr>
              <w:t>Milestone events</w:t>
            </w:r>
          </w:p>
        </w:tc>
        <w:tc>
          <w:tcPr>
            <w:tcW w:w="1060" w:type="dxa"/>
            <w:vAlign w:val="bottom"/>
          </w:tcPr>
          <w:p>
            <w:pPr>
              <w:jc w:val="right"/>
              <w:spacing w:after="0"/>
              <w:rPr>
                <w:sz w:val="20"/>
                <w:szCs w:val="20"/>
                <w:color w:val="auto"/>
              </w:rPr>
            </w:pPr>
            <w:r>
              <w:rPr>
                <w:rFonts w:ascii="Arial" w:cs="Arial" w:eastAsia="Arial" w:hAnsi="Arial"/>
                <w:sz w:val="14"/>
                <w:szCs w:val="14"/>
                <w:color w:val="131E29"/>
              </w:rPr>
              <w:t>(2,434)</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131E29"/>
              </w:rPr>
              <w:t>(0.3)</w:t>
            </w:r>
          </w:p>
        </w:tc>
        <w:tc>
          <w:tcPr>
            <w:tcW w:w="8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700" w:type="dxa"/>
            <w:vAlign w:val="bottom"/>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22"/>
        </w:trPr>
        <w:tc>
          <w:tcPr>
            <w:tcW w:w="5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64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Executives transition costs</w:t>
            </w:r>
          </w:p>
        </w:tc>
        <w:tc>
          <w:tcPr>
            <w:tcW w:w="10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(691)</w:t>
            </w:r>
          </w:p>
        </w:tc>
        <w:tc>
          <w:tcPr>
            <w:tcW w:w="80" w:type="dxa"/>
            <w:vAlign w:val="bottom"/>
            <w:tcBorders>
              <w:bottom w:val="single" w:sz="8" w:color="D2DCE5"/>
            </w:tcBorders>
            <w:shd w:val="clear" w:color="auto" w:fill="D2DCE5"/>
          </w:tcPr>
          <w:p>
            <w:pPr>
              <w:spacing w:after="0"/>
              <w:rPr>
                <w:sz w:val="18"/>
                <w:szCs w:val="18"/>
                <w:color w:val="auto"/>
              </w:rPr>
            </w:pPr>
          </w:p>
        </w:tc>
        <w:tc>
          <w:tcPr>
            <w:tcW w:w="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(0.1)</w:t>
            </w:r>
          </w:p>
        </w:tc>
        <w:tc>
          <w:tcPr>
            <w:tcW w:w="80" w:type="dxa"/>
            <w:vAlign w:val="bottom"/>
            <w:tcBorders>
              <w:bottom w:val="single" w:sz="8" w:color="D2DCE5"/>
            </w:tcBorders>
            <w:shd w:val="clear" w:color="auto" w:fill="D2DCE5"/>
          </w:tcPr>
          <w:p>
            <w:pPr>
              <w:spacing w:after="0"/>
              <w:rPr>
                <w:sz w:val="18"/>
                <w:szCs w:val="18"/>
                <w:color w:val="auto"/>
              </w:rPr>
            </w:pPr>
          </w:p>
        </w:tc>
        <w:tc>
          <w:tcPr>
            <w:tcW w:w="118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78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16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203"/>
        </w:trPr>
        <w:tc>
          <w:tcPr>
            <w:tcW w:w="5640" w:type="dxa"/>
            <w:vAlign w:val="bottom"/>
            <w:gridSpan w:val="2"/>
          </w:tcPr>
          <w:p>
            <w:pPr>
              <w:ind w:left="280"/>
              <w:spacing w:after="0"/>
              <w:rPr>
                <w:sz w:val="20"/>
                <w:szCs w:val="20"/>
                <w:color w:val="auto"/>
              </w:rPr>
            </w:pPr>
            <w:r>
              <w:rPr>
                <w:rFonts w:ascii="Arial" w:cs="Arial" w:eastAsia="Arial" w:hAnsi="Arial"/>
                <w:sz w:val="14"/>
                <w:szCs w:val="14"/>
                <w:b w:val="1"/>
                <w:bCs w:val="1"/>
                <w:color w:val="131E29"/>
              </w:rPr>
              <w:t>Adjusted selling, general, and administrative</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rPr>
              <w:t>136,441</w:t>
            </w:r>
          </w:p>
        </w:tc>
        <w:tc>
          <w:tcPr>
            <w:tcW w:w="8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rPr>
              <w:t>18.5</w:t>
            </w:r>
          </w:p>
        </w:tc>
        <w:tc>
          <w:tcPr>
            <w:tcW w:w="8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rPr>
              <w:t>96,498</w:t>
            </w:r>
          </w:p>
        </w:tc>
        <w:tc>
          <w:tcPr>
            <w:tcW w:w="10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rPr>
              <w:t>19.4</w:t>
            </w:r>
          </w:p>
        </w:tc>
        <w:tc>
          <w:tcPr>
            <w:tcW w:w="8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rPr>
              <w:t>69,848</w:t>
            </w:r>
          </w:p>
        </w:tc>
        <w:tc>
          <w:tcPr>
            <w:tcW w:w="8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rPr>
              <w:t>21.3</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131E29"/>
        </w:rPr>
        <w:t>_________________</w:t>
      </w:r>
    </w:p>
    <w:p>
      <w:pPr>
        <w:spacing w:after="0" w:line="140" w:lineRule="exact"/>
        <w:rPr>
          <w:sz w:val="20"/>
          <w:szCs w:val="20"/>
          <w:color w:val="auto"/>
        </w:rPr>
      </w:pPr>
    </w:p>
    <w:p>
      <w:pPr>
        <w:jc w:val="both"/>
        <w:ind w:left="140" w:hanging="135"/>
        <w:spacing w:after="0" w:line="226" w:lineRule="auto"/>
        <w:tabs>
          <w:tab w:leader="none" w:pos="224" w:val="left"/>
        </w:tabs>
        <w:numPr>
          <w:ilvl w:val="0"/>
          <w:numId w:val="63"/>
        </w:numPr>
        <w:rPr>
          <w:rFonts w:ascii="Arial" w:cs="Arial" w:eastAsia="Arial" w:hAnsi="Arial"/>
          <w:sz w:val="15"/>
          <w:szCs w:val="15"/>
          <w:color w:val="auto"/>
          <w:vertAlign w:val="superscript"/>
        </w:rPr>
      </w:pPr>
      <w:r>
        <w:rPr>
          <w:rFonts w:ascii="Arial" w:cs="Arial" w:eastAsia="Arial" w:hAnsi="Arial"/>
          <w:sz w:val="11"/>
          <w:szCs w:val="11"/>
          <w:color w:val="auto"/>
        </w:rPr>
        <w:t xml:space="preserve">Our historical results have been revised to reflect immaterial corrections related to the accrual of employee sick leave. For additional information, refer to NOTE 2 — Basis of Presentation and Summary of Significant Accounting Policies and NOTE 20 — Segment Reporting, included elsewhere in this Form 10-K. The impacts of the immaterial corrections on our non-GAAP measures, not included elsewhere in this Form 10-K, are presented below for the year ended December 31, </w:t>
      </w:r>
      <w:r>
        <w:rPr>
          <w:rFonts w:ascii="Arial" w:cs="Arial" w:eastAsia="Arial" w:hAnsi="Arial"/>
          <w:sz w:val="11"/>
          <w:szCs w:val="11"/>
          <w:color w:val="131E29"/>
        </w:rPr>
        <w:t>2021</w:t>
      </w:r>
      <w:r>
        <w:rPr>
          <w:rFonts w:ascii="Arial" w:cs="Arial" w:eastAsia="Arial" w:hAnsi="Arial"/>
          <w:sz w:val="11"/>
          <w:szCs w:val="11"/>
          <w:color w:val="auto"/>
        </w:rPr>
        <w:t xml:space="preserve"> and 2020, respectively.</w:t>
      </w:r>
    </w:p>
    <w:p>
      <w:pPr>
        <w:spacing w:after="0" w:line="31" w:lineRule="exact"/>
        <w:rPr>
          <w:sz w:val="20"/>
          <w:szCs w:val="20"/>
          <w:color w:val="auto"/>
        </w:rPr>
      </w:pPr>
    </w:p>
    <w:tbl>
      <w:tblPr>
        <w:tblLayout w:type="fixed"/>
        <w:tblInd w:w="140" w:type="dxa"/>
        <w:tblCellMar>
          <w:top w:w="0" w:type="dxa"/>
          <w:left w:w="0" w:type="dxa"/>
          <w:bottom w:w="0" w:type="dxa"/>
          <w:right w:w="0" w:type="dxa"/>
        </w:tblCellMar>
      </w:tblPr>
      <w:tr>
        <w:trPr>
          <w:trHeight w:val="160"/>
        </w:trPr>
        <w:tc>
          <w:tcPr>
            <w:tcW w:w="8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00" w:type="dxa"/>
            <w:vAlign w:val="bottom"/>
            <w:tcBorders>
              <w:bottom w:val="single" w:sz="8" w:color="auto"/>
            </w:tcBorders>
            <w:gridSpan w:val="3"/>
          </w:tcPr>
          <w:p>
            <w:pPr>
              <w:jc w:val="right"/>
              <w:ind w:right="603"/>
              <w:spacing w:after="0"/>
              <w:rPr>
                <w:sz w:val="20"/>
                <w:szCs w:val="20"/>
                <w:color w:val="auto"/>
              </w:rPr>
            </w:pPr>
            <w:r>
              <w:rPr>
                <w:rFonts w:ascii="Arial" w:cs="Arial" w:eastAsia="Arial" w:hAnsi="Arial"/>
                <w:sz w:val="11"/>
                <w:szCs w:val="11"/>
                <w:b w:val="1"/>
                <w:bCs w:val="1"/>
                <w:color w:val="131E29"/>
              </w:rPr>
              <w:t>Year Ended December 31,</w:t>
            </w:r>
          </w:p>
        </w:tc>
      </w:tr>
      <w:tr>
        <w:trPr>
          <w:trHeight w:val="171"/>
        </w:trPr>
        <w:tc>
          <w:tcPr>
            <w:tcW w:w="8140" w:type="dxa"/>
            <w:vAlign w:val="bottom"/>
            <w:tcBorders>
              <w:bottom w:val="single" w:sz="8" w:color="auto"/>
            </w:tcBorders>
          </w:tcPr>
          <w:p>
            <w:pPr>
              <w:spacing w:after="0"/>
              <w:rPr>
                <w:sz w:val="20"/>
                <w:szCs w:val="20"/>
                <w:color w:val="auto"/>
              </w:rPr>
            </w:pPr>
            <w:r>
              <w:rPr>
                <w:rFonts w:ascii="Arial" w:cs="Arial" w:eastAsia="Arial" w:hAnsi="Arial"/>
                <w:sz w:val="11"/>
                <w:szCs w:val="11"/>
                <w:color w:val="131E29"/>
              </w:rPr>
              <w:t>(in thousands; unaudited)</w:t>
            </w:r>
          </w:p>
        </w:tc>
        <w:tc>
          <w:tcPr>
            <w:tcW w:w="80" w:type="dxa"/>
            <w:vAlign w:val="bottom"/>
            <w:tcBorders>
              <w:bottom w:val="single" w:sz="8" w:color="D2DCE5"/>
            </w:tcBorders>
          </w:tcPr>
          <w:p>
            <w:pPr>
              <w:spacing w:after="0"/>
              <w:rPr>
                <w:sz w:val="14"/>
                <w:szCs w:val="14"/>
                <w:color w:val="auto"/>
              </w:rPr>
            </w:pPr>
          </w:p>
        </w:tc>
        <w:tc>
          <w:tcPr>
            <w:tcW w:w="1320" w:type="dxa"/>
            <w:vAlign w:val="bottom"/>
            <w:tcBorders>
              <w:bottom w:val="single" w:sz="8" w:color="auto"/>
            </w:tcBorders>
          </w:tcPr>
          <w:p>
            <w:pPr>
              <w:jc w:val="right"/>
              <w:ind w:right="483"/>
              <w:spacing w:after="0"/>
              <w:rPr>
                <w:sz w:val="20"/>
                <w:szCs w:val="20"/>
                <w:color w:val="auto"/>
              </w:rPr>
            </w:pPr>
            <w:r>
              <w:rPr>
                <w:rFonts w:ascii="Arial" w:cs="Arial" w:eastAsia="Arial" w:hAnsi="Arial"/>
                <w:sz w:val="11"/>
                <w:szCs w:val="11"/>
                <w:b w:val="1"/>
                <w:bCs w:val="1"/>
                <w:color w:val="131E29"/>
              </w:rPr>
              <w:t>2021</w:t>
            </w:r>
          </w:p>
        </w:tc>
        <w:tc>
          <w:tcPr>
            <w:tcW w:w="80" w:type="dxa"/>
            <w:vAlign w:val="bottom"/>
            <w:tcBorders>
              <w:bottom w:val="single" w:sz="8" w:color="D2DCE5"/>
            </w:tcBorders>
          </w:tcPr>
          <w:p>
            <w:pPr>
              <w:spacing w:after="0"/>
              <w:rPr>
                <w:sz w:val="14"/>
                <w:szCs w:val="14"/>
                <w:color w:val="auto"/>
              </w:rPr>
            </w:pPr>
          </w:p>
        </w:tc>
        <w:tc>
          <w:tcPr>
            <w:tcW w:w="1300" w:type="dxa"/>
            <w:vAlign w:val="bottom"/>
            <w:tcBorders>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131E29"/>
              </w:rPr>
              <w:t>2020</w:t>
            </w:r>
          </w:p>
        </w:tc>
      </w:tr>
      <w:tr>
        <w:trPr>
          <w:trHeight w:val="180"/>
        </w:trPr>
        <w:tc>
          <w:tcPr>
            <w:tcW w:w="8220" w:type="dxa"/>
            <w:vAlign w:val="bottom"/>
            <w:gridSpan w:val="2"/>
            <w:shd w:val="clear" w:color="auto" w:fill="D2DCE5"/>
          </w:tcPr>
          <w:p>
            <w:pPr>
              <w:spacing w:after="0"/>
              <w:rPr>
                <w:sz w:val="20"/>
                <w:szCs w:val="20"/>
                <w:color w:val="auto"/>
              </w:rPr>
            </w:pPr>
            <w:r>
              <w:rPr>
                <w:rFonts w:ascii="Arial" w:cs="Arial" w:eastAsia="Arial" w:hAnsi="Arial"/>
                <w:sz w:val="11"/>
                <w:szCs w:val="11"/>
                <w:color w:val="131E29"/>
              </w:rPr>
              <w:t>Decrease in adjusted selling, general, and administrative expenses</w:t>
            </w:r>
          </w:p>
        </w:tc>
        <w:tc>
          <w:tcPr>
            <w:tcW w:w="132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(506)</w:t>
            </w:r>
          </w:p>
        </w:tc>
        <w:tc>
          <w:tcPr>
            <w:tcW w:w="80" w:type="dxa"/>
            <w:vAlign w:val="bottom"/>
            <w:shd w:val="clear" w:color="auto" w:fill="D2DCE5"/>
          </w:tcPr>
          <w:p>
            <w:pPr>
              <w:spacing w:after="0"/>
              <w:rPr>
                <w:sz w:val="15"/>
                <w:szCs w:val="15"/>
                <w:color w:val="auto"/>
              </w:rPr>
            </w:pPr>
          </w:p>
        </w:tc>
        <w:tc>
          <w:tcPr>
            <w:tcW w:w="130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(152)</w:t>
            </w:r>
          </w:p>
        </w:tc>
      </w:tr>
      <w:tr>
        <w:trPr>
          <w:trHeight w:val="171"/>
        </w:trPr>
        <w:tc>
          <w:tcPr>
            <w:tcW w:w="8220" w:type="dxa"/>
            <w:vAlign w:val="bottom"/>
            <w:gridSpan w:val="2"/>
          </w:tcPr>
          <w:p>
            <w:pPr>
              <w:spacing w:after="0"/>
              <w:rPr>
                <w:sz w:val="20"/>
                <w:szCs w:val="20"/>
                <w:color w:val="auto"/>
              </w:rPr>
            </w:pPr>
            <w:r>
              <w:rPr>
                <w:rFonts w:ascii="Arial" w:cs="Arial" w:eastAsia="Arial" w:hAnsi="Arial"/>
                <w:sz w:val="11"/>
                <w:szCs w:val="11"/>
                <w:color w:val="131E29"/>
              </w:rPr>
              <w:t>Increase in EBITDA</w:t>
            </w:r>
          </w:p>
        </w:tc>
        <w:tc>
          <w:tcPr>
            <w:tcW w:w="1320" w:type="dxa"/>
            <w:vAlign w:val="bottom"/>
          </w:tcPr>
          <w:p>
            <w:pPr>
              <w:jc w:val="right"/>
              <w:ind w:right="3"/>
              <w:spacing w:after="0"/>
              <w:rPr>
                <w:sz w:val="20"/>
                <w:szCs w:val="20"/>
                <w:color w:val="auto"/>
              </w:rPr>
            </w:pPr>
            <w:r>
              <w:rPr>
                <w:rFonts w:ascii="Arial" w:cs="Arial" w:eastAsia="Arial" w:hAnsi="Arial"/>
                <w:sz w:val="11"/>
                <w:szCs w:val="11"/>
                <w:color w:val="131E29"/>
              </w:rPr>
              <w:t>2,046</w:t>
            </w:r>
          </w:p>
        </w:tc>
        <w:tc>
          <w:tcPr>
            <w:tcW w:w="80" w:type="dxa"/>
            <w:vAlign w:val="bottom"/>
          </w:tcPr>
          <w:p>
            <w:pPr>
              <w:spacing w:after="0"/>
              <w:rPr>
                <w:sz w:val="14"/>
                <w:szCs w:val="14"/>
                <w:color w:val="auto"/>
              </w:rPr>
            </w:pPr>
          </w:p>
        </w:tc>
        <w:tc>
          <w:tcPr>
            <w:tcW w:w="1300" w:type="dxa"/>
            <w:vAlign w:val="bottom"/>
          </w:tcPr>
          <w:p>
            <w:pPr>
              <w:jc w:val="right"/>
              <w:ind w:right="3"/>
              <w:spacing w:after="0"/>
              <w:rPr>
                <w:sz w:val="20"/>
                <w:szCs w:val="20"/>
                <w:color w:val="auto"/>
              </w:rPr>
            </w:pPr>
            <w:r>
              <w:rPr>
                <w:rFonts w:ascii="Arial" w:cs="Arial" w:eastAsia="Arial" w:hAnsi="Arial"/>
                <w:sz w:val="11"/>
                <w:szCs w:val="11"/>
                <w:color w:val="131E29"/>
              </w:rPr>
              <w:t>333</w:t>
            </w:r>
          </w:p>
        </w:tc>
      </w:tr>
      <w:tr>
        <w:trPr>
          <w:trHeight w:val="190"/>
        </w:trPr>
        <w:tc>
          <w:tcPr>
            <w:tcW w:w="8220" w:type="dxa"/>
            <w:vAlign w:val="bottom"/>
            <w:gridSpan w:val="2"/>
            <w:shd w:val="clear" w:color="auto" w:fill="D2DCE5"/>
          </w:tcPr>
          <w:p>
            <w:pPr>
              <w:spacing w:after="0"/>
              <w:rPr>
                <w:sz w:val="20"/>
                <w:szCs w:val="20"/>
                <w:color w:val="auto"/>
              </w:rPr>
            </w:pPr>
            <w:r>
              <w:rPr>
                <w:rFonts w:ascii="Arial" w:cs="Arial" w:eastAsia="Arial" w:hAnsi="Arial"/>
                <w:sz w:val="11"/>
                <w:szCs w:val="11"/>
                <w:color w:val="131E29"/>
              </w:rPr>
              <w:t>Increase in adjusted EBITDA</w:t>
            </w:r>
          </w:p>
        </w:tc>
        <w:tc>
          <w:tcPr>
            <w:tcW w:w="132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2,046</w:t>
            </w:r>
          </w:p>
        </w:tc>
        <w:tc>
          <w:tcPr>
            <w:tcW w:w="80" w:type="dxa"/>
            <w:vAlign w:val="bottom"/>
            <w:shd w:val="clear" w:color="auto" w:fill="D2DCE5"/>
          </w:tcPr>
          <w:p>
            <w:pPr>
              <w:spacing w:after="0"/>
              <w:rPr>
                <w:sz w:val="16"/>
                <w:szCs w:val="16"/>
                <w:color w:val="auto"/>
              </w:rPr>
            </w:pPr>
          </w:p>
        </w:tc>
        <w:tc>
          <w:tcPr>
            <w:tcW w:w="130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333</w:t>
            </w:r>
          </w:p>
        </w:tc>
      </w:tr>
    </w:tbl>
    <w:p>
      <w:pPr>
        <w:spacing w:after="0" w:line="205" w:lineRule="exact"/>
        <w:rPr>
          <w:sz w:val="20"/>
          <w:szCs w:val="20"/>
          <w:color w:val="auto"/>
        </w:rPr>
      </w:pPr>
    </w:p>
    <w:p>
      <w:pPr>
        <w:ind w:left="140" w:hanging="135"/>
        <w:spacing w:after="0" w:line="220" w:lineRule="auto"/>
        <w:tabs>
          <w:tab w:leader="none" w:pos="196" w:val="left"/>
        </w:tabs>
        <w:numPr>
          <w:ilvl w:val="0"/>
          <w:numId w:val="64"/>
        </w:numPr>
        <w:rPr>
          <w:rFonts w:ascii="Arial" w:cs="Arial" w:eastAsia="Arial" w:hAnsi="Arial"/>
          <w:sz w:val="15"/>
          <w:szCs w:val="15"/>
          <w:color w:val="131E29"/>
          <w:vertAlign w:val="superscript"/>
        </w:rPr>
      </w:pPr>
      <w:r>
        <w:rPr>
          <w:rFonts w:ascii="Arial" w:cs="Arial" w:eastAsia="Arial" w:hAnsi="Arial"/>
          <w:sz w:val="11"/>
          <w:szCs w:val="11"/>
          <w:color w:val="131E29"/>
        </w:rPr>
        <w:t xml:space="preserve">Includes the recognition of $4.9 million of revenue from the loyalty points earned prior to January 1, 2022 that expired on December 31, 2022. For additional details, see </w:t>
      </w:r>
      <w:r>
        <w:rPr>
          <w:rFonts w:ascii="Arial" w:cs="Arial" w:eastAsia="Arial" w:hAnsi="Arial"/>
          <w:sz w:val="11"/>
          <w:szCs w:val="11"/>
          <w:color w:val="000000"/>
        </w:rPr>
        <w:t>NOTE 2 — Basis of Presentation and Summary of</w:t>
      </w:r>
      <w:r>
        <w:rPr>
          <w:rFonts w:ascii="Arial" w:cs="Arial" w:eastAsia="Arial" w:hAnsi="Arial"/>
          <w:sz w:val="11"/>
          <w:szCs w:val="11"/>
          <w:color w:val="131E29"/>
        </w:rPr>
        <w:t xml:space="preserve"> </w:t>
      </w:r>
      <w:r>
        <w:rPr>
          <w:rFonts w:ascii="Arial" w:cs="Arial" w:eastAsia="Arial" w:hAnsi="Arial"/>
          <w:sz w:val="11"/>
          <w:szCs w:val="11"/>
          <w:color w:val="000000"/>
        </w:rPr>
        <w:t xml:space="preserve">Significant Accounting Policies </w:t>
      </w:r>
      <w:r>
        <w:rPr>
          <w:rFonts w:ascii="Arial" w:cs="Arial" w:eastAsia="Arial" w:hAnsi="Arial"/>
          <w:sz w:val="11"/>
          <w:szCs w:val="11"/>
          <w:color w:val="131E29"/>
        </w:rPr>
        <w:t>and NOTE 3 — Revenue Recognition.</w:t>
      </w:r>
    </w:p>
    <w:p>
      <w:pPr>
        <w:spacing w:after="0" w:line="119" w:lineRule="exact"/>
        <w:rPr>
          <w:sz w:val="20"/>
          <w:szCs w:val="20"/>
          <w:color w:val="auto"/>
        </w:rPr>
      </w:pPr>
    </w:p>
    <w:p>
      <w:pPr>
        <w:ind w:left="140" w:hanging="135"/>
        <w:spacing w:after="0" w:line="280" w:lineRule="auto"/>
        <w:tabs>
          <w:tab w:leader="none" w:pos="256" w:val="left"/>
        </w:tabs>
        <w:numPr>
          <w:ilvl w:val="0"/>
          <w:numId w:val="65"/>
        </w:numPr>
        <w:rPr>
          <w:rFonts w:ascii="Arial" w:cs="Arial" w:eastAsia="Arial" w:hAnsi="Arial"/>
          <w:sz w:val="7"/>
          <w:szCs w:val="7"/>
          <w:color w:val="auto"/>
        </w:rPr>
      </w:pPr>
      <w:r>
        <w:rPr>
          <w:rFonts w:ascii="Arial" w:cs="Arial" w:eastAsia="Arial" w:hAnsi="Arial"/>
          <w:sz w:val="11"/>
          <w:szCs w:val="11"/>
          <w:color w:val="auto"/>
        </w:rPr>
        <w:t>Effective as of the second half of 2022, we recorded commitment fees for the unused portion of the revolving credit facility as interest expense. These amounts were previously recorded as selling, general, and administrative expense.</w:t>
      </w:r>
    </w:p>
    <w:p>
      <w:pPr>
        <w:spacing w:after="0" w:line="72" w:lineRule="exact"/>
        <w:rPr>
          <w:sz w:val="20"/>
          <w:szCs w:val="20"/>
          <w:color w:val="auto"/>
        </w:rPr>
      </w:pPr>
    </w:p>
    <w:p>
      <w:pPr>
        <w:ind w:left="180" w:hanging="175"/>
        <w:spacing w:after="0"/>
        <w:tabs>
          <w:tab w:leader="none" w:pos="180" w:val="left"/>
        </w:tabs>
        <w:numPr>
          <w:ilvl w:val="0"/>
          <w:numId w:val="66"/>
        </w:numPr>
        <w:rPr>
          <w:rFonts w:ascii="Arial" w:cs="Arial" w:eastAsia="Arial" w:hAnsi="Arial"/>
          <w:sz w:val="15"/>
          <w:szCs w:val="15"/>
          <w:color w:val="auto"/>
          <w:vertAlign w:val="superscript"/>
        </w:rPr>
      </w:pPr>
      <w:r>
        <w:rPr>
          <w:rFonts w:ascii="Arial" w:cs="Arial" w:eastAsia="Arial" w:hAnsi="Arial"/>
          <w:sz w:val="11"/>
          <w:szCs w:val="11"/>
          <w:color w:val="auto"/>
        </w:rPr>
        <w:t>Selling, general, and administrative expenses include depreciation and amortization.</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7A. QUANTITATIVE AND QUALITATIVE DISCLOSURES ABOUT MARKET RISK</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Commodity Risks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Our profitability is dependent on, among other things, our ability to anticipate and react to changes in the costs of key operating resources, including beverage commodities, energy, and other commodities. We have been able to partially offset cost increases resulting from several factors, including market conditions, shortages or interruptions in supply due to weather or other conditions beyond our control, governmental regulations and inflation by increasing our menu prices as well as making other operational adjustments that increase productivity. However, substantial increases in costs and expenses, including dairy, coffee, fuel, and packaging commodities pricing during the year ended December 31, 2022, could impact our operating results to the extent that such increases continue and cannot be offset by menu price increases. Additionally, if there is a time lag between increasing commodity prices and our ability to increase menu prices or if we choose not to pass on the cost increases, our operating results could be negatively affected.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87" w:name="page88"/>
    <w:bookmarkEnd w:id="87"/>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Labor and Benefits Costs</w:t>
      </w:r>
    </w:p>
    <w:p>
      <w:pPr>
        <w:spacing w:after="0" w:line="14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We have experienced minimum wage increases in several states. In the future, we may or may not be able to offset these cost increases with operational efficiencies or menu price increases. As of December 31, 2022, we employed approximately 13,000 hourly workers in our company-operated shops.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Interest Rate Risk</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We have historically been exposed to interest rate risk through fluctuations in interest rates on our debt obligations. Our 2022 Credit Facility carries interest at a floating rate. We seek to manage exposure to adverse interest rate changes through our normal operating and financing activities. As of December 31, 2022, $ 98.1 million and $112.7 million were outstanding on our term loan and revolving loans, respectively. A hypothetical increase of interest rates up to 1% on our outstanding term and revolving loans as of December 31, 2022 would result in an increase in our annual interest expense of approximately $2.1 million. From time to time we may use interest rate swaps to mitigate the potential impacts of changes in benchmark interest rates on interest expense and cash flows.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Impact of Inflation</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The primary inflation factors affecting our operations are commodity and supplies, energy costs, and construction labor costs of company-operated shops. Increases in the minimum wage requirements directly affect our labor costs. Our leases require us to pay taxes, maintenance, repairs, insurance, and utilities, all of which are generally subject to inflationary increases. Finally, the total cost to build our shops is impacted by inflation. Specifically, increases in sitework and permitting, construction materials, labor, and equipment may increase our overall development costs and capital expenditures, and potentially result in higher rent expenses of new shops. We continue to encounter current commodity inflation, known or pending legislation that will increase minimum wages in certain states, and labor market forces that at times may cause us to increase wages in order to adequately staff our shops. We expect these to affect our operating results in the foreseeable future. While these cost increases have impacted our operating results, we have taken measures to gradually increase our menu prices to help offset these pressures. Price increases and other inflationary pressures may lead to decreases in consumer demand.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88" w:name="page89"/>
    <w:bookmarkEnd w:id="88"/>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8. FINANCIAL STATEMENTS AND SUPPLEMENTARY DATA</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Index to Consolidated Financial Statements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560" w:type="dxa"/>
            <w:vAlign w:val="bottom"/>
            <w:gridSpan w:val="2"/>
          </w:tcPr>
          <w:p>
            <w:pPr>
              <w:ind w:left="20"/>
              <w:spacing w:after="0"/>
              <w:rPr>
                <w:sz w:val="20"/>
                <w:szCs w:val="20"/>
                <w:color w:val="auto"/>
              </w:rPr>
            </w:pPr>
            <w:r>
              <w:rPr>
                <w:rFonts w:ascii="Arial" w:cs="Arial" w:eastAsia="Arial" w:hAnsi="Arial"/>
                <w:sz w:val="14"/>
                <w:szCs w:val="14"/>
                <w:b w:val="1"/>
                <w:bCs w:val="1"/>
                <w:color w:val="131E29"/>
              </w:rPr>
              <w:t>Audited Consolidated Financial Statements of Dutch Bros Inc. and Subsidiaries</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131E29"/>
              </w:rPr>
              <w:t>Page</w:t>
            </w:r>
          </w:p>
        </w:tc>
      </w:tr>
      <w:tr>
        <w:trPr>
          <w:trHeight w:val="22"/>
        </w:trPr>
        <w:tc>
          <w:tcPr>
            <w:tcW w:w="10480" w:type="dxa"/>
            <w:vAlign w:val="bottom"/>
            <w:tcBorders>
              <w:bottom w:val="single" w:sz="8" w:color="131E29"/>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131E29"/>
            </w:tcBorders>
          </w:tcPr>
          <w:p>
            <w:pPr>
              <w:spacing w:after="0" w:line="20" w:lineRule="exact"/>
              <w:rPr>
                <w:sz w:val="1"/>
                <w:szCs w:val="1"/>
                <w:color w:val="auto"/>
              </w:rPr>
            </w:pPr>
          </w:p>
        </w:tc>
      </w:tr>
      <w:tr>
        <w:trPr>
          <w:trHeight w:val="181"/>
        </w:trPr>
        <w:tc>
          <w:tcPr>
            <w:tcW w:w="10560" w:type="dxa"/>
            <w:vAlign w:val="bottom"/>
            <w:gridSpan w:val="2"/>
          </w:tcPr>
          <w:p>
            <w:pPr>
              <w:ind w:left="20"/>
              <w:spacing w:after="0"/>
              <w:rPr>
                <w:sz w:val="20"/>
                <w:szCs w:val="20"/>
                <w:color w:val="auto"/>
              </w:rPr>
            </w:pPr>
            <w:r>
              <w:rPr>
                <w:rFonts w:ascii="Arial" w:cs="Arial" w:eastAsia="Arial" w:hAnsi="Arial"/>
                <w:sz w:val="14"/>
                <w:szCs w:val="14"/>
                <w:color w:val="131E29"/>
              </w:rPr>
              <w:t>Report of Independent Registered Public Accounting Firm</w:t>
            </w:r>
          </w:p>
        </w:tc>
        <w:tc>
          <w:tcPr>
            <w:tcW w:w="720" w:type="dxa"/>
            <w:vAlign w:val="bottom"/>
          </w:tcPr>
          <w:p>
            <w:pPr>
              <w:jc w:val="center"/>
              <w:spacing w:after="0"/>
              <w:rPr>
                <w:sz w:val="20"/>
                <w:szCs w:val="20"/>
                <w:color w:val="auto"/>
              </w:rPr>
            </w:pPr>
            <w:r>
              <w:rPr>
                <w:rFonts w:ascii="Arial" w:cs="Arial" w:eastAsia="Arial" w:hAnsi="Arial"/>
                <w:sz w:val="14"/>
                <w:szCs w:val="14"/>
                <w:color w:val="131E29"/>
              </w:rPr>
              <w:t>86</w:t>
            </w:r>
          </w:p>
        </w:tc>
      </w:tr>
      <w:tr>
        <w:trPr>
          <w:trHeight w:val="212"/>
        </w:trPr>
        <w:tc>
          <w:tcPr>
            <w:tcW w:w="10560" w:type="dxa"/>
            <w:vAlign w:val="bottom"/>
            <w:gridSpan w:val="2"/>
          </w:tcPr>
          <w:p>
            <w:pPr>
              <w:ind w:left="20"/>
              <w:spacing w:after="0"/>
              <w:rPr>
                <w:sz w:val="20"/>
                <w:szCs w:val="20"/>
                <w:color w:val="auto"/>
              </w:rPr>
            </w:pPr>
            <w:r>
              <w:rPr>
                <w:rFonts w:ascii="Arial" w:cs="Arial" w:eastAsia="Arial" w:hAnsi="Arial"/>
                <w:sz w:val="14"/>
                <w:szCs w:val="14"/>
                <w:color w:val="131E29"/>
              </w:rPr>
              <w:t>Consolidated Balance Sheets</w:t>
            </w:r>
          </w:p>
        </w:tc>
        <w:tc>
          <w:tcPr>
            <w:tcW w:w="720" w:type="dxa"/>
            <w:vAlign w:val="bottom"/>
          </w:tcPr>
          <w:p>
            <w:pPr>
              <w:jc w:val="center"/>
              <w:spacing w:after="0"/>
              <w:rPr>
                <w:sz w:val="20"/>
                <w:szCs w:val="20"/>
                <w:color w:val="auto"/>
              </w:rPr>
            </w:pPr>
            <w:r>
              <w:rPr>
                <w:rFonts w:ascii="Arial" w:cs="Arial" w:eastAsia="Arial" w:hAnsi="Arial"/>
                <w:sz w:val="14"/>
                <w:szCs w:val="14"/>
                <w:color w:val="131E29"/>
              </w:rPr>
              <w:t>88</w:t>
            </w:r>
          </w:p>
        </w:tc>
      </w:tr>
      <w:tr>
        <w:trPr>
          <w:trHeight w:val="212"/>
        </w:trPr>
        <w:tc>
          <w:tcPr>
            <w:tcW w:w="10560" w:type="dxa"/>
            <w:vAlign w:val="bottom"/>
            <w:gridSpan w:val="2"/>
          </w:tcPr>
          <w:p>
            <w:pPr>
              <w:ind w:left="20"/>
              <w:spacing w:after="0"/>
              <w:rPr>
                <w:sz w:val="20"/>
                <w:szCs w:val="20"/>
                <w:color w:val="auto"/>
              </w:rPr>
            </w:pPr>
            <w:r>
              <w:rPr>
                <w:rFonts w:ascii="Arial" w:cs="Arial" w:eastAsia="Arial" w:hAnsi="Arial"/>
                <w:sz w:val="14"/>
                <w:szCs w:val="14"/>
                <w:color w:val="131E29"/>
              </w:rPr>
              <w:t>Consolidated Statements of Operations</w:t>
            </w:r>
          </w:p>
        </w:tc>
        <w:tc>
          <w:tcPr>
            <w:tcW w:w="720" w:type="dxa"/>
            <w:vAlign w:val="bottom"/>
          </w:tcPr>
          <w:p>
            <w:pPr>
              <w:jc w:val="center"/>
              <w:spacing w:after="0"/>
              <w:rPr>
                <w:sz w:val="20"/>
                <w:szCs w:val="20"/>
                <w:color w:val="auto"/>
              </w:rPr>
            </w:pPr>
            <w:r>
              <w:rPr>
                <w:rFonts w:ascii="Arial" w:cs="Arial" w:eastAsia="Arial" w:hAnsi="Arial"/>
                <w:sz w:val="14"/>
                <w:szCs w:val="14"/>
                <w:color w:val="131E29"/>
              </w:rPr>
              <w:t>90</w:t>
            </w:r>
          </w:p>
        </w:tc>
      </w:tr>
      <w:tr>
        <w:trPr>
          <w:trHeight w:val="212"/>
        </w:trPr>
        <w:tc>
          <w:tcPr>
            <w:tcW w:w="10560" w:type="dxa"/>
            <w:vAlign w:val="bottom"/>
            <w:gridSpan w:val="2"/>
          </w:tcPr>
          <w:p>
            <w:pPr>
              <w:ind w:left="20"/>
              <w:spacing w:after="0"/>
              <w:rPr>
                <w:sz w:val="20"/>
                <w:szCs w:val="20"/>
                <w:color w:val="auto"/>
              </w:rPr>
            </w:pPr>
            <w:r>
              <w:rPr>
                <w:rFonts w:ascii="Arial" w:cs="Arial" w:eastAsia="Arial" w:hAnsi="Arial"/>
                <w:sz w:val="14"/>
                <w:szCs w:val="14"/>
                <w:color w:val="131E29"/>
              </w:rPr>
              <w:t>Consolidated Statements of Comprehensive Income (Loss)</w:t>
            </w:r>
          </w:p>
        </w:tc>
        <w:tc>
          <w:tcPr>
            <w:tcW w:w="720" w:type="dxa"/>
            <w:vAlign w:val="bottom"/>
          </w:tcPr>
          <w:p>
            <w:pPr>
              <w:jc w:val="center"/>
              <w:spacing w:after="0"/>
              <w:rPr>
                <w:sz w:val="20"/>
                <w:szCs w:val="20"/>
                <w:color w:val="auto"/>
              </w:rPr>
            </w:pPr>
            <w:r>
              <w:rPr>
                <w:rFonts w:ascii="Arial" w:cs="Arial" w:eastAsia="Arial" w:hAnsi="Arial"/>
                <w:sz w:val="14"/>
                <w:szCs w:val="14"/>
                <w:color w:val="131E29"/>
              </w:rPr>
              <w:t>91</w:t>
            </w:r>
          </w:p>
        </w:tc>
      </w:tr>
      <w:tr>
        <w:trPr>
          <w:trHeight w:val="212"/>
        </w:trPr>
        <w:tc>
          <w:tcPr>
            <w:tcW w:w="10560" w:type="dxa"/>
            <w:vAlign w:val="bottom"/>
            <w:gridSpan w:val="2"/>
          </w:tcPr>
          <w:p>
            <w:pPr>
              <w:ind w:left="20"/>
              <w:spacing w:after="0"/>
              <w:rPr>
                <w:sz w:val="20"/>
                <w:szCs w:val="20"/>
                <w:color w:val="auto"/>
              </w:rPr>
            </w:pPr>
            <w:r>
              <w:rPr>
                <w:rFonts w:ascii="Arial" w:cs="Arial" w:eastAsia="Arial" w:hAnsi="Arial"/>
                <w:sz w:val="14"/>
                <w:szCs w:val="14"/>
                <w:color w:val="131E29"/>
              </w:rPr>
              <w:t>Consolidated Statements of Stockholders’/Members’ Equity</w:t>
            </w:r>
          </w:p>
        </w:tc>
        <w:tc>
          <w:tcPr>
            <w:tcW w:w="720" w:type="dxa"/>
            <w:vAlign w:val="bottom"/>
          </w:tcPr>
          <w:p>
            <w:pPr>
              <w:jc w:val="center"/>
              <w:spacing w:after="0"/>
              <w:rPr>
                <w:sz w:val="20"/>
                <w:szCs w:val="20"/>
                <w:color w:val="auto"/>
              </w:rPr>
            </w:pPr>
            <w:r>
              <w:rPr>
                <w:rFonts w:ascii="Arial" w:cs="Arial" w:eastAsia="Arial" w:hAnsi="Arial"/>
                <w:sz w:val="14"/>
                <w:szCs w:val="14"/>
                <w:color w:val="131E29"/>
              </w:rPr>
              <w:t>92</w:t>
            </w:r>
          </w:p>
        </w:tc>
      </w:tr>
      <w:tr>
        <w:trPr>
          <w:trHeight w:val="212"/>
        </w:trPr>
        <w:tc>
          <w:tcPr>
            <w:tcW w:w="10560" w:type="dxa"/>
            <w:vAlign w:val="bottom"/>
            <w:gridSpan w:val="2"/>
          </w:tcPr>
          <w:p>
            <w:pPr>
              <w:ind w:left="20"/>
              <w:spacing w:after="0"/>
              <w:rPr>
                <w:sz w:val="20"/>
                <w:szCs w:val="20"/>
                <w:color w:val="auto"/>
              </w:rPr>
            </w:pPr>
            <w:r>
              <w:rPr>
                <w:rFonts w:ascii="Arial" w:cs="Arial" w:eastAsia="Arial" w:hAnsi="Arial"/>
                <w:sz w:val="14"/>
                <w:szCs w:val="14"/>
                <w:color w:val="131E29"/>
              </w:rPr>
              <w:t>Consolidated Statements of Cash Flows</w:t>
            </w:r>
          </w:p>
        </w:tc>
        <w:tc>
          <w:tcPr>
            <w:tcW w:w="720" w:type="dxa"/>
            <w:vAlign w:val="bottom"/>
          </w:tcPr>
          <w:p>
            <w:pPr>
              <w:jc w:val="center"/>
              <w:spacing w:after="0"/>
              <w:rPr>
                <w:sz w:val="20"/>
                <w:szCs w:val="20"/>
                <w:color w:val="auto"/>
              </w:rPr>
            </w:pPr>
            <w:r>
              <w:rPr>
                <w:rFonts w:ascii="Arial" w:cs="Arial" w:eastAsia="Arial" w:hAnsi="Arial"/>
                <w:sz w:val="14"/>
                <w:szCs w:val="14"/>
                <w:color w:val="131E29"/>
              </w:rPr>
              <w:t>95</w:t>
            </w:r>
          </w:p>
        </w:tc>
      </w:tr>
      <w:tr>
        <w:trPr>
          <w:trHeight w:val="212"/>
        </w:trPr>
        <w:tc>
          <w:tcPr>
            <w:tcW w:w="10560" w:type="dxa"/>
            <w:vAlign w:val="bottom"/>
            <w:gridSpan w:val="2"/>
          </w:tcPr>
          <w:p>
            <w:pPr>
              <w:ind w:left="20"/>
              <w:spacing w:after="0"/>
              <w:rPr>
                <w:sz w:val="20"/>
                <w:szCs w:val="20"/>
                <w:color w:val="auto"/>
              </w:rPr>
            </w:pPr>
            <w:r>
              <w:rPr>
                <w:rFonts w:ascii="Arial" w:cs="Arial" w:eastAsia="Arial" w:hAnsi="Arial"/>
                <w:sz w:val="14"/>
                <w:szCs w:val="14"/>
                <w:color w:val="131E29"/>
              </w:rPr>
              <w:t>Notes to Consolidated Financial Statements</w:t>
            </w:r>
          </w:p>
        </w:tc>
        <w:tc>
          <w:tcPr>
            <w:tcW w:w="720" w:type="dxa"/>
            <w:vAlign w:val="bottom"/>
          </w:tcPr>
          <w:p>
            <w:pPr>
              <w:jc w:val="center"/>
              <w:spacing w:after="0"/>
              <w:rPr>
                <w:sz w:val="20"/>
                <w:szCs w:val="20"/>
                <w:color w:val="auto"/>
              </w:rPr>
            </w:pPr>
            <w:r>
              <w:rPr>
                <w:rFonts w:ascii="Arial" w:cs="Arial" w:eastAsia="Arial" w:hAnsi="Arial"/>
                <w:sz w:val="14"/>
                <w:szCs w:val="14"/>
                <w:color w:val="131E29"/>
              </w:rPr>
              <w:t>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89" w:name="page90"/>
    <w:bookmarkEnd w:id="89"/>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color w:val="131E29"/>
        </w:rPr>
        <w:t>To the Stockholders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131E29"/>
        </w:rPr>
        <w:t>Dutch Bros Inc.:</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i w:val="1"/>
          <w:iCs w:val="1"/>
          <w:color w:val="131E29"/>
        </w:rPr>
        <w:t>Opinion on the Consolidated Financial Statements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We have audited the accompanying consolidated balance sheets of Dutch Bros Inc. and subsidiaries (the Company) as of December 31, 2022 and 2021, the related consolidated statements of operations, comprehensive income (loss), stockholders’/members’ equity, and cash flows for each of the years in the three-year period ended December 31, 2022, and the related notes (collectively, the consolidated financial statements). In our opinion, the consolidated financial statements present fairly, in all material respects, the financial position of the Company as of December 31, 2022 and 2021, and the results of its operations and its cash flows for each of the years in the three-year period ended December 31, 2022, in conformity with U.S. generally accepted accounting principles.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 xml:space="preserve">We also have audited, in accordance with the standards of the Public Company Accounting Oversight Board (United States) (PCAOB), the Company’s internal control over financial reporting as of December 31, 2022, based on criteria established in </w:t>
      </w:r>
      <w:r>
        <w:rPr>
          <w:rFonts w:ascii="Arial" w:cs="Arial" w:eastAsia="Arial" w:hAnsi="Arial"/>
          <w:sz w:val="14"/>
          <w:szCs w:val="14"/>
          <w:i w:val="1"/>
          <w:iCs w:val="1"/>
          <w:color w:val="131E29"/>
        </w:rPr>
        <w:t>Internal Control – Integrated Framework (2013)</w:t>
      </w:r>
      <w:r>
        <w:rPr>
          <w:rFonts w:ascii="Arial" w:cs="Arial" w:eastAsia="Arial" w:hAnsi="Arial"/>
          <w:sz w:val="14"/>
          <w:szCs w:val="14"/>
          <w:color w:val="131E29"/>
        </w:rPr>
        <w:t xml:space="preserve"> issued by the Committee of Sponsoring Organizations of the Treadway Commission, and our report dated February 27, 2023 expressed an adverse opinion on the effectiveness of the Company’s internal control over financial reporting.</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i w:val="1"/>
          <w:iCs w:val="1"/>
          <w:color w:val="131E29"/>
        </w:rPr>
        <w:t>Change in Accounting Principle</w:t>
      </w:r>
    </w:p>
    <w:p>
      <w:pPr>
        <w:spacing w:after="0" w:line="15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 xml:space="preserve">As discussed in Note 2 to the consolidated financial statements, the Company has changed its method of accounting for leases as of January 1, 2022 due to the adoption of ASC Topic 842, </w:t>
      </w:r>
      <w:r>
        <w:rPr>
          <w:rFonts w:ascii="Arial" w:cs="Arial" w:eastAsia="Arial" w:hAnsi="Arial"/>
          <w:sz w:val="14"/>
          <w:szCs w:val="14"/>
          <w:i w:val="1"/>
          <w:iCs w:val="1"/>
          <w:color w:val="131E29"/>
        </w:rPr>
        <w:t>Leases,</w:t>
      </w:r>
      <w:r>
        <w:rPr>
          <w:rFonts w:ascii="Arial" w:cs="Arial" w:eastAsia="Arial" w:hAnsi="Arial"/>
          <w:sz w:val="14"/>
          <w:szCs w:val="14"/>
          <w:color w:val="131E29"/>
        </w:rPr>
        <w:t xml:space="preserve"> as amended.</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i w:val="1"/>
          <w:iCs w:val="1"/>
          <w:color w:val="131E29"/>
        </w:rPr>
        <w:t>Basis for Opinion</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i w:val="1"/>
          <w:iCs w:val="1"/>
          <w:color w:val="131E29"/>
        </w:rPr>
        <w:t>Critical Audit Matter</w:t>
      </w:r>
    </w:p>
    <w:p>
      <w:pPr>
        <w:spacing w:after="0" w:line="15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90" w:name="page91"/>
    <w:bookmarkEnd w:id="90"/>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131E29"/>
        </w:rPr>
        <w:t>Measurement of the tax receivable agreement liability</w:t>
      </w:r>
    </w:p>
    <w:p>
      <w:pPr>
        <w:spacing w:after="0" w:line="150" w:lineRule="exact"/>
        <w:rPr>
          <w:sz w:val="20"/>
          <w:szCs w:val="20"/>
          <w:color w:val="auto"/>
        </w:rPr>
      </w:pPr>
    </w:p>
    <w:p>
      <w:pPr>
        <w:jc w:val="both"/>
        <w:ind w:left="380"/>
        <w:spacing w:after="0" w:line="259" w:lineRule="auto"/>
        <w:rPr>
          <w:sz w:val="20"/>
          <w:szCs w:val="20"/>
          <w:color w:val="auto"/>
        </w:rPr>
      </w:pPr>
      <w:r>
        <w:rPr>
          <w:rFonts w:ascii="Arial" w:cs="Arial" w:eastAsia="Arial" w:hAnsi="Arial"/>
          <w:sz w:val="14"/>
          <w:szCs w:val="14"/>
          <w:color w:val="131E29"/>
        </w:rPr>
        <w:t>As discussed in Note 12 of the consolidated financial statements, the Company has tax receivable agreements (TRA) with certain Pre-IPO Owners, which are contractual commitments to pay an amount equal to 85% of certain tax attributes and benefits, realized or deemed to be realized in certain circumstances by the Company, to the parties to the TRA. As of December 31, 2022, the Company recorded a liability related to obligations under the TRA (TRA Liability) of $220.9 million.</w:t>
      </w:r>
    </w:p>
    <w:p>
      <w:pPr>
        <w:spacing w:after="0" w:line="115" w:lineRule="exact"/>
        <w:rPr>
          <w:sz w:val="20"/>
          <w:szCs w:val="20"/>
          <w:color w:val="auto"/>
        </w:rPr>
      </w:pPr>
    </w:p>
    <w:p>
      <w:pPr>
        <w:jc w:val="both"/>
        <w:ind w:left="380"/>
        <w:spacing w:after="0" w:line="259" w:lineRule="auto"/>
        <w:rPr>
          <w:sz w:val="20"/>
          <w:szCs w:val="20"/>
          <w:color w:val="auto"/>
        </w:rPr>
      </w:pPr>
      <w:r>
        <w:rPr>
          <w:rFonts w:ascii="Arial" w:cs="Arial" w:eastAsia="Arial" w:hAnsi="Arial"/>
          <w:sz w:val="14"/>
          <w:szCs w:val="14"/>
          <w:color w:val="131E29"/>
        </w:rPr>
        <w:t>We identified the measurement of the TRA Liability as a critical audit matter. Subjective auditor judgment, including specialized skills and knowledge, was required in the evaluation of the Company’s interpretation of tax law to determine the tax attributes and benefits subject to the TRA. In addition, evaluation of the model used to determine the TRA liability, including the accuracy of the model, required specialized skills and knowledge.</w:t>
      </w:r>
    </w:p>
    <w:p>
      <w:pPr>
        <w:spacing w:after="0" w:line="115" w:lineRule="exact"/>
        <w:rPr>
          <w:sz w:val="20"/>
          <w:szCs w:val="20"/>
          <w:color w:val="auto"/>
        </w:rPr>
      </w:pPr>
    </w:p>
    <w:p>
      <w:pPr>
        <w:jc w:val="both"/>
        <w:ind w:left="380"/>
        <w:spacing w:after="0" w:line="259" w:lineRule="auto"/>
        <w:rPr>
          <w:sz w:val="20"/>
          <w:szCs w:val="20"/>
          <w:color w:val="auto"/>
        </w:rPr>
      </w:pPr>
      <w:r>
        <w:rPr>
          <w:rFonts w:ascii="Arial" w:cs="Arial" w:eastAsia="Arial" w:hAnsi="Arial"/>
          <w:sz w:val="14"/>
          <w:szCs w:val="14"/>
          <w:color w:val="131E29"/>
        </w:rPr>
        <w:t>The following are the primary procedures we performed to address this critical audit matter. We evaluated the design of certain internal controls over the TRA liability. This included the internal controls over the Company’s calculation of the TRA Liability and the application of relevant tax law. We involved tax professionals with specialized skills and knowledge, who assisted in:</w:t>
      </w:r>
    </w:p>
    <w:p>
      <w:pPr>
        <w:spacing w:after="0" w:line="115" w:lineRule="exact"/>
        <w:rPr>
          <w:sz w:val="20"/>
          <w:szCs w:val="20"/>
          <w:color w:val="auto"/>
        </w:rPr>
      </w:pPr>
    </w:p>
    <w:p>
      <w:pPr>
        <w:ind w:left="640" w:hanging="253"/>
        <w:spacing w:after="0"/>
        <w:tabs>
          <w:tab w:leader="none" w:pos="640" w:val="left"/>
        </w:tabs>
        <w:numPr>
          <w:ilvl w:val="0"/>
          <w:numId w:val="67"/>
        </w:numPr>
        <w:rPr>
          <w:rFonts w:ascii="Arial" w:cs="Arial" w:eastAsia="Arial" w:hAnsi="Arial"/>
          <w:sz w:val="14"/>
          <w:szCs w:val="14"/>
          <w:color w:val="131E29"/>
        </w:rPr>
      </w:pPr>
      <w:r>
        <w:rPr>
          <w:rFonts w:ascii="Arial" w:cs="Arial" w:eastAsia="Arial" w:hAnsi="Arial"/>
          <w:sz w:val="14"/>
          <w:szCs w:val="14"/>
          <w:color w:val="131E29"/>
        </w:rPr>
        <w:t>developing an independent interpretation of the tax law to determine the tax attributes and benefits subject to the TRA and comparing to the Company’s interpretation</w:t>
      </w:r>
    </w:p>
    <w:p>
      <w:pPr>
        <w:spacing w:after="0" w:line="136" w:lineRule="exact"/>
        <w:rPr>
          <w:rFonts w:ascii="Arial" w:cs="Arial" w:eastAsia="Arial" w:hAnsi="Arial"/>
          <w:sz w:val="14"/>
          <w:szCs w:val="14"/>
          <w:color w:val="131E29"/>
        </w:rPr>
      </w:pPr>
    </w:p>
    <w:p>
      <w:pPr>
        <w:ind w:left="640" w:hanging="253"/>
        <w:spacing w:after="0" w:line="266" w:lineRule="auto"/>
        <w:tabs>
          <w:tab w:leader="none" w:pos="636" w:val="left"/>
        </w:tabs>
        <w:numPr>
          <w:ilvl w:val="0"/>
          <w:numId w:val="67"/>
        </w:numPr>
        <w:rPr>
          <w:rFonts w:ascii="Arial" w:cs="Arial" w:eastAsia="Arial" w:hAnsi="Arial"/>
          <w:sz w:val="14"/>
          <w:szCs w:val="14"/>
          <w:color w:val="131E29"/>
        </w:rPr>
      </w:pPr>
      <w:r>
        <w:rPr>
          <w:rFonts w:ascii="Arial" w:cs="Arial" w:eastAsia="Arial" w:hAnsi="Arial"/>
          <w:sz w:val="14"/>
          <w:szCs w:val="14"/>
          <w:color w:val="131E29"/>
        </w:rPr>
        <w:t>evaluating the model used by the Company to develop the TRA liability, including the accuracy of the model, by calculating the TRA liability using the Company’s tax attributes and benefits subject to the TRA and comparing the results to the Company’s liability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/s/ KPMG LLP</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131E29"/>
        </w:rPr>
        <w:t>We have served as the Company’s auditor since 2020.</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131E29"/>
        </w:rPr>
        <w:t>Portland, Oregon</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131E29"/>
        </w:rPr>
        <w:t>February 27, 2023</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91" w:name="page92"/>
    <w:bookmarkEnd w:id="91"/>
    <w:p>
      <w:pPr>
        <w:ind w:left="260"/>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Consolidated Balance Sheets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tcPr>
          <w:p>
            <w:pPr>
              <w:jc w:val="right"/>
              <w:ind w:right="629"/>
              <w:spacing w:after="0"/>
              <w:rPr>
                <w:sz w:val="20"/>
                <w:szCs w:val="20"/>
                <w:color w:val="auto"/>
              </w:rPr>
            </w:pPr>
            <w:r>
              <w:rPr>
                <w:rFonts w:ascii="Arial" w:cs="Arial" w:eastAsia="Arial" w:hAnsi="Arial"/>
                <w:sz w:val="14"/>
                <w:szCs w:val="14"/>
                <w:b w:val="1"/>
                <w:bCs w:val="1"/>
                <w:color w:val="131E29"/>
              </w:rPr>
              <w:t>December 31,</w:t>
            </w:r>
          </w:p>
        </w:tc>
        <w:tc>
          <w:tcPr>
            <w:tcW w:w="0" w:type="dxa"/>
            <w:vAlign w:val="bottom"/>
          </w:tcPr>
          <w:p>
            <w:pPr>
              <w:spacing w:after="0"/>
              <w:rPr>
                <w:sz w:val="1"/>
                <w:szCs w:val="1"/>
                <w:color w:val="auto"/>
              </w:rPr>
            </w:pPr>
          </w:p>
        </w:tc>
      </w:tr>
      <w:tr>
        <w:trPr>
          <w:trHeight w:val="200"/>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except per share amounts)</w:t>
            </w:r>
          </w:p>
        </w:tc>
        <w:tc>
          <w:tcPr>
            <w:tcW w:w="10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December 31, 2022</w:t>
            </w:r>
          </w:p>
        </w:tc>
        <w:tc>
          <w:tcPr>
            <w:tcW w:w="80" w:type="dxa"/>
            <w:vAlign w:val="bottom"/>
            <w:tcBorders>
              <w:bottom w:val="single" w:sz="8" w:color="D2DCE5"/>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929"/>
              <w:spacing w:after="0"/>
              <w:rPr>
                <w:sz w:val="20"/>
                <w:szCs w:val="20"/>
                <w:color w:val="auto"/>
              </w:rPr>
            </w:pPr>
            <w:r>
              <w:rPr>
                <w:rFonts w:ascii="Arial" w:cs="Arial" w:eastAsia="Arial" w:hAnsi="Arial"/>
                <w:sz w:val="14"/>
                <w:szCs w:val="14"/>
                <w:b w:val="1"/>
                <w:bCs w:val="1"/>
                <w:color w:val="131E29"/>
              </w:rPr>
              <w:t>2021</w:t>
            </w:r>
          </w:p>
        </w:tc>
        <w:tc>
          <w:tcPr>
            <w:tcW w:w="0" w:type="dxa"/>
            <w:vAlign w:val="bottom"/>
          </w:tcPr>
          <w:p>
            <w:pPr>
              <w:spacing w:after="0"/>
              <w:rPr>
                <w:sz w:val="1"/>
                <w:szCs w:val="1"/>
                <w:color w:val="auto"/>
              </w:rPr>
            </w:pPr>
          </w:p>
        </w:tc>
      </w:tr>
      <w:tr>
        <w:trPr>
          <w:trHeight w:val="192"/>
        </w:trPr>
        <w:tc>
          <w:tcPr>
            <w:tcW w:w="65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ASSETS</w:t>
            </w:r>
          </w:p>
        </w:tc>
        <w:tc>
          <w:tcPr>
            <w:tcW w:w="300" w:type="dxa"/>
            <w:vAlign w:val="bottom"/>
            <w:tcBorders>
              <w:bottom w:val="single" w:sz="8" w:color="D2DCE5"/>
            </w:tcBorders>
            <w:shd w:val="clear" w:color="auto" w:fill="D2DCE5"/>
          </w:tcPr>
          <w:p>
            <w:pPr>
              <w:spacing w:after="0"/>
              <w:rPr>
                <w:sz w:val="16"/>
                <w:szCs w:val="16"/>
                <w:color w:val="auto"/>
              </w:rPr>
            </w:pPr>
          </w:p>
        </w:tc>
        <w:tc>
          <w:tcPr>
            <w:tcW w:w="198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400" w:type="dxa"/>
            <w:vAlign w:val="bottom"/>
            <w:tcBorders>
              <w:bottom w:val="single" w:sz="8" w:color="D2DCE5"/>
            </w:tcBorders>
            <w:shd w:val="clear" w:color="auto" w:fill="D2DCE5"/>
          </w:tcPr>
          <w:p>
            <w:pPr>
              <w:spacing w:after="0"/>
              <w:rPr>
                <w:sz w:val="16"/>
                <w:szCs w:val="16"/>
                <w:color w:val="auto"/>
              </w:rPr>
            </w:pPr>
          </w:p>
        </w:tc>
        <w:tc>
          <w:tcPr>
            <w:tcW w:w="1940" w:type="dxa"/>
            <w:vAlign w:val="bottom"/>
            <w:tcBorders>
              <w:bottom w:val="single" w:sz="8" w:color="D2DCE5"/>
            </w:tcBorders>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580" w:type="dxa"/>
            <w:vAlign w:val="bottom"/>
            <w:gridSpan w:val="2"/>
          </w:tcPr>
          <w:p>
            <w:pPr>
              <w:ind w:left="20"/>
              <w:spacing w:after="0"/>
              <w:rPr>
                <w:sz w:val="20"/>
                <w:szCs w:val="20"/>
                <w:color w:val="auto"/>
              </w:rPr>
            </w:pPr>
            <w:r>
              <w:rPr>
                <w:rFonts w:ascii="Arial" w:cs="Arial" w:eastAsia="Arial" w:hAnsi="Arial"/>
                <w:sz w:val="14"/>
                <w:szCs w:val="14"/>
                <w:color w:val="131E29"/>
              </w:rPr>
              <w:t>Current assets:</w:t>
            </w:r>
          </w:p>
        </w:tc>
        <w:tc>
          <w:tcPr>
            <w:tcW w:w="3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58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Cash and cash equivalents</w:t>
            </w:r>
          </w:p>
        </w:tc>
        <w:tc>
          <w:tcPr>
            <w:tcW w:w="300" w:type="dxa"/>
            <w:vAlign w:val="bottom"/>
            <w:tcBorders>
              <w:bottom w:val="single" w:sz="8" w:color="D2DCE5"/>
            </w:tcBorders>
            <w:shd w:val="clear" w:color="auto" w:fill="D2DCE5"/>
          </w:tcPr>
          <w:p>
            <w:pPr>
              <w:jc w:val="right"/>
              <w:ind w:right="149"/>
              <w:spacing w:after="0"/>
              <w:rPr>
                <w:sz w:val="20"/>
                <w:szCs w:val="20"/>
                <w:color w:val="auto"/>
              </w:rPr>
            </w:pPr>
            <w:r>
              <w:rPr>
                <w:rFonts w:ascii="Arial" w:cs="Arial" w:eastAsia="Arial" w:hAnsi="Arial"/>
                <w:sz w:val="14"/>
                <w:szCs w:val="14"/>
                <w:color w:val="131E29"/>
                <w:w w:val="76"/>
              </w:rPr>
              <w:t>$</w:t>
            </w:r>
          </w:p>
        </w:tc>
        <w:tc>
          <w:tcPr>
            <w:tcW w:w="19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20,178</w:t>
            </w:r>
          </w:p>
        </w:tc>
        <w:tc>
          <w:tcPr>
            <w:tcW w:w="80" w:type="dxa"/>
            <w:vAlign w:val="bottom"/>
            <w:tcBorders>
              <w:bottom w:val="single" w:sz="8" w:color="D2DCE5"/>
            </w:tcBorders>
            <w:shd w:val="clear" w:color="auto" w:fill="D2DCE5"/>
          </w:tcPr>
          <w:p>
            <w:pPr>
              <w:spacing w:after="0"/>
              <w:rPr>
                <w:sz w:val="16"/>
                <w:szCs w:val="16"/>
                <w:color w:val="auto"/>
              </w:rPr>
            </w:pPr>
          </w:p>
        </w:tc>
        <w:tc>
          <w:tcPr>
            <w:tcW w:w="400" w:type="dxa"/>
            <w:vAlign w:val="bottom"/>
            <w:tcBorders>
              <w:bottom w:val="single" w:sz="8" w:color="D2DCE5"/>
            </w:tcBorders>
            <w:shd w:val="clear" w:color="auto" w:fill="D2DCE5"/>
          </w:tcPr>
          <w:p>
            <w:pPr>
              <w:jc w:val="right"/>
              <w:ind w:right="229"/>
              <w:spacing w:after="0"/>
              <w:rPr>
                <w:sz w:val="20"/>
                <w:szCs w:val="20"/>
                <w:color w:val="auto"/>
              </w:rPr>
            </w:pPr>
            <w:r>
              <w:rPr>
                <w:rFonts w:ascii="Arial" w:cs="Arial" w:eastAsia="Arial" w:hAnsi="Arial"/>
                <w:sz w:val="14"/>
                <w:szCs w:val="14"/>
                <w:color w:val="131E29"/>
              </w:rPr>
              <w:t>$</w:t>
            </w:r>
          </w:p>
        </w:tc>
        <w:tc>
          <w:tcPr>
            <w:tcW w:w="1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18,506</w:t>
            </w:r>
          </w:p>
        </w:tc>
        <w:tc>
          <w:tcPr>
            <w:tcW w:w="0" w:type="dxa"/>
            <w:vAlign w:val="bottom"/>
          </w:tcPr>
          <w:p>
            <w:pPr>
              <w:spacing w:after="0"/>
              <w:rPr>
                <w:sz w:val="1"/>
                <w:szCs w:val="1"/>
                <w:color w:val="auto"/>
              </w:rPr>
            </w:pPr>
          </w:p>
        </w:tc>
      </w:tr>
      <w:tr>
        <w:trPr>
          <w:trHeight w:val="191"/>
        </w:trPr>
        <w:tc>
          <w:tcPr>
            <w:tcW w:w="6580" w:type="dxa"/>
            <w:vAlign w:val="bottom"/>
            <w:gridSpan w:val="2"/>
          </w:tcPr>
          <w:p>
            <w:pPr>
              <w:ind w:left="140"/>
              <w:spacing w:after="0"/>
              <w:rPr>
                <w:sz w:val="20"/>
                <w:szCs w:val="20"/>
                <w:color w:val="auto"/>
              </w:rPr>
            </w:pPr>
            <w:r>
              <w:rPr>
                <w:rFonts w:ascii="Arial" w:cs="Arial" w:eastAsia="Arial" w:hAnsi="Arial"/>
                <w:sz w:val="14"/>
                <w:szCs w:val="14"/>
                <w:color w:val="131E29"/>
              </w:rPr>
              <w:t>Accounts receivable, net</w:t>
            </w:r>
          </w:p>
        </w:tc>
        <w:tc>
          <w:tcPr>
            <w:tcW w:w="3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131E29"/>
              </w:rPr>
              <w:t>11,966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131E29"/>
              </w:rPr>
              <w:t>10,644</w:t>
            </w:r>
          </w:p>
        </w:tc>
        <w:tc>
          <w:tcPr>
            <w:tcW w:w="0" w:type="dxa"/>
            <w:vAlign w:val="bottom"/>
          </w:tcPr>
          <w:p>
            <w:pPr>
              <w:spacing w:after="0"/>
              <w:rPr>
                <w:sz w:val="1"/>
                <w:szCs w:val="1"/>
                <w:color w:val="auto"/>
              </w:rPr>
            </w:pPr>
          </w:p>
        </w:tc>
      </w:tr>
      <w:tr>
        <w:trPr>
          <w:trHeight w:val="22"/>
        </w:trPr>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58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Inventories, net</w:t>
            </w:r>
          </w:p>
        </w:tc>
        <w:tc>
          <w:tcPr>
            <w:tcW w:w="300" w:type="dxa"/>
            <w:vAlign w:val="bottom"/>
            <w:tcBorders>
              <w:bottom w:val="single" w:sz="8" w:color="D2DCE5"/>
            </w:tcBorders>
            <w:shd w:val="clear" w:color="auto" w:fill="D2DCE5"/>
          </w:tcPr>
          <w:p>
            <w:pPr>
              <w:spacing w:after="0"/>
              <w:rPr>
                <w:sz w:val="16"/>
                <w:szCs w:val="16"/>
                <w:color w:val="auto"/>
              </w:rPr>
            </w:pPr>
          </w:p>
        </w:tc>
        <w:tc>
          <w:tcPr>
            <w:tcW w:w="19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39,229</w:t>
            </w:r>
          </w:p>
        </w:tc>
        <w:tc>
          <w:tcPr>
            <w:tcW w:w="80" w:type="dxa"/>
            <w:vAlign w:val="bottom"/>
            <w:tcBorders>
              <w:bottom w:val="single" w:sz="8" w:color="D2DCE5"/>
            </w:tcBorders>
            <w:shd w:val="clear" w:color="auto" w:fill="D2DCE5"/>
          </w:tcPr>
          <w:p>
            <w:pPr>
              <w:spacing w:after="0"/>
              <w:rPr>
                <w:sz w:val="16"/>
                <w:szCs w:val="16"/>
                <w:color w:val="auto"/>
              </w:rPr>
            </w:pPr>
          </w:p>
        </w:tc>
        <w:tc>
          <w:tcPr>
            <w:tcW w:w="400" w:type="dxa"/>
            <w:vAlign w:val="bottom"/>
            <w:tcBorders>
              <w:bottom w:val="single" w:sz="8" w:color="D2DCE5"/>
            </w:tcBorders>
            <w:shd w:val="clear" w:color="auto" w:fill="D2DCE5"/>
          </w:tcPr>
          <w:p>
            <w:pPr>
              <w:spacing w:after="0"/>
              <w:rPr>
                <w:sz w:val="16"/>
                <w:szCs w:val="16"/>
                <w:color w:val="auto"/>
              </w:rPr>
            </w:pPr>
          </w:p>
        </w:tc>
        <w:tc>
          <w:tcPr>
            <w:tcW w:w="1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23,345</w:t>
            </w:r>
          </w:p>
        </w:tc>
        <w:tc>
          <w:tcPr>
            <w:tcW w:w="0" w:type="dxa"/>
            <w:vAlign w:val="bottom"/>
          </w:tcPr>
          <w:p>
            <w:pPr>
              <w:spacing w:after="0"/>
              <w:rPr>
                <w:sz w:val="1"/>
                <w:szCs w:val="1"/>
                <w:color w:val="auto"/>
              </w:rPr>
            </w:pPr>
          </w:p>
        </w:tc>
      </w:tr>
      <w:tr>
        <w:trPr>
          <w:trHeight w:val="191"/>
        </w:trPr>
        <w:tc>
          <w:tcPr>
            <w:tcW w:w="6580" w:type="dxa"/>
            <w:vAlign w:val="bottom"/>
            <w:gridSpan w:val="2"/>
          </w:tcPr>
          <w:p>
            <w:pPr>
              <w:ind w:left="140"/>
              <w:spacing w:after="0"/>
              <w:rPr>
                <w:sz w:val="20"/>
                <w:szCs w:val="20"/>
                <w:color w:val="auto"/>
              </w:rPr>
            </w:pPr>
            <w:r>
              <w:rPr>
                <w:rFonts w:ascii="Arial" w:cs="Arial" w:eastAsia="Arial" w:hAnsi="Arial"/>
                <w:sz w:val="14"/>
                <w:szCs w:val="14"/>
                <w:color w:val="131E29"/>
              </w:rPr>
              <w:t>Prepaid expenses and other current assets</w:t>
            </w:r>
          </w:p>
        </w:tc>
        <w:tc>
          <w:tcPr>
            <w:tcW w:w="3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131E29"/>
              </w:rPr>
              <w:t>10,949</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131E29"/>
              </w:rPr>
              <w:t>8,796</w:t>
            </w:r>
          </w:p>
        </w:tc>
        <w:tc>
          <w:tcPr>
            <w:tcW w:w="0" w:type="dxa"/>
            <w:vAlign w:val="bottom"/>
          </w:tcPr>
          <w:p>
            <w:pPr>
              <w:spacing w:after="0"/>
              <w:rPr>
                <w:sz w:val="1"/>
                <w:szCs w:val="1"/>
                <w:color w:val="auto"/>
              </w:rPr>
            </w:pPr>
          </w:p>
        </w:tc>
      </w:tr>
      <w:tr>
        <w:trPr>
          <w:trHeight w:val="22"/>
        </w:trPr>
        <w:tc>
          <w:tcPr>
            <w:tcW w:w="6480" w:type="dxa"/>
            <w:vAlign w:val="bottom"/>
            <w:tcBorders>
              <w:bottom w:val="single" w:sz="8" w:color="D2DCE5"/>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580" w:type="dxa"/>
            <w:vAlign w:val="bottom"/>
            <w:tcBorders>
              <w:bottom w:val="single" w:sz="8" w:color="D2DCE5"/>
            </w:tcBorders>
            <w:gridSpan w:val="2"/>
            <w:shd w:val="clear" w:color="auto" w:fill="D2DCE5"/>
          </w:tcPr>
          <w:p>
            <w:pPr>
              <w:ind w:left="280"/>
              <w:spacing w:after="0"/>
              <w:rPr>
                <w:sz w:val="20"/>
                <w:szCs w:val="20"/>
                <w:color w:val="auto"/>
              </w:rPr>
            </w:pPr>
            <w:r>
              <w:rPr>
                <w:rFonts w:ascii="Arial" w:cs="Arial" w:eastAsia="Arial" w:hAnsi="Arial"/>
                <w:sz w:val="14"/>
                <w:szCs w:val="14"/>
                <w:color w:val="131E29"/>
              </w:rPr>
              <w:t>Total current assets</w:t>
            </w:r>
          </w:p>
        </w:tc>
        <w:tc>
          <w:tcPr>
            <w:tcW w:w="300" w:type="dxa"/>
            <w:vAlign w:val="bottom"/>
            <w:tcBorders>
              <w:bottom w:val="single" w:sz="8" w:color="D2DCE5"/>
            </w:tcBorders>
            <w:shd w:val="clear" w:color="auto" w:fill="D2DCE5"/>
          </w:tcPr>
          <w:p>
            <w:pPr>
              <w:spacing w:after="0"/>
              <w:rPr>
                <w:sz w:val="15"/>
                <w:szCs w:val="15"/>
                <w:color w:val="auto"/>
              </w:rPr>
            </w:pPr>
          </w:p>
        </w:tc>
        <w:tc>
          <w:tcPr>
            <w:tcW w:w="19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82,322</w:t>
            </w:r>
          </w:p>
        </w:tc>
        <w:tc>
          <w:tcPr>
            <w:tcW w:w="80" w:type="dxa"/>
            <w:vAlign w:val="bottom"/>
            <w:tcBorders>
              <w:bottom w:val="single" w:sz="8" w:color="D2DCE5"/>
            </w:tcBorders>
            <w:shd w:val="clear" w:color="auto" w:fill="D2DCE5"/>
          </w:tcPr>
          <w:p>
            <w:pPr>
              <w:spacing w:after="0"/>
              <w:rPr>
                <w:sz w:val="15"/>
                <w:szCs w:val="15"/>
                <w:color w:val="auto"/>
              </w:rPr>
            </w:pPr>
          </w:p>
        </w:tc>
        <w:tc>
          <w:tcPr>
            <w:tcW w:w="400" w:type="dxa"/>
            <w:vAlign w:val="bottom"/>
            <w:tcBorders>
              <w:bottom w:val="single" w:sz="8" w:color="D2DCE5"/>
            </w:tcBorders>
            <w:shd w:val="clear" w:color="auto" w:fill="D2DCE5"/>
          </w:tcPr>
          <w:p>
            <w:pPr>
              <w:spacing w:after="0"/>
              <w:rPr>
                <w:sz w:val="15"/>
                <w:szCs w:val="15"/>
                <w:color w:val="auto"/>
              </w:rPr>
            </w:pPr>
          </w:p>
        </w:tc>
        <w:tc>
          <w:tcPr>
            <w:tcW w:w="1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61,291</w:t>
            </w:r>
          </w:p>
        </w:tc>
        <w:tc>
          <w:tcPr>
            <w:tcW w:w="0" w:type="dxa"/>
            <w:vAlign w:val="bottom"/>
          </w:tcPr>
          <w:p>
            <w:pPr>
              <w:spacing w:after="0"/>
              <w:rPr>
                <w:sz w:val="1"/>
                <w:szCs w:val="1"/>
                <w:color w:val="auto"/>
              </w:rPr>
            </w:pPr>
          </w:p>
        </w:tc>
      </w:tr>
      <w:tr>
        <w:trPr>
          <w:trHeight w:val="191"/>
        </w:trPr>
        <w:tc>
          <w:tcPr>
            <w:tcW w:w="6580" w:type="dxa"/>
            <w:vAlign w:val="bottom"/>
            <w:gridSpan w:val="2"/>
          </w:tcPr>
          <w:p>
            <w:pPr>
              <w:ind w:left="20"/>
              <w:spacing w:after="0"/>
              <w:rPr>
                <w:sz w:val="20"/>
                <w:szCs w:val="20"/>
                <w:color w:val="auto"/>
              </w:rPr>
            </w:pPr>
            <w:r>
              <w:rPr>
                <w:rFonts w:ascii="Arial" w:cs="Arial" w:eastAsia="Arial" w:hAnsi="Arial"/>
                <w:sz w:val="14"/>
                <w:szCs w:val="14"/>
                <w:color w:val="131E29"/>
              </w:rPr>
              <w:t>Property and equipment, net</w:t>
            </w:r>
          </w:p>
        </w:tc>
        <w:tc>
          <w:tcPr>
            <w:tcW w:w="3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131E29"/>
              </w:rPr>
              <w:t>365,468</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131E29"/>
              </w:rPr>
              <w:t>301,998</w:t>
            </w:r>
          </w:p>
        </w:tc>
        <w:tc>
          <w:tcPr>
            <w:tcW w:w="0" w:type="dxa"/>
            <w:vAlign w:val="bottom"/>
          </w:tcPr>
          <w:p>
            <w:pPr>
              <w:spacing w:after="0"/>
              <w:rPr>
                <w:sz w:val="1"/>
                <w:szCs w:val="1"/>
                <w:color w:val="auto"/>
              </w:rPr>
            </w:pPr>
          </w:p>
        </w:tc>
      </w:tr>
      <w:tr>
        <w:trPr>
          <w:trHeight w:val="22"/>
        </w:trPr>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5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Finance lease right-of-use assets, net</w:t>
            </w:r>
          </w:p>
        </w:tc>
        <w:tc>
          <w:tcPr>
            <w:tcW w:w="300" w:type="dxa"/>
            <w:vAlign w:val="bottom"/>
            <w:shd w:val="clear" w:color="auto" w:fill="D2DCE5"/>
          </w:tcPr>
          <w:p>
            <w:pPr>
              <w:spacing w:after="0"/>
              <w:rPr>
                <w:sz w:val="18"/>
                <w:szCs w:val="18"/>
                <w:color w:val="auto"/>
              </w:rPr>
            </w:pPr>
          </w:p>
        </w:tc>
        <w:tc>
          <w:tcPr>
            <w:tcW w:w="19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247,943</w:t>
            </w:r>
          </w:p>
        </w:tc>
        <w:tc>
          <w:tcPr>
            <w:tcW w:w="80" w:type="dxa"/>
            <w:vAlign w:val="bottom"/>
            <w:shd w:val="clear" w:color="auto" w:fill="D2DCE5"/>
          </w:tcPr>
          <w:p>
            <w:pPr>
              <w:spacing w:after="0"/>
              <w:rPr>
                <w:sz w:val="18"/>
                <w:szCs w:val="18"/>
                <w:color w:val="auto"/>
              </w:rPr>
            </w:pPr>
          </w:p>
        </w:tc>
        <w:tc>
          <w:tcPr>
            <w:tcW w:w="400" w:type="dxa"/>
            <w:vAlign w:val="bottom"/>
            <w:shd w:val="clear" w:color="auto" w:fill="D2DCE5"/>
          </w:tcPr>
          <w:p>
            <w:pPr>
              <w:spacing w:after="0"/>
              <w:rPr>
                <w:sz w:val="18"/>
                <w:szCs w:val="18"/>
                <w:color w:val="auto"/>
              </w:rPr>
            </w:pPr>
          </w:p>
        </w:tc>
        <w:tc>
          <w:tcPr>
            <w:tcW w:w="1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191"/>
        </w:trPr>
        <w:tc>
          <w:tcPr>
            <w:tcW w:w="6580" w:type="dxa"/>
            <w:vAlign w:val="bottom"/>
            <w:gridSpan w:val="2"/>
          </w:tcPr>
          <w:p>
            <w:pPr>
              <w:ind w:left="20"/>
              <w:spacing w:after="0"/>
              <w:rPr>
                <w:sz w:val="20"/>
                <w:szCs w:val="20"/>
                <w:color w:val="auto"/>
              </w:rPr>
            </w:pPr>
            <w:r>
              <w:rPr>
                <w:rFonts w:ascii="Arial" w:cs="Arial" w:eastAsia="Arial" w:hAnsi="Arial"/>
                <w:sz w:val="14"/>
                <w:szCs w:val="14"/>
                <w:color w:val="131E29"/>
              </w:rPr>
              <w:t>Operating lease right-of-use assets, net</w:t>
            </w:r>
          </w:p>
        </w:tc>
        <w:tc>
          <w:tcPr>
            <w:tcW w:w="3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131E29"/>
              </w:rPr>
              <w:t>169,302</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22"/>
        </w:trPr>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5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Intangibles, net</w:t>
            </w:r>
          </w:p>
        </w:tc>
        <w:tc>
          <w:tcPr>
            <w:tcW w:w="300" w:type="dxa"/>
            <w:vAlign w:val="bottom"/>
            <w:tcBorders>
              <w:bottom w:val="single" w:sz="8" w:color="D2DCE5"/>
            </w:tcBorders>
            <w:shd w:val="clear" w:color="auto" w:fill="D2DCE5"/>
          </w:tcPr>
          <w:p>
            <w:pPr>
              <w:spacing w:after="0"/>
              <w:rPr>
                <w:sz w:val="16"/>
                <w:szCs w:val="16"/>
                <w:color w:val="auto"/>
              </w:rPr>
            </w:pPr>
          </w:p>
        </w:tc>
        <w:tc>
          <w:tcPr>
            <w:tcW w:w="19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8,804</w:t>
            </w:r>
          </w:p>
        </w:tc>
        <w:tc>
          <w:tcPr>
            <w:tcW w:w="80" w:type="dxa"/>
            <w:vAlign w:val="bottom"/>
            <w:tcBorders>
              <w:bottom w:val="single" w:sz="8" w:color="D2DCE5"/>
            </w:tcBorders>
            <w:shd w:val="clear" w:color="auto" w:fill="D2DCE5"/>
          </w:tcPr>
          <w:p>
            <w:pPr>
              <w:spacing w:after="0"/>
              <w:rPr>
                <w:sz w:val="16"/>
                <w:szCs w:val="16"/>
                <w:color w:val="auto"/>
              </w:rPr>
            </w:pPr>
          </w:p>
        </w:tc>
        <w:tc>
          <w:tcPr>
            <w:tcW w:w="400" w:type="dxa"/>
            <w:vAlign w:val="bottom"/>
            <w:tcBorders>
              <w:bottom w:val="single" w:sz="8" w:color="D2DCE5"/>
            </w:tcBorders>
            <w:shd w:val="clear" w:color="auto" w:fill="D2DCE5"/>
          </w:tcPr>
          <w:p>
            <w:pPr>
              <w:spacing w:after="0"/>
              <w:rPr>
                <w:sz w:val="16"/>
                <w:szCs w:val="16"/>
                <w:color w:val="auto"/>
              </w:rPr>
            </w:pPr>
          </w:p>
        </w:tc>
        <w:tc>
          <w:tcPr>
            <w:tcW w:w="1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11,103</w:t>
            </w:r>
          </w:p>
        </w:tc>
        <w:tc>
          <w:tcPr>
            <w:tcW w:w="0" w:type="dxa"/>
            <w:vAlign w:val="bottom"/>
          </w:tcPr>
          <w:p>
            <w:pPr>
              <w:spacing w:after="0"/>
              <w:rPr>
                <w:sz w:val="1"/>
                <w:szCs w:val="1"/>
                <w:color w:val="auto"/>
              </w:rPr>
            </w:pPr>
          </w:p>
        </w:tc>
      </w:tr>
      <w:tr>
        <w:trPr>
          <w:trHeight w:val="191"/>
        </w:trPr>
        <w:tc>
          <w:tcPr>
            <w:tcW w:w="6580" w:type="dxa"/>
            <w:vAlign w:val="bottom"/>
            <w:gridSpan w:val="2"/>
          </w:tcPr>
          <w:p>
            <w:pPr>
              <w:ind w:left="20"/>
              <w:spacing w:after="0"/>
              <w:rPr>
                <w:sz w:val="20"/>
                <w:szCs w:val="20"/>
                <w:color w:val="auto"/>
              </w:rPr>
            </w:pPr>
            <w:r>
              <w:rPr>
                <w:rFonts w:ascii="Arial" w:cs="Arial" w:eastAsia="Arial" w:hAnsi="Arial"/>
                <w:sz w:val="14"/>
                <w:szCs w:val="14"/>
                <w:color w:val="131E29"/>
              </w:rPr>
              <w:t>Goodwill</w:t>
            </w:r>
          </w:p>
        </w:tc>
        <w:tc>
          <w:tcPr>
            <w:tcW w:w="3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131E29"/>
              </w:rPr>
              <w:t>21,629</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131E29"/>
              </w:rPr>
              <w:t>18,715</w:t>
            </w:r>
          </w:p>
        </w:tc>
        <w:tc>
          <w:tcPr>
            <w:tcW w:w="0" w:type="dxa"/>
            <w:vAlign w:val="bottom"/>
          </w:tcPr>
          <w:p>
            <w:pPr>
              <w:spacing w:after="0"/>
              <w:rPr>
                <w:sz w:val="1"/>
                <w:szCs w:val="1"/>
                <w:color w:val="auto"/>
              </w:rPr>
            </w:pPr>
          </w:p>
        </w:tc>
      </w:tr>
      <w:tr>
        <w:trPr>
          <w:trHeight w:val="22"/>
        </w:trPr>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5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Deferred income tax assets, net</w:t>
            </w:r>
          </w:p>
        </w:tc>
        <w:tc>
          <w:tcPr>
            <w:tcW w:w="300" w:type="dxa"/>
            <w:vAlign w:val="bottom"/>
            <w:tcBorders>
              <w:bottom w:val="single" w:sz="8" w:color="D2DCE5"/>
            </w:tcBorders>
            <w:shd w:val="clear" w:color="auto" w:fill="D2DCE5"/>
          </w:tcPr>
          <w:p>
            <w:pPr>
              <w:spacing w:after="0"/>
              <w:rPr>
                <w:sz w:val="16"/>
                <w:szCs w:val="16"/>
                <w:color w:val="auto"/>
              </w:rPr>
            </w:pPr>
          </w:p>
        </w:tc>
        <w:tc>
          <w:tcPr>
            <w:tcW w:w="19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288,765</w:t>
            </w:r>
          </w:p>
        </w:tc>
        <w:tc>
          <w:tcPr>
            <w:tcW w:w="80" w:type="dxa"/>
            <w:vAlign w:val="bottom"/>
            <w:tcBorders>
              <w:bottom w:val="single" w:sz="8" w:color="D2DCE5"/>
            </w:tcBorders>
            <w:shd w:val="clear" w:color="auto" w:fill="D2DCE5"/>
          </w:tcPr>
          <w:p>
            <w:pPr>
              <w:spacing w:after="0"/>
              <w:rPr>
                <w:sz w:val="16"/>
                <w:szCs w:val="16"/>
                <w:color w:val="auto"/>
              </w:rPr>
            </w:pPr>
          </w:p>
        </w:tc>
        <w:tc>
          <w:tcPr>
            <w:tcW w:w="400" w:type="dxa"/>
            <w:vAlign w:val="bottom"/>
            <w:tcBorders>
              <w:bottom w:val="single" w:sz="8" w:color="D2DCE5"/>
            </w:tcBorders>
            <w:shd w:val="clear" w:color="auto" w:fill="D2DCE5"/>
          </w:tcPr>
          <w:p>
            <w:pPr>
              <w:spacing w:after="0"/>
              <w:rPr>
                <w:sz w:val="16"/>
                <w:szCs w:val="16"/>
                <w:color w:val="auto"/>
              </w:rPr>
            </w:pPr>
          </w:p>
        </w:tc>
        <w:tc>
          <w:tcPr>
            <w:tcW w:w="1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159,031</w:t>
            </w:r>
          </w:p>
        </w:tc>
        <w:tc>
          <w:tcPr>
            <w:tcW w:w="0" w:type="dxa"/>
            <w:vAlign w:val="bottom"/>
          </w:tcPr>
          <w:p>
            <w:pPr>
              <w:spacing w:after="0"/>
              <w:rPr>
                <w:sz w:val="1"/>
                <w:szCs w:val="1"/>
                <w:color w:val="auto"/>
              </w:rPr>
            </w:pPr>
          </w:p>
        </w:tc>
      </w:tr>
      <w:tr>
        <w:trPr>
          <w:trHeight w:val="191"/>
        </w:trPr>
        <w:tc>
          <w:tcPr>
            <w:tcW w:w="6580" w:type="dxa"/>
            <w:vAlign w:val="bottom"/>
            <w:gridSpan w:val="2"/>
          </w:tcPr>
          <w:p>
            <w:pPr>
              <w:ind w:left="20"/>
              <w:spacing w:after="0"/>
              <w:rPr>
                <w:sz w:val="20"/>
                <w:szCs w:val="20"/>
                <w:color w:val="auto"/>
              </w:rPr>
            </w:pPr>
            <w:r>
              <w:rPr>
                <w:rFonts w:ascii="Arial" w:cs="Arial" w:eastAsia="Arial" w:hAnsi="Arial"/>
                <w:sz w:val="14"/>
                <w:szCs w:val="14"/>
                <w:color w:val="131E29"/>
              </w:rPr>
              <w:t>Other long-term assets</w:t>
            </w:r>
          </w:p>
        </w:tc>
        <w:tc>
          <w:tcPr>
            <w:tcW w:w="3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131E29"/>
              </w:rPr>
              <w:t>2,127</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131E29"/>
              </w:rPr>
              <w:t>1,562</w:t>
            </w:r>
          </w:p>
        </w:tc>
        <w:tc>
          <w:tcPr>
            <w:tcW w:w="0" w:type="dxa"/>
            <w:vAlign w:val="bottom"/>
          </w:tcPr>
          <w:p>
            <w:pPr>
              <w:spacing w:after="0"/>
              <w:rPr>
                <w:sz w:val="1"/>
                <w:szCs w:val="1"/>
                <w:color w:val="auto"/>
              </w:rPr>
            </w:pPr>
          </w:p>
        </w:tc>
      </w:tr>
      <w:tr>
        <w:trPr>
          <w:trHeight w:val="22"/>
        </w:trPr>
        <w:tc>
          <w:tcPr>
            <w:tcW w:w="6480" w:type="dxa"/>
            <w:vAlign w:val="bottom"/>
            <w:tcBorders>
              <w:bottom w:val="single" w:sz="8" w:color="D2DCE5"/>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6580" w:type="dxa"/>
            <w:vAlign w:val="bottom"/>
            <w:tcBorders>
              <w:bottom w:val="single" w:sz="8" w:color="D2DCE5"/>
            </w:tcBorders>
            <w:gridSpan w:val="2"/>
            <w:shd w:val="clear" w:color="auto" w:fill="D2DCE5"/>
          </w:tcPr>
          <w:p>
            <w:pPr>
              <w:ind w:left="400"/>
              <w:spacing w:after="0"/>
              <w:rPr>
                <w:sz w:val="20"/>
                <w:szCs w:val="20"/>
                <w:color w:val="auto"/>
              </w:rPr>
            </w:pPr>
            <w:r>
              <w:rPr>
                <w:rFonts w:ascii="Arial" w:cs="Arial" w:eastAsia="Arial" w:hAnsi="Arial"/>
                <w:sz w:val="14"/>
                <w:szCs w:val="14"/>
                <w:color w:val="131E29"/>
              </w:rPr>
              <w:t>Total assets</w:t>
            </w:r>
          </w:p>
        </w:tc>
        <w:tc>
          <w:tcPr>
            <w:tcW w:w="300" w:type="dxa"/>
            <w:vAlign w:val="bottom"/>
            <w:tcBorders>
              <w:bottom w:val="single" w:sz="8" w:color="auto"/>
            </w:tcBorders>
            <w:shd w:val="clear" w:color="auto" w:fill="D2DCE5"/>
          </w:tcPr>
          <w:p>
            <w:pPr>
              <w:jc w:val="right"/>
              <w:ind w:right="149"/>
              <w:spacing w:after="0"/>
              <w:rPr>
                <w:sz w:val="20"/>
                <w:szCs w:val="20"/>
                <w:color w:val="auto"/>
              </w:rPr>
            </w:pPr>
            <w:r>
              <w:rPr>
                <w:rFonts w:ascii="Arial" w:cs="Arial" w:eastAsia="Arial" w:hAnsi="Arial"/>
                <w:sz w:val="14"/>
                <w:szCs w:val="14"/>
                <w:color w:val="131E29"/>
                <w:w w:val="76"/>
              </w:rPr>
              <w:t>$</w:t>
            </w:r>
          </w:p>
        </w:tc>
        <w:tc>
          <w:tcPr>
            <w:tcW w:w="19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1,186,360</w:t>
            </w:r>
          </w:p>
        </w:tc>
        <w:tc>
          <w:tcPr>
            <w:tcW w:w="80" w:type="dxa"/>
            <w:vAlign w:val="bottom"/>
            <w:tcBorders>
              <w:bottom w:val="single" w:sz="8" w:color="D2DCE5"/>
            </w:tcBorders>
            <w:shd w:val="clear" w:color="auto" w:fill="D2DCE5"/>
          </w:tcPr>
          <w:p>
            <w:pPr>
              <w:spacing w:after="0"/>
              <w:rPr>
                <w:sz w:val="19"/>
                <w:szCs w:val="19"/>
                <w:color w:val="auto"/>
              </w:rPr>
            </w:pPr>
          </w:p>
        </w:tc>
        <w:tc>
          <w:tcPr>
            <w:tcW w:w="400" w:type="dxa"/>
            <w:vAlign w:val="bottom"/>
            <w:tcBorders>
              <w:bottom w:val="single" w:sz="8" w:color="auto"/>
            </w:tcBorders>
            <w:shd w:val="clear" w:color="auto" w:fill="D2DCE5"/>
          </w:tcPr>
          <w:p>
            <w:pPr>
              <w:jc w:val="right"/>
              <w:ind w:right="229"/>
              <w:spacing w:after="0"/>
              <w:rPr>
                <w:sz w:val="20"/>
                <w:szCs w:val="20"/>
                <w:color w:val="auto"/>
              </w:rPr>
            </w:pPr>
            <w:r>
              <w:rPr>
                <w:rFonts w:ascii="Arial" w:cs="Arial" w:eastAsia="Arial" w:hAnsi="Arial"/>
                <w:sz w:val="14"/>
                <w:szCs w:val="14"/>
                <w:color w:val="131E29"/>
              </w:rPr>
              <w:t>$</w:t>
            </w:r>
          </w:p>
        </w:tc>
        <w:tc>
          <w:tcPr>
            <w:tcW w:w="1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553,700</w:t>
            </w:r>
          </w:p>
        </w:tc>
        <w:tc>
          <w:tcPr>
            <w:tcW w:w="0" w:type="dxa"/>
            <w:vAlign w:val="bottom"/>
          </w:tcPr>
          <w:p>
            <w:pPr>
              <w:spacing w:after="0"/>
              <w:rPr>
                <w:sz w:val="1"/>
                <w:szCs w:val="1"/>
                <w:color w:val="auto"/>
              </w:rPr>
            </w:pPr>
          </w:p>
        </w:tc>
      </w:tr>
      <w:tr>
        <w:trPr>
          <w:trHeight w:val="20"/>
        </w:trPr>
        <w:tc>
          <w:tcPr>
            <w:tcW w:w="6580" w:type="dxa"/>
            <w:vAlign w:val="bottom"/>
            <w:tcBorders>
              <w:top w:val="single" w:sz="8" w:color="D2DCE5"/>
              <w:bottom w:val="single" w:sz="8" w:color="D2DCE5"/>
            </w:tcBorders>
            <w:gridSpan w:val="2"/>
            <w:vMerge w:val="restart"/>
          </w:tcPr>
          <w:p>
            <w:pPr>
              <w:ind w:left="20"/>
              <w:spacing w:after="0"/>
              <w:rPr>
                <w:sz w:val="20"/>
                <w:szCs w:val="20"/>
                <w:color w:val="auto"/>
              </w:rPr>
            </w:pPr>
            <w:r>
              <w:rPr>
                <w:rFonts w:ascii="Arial" w:cs="Arial" w:eastAsia="Arial" w:hAnsi="Arial"/>
                <w:sz w:val="14"/>
                <w:szCs w:val="14"/>
                <w:b w:val="1"/>
                <w:bCs w:val="1"/>
                <w:color w:val="131E29"/>
              </w:rPr>
              <w:t>LIABILITIES AND EQUITY</w:t>
            </w: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98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400" w:type="dxa"/>
            <w:vAlign w:val="bottom"/>
            <w:tcBorders>
              <w:top w:val="single" w:sz="8" w:color="D2DCE5"/>
              <w:bottom w:val="single" w:sz="8" w:color="auto"/>
            </w:tcBorders>
          </w:tcPr>
          <w:p>
            <w:pPr>
              <w:spacing w:after="0" w:line="20" w:lineRule="exact"/>
              <w:rPr>
                <w:sz w:val="1"/>
                <w:szCs w:val="1"/>
                <w:color w:val="auto"/>
              </w:rPr>
            </w:pPr>
          </w:p>
        </w:tc>
        <w:tc>
          <w:tcPr>
            <w:tcW w:w="194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58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5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Current liabilities:</w:t>
            </w:r>
          </w:p>
        </w:tc>
        <w:tc>
          <w:tcPr>
            <w:tcW w:w="300" w:type="dxa"/>
            <w:vAlign w:val="bottom"/>
            <w:tcBorders>
              <w:bottom w:val="single" w:sz="8" w:color="D2DCE5"/>
            </w:tcBorders>
            <w:shd w:val="clear" w:color="auto" w:fill="D2DCE5"/>
          </w:tcPr>
          <w:p>
            <w:pPr>
              <w:spacing w:after="0"/>
              <w:rPr>
                <w:sz w:val="16"/>
                <w:szCs w:val="16"/>
                <w:color w:val="auto"/>
              </w:rPr>
            </w:pPr>
          </w:p>
        </w:tc>
        <w:tc>
          <w:tcPr>
            <w:tcW w:w="198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400" w:type="dxa"/>
            <w:vAlign w:val="bottom"/>
            <w:tcBorders>
              <w:bottom w:val="single" w:sz="8" w:color="D2DCE5"/>
            </w:tcBorders>
            <w:shd w:val="clear" w:color="auto" w:fill="D2DCE5"/>
          </w:tcPr>
          <w:p>
            <w:pPr>
              <w:spacing w:after="0"/>
              <w:rPr>
                <w:sz w:val="16"/>
                <w:szCs w:val="16"/>
                <w:color w:val="auto"/>
              </w:rPr>
            </w:pPr>
          </w:p>
        </w:tc>
        <w:tc>
          <w:tcPr>
            <w:tcW w:w="1940" w:type="dxa"/>
            <w:vAlign w:val="bottom"/>
            <w:tcBorders>
              <w:bottom w:val="single" w:sz="8" w:color="D2DCE5"/>
            </w:tcBorders>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580" w:type="dxa"/>
            <w:vAlign w:val="bottom"/>
            <w:gridSpan w:val="2"/>
          </w:tcPr>
          <w:p>
            <w:pPr>
              <w:ind w:left="140"/>
              <w:spacing w:after="0"/>
              <w:rPr>
                <w:sz w:val="20"/>
                <w:szCs w:val="20"/>
                <w:color w:val="auto"/>
              </w:rPr>
            </w:pPr>
            <w:r>
              <w:rPr>
                <w:rFonts w:ascii="Arial" w:cs="Arial" w:eastAsia="Arial" w:hAnsi="Arial"/>
                <w:sz w:val="14"/>
                <w:szCs w:val="14"/>
                <w:color w:val="131E29"/>
              </w:rPr>
              <w:t>Accounts payable</w:t>
            </w:r>
          </w:p>
        </w:tc>
        <w:tc>
          <w:tcPr>
            <w:tcW w:w="300" w:type="dxa"/>
            <w:vAlign w:val="bottom"/>
          </w:tcPr>
          <w:p>
            <w:pPr>
              <w:jc w:val="right"/>
              <w:ind w:right="149"/>
              <w:spacing w:after="0"/>
              <w:rPr>
                <w:sz w:val="20"/>
                <w:szCs w:val="20"/>
                <w:color w:val="auto"/>
              </w:rPr>
            </w:pPr>
            <w:r>
              <w:rPr>
                <w:rFonts w:ascii="Arial" w:cs="Arial" w:eastAsia="Arial" w:hAnsi="Arial"/>
                <w:sz w:val="14"/>
                <w:szCs w:val="14"/>
                <w:color w:val="131E29"/>
                <w:w w:val="76"/>
              </w:rPr>
              <w:t>$</w:t>
            </w:r>
          </w:p>
        </w:tc>
        <w:tc>
          <w:tcPr>
            <w:tcW w:w="1980" w:type="dxa"/>
            <w:vAlign w:val="bottom"/>
          </w:tcPr>
          <w:p>
            <w:pPr>
              <w:jc w:val="right"/>
              <w:spacing w:after="0"/>
              <w:rPr>
                <w:sz w:val="20"/>
                <w:szCs w:val="20"/>
                <w:color w:val="auto"/>
              </w:rPr>
            </w:pPr>
            <w:r>
              <w:rPr>
                <w:rFonts w:ascii="Arial" w:cs="Arial" w:eastAsia="Arial" w:hAnsi="Arial"/>
                <w:sz w:val="14"/>
                <w:szCs w:val="14"/>
                <w:color w:val="131E29"/>
              </w:rPr>
              <w:t>21,270</w:t>
            </w:r>
          </w:p>
        </w:tc>
        <w:tc>
          <w:tcPr>
            <w:tcW w:w="80" w:type="dxa"/>
            <w:vAlign w:val="bottom"/>
          </w:tcPr>
          <w:p>
            <w:pPr>
              <w:spacing w:after="0"/>
              <w:rPr>
                <w:sz w:val="16"/>
                <w:szCs w:val="16"/>
                <w:color w:val="auto"/>
              </w:rPr>
            </w:pPr>
          </w:p>
        </w:tc>
        <w:tc>
          <w:tcPr>
            <w:tcW w:w="400" w:type="dxa"/>
            <w:vAlign w:val="bottom"/>
          </w:tcPr>
          <w:p>
            <w:pPr>
              <w:jc w:val="right"/>
              <w:ind w:right="229"/>
              <w:spacing w:after="0"/>
              <w:rPr>
                <w:sz w:val="20"/>
                <w:szCs w:val="20"/>
                <w:color w:val="auto"/>
              </w:rPr>
            </w:pPr>
            <w:r>
              <w:rPr>
                <w:rFonts w:ascii="Arial" w:cs="Arial" w:eastAsia="Arial" w:hAnsi="Arial"/>
                <w:sz w:val="14"/>
                <w:szCs w:val="14"/>
                <w:color w:val="131E29"/>
              </w:rPr>
              <w:t>$</w:t>
            </w:r>
          </w:p>
        </w:tc>
        <w:tc>
          <w:tcPr>
            <w:tcW w:w="1940" w:type="dxa"/>
            <w:vAlign w:val="bottom"/>
          </w:tcPr>
          <w:p>
            <w:pPr>
              <w:jc w:val="right"/>
              <w:spacing w:after="0"/>
              <w:rPr>
                <w:sz w:val="20"/>
                <w:szCs w:val="20"/>
                <w:color w:val="auto"/>
              </w:rPr>
            </w:pPr>
            <w:r>
              <w:rPr>
                <w:rFonts w:ascii="Arial" w:cs="Arial" w:eastAsia="Arial" w:hAnsi="Arial"/>
                <w:sz w:val="14"/>
                <w:szCs w:val="14"/>
                <w:color w:val="131E29"/>
              </w:rPr>
              <w:t>20,440</w:t>
            </w:r>
          </w:p>
        </w:tc>
        <w:tc>
          <w:tcPr>
            <w:tcW w:w="0" w:type="dxa"/>
            <w:vAlign w:val="bottom"/>
          </w:tcPr>
          <w:p>
            <w:pPr>
              <w:spacing w:after="0"/>
              <w:rPr>
                <w:sz w:val="1"/>
                <w:szCs w:val="1"/>
                <w:color w:val="auto"/>
              </w:rPr>
            </w:pPr>
          </w:p>
        </w:tc>
      </w:tr>
      <w:tr>
        <w:trPr>
          <w:trHeight w:val="22"/>
        </w:trPr>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58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Accrued liabilities</w:t>
            </w:r>
          </w:p>
        </w:tc>
        <w:tc>
          <w:tcPr>
            <w:tcW w:w="300" w:type="dxa"/>
            <w:vAlign w:val="bottom"/>
            <w:tcBorders>
              <w:bottom w:val="single" w:sz="8" w:color="D2DCE5"/>
            </w:tcBorders>
            <w:shd w:val="clear" w:color="auto" w:fill="D2DCE5"/>
          </w:tcPr>
          <w:p>
            <w:pPr>
              <w:spacing w:after="0"/>
              <w:rPr>
                <w:sz w:val="16"/>
                <w:szCs w:val="16"/>
                <w:color w:val="auto"/>
              </w:rPr>
            </w:pPr>
          </w:p>
        </w:tc>
        <w:tc>
          <w:tcPr>
            <w:tcW w:w="19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27,452</w:t>
            </w:r>
          </w:p>
        </w:tc>
        <w:tc>
          <w:tcPr>
            <w:tcW w:w="80" w:type="dxa"/>
            <w:vAlign w:val="bottom"/>
            <w:tcBorders>
              <w:bottom w:val="single" w:sz="8" w:color="D2DCE5"/>
            </w:tcBorders>
            <w:shd w:val="clear" w:color="auto" w:fill="D2DCE5"/>
          </w:tcPr>
          <w:p>
            <w:pPr>
              <w:spacing w:after="0"/>
              <w:rPr>
                <w:sz w:val="16"/>
                <w:szCs w:val="16"/>
                <w:color w:val="auto"/>
              </w:rPr>
            </w:pPr>
          </w:p>
        </w:tc>
        <w:tc>
          <w:tcPr>
            <w:tcW w:w="400" w:type="dxa"/>
            <w:vAlign w:val="bottom"/>
            <w:tcBorders>
              <w:bottom w:val="single" w:sz="8" w:color="D2DCE5"/>
            </w:tcBorders>
            <w:shd w:val="clear" w:color="auto" w:fill="D2DCE5"/>
          </w:tcPr>
          <w:p>
            <w:pPr>
              <w:spacing w:after="0"/>
              <w:rPr>
                <w:sz w:val="16"/>
                <w:szCs w:val="16"/>
                <w:color w:val="auto"/>
              </w:rPr>
            </w:pPr>
          </w:p>
        </w:tc>
        <w:tc>
          <w:tcPr>
            <w:tcW w:w="1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20,970</w:t>
            </w:r>
          </w:p>
        </w:tc>
        <w:tc>
          <w:tcPr>
            <w:tcW w:w="0" w:type="dxa"/>
            <w:vAlign w:val="bottom"/>
          </w:tcPr>
          <w:p>
            <w:pPr>
              <w:spacing w:after="0"/>
              <w:rPr>
                <w:sz w:val="1"/>
                <w:szCs w:val="1"/>
                <w:color w:val="auto"/>
              </w:rPr>
            </w:pPr>
          </w:p>
        </w:tc>
      </w:tr>
      <w:tr>
        <w:trPr>
          <w:trHeight w:val="191"/>
        </w:trPr>
        <w:tc>
          <w:tcPr>
            <w:tcW w:w="6580" w:type="dxa"/>
            <w:vAlign w:val="bottom"/>
            <w:gridSpan w:val="2"/>
          </w:tcPr>
          <w:p>
            <w:pPr>
              <w:ind w:left="140"/>
              <w:spacing w:after="0"/>
              <w:rPr>
                <w:sz w:val="20"/>
                <w:szCs w:val="20"/>
                <w:color w:val="auto"/>
              </w:rPr>
            </w:pPr>
            <w:r>
              <w:rPr>
                <w:rFonts w:ascii="Arial" w:cs="Arial" w:eastAsia="Arial" w:hAnsi="Arial"/>
                <w:sz w:val="14"/>
                <w:szCs w:val="14"/>
                <w:color w:val="131E29"/>
              </w:rPr>
              <w:t>Other current liabilities</w:t>
            </w:r>
          </w:p>
        </w:tc>
        <w:tc>
          <w:tcPr>
            <w:tcW w:w="3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131E29"/>
              </w:rPr>
              <w:t>7,860</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131E29"/>
              </w:rPr>
              <w:t>6,471</w:t>
            </w:r>
          </w:p>
        </w:tc>
        <w:tc>
          <w:tcPr>
            <w:tcW w:w="0" w:type="dxa"/>
            <w:vAlign w:val="bottom"/>
          </w:tcPr>
          <w:p>
            <w:pPr>
              <w:spacing w:after="0"/>
              <w:rPr>
                <w:sz w:val="1"/>
                <w:szCs w:val="1"/>
                <w:color w:val="auto"/>
              </w:rPr>
            </w:pPr>
          </w:p>
        </w:tc>
      </w:tr>
      <w:tr>
        <w:trPr>
          <w:trHeight w:val="22"/>
        </w:trPr>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58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Deferred revenue</w:t>
            </w:r>
          </w:p>
        </w:tc>
        <w:tc>
          <w:tcPr>
            <w:tcW w:w="300" w:type="dxa"/>
            <w:vAlign w:val="bottom"/>
            <w:tcBorders>
              <w:bottom w:val="single" w:sz="8" w:color="D2DCE5"/>
            </w:tcBorders>
            <w:shd w:val="clear" w:color="auto" w:fill="D2DCE5"/>
          </w:tcPr>
          <w:p>
            <w:pPr>
              <w:spacing w:after="0"/>
              <w:rPr>
                <w:sz w:val="16"/>
                <w:szCs w:val="16"/>
                <w:color w:val="auto"/>
              </w:rPr>
            </w:pPr>
          </w:p>
        </w:tc>
        <w:tc>
          <w:tcPr>
            <w:tcW w:w="19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25,335</w:t>
            </w:r>
          </w:p>
        </w:tc>
        <w:tc>
          <w:tcPr>
            <w:tcW w:w="80" w:type="dxa"/>
            <w:vAlign w:val="bottom"/>
            <w:tcBorders>
              <w:bottom w:val="single" w:sz="8" w:color="D2DCE5"/>
            </w:tcBorders>
            <w:shd w:val="clear" w:color="auto" w:fill="D2DCE5"/>
          </w:tcPr>
          <w:p>
            <w:pPr>
              <w:spacing w:after="0"/>
              <w:rPr>
                <w:sz w:val="16"/>
                <w:szCs w:val="16"/>
                <w:color w:val="auto"/>
              </w:rPr>
            </w:pPr>
          </w:p>
        </w:tc>
        <w:tc>
          <w:tcPr>
            <w:tcW w:w="400" w:type="dxa"/>
            <w:vAlign w:val="bottom"/>
            <w:tcBorders>
              <w:bottom w:val="single" w:sz="8" w:color="D2DCE5"/>
            </w:tcBorders>
            <w:shd w:val="clear" w:color="auto" w:fill="D2DCE5"/>
          </w:tcPr>
          <w:p>
            <w:pPr>
              <w:spacing w:after="0"/>
              <w:rPr>
                <w:sz w:val="16"/>
                <w:szCs w:val="16"/>
                <w:color w:val="auto"/>
              </w:rPr>
            </w:pPr>
          </w:p>
        </w:tc>
        <w:tc>
          <w:tcPr>
            <w:tcW w:w="1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22,807</w:t>
            </w:r>
          </w:p>
        </w:tc>
        <w:tc>
          <w:tcPr>
            <w:tcW w:w="0" w:type="dxa"/>
            <w:vAlign w:val="bottom"/>
          </w:tcPr>
          <w:p>
            <w:pPr>
              <w:spacing w:after="0"/>
              <w:rPr>
                <w:sz w:val="1"/>
                <w:szCs w:val="1"/>
                <w:color w:val="auto"/>
              </w:rPr>
            </w:pPr>
          </w:p>
        </w:tc>
      </w:tr>
      <w:tr>
        <w:trPr>
          <w:trHeight w:val="191"/>
        </w:trPr>
        <w:tc>
          <w:tcPr>
            <w:tcW w:w="6580" w:type="dxa"/>
            <w:vAlign w:val="bottom"/>
            <w:gridSpan w:val="2"/>
          </w:tcPr>
          <w:p>
            <w:pPr>
              <w:ind w:left="140"/>
              <w:spacing w:after="0"/>
              <w:rPr>
                <w:sz w:val="20"/>
                <w:szCs w:val="20"/>
                <w:color w:val="auto"/>
              </w:rPr>
            </w:pPr>
            <w:r>
              <w:rPr>
                <w:rFonts w:ascii="Arial" w:cs="Arial" w:eastAsia="Arial" w:hAnsi="Arial"/>
                <w:sz w:val="14"/>
                <w:szCs w:val="14"/>
                <w:color w:val="131E29"/>
              </w:rPr>
              <w:t>Line of credit</w:t>
            </w:r>
          </w:p>
        </w:tc>
        <w:tc>
          <w:tcPr>
            <w:tcW w:w="3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131E29"/>
              </w:rPr>
              <w:t>110,865</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131E29"/>
              </w:rPr>
              <w:t>64,104</w:t>
            </w:r>
          </w:p>
        </w:tc>
        <w:tc>
          <w:tcPr>
            <w:tcW w:w="0" w:type="dxa"/>
            <w:vAlign w:val="bottom"/>
          </w:tcPr>
          <w:p>
            <w:pPr>
              <w:spacing w:after="0"/>
              <w:rPr>
                <w:sz w:val="1"/>
                <w:szCs w:val="1"/>
                <w:color w:val="auto"/>
              </w:rPr>
            </w:pPr>
          </w:p>
        </w:tc>
      </w:tr>
      <w:tr>
        <w:trPr>
          <w:trHeight w:val="22"/>
        </w:trPr>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58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Current portion of tax receivable agreements liability</w:t>
            </w:r>
          </w:p>
        </w:tc>
        <w:tc>
          <w:tcPr>
            <w:tcW w:w="300" w:type="dxa"/>
            <w:vAlign w:val="bottom"/>
            <w:tcBorders>
              <w:bottom w:val="single" w:sz="8" w:color="D2DCE5"/>
            </w:tcBorders>
            <w:shd w:val="clear" w:color="auto" w:fill="D2DCE5"/>
          </w:tcPr>
          <w:p>
            <w:pPr>
              <w:spacing w:after="0"/>
              <w:rPr>
                <w:sz w:val="16"/>
                <w:szCs w:val="16"/>
                <w:color w:val="auto"/>
              </w:rPr>
            </w:pPr>
          </w:p>
        </w:tc>
        <w:tc>
          <w:tcPr>
            <w:tcW w:w="206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400" w:type="dxa"/>
            <w:vAlign w:val="bottom"/>
            <w:tcBorders>
              <w:bottom w:val="single" w:sz="8" w:color="D2DCE5"/>
            </w:tcBorders>
            <w:shd w:val="clear" w:color="auto" w:fill="D2DCE5"/>
          </w:tcPr>
          <w:p>
            <w:pPr>
              <w:spacing w:after="0"/>
              <w:rPr>
                <w:sz w:val="16"/>
                <w:szCs w:val="16"/>
                <w:color w:val="auto"/>
              </w:rPr>
            </w:pPr>
          </w:p>
        </w:tc>
        <w:tc>
          <w:tcPr>
            <w:tcW w:w="1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450</w:t>
            </w:r>
          </w:p>
        </w:tc>
        <w:tc>
          <w:tcPr>
            <w:tcW w:w="0" w:type="dxa"/>
            <w:vAlign w:val="bottom"/>
          </w:tcPr>
          <w:p>
            <w:pPr>
              <w:spacing w:after="0"/>
              <w:rPr>
                <w:sz w:val="1"/>
                <w:szCs w:val="1"/>
                <w:color w:val="auto"/>
              </w:rPr>
            </w:pPr>
          </w:p>
        </w:tc>
      </w:tr>
      <w:tr>
        <w:trPr>
          <w:trHeight w:val="191"/>
        </w:trPr>
        <w:tc>
          <w:tcPr>
            <w:tcW w:w="6580" w:type="dxa"/>
            <w:vAlign w:val="bottom"/>
            <w:gridSpan w:val="2"/>
          </w:tcPr>
          <w:p>
            <w:pPr>
              <w:ind w:left="140"/>
              <w:spacing w:after="0"/>
              <w:rPr>
                <w:sz w:val="20"/>
                <w:szCs w:val="20"/>
                <w:color w:val="auto"/>
              </w:rPr>
            </w:pPr>
            <w:r>
              <w:rPr>
                <w:rFonts w:ascii="Arial" w:cs="Arial" w:eastAsia="Arial" w:hAnsi="Arial"/>
                <w:sz w:val="14"/>
                <w:szCs w:val="14"/>
                <w:color w:val="131E29"/>
              </w:rPr>
              <w:t>Current portion of finance lease liabilities</w:t>
            </w:r>
          </w:p>
        </w:tc>
        <w:tc>
          <w:tcPr>
            <w:tcW w:w="3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131E29"/>
              </w:rPr>
              <w:t>7,971</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131E29"/>
              </w:rPr>
              <w:t>3,389</w:t>
            </w:r>
          </w:p>
        </w:tc>
        <w:tc>
          <w:tcPr>
            <w:tcW w:w="0" w:type="dxa"/>
            <w:vAlign w:val="bottom"/>
          </w:tcPr>
          <w:p>
            <w:pPr>
              <w:spacing w:after="0"/>
              <w:rPr>
                <w:sz w:val="1"/>
                <w:szCs w:val="1"/>
                <w:color w:val="auto"/>
              </w:rPr>
            </w:pPr>
          </w:p>
        </w:tc>
      </w:tr>
      <w:tr>
        <w:trPr>
          <w:trHeight w:val="22"/>
        </w:trPr>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58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Current portion of operating lease liabilities</w:t>
            </w:r>
          </w:p>
        </w:tc>
        <w:tc>
          <w:tcPr>
            <w:tcW w:w="300" w:type="dxa"/>
            <w:vAlign w:val="bottom"/>
            <w:tcBorders>
              <w:bottom w:val="single" w:sz="8" w:color="D2DCE5"/>
            </w:tcBorders>
            <w:shd w:val="clear" w:color="auto" w:fill="D2DCE5"/>
          </w:tcPr>
          <w:p>
            <w:pPr>
              <w:spacing w:after="0"/>
              <w:rPr>
                <w:sz w:val="16"/>
                <w:szCs w:val="16"/>
                <w:color w:val="auto"/>
              </w:rPr>
            </w:pPr>
          </w:p>
        </w:tc>
        <w:tc>
          <w:tcPr>
            <w:tcW w:w="19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9,317</w:t>
            </w:r>
          </w:p>
        </w:tc>
        <w:tc>
          <w:tcPr>
            <w:tcW w:w="80" w:type="dxa"/>
            <w:vAlign w:val="bottom"/>
            <w:tcBorders>
              <w:bottom w:val="single" w:sz="8" w:color="D2DCE5"/>
            </w:tcBorders>
            <w:shd w:val="clear" w:color="auto" w:fill="D2DCE5"/>
          </w:tcPr>
          <w:p>
            <w:pPr>
              <w:spacing w:after="0"/>
              <w:rPr>
                <w:sz w:val="16"/>
                <w:szCs w:val="16"/>
                <w:color w:val="auto"/>
              </w:rPr>
            </w:pPr>
          </w:p>
        </w:tc>
        <w:tc>
          <w:tcPr>
            <w:tcW w:w="400" w:type="dxa"/>
            <w:vAlign w:val="bottom"/>
            <w:tcBorders>
              <w:bottom w:val="single" w:sz="8" w:color="D2DCE5"/>
            </w:tcBorders>
            <w:shd w:val="clear" w:color="auto" w:fill="D2DCE5"/>
          </w:tcPr>
          <w:p>
            <w:pPr>
              <w:spacing w:after="0"/>
              <w:rPr>
                <w:sz w:val="16"/>
                <w:szCs w:val="16"/>
                <w:color w:val="auto"/>
              </w:rPr>
            </w:pPr>
          </w:p>
        </w:tc>
        <w:tc>
          <w:tcPr>
            <w:tcW w:w="1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191"/>
        </w:trPr>
        <w:tc>
          <w:tcPr>
            <w:tcW w:w="6580" w:type="dxa"/>
            <w:vAlign w:val="bottom"/>
            <w:gridSpan w:val="2"/>
          </w:tcPr>
          <w:p>
            <w:pPr>
              <w:ind w:left="140"/>
              <w:spacing w:after="0"/>
              <w:rPr>
                <w:sz w:val="20"/>
                <w:szCs w:val="20"/>
                <w:color w:val="auto"/>
              </w:rPr>
            </w:pPr>
            <w:r>
              <w:rPr>
                <w:rFonts w:ascii="Arial" w:cs="Arial" w:eastAsia="Arial" w:hAnsi="Arial"/>
                <w:sz w:val="14"/>
                <w:szCs w:val="14"/>
                <w:color w:val="131E29"/>
              </w:rPr>
              <w:t>Current portion of long-term debt</w:t>
            </w:r>
          </w:p>
        </w:tc>
        <w:tc>
          <w:tcPr>
            <w:tcW w:w="3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131E29"/>
              </w:rPr>
              <w:t>2,609</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131E29"/>
              </w:rPr>
              <w:t>103</w:t>
            </w:r>
          </w:p>
        </w:tc>
        <w:tc>
          <w:tcPr>
            <w:tcW w:w="0" w:type="dxa"/>
            <w:vAlign w:val="bottom"/>
          </w:tcPr>
          <w:p>
            <w:pPr>
              <w:spacing w:after="0"/>
              <w:rPr>
                <w:sz w:val="1"/>
                <w:szCs w:val="1"/>
                <w:color w:val="auto"/>
              </w:rPr>
            </w:pPr>
          </w:p>
        </w:tc>
      </w:tr>
      <w:tr>
        <w:trPr>
          <w:trHeight w:val="22"/>
        </w:trPr>
        <w:tc>
          <w:tcPr>
            <w:tcW w:w="6480" w:type="dxa"/>
            <w:vAlign w:val="bottom"/>
            <w:tcBorders>
              <w:bottom w:val="single" w:sz="8" w:color="D2DCE5"/>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580" w:type="dxa"/>
            <w:vAlign w:val="bottom"/>
            <w:tcBorders>
              <w:bottom w:val="single" w:sz="8" w:color="D2DCE5"/>
            </w:tcBorders>
            <w:gridSpan w:val="2"/>
            <w:shd w:val="clear" w:color="auto" w:fill="D2DCE5"/>
          </w:tcPr>
          <w:p>
            <w:pPr>
              <w:ind w:left="280"/>
              <w:spacing w:after="0"/>
              <w:rPr>
                <w:sz w:val="20"/>
                <w:szCs w:val="20"/>
                <w:color w:val="auto"/>
              </w:rPr>
            </w:pPr>
            <w:r>
              <w:rPr>
                <w:rFonts w:ascii="Arial" w:cs="Arial" w:eastAsia="Arial" w:hAnsi="Arial"/>
                <w:sz w:val="14"/>
                <w:szCs w:val="14"/>
                <w:color w:val="131E29"/>
              </w:rPr>
              <w:t>Total current liabilities</w:t>
            </w:r>
          </w:p>
        </w:tc>
        <w:tc>
          <w:tcPr>
            <w:tcW w:w="300" w:type="dxa"/>
            <w:vAlign w:val="bottom"/>
            <w:tcBorders>
              <w:bottom w:val="single" w:sz="8" w:color="D2DCE5"/>
            </w:tcBorders>
            <w:shd w:val="clear" w:color="auto" w:fill="D2DCE5"/>
          </w:tcPr>
          <w:p>
            <w:pPr>
              <w:spacing w:after="0"/>
              <w:rPr>
                <w:sz w:val="15"/>
                <w:szCs w:val="15"/>
                <w:color w:val="auto"/>
              </w:rPr>
            </w:pPr>
          </w:p>
        </w:tc>
        <w:tc>
          <w:tcPr>
            <w:tcW w:w="19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212,679</w:t>
            </w:r>
          </w:p>
        </w:tc>
        <w:tc>
          <w:tcPr>
            <w:tcW w:w="80" w:type="dxa"/>
            <w:vAlign w:val="bottom"/>
            <w:tcBorders>
              <w:bottom w:val="single" w:sz="8" w:color="D2DCE5"/>
            </w:tcBorders>
            <w:shd w:val="clear" w:color="auto" w:fill="D2DCE5"/>
          </w:tcPr>
          <w:p>
            <w:pPr>
              <w:spacing w:after="0"/>
              <w:rPr>
                <w:sz w:val="15"/>
                <w:szCs w:val="15"/>
                <w:color w:val="auto"/>
              </w:rPr>
            </w:pPr>
          </w:p>
        </w:tc>
        <w:tc>
          <w:tcPr>
            <w:tcW w:w="400" w:type="dxa"/>
            <w:vAlign w:val="bottom"/>
            <w:tcBorders>
              <w:bottom w:val="single" w:sz="8" w:color="D2DCE5"/>
            </w:tcBorders>
            <w:shd w:val="clear" w:color="auto" w:fill="D2DCE5"/>
          </w:tcPr>
          <w:p>
            <w:pPr>
              <w:spacing w:after="0"/>
              <w:rPr>
                <w:sz w:val="15"/>
                <w:szCs w:val="15"/>
                <w:color w:val="auto"/>
              </w:rPr>
            </w:pPr>
          </w:p>
        </w:tc>
        <w:tc>
          <w:tcPr>
            <w:tcW w:w="1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138,734</w:t>
            </w:r>
          </w:p>
        </w:tc>
        <w:tc>
          <w:tcPr>
            <w:tcW w:w="0" w:type="dxa"/>
            <w:vAlign w:val="bottom"/>
          </w:tcPr>
          <w:p>
            <w:pPr>
              <w:spacing w:after="0"/>
              <w:rPr>
                <w:sz w:val="1"/>
                <w:szCs w:val="1"/>
                <w:color w:val="auto"/>
              </w:rPr>
            </w:pPr>
          </w:p>
        </w:tc>
      </w:tr>
      <w:tr>
        <w:trPr>
          <w:trHeight w:val="191"/>
        </w:trPr>
        <w:tc>
          <w:tcPr>
            <w:tcW w:w="6580" w:type="dxa"/>
            <w:vAlign w:val="bottom"/>
            <w:gridSpan w:val="2"/>
          </w:tcPr>
          <w:p>
            <w:pPr>
              <w:ind w:left="20"/>
              <w:spacing w:after="0"/>
              <w:rPr>
                <w:sz w:val="20"/>
                <w:szCs w:val="20"/>
                <w:color w:val="auto"/>
              </w:rPr>
            </w:pPr>
            <w:r>
              <w:rPr>
                <w:rFonts w:ascii="Arial" w:cs="Arial" w:eastAsia="Arial" w:hAnsi="Arial"/>
                <w:sz w:val="14"/>
                <w:szCs w:val="14"/>
                <w:color w:val="131E29"/>
              </w:rPr>
              <w:t>Deferred revenue, net of current portion</w:t>
            </w:r>
          </w:p>
        </w:tc>
        <w:tc>
          <w:tcPr>
            <w:tcW w:w="3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131E29"/>
              </w:rPr>
              <w:t>6,119</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131E29"/>
              </w:rPr>
              <w:t>5,030</w:t>
            </w:r>
          </w:p>
        </w:tc>
        <w:tc>
          <w:tcPr>
            <w:tcW w:w="0" w:type="dxa"/>
            <w:vAlign w:val="bottom"/>
          </w:tcPr>
          <w:p>
            <w:pPr>
              <w:spacing w:after="0"/>
              <w:rPr>
                <w:sz w:val="1"/>
                <w:szCs w:val="1"/>
                <w:color w:val="auto"/>
              </w:rPr>
            </w:pPr>
          </w:p>
        </w:tc>
      </w:tr>
      <w:tr>
        <w:trPr>
          <w:trHeight w:val="22"/>
        </w:trPr>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5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Tax receivable agreements liability, net of current portion</w:t>
            </w:r>
          </w:p>
        </w:tc>
        <w:tc>
          <w:tcPr>
            <w:tcW w:w="300" w:type="dxa"/>
            <w:vAlign w:val="bottom"/>
            <w:tcBorders>
              <w:bottom w:val="single" w:sz="8" w:color="D2DCE5"/>
            </w:tcBorders>
            <w:shd w:val="clear" w:color="auto" w:fill="D2DCE5"/>
          </w:tcPr>
          <w:p>
            <w:pPr>
              <w:spacing w:after="0"/>
              <w:rPr>
                <w:sz w:val="16"/>
                <w:szCs w:val="16"/>
                <w:color w:val="auto"/>
              </w:rPr>
            </w:pPr>
          </w:p>
        </w:tc>
        <w:tc>
          <w:tcPr>
            <w:tcW w:w="19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220,923</w:t>
            </w:r>
          </w:p>
        </w:tc>
        <w:tc>
          <w:tcPr>
            <w:tcW w:w="80" w:type="dxa"/>
            <w:vAlign w:val="bottom"/>
            <w:tcBorders>
              <w:bottom w:val="single" w:sz="8" w:color="D2DCE5"/>
            </w:tcBorders>
            <w:shd w:val="clear" w:color="auto" w:fill="D2DCE5"/>
          </w:tcPr>
          <w:p>
            <w:pPr>
              <w:spacing w:after="0"/>
              <w:rPr>
                <w:sz w:val="16"/>
                <w:szCs w:val="16"/>
                <w:color w:val="auto"/>
              </w:rPr>
            </w:pPr>
          </w:p>
        </w:tc>
        <w:tc>
          <w:tcPr>
            <w:tcW w:w="400" w:type="dxa"/>
            <w:vAlign w:val="bottom"/>
            <w:tcBorders>
              <w:bottom w:val="single" w:sz="8" w:color="D2DCE5"/>
            </w:tcBorders>
            <w:shd w:val="clear" w:color="auto" w:fill="D2DCE5"/>
          </w:tcPr>
          <w:p>
            <w:pPr>
              <w:spacing w:after="0"/>
              <w:rPr>
                <w:sz w:val="16"/>
                <w:szCs w:val="16"/>
                <w:color w:val="auto"/>
              </w:rPr>
            </w:pPr>
          </w:p>
        </w:tc>
        <w:tc>
          <w:tcPr>
            <w:tcW w:w="1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109,283</w:t>
            </w:r>
          </w:p>
        </w:tc>
        <w:tc>
          <w:tcPr>
            <w:tcW w:w="0" w:type="dxa"/>
            <w:vAlign w:val="bottom"/>
          </w:tcPr>
          <w:p>
            <w:pPr>
              <w:spacing w:after="0"/>
              <w:rPr>
                <w:sz w:val="1"/>
                <w:szCs w:val="1"/>
                <w:color w:val="auto"/>
              </w:rPr>
            </w:pPr>
          </w:p>
        </w:tc>
      </w:tr>
      <w:tr>
        <w:trPr>
          <w:trHeight w:val="191"/>
        </w:trPr>
        <w:tc>
          <w:tcPr>
            <w:tcW w:w="6580" w:type="dxa"/>
            <w:vAlign w:val="bottom"/>
            <w:gridSpan w:val="2"/>
          </w:tcPr>
          <w:p>
            <w:pPr>
              <w:ind w:left="20"/>
              <w:spacing w:after="0"/>
              <w:rPr>
                <w:sz w:val="20"/>
                <w:szCs w:val="20"/>
                <w:color w:val="auto"/>
              </w:rPr>
            </w:pPr>
            <w:r>
              <w:rPr>
                <w:rFonts w:ascii="Arial" w:cs="Arial" w:eastAsia="Arial" w:hAnsi="Arial"/>
                <w:sz w:val="14"/>
                <w:szCs w:val="14"/>
                <w:color w:val="131E29"/>
              </w:rPr>
              <w:t>Finance lease liabilities, net of current portion</w:t>
            </w:r>
          </w:p>
        </w:tc>
        <w:tc>
          <w:tcPr>
            <w:tcW w:w="3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131E29"/>
              </w:rPr>
              <w:t>237,130</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131E29"/>
              </w:rPr>
              <w:t>79,588</w:t>
            </w:r>
          </w:p>
        </w:tc>
        <w:tc>
          <w:tcPr>
            <w:tcW w:w="0" w:type="dxa"/>
            <w:vAlign w:val="bottom"/>
          </w:tcPr>
          <w:p>
            <w:pPr>
              <w:spacing w:after="0"/>
              <w:rPr>
                <w:sz w:val="1"/>
                <w:szCs w:val="1"/>
                <w:color w:val="auto"/>
              </w:rPr>
            </w:pPr>
          </w:p>
        </w:tc>
      </w:tr>
      <w:tr>
        <w:trPr>
          <w:trHeight w:val="22"/>
        </w:trPr>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5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Operating lease liabilities, net of current portion</w:t>
            </w:r>
          </w:p>
        </w:tc>
        <w:tc>
          <w:tcPr>
            <w:tcW w:w="300" w:type="dxa"/>
            <w:vAlign w:val="bottom"/>
            <w:tcBorders>
              <w:bottom w:val="single" w:sz="8" w:color="D2DCE5"/>
            </w:tcBorders>
            <w:shd w:val="clear" w:color="auto" w:fill="D2DCE5"/>
          </w:tcPr>
          <w:p>
            <w:pPr>
              <w:spacing w:after="0"/>
              <w:rPr>
                <w:sz w:val="16"/>
                <w:szCs w:val="16"/>
                <w:color w:val="auto"/>
              </w:rPr>
            </w:pPr>
          </w:p>
        </w:tc>
        <w:tc>
          <w:tcPr>
            <w:tcW w:w="19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161,228</w:t>
            </w:r>
          </w:p>
        </w:tc>
        <w:tc>
          <w:tcPr>
            <w:tcW w:w="80" w:type="dxa"/>
            <w:vAlign w:val="bottom"/>
            <w:tcBorders>
              <w:bottom w:val="single" w:sz="8" w:color="D2DCE5"/>
            </w:tcBorders>
            <w:shd w:val="clear" w:color="auto" w:fill="D2DCE5"/>
          </w:tcPr>
          <w:p>
            <w:pPr>
              <w:spacing w:after="0"/>
              <w:rPr>
                <w:sz w:val="16"/>
                <w:szCs w:val="16"/>
                <w:color w:val="auto"/>
              </w:rPr>
            </w:pPr>
          </w:p>
        </w:tc>
        <w:tc>
          <w:tcPr>
            <w:tcW w:w="400" w:type="dxa"/>
            <w:vAlign w:val="bottom"/>
            <w:tcBorders>
              <w:bottom w:val="single" w:sz="8" w:color="D2DCE5"/>
            </w:tcBorders>
            <w:shd w:val="clear" w:color="auto" w:fill="D2DCE5"/>
          </w:tcPr>
          <w:p>
            <w:pPr>
              <w:spacing w:after="0"/>
              <w:rPr>
                <w:sz w:val="16"/>
                <w:szCs w:val="16"/>
                <w:color w:val="auto"/>
              </w:rPr>
            </w:pPr>
          </w:p>
        </w:tc>
        <w:tc>
          <w:tcPr>
            <w:tcW w:w="1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191"/>
        </w:trPr>
        <w:tc>
          <w:tcPr>
            <w:tcW w:w="6580" w:type="dxa"/>
            <w:vAlign w:val="bottom"/>
            <w:gridSpan w:val="2"/>
          </w:tcPr>
          <w:p>
            <w:pPr>
              <w:ind w:left="20"/>
              <w:spacing w:after="0"/>
              <w:rPr>
                <w:sz w:val="20"/>
                <w:szCs w:val="20"/>
                <w:color w:val="auto"/>
              </w:rPr>
            </w:pPr>
            <w:r>
              <w:rPr>
                <w:rFonts w:ascii="Arial" w:cs="Arial" w:eastAsia="Arial" w:hAnsi="Arial"/>
                <w:sz w:val="14"/>
                <w:szCs w:val="14"/>
                <w:color w:val="131E29"/>
              </w:rPr>
              <w:t>Long-term debt, net of current portion</w:t>
            </w:r>
          </w:p>
        </w:tc>
        <w:tc>
          <w:tcPr>
            <w:tcW w:w="3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131E29"/>
              </w:rPr>
              <w:t>96,297</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131E29"/>
              </w:rPr>
              <w:t>3,503</w:t>
            </w:r>
          </w:p>
        </w:tc>
        <w:tc>
          <w:tcPr>
            <w:tcW w:w="0" w:type="dxa"/>
            <w:vAlign w:val="bottom"/>
          </w:tcPr>
          <w:p>
            <w:pPr>
              <w:spacing w:after="0"/>
              <w:rPr>
                <w:sz w:val="1"/>
                <w:szCs w:val="1"/>
                <w:color w:val="auto"/>
              </w:rPr>
            </w:pPr>
          </w:p>
        </w:tc>
      </w:tr>
      <w:tr>
        <w:trPr>
          <w:trHeight w:val="22"/>
        </w:trPr>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5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Deferred rent</w:t>
            </w:r>
          </w:p>
        </w:tc>
        <w:tc>
          <w:tcPr>
            <w:tcW w:w="300" w:type="dxa"/>
            <w:vAlign w:val="bottom"/>
            <w:tcBorders>
              <w:bottom w:val="single" w:sz="8" w:color="D2DCE5"/>
            </w:tcBorders>
            <w:shd w:val="clear" w:color="auto" w:fill="D2DCE5"/>
          </w:tcPr>
          <w:p>
            <w:pPr>
              <w:spacing w:after="0"/>
              <w:rPr>
                <w:sz w:val="16"/>
                <w:szCs w:val="16"/>
                <w:color w:val="auto"/>
              </w:rPr>
            </w:pPr>
          </w:p>
        </w:tc>
        <w:tc>
          <w:tcPr>
            <w:tcW w:w="206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400" w:type="dxa"/>
            <w:vAlign w:val="bottom"/>
            <w:tcBorders>
              <w:bottom w:val="single" w:sz="8" w:color="D2DCE5"/>
            </w:tcBorders>
            <w:shd w:val="clear" w:color="auto" w:fill="D2DCE5"/>
          </w:tcPr>
          <w:p>
            <w:pPr>
              <w:spacing w:after="0"/>
              <w:rPr>
                <w:sz w:val="16"/>
                <w:szCs w:val="16"/>
                <w:color w:val="auto"/>
              </w:rPr>
            </w:pPr>
          </w:p>
        </w:tc>
        <w:tc>
          <w:tcPr>
            <w:tcW w:w="1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3,153</w:t>
            </w:r>
          </w:p>
        </w:tc>
        <w:tc>
          <w:tcPr>
            <w:tcW w:w="0" w:type="dxa"/>
            <w:vAlign w:val="bottom"/>
          </w:tcPr>
          <w:p>
            <w:pPr>
              <w:spacing w:after="0"/>
              <w:rPr>
                <w:sz w:val="1"/>
                <w:szCs w:val="1"/>
                <w:color w:val="auto"/>
              </w:rPr>
            </w:pPr>
          </w:p>
        </w:tc>
      </w:tr>
      <w:tr>
        <w:trPr>
          <w:trHeight w:val="191"/>
        </w:trPr>
        <w:tc>
          <w:tcPr>
            <w:tcW w:w="6580" w:type="dxa"/>
            <w:vAlign w:val="bottom"/>
            <w:gridSpan w:val="2"/>
          </w:tcPr>
          <w:p>
            <w:pPr>
              <w:ind w:left="20"/>
              <w:spacing w:after="0"/>
              <w:rPr>
                <w:sz w:val="20"/>
                <w:szCs w:val="20"/>
                <w:color w:val="auto"/>
              </w:rPr>
            </w:pPr>
            <w:r>
              <w:rPr>
                <w:rFonts w:ascii="Arial" w:cs="Arial" w:eastAsia="Arial" w:hAnsi="Arial"/>
                <w:sz w:val="14"/>
                <w:szCs w:val="14"/>
                <w:color w:val="131E29"/>
              </w:rPr>
              <w:t>Other long-term liabilities</w:t>
            </w:r>
          </w:p>
        </w:tc>
        <w:tc>
          <w:tcPr>
            <w:tcW w:w="3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131E29"/>
              </w:rPr>
              <w:t>8</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131E29"/>
              </w:rPr>
              <w:t>680</w:t>
            </w:r>
          </w:p>
        </w:tc>
        <w:tc>
          <w:tcPr>
            <w:tcW w:w="0" w:type="dxa"/>
            <w:vAlign w:val="bottom"/>
          </w:tcPr>
          <w:p>
            <w:pPr>
              <w:spacing w:after="0"/>
              <w:rPr>
                <w:sz w:val="1"/>
                <w:szCs w:val="1"/>
                <w:color w:val="auto"/>
              </w:rPr>
            </w:pPr>
          </w:p>
        </w:tc>
      </w:tr>
      <w:tr>
        <w:trPr>
          <w:trHeight w:val="22"/>
        </w:trPr>
        <w:tc>
          <w:tcPr>
            <w:tcW w:w="6480" w:type="dxa"/>
            <w:vAlign w:val="bottom"/>
            <w:tcBorders>
              <w:bottom w:val="single" w:sz="8" w:color="D2DCE5"/>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580" w:type="dxa"/>
            <w:vAlign w:val="bottom"/>
            <w:tcBorders>
              <w:bottom w:val="single" w:sz="8" w:color="D2DCE5"/>
            </w:tcBorders>
            <w:gridSpan w:val="2"/>
            <w:shd w:val="clear" w:color="auto" w:fill="D2DCE5"/>
          </w:tcPr>
          <w:p>
            <w:pPr>
              <w:ind w:left="280"/>
              <w:spacing w:after="0"/>
              <w:rPr>
                <w:sz w:val="20"/>
                <w:szCs w:val="20"/>
                <w:color w:val="auto"/>
              </w:rPr>
            </w:pPr>
            <w:r>
              <w:rPr>
                <w:rFonts w:ascii="Arial" w:cs="Arial" w:eastAsia="Arial" w:hAnsi="Arial"/>
                <w:sz w:val="14"/>
                <w:szCs w:val="14"/>
                <w:color w:val="131E29"/>
              </w:rPr>
              <w:t>Total liabilities</w:t>
            </w:r>
          </w:p>
        </w:tc>
        <w:tc>
          <w:tcPr>
            <w:tcW w:w="300" w:type="dxa"/>
            <w:vAlign w:val="bottom"/>
            <w:tcBorders>
              <w:bottom w:val="single" w:sz="8" w:color="D2DCE5"/>
            </w:tcBorders>
            <w:shd w:val="clear" w:color="auto" w:fill="D2DCE5"/>
          </w:tcPr>
          <w:p>
            <w:pPr>
              <w:spacing w:after="0"/>
              <w:rPr>
                <w:sz w:val="15"/>
                <w:szCs w:val="15"/>
                <w:color w:val="auto"/>
              </w:rPr>
            </w:pPr>
          </w:p>
        </w:tc>
        <w:tc>
          <w:tcPr>
            <w:tcW w:w="19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934,384</w:t>
            </w:r>
          </w:p>
        </w:tc>
        <w:tc>
          <w:tcPr>
            <w:tcW w:w="80" w:type="dxa"/>
            <w:vAlign w:val="bottom"/>
            <w:tcBorders>
              <w:bottom w:val="single" w:sz="8" w:color="D2DCE5"/>
            </w:tcBorders>
            <w:shd w:val="clear" w:color="auto" w:fill="D2DCE5"/>
          </w:tcPr>
          <w:p>
            <w:pPr>
              <w:spacing w:after="0"/>
              <w:rPr>
                <w:sz w:val="15"/>
                <w:szCs w:val="15"/>
                <w:color w:val="auto"/>
              </w:rPr>
            </w:pPr>
          </w:p>
        </w:tc>
        <w:tc>
          <w:tcPr>
            <w:tcW w:w="400" w:type="dxa"/>
            <w:vAlign w:val="bottom"/>
            <w:tcBorders>
              <w:bottom w:val="single" w:sz="8" w:color="D2DCE5"/>
            </w:tcBorders>
            <w:shd w:val="clear" w:color="auto" w:fill="D2DCE5"/>
          </w:tcPr>
          <w:p>
            <w:pPr>
              <w:spacing w:after="0"/>
              <w:rPr>
                <w:sz w:val="15"/>
                <w:szCs w:val="15"/>
                <w:color w:val="auto"/>
              </w:rPr>
            </w:pPr>
          </w:p>
        </w:tc>
        <w:tc>
          <w:tcPr>
            <w:tcW w:w="1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339,971</w:t>
            </w:r>
          </w:p>
        </w:tc>
        <w:tc>
          <w:tcPr>
            <w:tcW w:w="0" w:type="dxa"/>
            <w:vAlign w:val="bottom"/>
          </w:tcPr>
          <w:p>
            <w:pPr>
              <w:spacing w:after="0"/>
              <w:rPr>
                <w:sz w:val="1"/>
                <w:szCs w:val="1"/>
                <w:color w:val="auto"/>
              </w:rPr>
            </w:pPr>
          </w:p>
        </w:tc>
      </w:tr>
      <w:tr>
        <w:trPr>
          <w:trHeight w:val="191"/>
        </w:trPr>
        <w:tc>
          <w:tcPr>
            <w:tcW w:w="6580" w:type="dxa"/>
            <w:vAlign w:val="bottom"/>
            <w:gridSpan w:val="2"/>
          </w:tcPr>
          <w:p>
            <w:pPr>
              <w:ind w:left="20"/>
              <w:spacing w:after="0"/>
              <w:rPr>
                <w:sz w:val="20"/>
                <w:szCs w:val="20"/>
                <w:color w:val="auto"/>
              </w:rPr>
            </w:pPr>
            <w:r>
              <w:rPr>
                <w:rFonts w:ascii="Arial" w:cs="Arial" w:eastAsia="Arial" w:hAnsi="Arial"/>
                <w:sz w:val="14"/>
                <w:szCs w:val="14"/>
                <w:color w:val="131E29"/>
              </w:rPr>
              <w:t>Commitments and contingencies (Note 18)</w:t>
            </w:r>
          </w:p>
        </w:tc>
        <w:tc>
          <w:tcPr>
            <w:tcW w:w="3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34" w:right="319" w:bottom="1440" w:gutter="0" w:footer="0" w:header="0"/>
        </w:sectPr>
      </w:pPr>
    </w:p>
    <w:bookmarkStart w:id="92" w:name="page93"/>
    <w:bookmarkEnd w:id="92"/>
    <w:p>
      <w:pPr>
        <w:ind w:left="260"/>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Consolidated Balance Sheets (continued)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80" w:type="dxa"/>
            <w:vAlign w:val="bottom"/>
          </w:tcPr>
          <w:p>
            <w:pPr>
              <w:jc w:val="right"/>
              <w:ind w:right="669"/>
              <w:spacing w:after="0"/>
              <w:rPr>
                <w:sz w:val="20"/>
                <w:szCs w:val="20"/>
                <w:color w:val="auto"/>
              </w:rPr>
            </w:pPr>
            <w:r>
              <w:rPr>
                <w:rFonts w:ascii="Arial" w:cs="Arial" w:eastAsia="Arial" w:hAnsi="Arial"/>
                <w:sz w:val="14"/>
                <w:szCs w:val="14"/>
                <w:b w:val="1"/>
                <w:bCs w:val="1"/>
                <w:color w:val="131E29"/>
              </w:rPr>
              <w:t>December 31,</w:t>
            </w:r>
          </w:p>
        </w:tc>
      </w:tr>
      <w:tr>
        <w:trPr>
          <w:trHeight w:val="200"/>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except per share amounts)</w:t>
            </w:r>
          </w:p>
        </w:tc>
        <w:tc>
          <w:tcPr>
            <w:tcW w:w="80" w:type="dxa"/>
            <w:vAlign w:val="bottom"/>
            <w:tcBorders>
              <w:bottom w:val="single" w:sz="8" w:color="D2DCE5"/>
            </w:tcBorders>
          </w:tcPr>
          <w:p>
            <w:pPr>
              <w:spacing w:after="0"/>
              <w:rPr>
                <w:sz w:val="17"/>
                <w:szCs w:val="17"/>
                <w:color w:val="auto"/>
              </w:rPr>
            </w:pPr>
          </w:p>
        </w:tc>
        <w:tc>
          <w:tcPr>
            <w:tcW w:w="260" w:type="dxa"/>
            <w:vAlign w:val="bottom"/>
            <w:tcBorders>
              <w:bottom w:val="single" w:sz="8" w:color="131E29"/>
            </w:tcBorders>
          </w:tcPr>
          <w:p>
            <w:pPr>
              <w:spacing w:after="0"/>
              <w:rPr>
                <w:sz w:val="17"/>
                <w:szCs w:val="17"/>
                <w:color w:val="auto"/>
              </w:rPr>
            </w:pPr>
          </w:p>
        </w:tc>
        <w:tc>
          <w:tcPr>
            <w:tcW w:w="1900" w:type="dxa"/>
            <w:vAlign w:val="bottom"/>
            <w:tcBorders>
              <w:bottom w:val="single" w:sz="8" w:color="131E29"/>
            </w:tcBorders>
          </w:tcPr>
          <w:p>
            <w:pPr>
              <w:jc w:val="right"/>
              <w:ind w:right="369"/>
              <w:spacing w:after="0"/>
              <w:rPr>
                <w:sz w:val="20"/>
                <w:szCs w:val="20"/>
                <w:color w:val="auto"/>
              </w:rPr>
            </w:pPr>
            <w:r>
              <w:rPr>
                <w:rFonts w:ascii="Arial" w:cs="Arial" w:eastAsia="Arial" w:hAnsi="Arial"/>
                <w:sz w:val="14"/>
                <w:szCs w:val="14"/>
                <w:b w:val="1"/>
                <w:bCs w:val="1"/>
                <w:color w:val="131E29"/>
              </w:rPr>
              <w:t>December 31, 2022</w:t>
            </w:r>
          </w:p>
        </w:tc>
        <w:tc>
          <w:tcPr>
            <w:tcW w:w="80" w:type="dxa"/>
            <w:vAlign w:val="bottom"/>
            <w:tcBorders>
              <w:bottom w:val="single" w:sz="8" w:color="D2DCE5"/>
            </w:tcBorders>
          </w:tcPr>
          <w:p>
            <w:pPr>
              <w:spacing w:after="0"/>
              <w:rPr>
                <w:sz w:val="17"/>
                <w:szCs w:val="17"/>
                <w:color w:val="auto"/>
              </w:rPr>
            </w:pPr>
          </w:p>
        </w:tc>
        <w:tc>
          <w:tcPr>
            <w:tcW w:w="420" w:type="dxa"/>
            <w:vAlign w:val="bottom"/>
            <w:tcBorders>
              <w:bottom w:val="single" w:sz="8" w:color="131E29"/>
            </w:tcBorders>
          </w:tcPr>
          <w:p>
            <w:pPr>
              <w:spacing w:after="0"/>
              <w:rPr>
                <w:sz w:val="17"/>
                <w:szCs w:val="17"/>
                <w:color w:val="auto"/>
              </w:rPr>
            </w:pPr>
          </w:p>
        </w:tc>
        <w:tc>
          <w:tcPr>
            <w:tcW w:w="1980" w:type="dxa"/>
            <w:vAlign w:val="bottom"/>
            <w:tcBorders>
              <w:bottom w:val="single" w:sz="8" w:color="131E29"/>
            </w:tcBorders>
          </w:tcPr>
          <w:p>
            <w:pPr>
              <w:jc w:val="right"/>
              <w:ind w:right="969"/>
              <w:spacing w:after="0"/>
              <w:rPr>
                <w:sz w:val="20"/>
                <w:szCs w:val="20"/>
                <w:color w:val="auto"/>
              </w:rPr>
            </w:pPr>
            <w:r>
              <w:rPr>
                <w:rFonts w:ascii="Arial" w:cs="Arial" w:eastAsia="Arial" w:hAnsi="Arial"/>
                <w:sz w:val="14"/>
                <w:szCs w:val="14"/>
                <w:b w:val="1"/>
                <w:bCs w:val="1"/>
                <w:color w:val="131E29"/>
              </w:rPr>
              <w:t>2021</w:t>
            </w:r>
          </w:p>
        </w:tc>
      </w:tr>
      <w:tr>
        <w:trPr>
          <w:trHeight w:val="190"/>
        </w:trPr>
        <w:tc>
          <w:tcPr>
            <w:tcW w:w="664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Preferred stock, $0.00001 par value per share - 20,000 shares authorized; zero shares issued and</w:t>
            </w:r>
          </w:p>
        </w:tc>
        <w:tc>
          <w:tcPr>
            <w:tcW w:w="260" w:type="dxa"/>
            <w:vAlign w:val="bottom"/>
            <w:shd w:val="clear" w:color="auto" w:fill="D2DCE5"/>
          </w:tcPr>
          <w:p>
            <w:pPr>
              <w:spacing w:after="0"/>
              <w:rPr>
                <w:sz w:val="16"/>
                <w:szCs w:val="16"/>
                <w:color w:val="auto"/>
              </w:rPr>
            </w:pPr>
          </w:p>
        </w:tc>
        <w:tc>
          <w:tcPr>
            <w:tcW w:w="19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420" w:type="dxa"/>
            <w:vAlign w:val="bottom"/>
            <w:shd w:val="clear" w:color="auto" w:fill="D2DCE5"/>
          </w:tcPr>
          <w:p>
            <w:pPr>
              <w:spacing w:after="0"/>
              <w:rPr>
                <w:sz w:val="16"/>
                <w:szCs w:val="16"/>
                <w:color w:val="auto"/>
              </w:rPr>
            </w:pPr>
          </w:p>
        </w:tc>
        <w:tc>
          <w:tcPr>
            <w:tcW w:w="1980" w:type="dxa"/>
            <w:vAlign w:val="bottom"/>
            <w:shd w:val="clear" w:color="auto" w:fill="D2DCE5"/>
          </w:tcPr>
          <w:p>
            <w:pPr>
              <w:spacing w:after="0"/>
              <w:rPr>
                <w:sz w:val="16"/>
                <w:szCs w:val="16"/>
                <w:color w:val="auto"/>
              </w:rPr>
            </w:pPr>
          </w:p>
        </w:tc>
      </w:tr>
      <w:tr>
        <w:trPr>
          <w:trHeight w:val="172"/>
        </w:trPr>
        <w:tc>
          <w:tcPr>
            <w:tcW w:w="664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outstanding as of December 31, 2022 and December 31, 2021</w:t>
            </w:r>
          </w:p>
        </w:tc>
        <w:tc>
          <w:tcPr>
            <w:tcW w:w="260" w:type="dxa"/>
            <w:vAlign w:val="bottom"/>
            <w:tcBorders>
              <w:bottom w:val="single" w:sz="8" w:color="D2DCE5"/>
            </w:tcBorders>
            <w:shd w:val="clear" w:color="auto" w:fill="D2DCE5"/>
          </w:tcPr>
          <w:p>
            <w:pPr>
              <w:spacing w:after="0"/>
              <w:rPr>
                <w:sz w:val="14"/>
                <w:szCs w:val="14"/>
                <w:color w:val="auto"/>
              </w:rPr>
            </w:pPr>
          </w:p>
        </w:tc>
        <w:tc>
          <w:tcPr>
            <w:tcW w:w="198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420" w:type="dxa"/>
            <w:vAlign w:val="bottom"/>
            <w:tcBorders>
              <w:bottom w:val="single" w:sz="8" w:color="D2DCE5"/>
            </w:tcBorders>
            <w:shd w:val="clear" w:color="auto" w:fill="D2DCE5"/>
          </w:tcPr>
          <w:p>
            <w:pPr>
              <w:spacing w:after="0"/>
              <w:rPr>
                <w:sz w:val="14"/>
                <w:szCs w:val="14"/>
                <w:color w:val="auto"/>
              </w:rPr>
            </w:pPr>
          </w:p>
        </w:tc>
        <w:tc>
          <w:tcPr>
            <w:tcW w:w="19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r>
      <w:tr>
        <w:trPr>
          <w:trHeight w:val="190"/>
        </w:trPr>
        <w:tc>
          <w:tcPr>
            <w:tcW w:w="6640" w:type="dxa"/>
            <w:vAlign w:val="bottom"/>
            <w:gridSpan w:val="2"/>
          </w:tcPr>
          <w:p>
            <w:pPr>
              <w:ind w:left="140"/>
              <w:spacing w:after="0"/>
              <w:rPr>
                <w:sz w:val="20"/>
                <w:szCs w:val="20"/>
                <w:color w:val="auto"/>
              </w:rPr>
            </w:pPr>
            <w:r>
              <w:rPr>
                <w:rFonts w:ascii="Arial" w:cs="Arial" w:eastAsia="Arial" w:hAnsi="Arial"/>
                <w:sz w:val="14"/>
                <w:szCs w:val="14"/>
                <w:color w:val="131E29"/>
              </w:rPr>
              <w:t>Class A common stock, $0.00001 par value per share - 400,000 shares authorized; 45,544 and</w:t>
            </w:r>
          </w:p>
        </w:tc>
        <w:tc>
          <w:tcPr>
            <w:tcW w:w="2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170"/>
        </w:trPr>
        <w:tc>
          <w:tcPr>
            <w:tcW w:w="6640" w:type="dxa"/>
            <w:vAlign w:val="bottom"/>
            <w:gridSpan w:val="2"/>
          </w:tcPr>
          <w:p>
            <w:pPr>
              <w:ind w:left="140"/>
              <w:spacing w:after="0"/>
              <w:rPr>
                <w:sz w:val="20"/>
                <w:szCs w:val="20"/>
                <w:color w:val="auto"/>
              </w:rPr>
            </w:pPr>
            <w:r>
              <w:rPr>
                <w:rFonts w:ascii="Arial" w:cs="Arial" w:eastAsia="Arial" w:hAnsi="Arial"/>
                <w:sz w:val="14"/>
                <w:szCs w:val="14"/>
                <w:color w:val="131E29"/>
              </w:rPr>
              <w:t>34,433 shares issued and outstanding as of December 31, 2022 and December 31, 2021,</w:t>
            </w:r>
          </w:p>
        </w:tc>
        <w:tc>
          <w:tcPr>
            <w:tcW w:w="2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70"/>
        </w:trPr>
        <w:tc>
          <w:tcPr>
            <w:tcW w:w="6640" w:type="dxa"/>
            <w:vAlign w:val="bottom"/>
            <w:gridSpan w:val="2"/>
          </w:tcPr>
          <w:p>
            <w:pPr>
              <w:ind w:left="140"/>
              <w:spacing w:after="0"/>
              <w:rPr>
                <w:sz w:val="20"/>
                <w:szCs w:val="20"/>
                <w:color w:val="auto"/>
              </w:rPr>
            </w:pPr>
            <w:r>
              <w:rPr>
                <w:rFonts w:ascii="Arial" w:cs="Arial" w:eastAsia="Arial" w:hAnsi="Arial"/>
                <w:sz w:val="14"/>
                <w:szCs w:val="14"/>
                <w:color w:val="131E29"/>
              </w:rPr>
              <w:t>respectively</w:t>
            </w:r>
          </w:p>
        </w:tc>
        <w:tc>
          <w:tcPr>
            <w:tcW w:w="26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131E29"/>
              </w:rPr>
              <w:t>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131E29"/>
              </w:rPr>
              <w:t>—</w:t>
            </w:r>
          </w:p>
        </w:tc>
      </w:tr>
      <w:tr>
        <w:trPr>
          <w:trHeight w:val="22"/>
        </w:trPr>
        <w:tc>
          <w:tcPr>
            <w:tcW w:w="6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0"/>
        </w:trPr>
        <w:tc>
          <w:tcPr>
            <w:tcW w:w="664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Class B common stock, $0.00001 par value per share - 144,000 shares authorized; 64,699 shares</w:t>
            </w:r>
          </w:p>
        </w:tc>
        <w:tc>
          <w:tcPr>
            <w:tcW w:w="260" w:type="dxa"/>
            <w:vAlign w:val="bottom"/>
            <w:shd w:val="clear" w:color="auto" w:fill="D2DCE5"/>
          </w:tcPr>
          <w:p>
            <w:pPr>
              <w:spacing w:after="0"/>
              <w:rPr>
                <w:sz w:val="16"/>
                <w:szCs w:val="16"/>
                <w:color w:val="auto"/>
              </w:rPr>
            </w:pPr>
          </w:p>
        </w:tc>
        <w:tc>
          <w:tcPr>
            <w:tcW w:w="19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420" w:type="dxa"/>
            <w:vAlign w:val="bottom"/>
            <w:shd w:val="clear" w:color="auto" w:fill="D2DCE5"/>
          </w:tcPr>
          <w:p>
            <w:pPr>
              <w:spacing w:after="0"/>
              <w:rPr>
                <w:sz w:val="16"/>
                <w:szCs w:val="16"/>
                <w:color w:val="auto"/>
              </w:rPr>
            </w:pPr>
          </w:p>
        </w:tc>
        <w:tc>
          <w:tcPr>
            <w:tcW w:w="1980" w:type="dxa"/>
            <w:vAlign w:val="bottom"/>
            <w:shd w:val="clear" w:color="auto" w:fill="D2DCE5"/>
          </w:tcPr>
          <w:p>
            <w:pPr>
              <w:spacing w:after="0"/>
              <w:rPr>
                <w:sz w:val="16"/>
                <w:szCs w:val="16"/>
                <w:color w:val="auto"/>
              </w:rPr>
            </w:pPr>
          </w:p>
        </w:tc>
      </w:tr>
      <w:tr>
        <w:trPr>
          <w:trHeight w:val="172"/>
        </w:trPr>
        <w:tc>
          <w:tcPr>
            <w:tcW w:w="664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issued and outstanding as of December 31, 2022 and December 31, 2021</w:t>
            </w:r>
          </w:p>
        </w:tc>
        <w:tc>
          <w:tcPr>
            <w:tcW w:w="260" w:type="dxa"/>
            <w:vAlign w:val="bottom"/>
            <w:tcBorders>
              <w:bottom w:val="single" w:sz="8" w:color="D2DCE5"/>
            </w:tcBorders>
            <w:shd w:val="clear" w:color="auto" w:fill="D2DCE5"/>
          </w:tcPr>
          <w:p>
            <w:pPr>
              <w:spacing w:after="0"/>
              <w:rPr>
                <w:sz w:val="14"/>
                <w:szCs w:val="14"/>
                <w:color w:val="auto"/>
              </w:rPr>
            </w:pPr>
          </w:p>
        </w:tc>
        <w:tc>
          <w:tcPr>
            <w:tcW w:w="19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w:t>
            </w:r>
          </w:p>
        </w:tc>
        <w:tc>
          <w:tcPr>
            <w:tcW w:w="80" w:type="dxa"/>
            <w:vAlign w:val="bottom"/>
            <w:tcBorders>
              <w:bottom w:val="single" w:sz="8" w:color="D2DCE5"/>
            </w:tcBorders>
            <w:shd w:val="clear" w:color="auto" w:fill="D2DCE5"/>
          </w:tcPr>
          <w:p>
            <w:pPr>
              <w:spacing w:after="0"/>
              <w:rPr>
                <w:sz w:val="14"/>
                <w:szCs w:val="14"/>
                <w:color w:val="auto"/>
              </w:rPr>
            </w:pPr>
          </w:p>
        </w:tc>
        <w:tc>
          <w:tcPr>
            <w:tcW w:w="420" w:type="dxa"/>
            <w:vAlign w:val="bottom"/>
            <w:tcBorders>
              <w:bottom w:val="single" w:sz="8" w:color="D2DCE5"/>
            </w:tcBorders>
            <w:shd w:val="clear" w:color="auto" w:fill="D2DCE5"/>
          </w:tcPr>
          <w:p>
            <w:pPr>
              <w:spacing w:after="0"/>
              <w:rPr>
                <w:sz w:val="14"/>
                <w:szCs w:val="14"/>
                <w:color w:val="auto"/>
              </w:rPr>
            </w:pPr>
          </w:p>
        </w:tc>
        <w:tc>
          <w:tcPr>
            <w:tcW w:w="19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w:t>
            </w:r>
          </w:p>
        </w:tc>
      </w:tr>
      <w:tr>
        <w:trPr>
          <w:trHeight w:val="190"/>
        </w:trPr>
        <w:tc>
          <w:tcPr>
            <w:tcW w:w="6640" w:type="dxa"/>
            <w:vAlign w:val="bottom"/>
            <w:gridSpan w:val="2"/>
          </w:tcPr>
          <w:p>
            <w:pPr>
              <w:ind w:left="140"/>
              <w:spacing w:after="0"/>
              <w:rPr>
                <w:sz w:val="20"/>
                <w:szCs w:val="20"/>
                <w:color w:val="auto"/>
              </w:rPr>
            </w:pPr>
            <w:r>
              <w:rPr>
                <w:rFonts w:ascii="Arial" w:cs="Arial" w:eastAsia="Arial" w:hAnsi="Arial"/>
                <w:sz w:val="14"/>
                <w:szCs w:val="14"/>
                <w:color w:val="131E29"/>
              </w:rPr>
              <w:t>Class C common stock, $0.00001 par value per share - 105,000 shares authorized; 41,056 and</w:t>
            </w:r>
          </w:p>
        </w:tc>
        <w:tc>
          <w:tcPr>
            <w:tcW w:w="2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170"/>
        </w:trPr>
        <w:tc>
          <w:tcPr>
            <w:tcW w:w="6640" w:type="dxa"/>
            <w:vAlign w:val="bottom"/>
            <w:gridSpan w:val="2"/>
          </w:tcPr>
          <w:p>
            <w:pPr>
              <w:ind w:left="140"/>
              <w:spacing w:after="0"/>
              <w:rPr>
                <w:sz w:val="20"/>
                <w:szCs w:val="20"/>
                <w:color w:val="auto"/>
              </w:rPr>
            </w:pPr>
            <w:r>
              <w:rPr>
                <w:rFonts w:ascii="Arial" w:cs="Arial" w:eastAsia="Arial" w:hAnsi="Arial"/>
                <w:sz w:val="14"/>
                <w:szCs w:val="14"/>
                <w:color w:val="131E29"/>
              </w:rPr>
              <w:t>49,006 shares issued and outstanding as of December 31, 2022 and December 31, 2021,</w:t>
            </w:r>
          </w:p>
        </w:tc>
        <w:tc>
          <w:tcPr>
            <w:tcW w:w="2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70"/>
        </w:trPr>
        <w:tc>
          <w:tcPr>
            <w:tcW w:w="6640" w:type="dxa"/>
            <w:vAlign w:val="bottom"/>
            <w:gridSpan w:val="2"/>
          </w:tcPr>
          <w:p>
            <w:pPr>
              <w:ind w:left="140"/>
              <w:spacing w:after="0"/>
              <w:rPr>
                <w:sz w:val="20"/>
                <w:szCs w:val="20"/>
                <w:color w:val="auto"/>
              </w:rPr>
            </w:pPr>
            <w:r>
              <w:rPr>
                <w:rFonts w:ascii="Arial" w:cs="Arial" w:eastAsia="Arial" w:hAnsi="Arial"/>
                <w:sz w:val="14"/>
                <w:szCs w:val="14"/>
                <w:color w:val="131E29"/>
              </w:rPr>
              <w:t>respectively</w:t>
            </w:r>
          </w:p>
        </w:tc>
        <w:tc>
          <w:tcPr>
            <w:tcW w:w="260" w:type="dxa"/>
            <w:vAlign w:val="bottom"/>
          </w:tcPr>
          <w:p>
            <w:pPr>
              <w:spacing w:after="0"/>
              <w:rPr>
                <w:sz w:val="14"/>
                <w:szCs w:val="14"/>
                <w:color w:val="auto"/>
              </w:rPr>
            </w:pPr>
          </w:p>
        </w:tc>
        <w:tc>
          <w:tcPr>
            <w:tcW w:w="198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42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131E29"/>
              </w:rPr>
              <w:t>1</w:t>
            </w:r>
          </w:p>
        </w:tc>
      </w:tr>
      <w:tr>
        <w:trPr>
          <w:trHeight w:val="22"/>
        </w:trPr>
        <w:tc>
          <w:tcPr>
            <w:tcW w:w="6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0"/>
        </w:trPr>
        <w:tc>
          <w:tcPr>
            <w:tcW w:w="664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Class D common stock, $0.00001 par value per share - 42,000 shares authorized; 12,411 and 15,441</w:t>
            </w:r>
          </w:p>
        </w:tc>
        <w:tc>
          <w:tcPr>
            <w:tcW w:w="260" w:type="dxa"/>
            <w:vAlign w:val="bottom"/>
            <w:shd w:val="clear" w:color="auto" w:fill="D2DCE5"/>
          </w:tcPr>
          <w:p>
            <w:pPr>
              <w:spacing w:after="0"/>
              <w:rPr>
                <w:sz w:val="16"/>
                <w:szCs w:val="16"/>
                <w:color w:val="auto"/>
              </w:rPr>
            </w:pPr>
          </w:p>
        </w:tc>
        <w:tc>
          <w:tcPr>
            <w:tcW w:w="19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420" w:type="dxa"/>
            <w:vAlign w:val="bottom"/>
            <w:shd w:val="clear" w:color="auto" w:fill="D2DCE5"/>
          </w:tcPr>
          <w:p>
            <w:pPr>
              <w:spacing w:after="0"/>
              <w:rPr>
                <w:sz w:val="16"/>
                <w:szCs w:val="16"/>
                <w:color w:val="auto"/>
              </w:rPr>
            </w:pPr>
          </w:p>
        </w:tc>
        <w:tc>
          <w:tcPr>
            <w:tcW w:w="1980" w:type="dxa"/>
            <w:vAlign w:val="bottom"/>
            <w:shd w:val="clear" w:color="auto" w:fill="D2DCE5"/>
          </w:tcPr>
          <w:p>
            <w:pPr>
              <w:spacing w:after="0"/>
              <w:rPr>
                <w:sz w:val="16"/>
                <w:szCs w:val="16"/>
                <w:color w:val="auto"/>
              </w:rPr>
            </w:pPr>
          </w:p>
        </w:tc>
      </w:tr>
      <w:tr>
        <w:trPr>
          <w:trHeight w:val="172"/>
        </w:trPr>
        <w:tc>
          <w:tcPr>
            <w:tcW w:w="664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shares issued and outstanding as of December 31, 2022 and December 31, 2021, respectively</w:t>
            </w:r>
          </w:p>
        </w:tc>
        <w:tc>
          <w:tcPr>
            <w:tcW w:w="260" w:type="dxa"/>
            <w:vAlign w:val="bottom"/>
            <w:tcBorders>
              <w:bottom w:val="single" w:sz="8" w:color="D2DCE5"/>
            </w:tcBorders>
            <w:shd w:val="clear" w:color="auto" w:fill="D2DCE5"/>
          </w:tcPr>
          <w:p>
            <w:pPr>
              <w:spacing w:after="0"/>
              <w:rPr>
                <w:sz w:val="14"/>
                <w:szCs w:val="14"/>
                <w:color w:val="auto"/>
              </w:rPr>
            </w:pPr>
          </w:p>
        </w:tc>
        <w:tc>
          <w:tcPr>
            <w:tcW w:w="198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420" w:type="dxa"/>
            <w:vAlign w:val="bottom"/>
            <w:tcBorders>
              <w:bottom w:val="single" w:sz="8" w:color="D2DCE5"/>
            </w:tcBorders>
            <w:shd w:val="clear" w:color="auto" w:fill="D2DCE5"/>
          </w:tcPr>
          <w:p>
            <w:pPr>
              <w:spacing w:after="0"/>
              <w:rPr>
                <w:sz w:val="14"/>
                <w:szCs w:val="14"/>
                <w:color w:val="auto"/>
              </w:rPr>
            </w:pPr>
          </w:p>
        </w:tc>
        <w:tc>
          <w:tcPr>
            <w:tcW w:w="19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r>
      <w:tr>
        <w:trPr>
          <w:trHeight w:val="191"/>
        </w:trPr>
        <w:tc>
          <w:tcPr>
            <w:tcW w:w="6640" w:type="dxa"/>
            <w:vAlign w:val="bottom"/>
            <w:gridSpan w:val="2"/>
          </w:tcPr>
          <w:p>
            <w:pPr>
              <w:ind w:left="140"/>
              <w:spacing w:after="0"/>
              <w:rPr>
                <w:sz w:val="20"/>
                <w:szCs w:val="20"/>
                <w:color w:val="auto"/>
              </w:rPr>
            </w:pPr>
            <w:r>
              <w:rPr>
                <w:rFonts w:ascii="Arial" w:cs="Arial" w:eastAsia="Arial" w:hAnsi="Arial"/>
                <w:sz w:val="14"/>
                <w:szCs w:val="14"/>
                <w:color w:val="131E29"/>
              </w:rPr>
              <w:t>Additional paid in capital</w:t>
            </w:r>
          </w:p>
        </w:tc>
        <w:tc>
          <w:tcPr>
            <w:tcW w:w="26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131E29"/>
              </w:rPr>
              <w:t>145,613</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131E29"/>
              </w:rPr>
              <w:t>107,193</w:t>
            </w:r>
          </w:p>
        </w:tc>
      </w:tr>
      <w:tr>
        <w:trPr>
          <w:trHeight w:val="22"/>
        </w:trPr>
        <w:tc>
          <w:tcPr>
            <w:tcW w:w="6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2"/>
        </w:trPr>
        <w:tc>
          <w:tcPr>
            <w:tcW w:w="664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Accumulated other comprehensive income</w:t>
            </w:r>
          </w:p>
        </w:tc>
        <w:tc>
          <w:tcPr>
            <w:tcW w:w="260" w:type="dxa"/>
            <w:vAlign w:val="bottom"/>
            <w:tcBorders>
              <w:bottom w:val="single" w:sz="8" w:color="D2DCE5"/>
            </w:tcBorders>
            <w:shd w:val="clear" w:color="auto" w:fill="D2DCE5"/>
          </w:tcPr>
          <w:p>
            <w:pPr>
              <w:spacing w:after="0"/>
              <w:rPr>
                <w:sz w:val="16"/>
                <w:szCs w:val="16"/>
                <w:color w:val="auto"/>
              </w:rPr>
            </w:pPr>
          </w:p>
        </w:tc>
        <w:tc>
          <w:tcPr>
            <w:tcW w:w="19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813</w:t>
            </w:r>
          </w:p>
        </w:tc>
        <w:tc>
          <w:tcPr>
            <w:tcW w:w="80" w:type="dxa"/>
            <w:vAlign w:val="bottom"/>
            <w:tcBorders>
              <w:bottom w:val="single" w:sz="8" w:color="D2DCE5"/>
            </w:tcBorders>
            <w:shd w:val="clear" w:color="auto" w:fill="D2DCE5"/>
          </w:tcPr>
          <w:p>
            <w:pPr>
              <w:spacing w:after="0"/>
              <w:rPr>
                <w:sz w:val="16"/>
                <w:szCs w:val="16"/>
                <w:color w:val="auto"/>
              </w:rPr>
            </w:pPr>
          </w:p>
        </w:tc>
        <w:tc>
          <w:tcPr>
            <w:tcW w:w="420" w:type="dxa"/>
            <w:vAlign w:val="bottom"/>
            <w:tcBorders>
              <w:bottom w:val="single" w:sz="8" w:color="D2DCE5"/>
            </w:tcBorders>
            <w:shd w:val="clear" w:color="auto" w:fill="D2DCE5"/>
          </w:tcPr>
          <w:p>
            <w:pPr>
              <w:spacing w:after="0"/>
              <w:rPr>
                <w:sz w:val="16"/>
                <w:szCs w:val="16"/>
                <w:color w:val="auto"/>
              </w:rPr>
            </w:pPr>
          </w:p>
        </w:tc>
        <w:tc>
          <w:tcPr>
            <w:tcW w:w="19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r>
      <w:tr>
        <w:trPr>
          <w:trHeight w:val="191"/>
        </w:trPr>
        <w:tc>
          <w:tcPr>
            <w:tcW w:w="6640" w:type="dxa"/>
            <w:vAlign w:val="bottom"/>
            <w:gridSpan w:val="2"/>
          </w:tcPr>
          <w:p>
            <w:pPr>
              <w:ind w:left="140"/>
              <w:spacing w:after="0"/>
              <w:rPr>
                <w:sz w:val="20"/>
                <w:szCs w:val="20"/>
                <w:color w:val="auto"/>
              </w:rPr>
            </w:pPr>
            <w:r>
              <w:rPr>
                <w:rFonts w:ascii="Arial" w:cs="Arial" w:eastAsia="Arial" w:hAnsi="Arial"/>
                <w:sz w:val="14"/>
                <w:szCs w:val="14"/>
                <w:color w:val="131E29"/>
              </w:rPr>
              <w:t>Accumulated deficit</w:t>
            </w:r>
          </w:p>
        </w:tc>
        <w:tc>
          <w:tcPr>
            <w:tcW w:w="26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131E29"/>
              </w:rPr>
              <w:t>(17,310)</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131E29"/>
              </w:rPr>
              <w:t>(12,679)</w:t>
            </w:r>
          </w:p>
        </w:tc>
      </w:tr>
      <w:tr>
        <w:trPr>
          <w:trHeight w:val="22"/>
        </w:trPr>
        <w:tc>
          <w:tcPr>
            <w:tcW w:w="656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183"/>
        </w:trPr>
        <w:tc>
          <w:tcPr>
            <w:tcW w:w="6640" w:type="dxa"/>
            <w:vAlign w:val="bottom"/>
            <w:tcBorders>
              <w:bottom w:val="single" w:sz="8" w:color="D2DCE5"/>
            </w:tcBorders>
            <w:gridSpan w:val="2"/>
            <w:shd w:val="clear" w:color="auto" w:fill="D2DCE5"/>
          </w:tcPr>
          <w:p>
            <w:pPr>
              <w:ind w:left="280"/>
              <w:spacing w:after="0"/>
              <w:rPr>
                <w:sz w:val="20"/>
                <w:szCs w:val="20"/>
                <w:color w:val="auto"/>
              </w:rPr>
            </w:pPr>
            <w:r>
              <w:rPr>
                <w:rFonts w:ascii="Arial" w:cs="Arial" w:eastAsia="Arial" w:hAnsi="Arial"/>
                <w:sz w:val="14"/>
                <w:szCs w:val="14"/>
                <w:color w:val="131E29"/>
              </w:rPr>
              <w:t>Total stockholders' equity attributable to Dutch Bros Inc.</w:t>
            </w:r>
          </w:p>
        </w:tc>
        <w:tc>
          <w:tcPr>
            <w:tcW w:w="260" w:type="dxa"/>
            <w:vAlign w:val="bottom"/>
            <w:tcBorders>
              <w:bottom w:val="single" w:sz="8" w:color="D2DCE5"/>
            </w:tcBorders>
            <w:shd w:val="clear" w:color="auto" w:fill="D2DCE5"/>
          </w:tcPr>
          <w:p>
            <w:pPr>
              <w:spacing w:after="0"/>
              <w:rPr>
                <w:sz w:val="15"/>
                <w:szCs w:val="15"/>
                <w:color w:val="auto"/>
              </w:rPr>
            </w:pPr>
          </w:p>
        </w:tc>
        <w:tc>
          <w:tcPr>
            <w:tcW w:w="19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129,118</w:t>
            </w:r>
          </w:p>
        </w:tc>
        <w:tc>
          <w:tcPr>
            <w:tcW w:w="80" w:type="dxa"/>
            <w:vAlign w:val="bottom"/>
            <w:tcBorders>
              <w:bottom w:val="single" w:sz="8" w:color="D2DCE5"/>
            </w:tcBorders>
            <w:shd w:val="clear" w:color="auto" w:fill="D2DCE5"/>
          </w:tcPr>
          <w:p>
            <w:pPr>
              <w:spacing w:after="0"/>
              <w:rPr>
                <w:sz w:val="15"/>
                <w:szCs w:val="15"/>
                <w:color w:val="auto"/>
              </w:rPr>
            </w:pPr>
          </w:p>
        </w:tc>
        <w:tc>
          <w:tcPr>
            <w:tcW w:w="420" w:type="dxa"/>
            <w:vAlign w:val="bottom"/>
            <w:tcBorders>
              <w:bottom w:val="single" w:sz="8" w:color="D2DCE5"/>
            </w:tcBorders>
            <w:shd w:val="clear" w:color="auto" w:fill="D2DCE5"/>
          </w:tcPr>
          <w:p>
            <w:pPr>
              <w:spacing w:after="0"/>
              <w:rPr>
                <w:sz w:val="15"/>
                <w:szCs w:val="15"/>
                <w:color w:val="auto"/>
              </w:rPr>
            </w:pPr>
          </w:p>
        </w:tc>
        <w:tc>
          <w:tcPr>
            <w:tcW w:w="19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94,516</w:t>
            </w:r>
          </w:p>
        </w:tc>
      </w:tr>
      <w:tr>
        <w:trPr>
          <w:trHeight w:val="191"/>
        </w:trPr>
        <w:tc>
          <w:tcPr>
            <w:tcW w:w="6640" w:type="dxa"/>
            <w:vAlign w:val="bottom"/>
            <w:gridSpan w:val="2"/>
          </w:tcPr>
          <w:p>
            <w:pPr>
              <w:ind w:left="20"/>
              <w:spacing w:after="0"/>
              <w:rPr>
                <w:sz w:val="20"/>
                <w:szCs w:val="20"/>
                <w:color w:val="auto"/>
              </w:rPr>
            </w:pPr>
            <w:r>
              <w:rPr>
                <w:rFonts w:ascii="Arial" w:cs="Arial" w:eastAsia="Arial" w:hAnsi="Arial"/>
                <w:sz w:val="14"/>
                <w:szCs w:val="14"/>
                <w:color w:val="131E29"/>
              </w:rPr>
              <w:t>Non-controlling interests</w:t>
            </w:r>
          </w:p>
        </w:tc>
        <w:tc>
          <w:tcPr>
            <w:tcW w:w="26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131E29"/>
              </w:rPr>
              <w:t>122,858</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131E29"/>
              </w:rPr>
              <w:t>119,213</w:t>
            </w:r>
          </w:p>
        </w:tc>
      </w:tr>
      <w:tr>
        <w:trPr>
          <w:trHeight w:val="22"/>
        </w:trPr>
        <w:tc>
          <w:tcPr>
            <w:tcW w:w="656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03"/>
        </w:trPr>
        <w:tc>
          <w:tcPr>
            <w:tcW w:w="664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Total equity</w:t>
            </w:r>
          </w:p>
        </w:tc>
        <w:tc>
          <w:tcPr>
            <w:tcW w:w="260" w:type="dxa"/>
            <w:vAlign w:val="bottom"/>
            <w:tcBorders>
              <w:bottom w:val="single" w:sz="8" w:color="D2DCE5"/>
            </w:tcBorders>
            <w:shd w:val="clear" w:color="auto" w:fill="D2DCE5"/>
          </w:tcPr>
          <w:p>
            <w:pPr>
              <w:spacing w:after="0"/>
              <w:rPr>
                <w:sz w:val="17"/>
                <w:szCs w:val="17"/>
                <w:color w:val="auto"/>
              </w:rPr>
            </w:pPr>
          </w:p>
        </w:tc>
        <w:tc>
          <w:tcPr>
            <w:tcW w:w="19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251,976</w:t>
            </w:r>
          </w:p>
        </w:tc>
        <w:tc>
          <w:tcPr>
            <w:tcW w:w="80" w:type="dxa"/>
            <w:vAlign w:val="bottom"/>
            <w:tcBorders>
              <w:bottom w:val="single" w:sz="8" w:color="D2DCE5"/>
            </w:tcBorders>
            <w:shd w:val="clear" w:color="auto" w:fill="D2DCE5"/>
          </w:tcPr>
          <w:p>
            <w:pPr>
              <w:spacing w:after="0"/>
              <w:rPr>
                <w:sz w:val="17"/>
                <w:szCs w:val="17"/>
                <w:color w:val="auto"/>
              </w:rPr>
            </w:pPr>
          </w:p>
        </w:tc>
        <w:tc>
          <w:tcPr>
            <w:tcW w:w="420" w:type="dxa"/>
            <w:vAlign w:val="bottom"/>
            <w:tcBorders>
              <w:bottom w:val="single" w:sz="8" w:color="D2DCE5"/>
            </w:tcBorders>
            <w:shd w:val="clear" w:color="auto" w:fill="D2DCE5"/>
          </w:tcPr>
          <w:p>
            <w:pPr>
              <w:spacing w:after="0"/>
              <w:rPr>
                <w:sz w:val="17"/>
                <w:szCs w:val="17"/>
                <w:color w:val="auto"/>
              </w:rPr>
            </w:pPr>
          </w:p>
        </w:tc>
        <w:tc>
          <w:tcPr>
            <w:tcW w:w="19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213,729</w:t>
            </w:r>
          </w:p>
        </w:tc>
      </w:tr>
      <w:tr>
        <w:trPr>
          <w:trHeight w:val="203"/>
        </w:trPr>
        <w:tc>
          <w:tcPr>
            <w:tcW w:w="6640" w:type="dxa"/>
            <w:vAlign w:val="bottom"/>
            <w:gridSpan w:val="2"/>
          </w:tcPr>
          <w:p>
            <w:pPr>
              <w:ind w:left="400"/>
              <w:spacing w:after="0"/>
              <w:rPr>
                <w:sz w:val="20"/>
                <w:szCs w:val="20"/>
                <w:color w:val="auto"/>
              </w:rPr>
            </w:pPr>
            <w:r>
              <w:rPr>
                <w:rFonts w:ascii="Arial" w:cs="Arial" w:eastAsia="Arial" w:hAnsi="Arial"/>
                <w:sz w:val="14"/>
                <w:szCs w:val="14"/>
                <w:color w:val="131E29"/>
              </w:rPr>
              <w:t>Total liabilities and equity</w:t>
            </w: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131E29"/>
                <w:w w:val="76"/>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rPr>
              <w:t>1,186,360</w:t>
            </w:r>
          </w:p>
        </w:tc>
        <w:tc>
          <w:tcPr>
            <w:tcW w:w="8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4"/>
                <w:szCs w:val="14"/>
                <w:color w:val="131E29"/>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rPr>
              <w:t>553,700</w:t>
            </w:r>
          </w:p>
        </w:tc>
      </w:tr>
      <w:tr>
        <w:trPr>
          <w:trHeight w:val="20"/>
        </w:trPr>
        <w:tc>
          <w:tcPr>
            <w:tcW w:w="6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34" w:right="319" w:bottom="1440" w:gutter="0" w:footer="0" w:header="0"/>
        </w:sectPr>
      </w:pPr>
    </w:p>
    <w:bookmarkStart w:id="93" w:name="page94"/>
    <w:bookmarkEnd w:id="93"/>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Consolidated Statements of Operations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6"/>
          </w:tcPr>
          <w:p>
            <w:pPr>
              <w:jc w:val="right"/>
              <w:ind w:right="109"/>
              <w:spacing w:after="0"/>
              <w:rPr>
                <w:sz w:val="20"/>
                <w:szCs w:val="20"/>
                <w:color w:val="auto"/>
              </w:rPr>
            </w:pPr>
            <w:r>
              <w:rPr>
                <w:rFonts w:ascii="Arial" w:cs="Arial" w:eastAsia="Arial" w:hAnsi="Arial"/>
                <w:sz w:val="14"/>
                <w:szCs w:val="14"/>
                <w:b w:val="1"/>
                <w:bCs w:val="1"/>
                <w:color w:val="131E29"/>
              </w:rPr>
              <w:t>Year Ended 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714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except per share amounts)</w:t>
            </w:r>
          </w:p>
        </w:tc>
        <w:tc>
          <w:tcPr>
            <w:tcW w:w="80" w:type="dxa"/>
            <w:vAlign w:val="bottom"/>
            <w:tcBorders>
              <w:bottom w:val="single" w:sz="8" w:color="D2DCE5"/>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131E29"/>
              </w:rPr>
              <w:t>2022</w:t>
            </w:r>
          </w:p>
        </w:tc>
        <w:tc>
          <w:tcPr>
            <w:tcW w:w="80" w:type="dxa"/>
            <w:vAlign w:val="bottom"/>
            <w:tcBorders>
              <w:bottom w:val="single" w:sz="8" w:color="D2DCE5"/>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131E29"/>
              </w:rPr>
              <w:t>2021</w:t>
            </w:r>
          </w:p>
        </w:tc>
        <w:tc>
          <w:tcPr>
            <w:tcW w:w="80" w:type="dxa"/>
            <w:vAlign w:val="bottom"/>
            <w:tcBorders>
              <w:bottom w:val="single" w:sz="8" w:color="D2DCE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131E29"/>
              </w:rPr>
              <w:t>2020</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71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REVENUES</w:t>
            </w:r>
          </w:p>
        </w:tc>
        <w:tc>
          <w:tcPr>
            <w:tcW w:w="280" w:type="dxa"/>
            <w:vAlign w:val="bottom"/>
            <w:tcBorders>
              <w:bottom w:val="single" w:sz="8" w:color="D2DCE5"/>
            </w:tcBorders>
            <w:shd w:val="clear" w:color="auto" w:fill="D2DCE5"/>
          </w:tcPr>
          <w:p>
            <w:pPr>
              <w:spacing w:after="0"/>
              <w:rPr>
                <w:sz w:val="16"/>
                <w:szCs w:val="16"/>
                <w:color w:val="auto"/>
              </w:rPr>
            </w:pPr>
          </w:p>
        </w:tc>
        <w:tc>
          <w:tcPr>
            <w:tcW w:w="104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102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260" w:type="dxa"/>
            <w:vAlign w:val="bottom"/>
            <w:tcBorders>
              <w:bottom w:val="single" w:sz="8" w:color="D2DCE5"/>
            </w:tcBorders>
            <w:shd w:val="clear" w:color="auto" w:fill="D2DCE5"/>
          </w:tcPr>
          <w:p>
            <w:pPr>
              <w:spacing w:after="0"/>
              <w:rPr>
                <w:sz w:val="16"/>
                <w:szCs w:val="16"/>
                <w:color w:val="auto"/>
              </w:rPr>
            </w:pPr>
          </w:p>
        </w:tc>
        <w:tc>
          <w:tcPr>
            <w:tcW w:w="980" w:type="dxa"/>
            <w:vAlign w:val="bottom"/>
            <w:tcBorders>
              <w:bottom w:val="single" w:sz="8" w:color="D2DCE5"/>
            </w:tcBorders>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7140" w:type="dxa"/>
            <w:vAlign w:val="bottom"/>
            <w:gridSpan w:val="2"/>
          </w:tcPr>
          <w:p>
            <w:pPr>
              <w:ind w:left="140"/>
              <w:spacing w:after="0"/>
              <w:rPr>
                <w:sz w:val="20"/>
                <w:szCs w:val="20"/>
                <w:color w:val="auto"/>
              </w:rPr>
            </w:pPr>
            <w:r>
              <w:rPr>
                <w:rFonts w:ascii="Arial" w:cs="Arial" w:eastAsia="Arial" w:hAnsi="Arial"/>
                <w:sz w:val="14"/>
                <w:szCs w:val="14"/>
                <w:color w:val="131E29"/>
              </w:rPr>
              <w:t>Company-operated shops</w:t>
            </w:r>
          </w:p>
        </w:tc>
        <w:tc>
          <w:tcPr>
            <w:tcW w:w="280" w:type="dxa"/>
            <w:vAlign w:val="bottom"/>
          </w:tcPr>
          <w:p>
            <w:pPr>
              <w:jc w:val="right"/>
              <w:ind w:right="129"/>
              <w:spacing w:after="0"/>
              <w:rPr>
                <w:sz w:val="20"/>
                <w:szCs w:val="20"/>
                <w:color w:val="auto"/>
              </w:rPr>
            </w:pPr>
            <w:r>
              <w:rPr>
                <w:rFonts w:ascii="Arial" w:cs="Arial" w:eastAsia="Arial" w:hAnsi="Arial"/>
                <w:sz w:val="14"/>
                <w:szCs w:val="14"/>
                <w:color w:val="131E29"/>
                <w:w w:val="76"/>
              </w:rPr>
              <w:t>$</w:t>
            </w:r>
          </w:p>
        </w:tc>
        <w:tc>
          <w:tcPr>
            <w:tcW w:w="1040" w:type="dxa"/>
            <w:vAlign w:val="bottom"/>
          </w:tcPr>
          <w:p>
            <w:pPr>
              <w:jc w:val="right"/>
              <w:ind w:right="9"/>
              <w:spacing w:after="0"/>
              <w:rPr>
                <w:sz w:val="20"/>
                <w:szCs w:val="20"/>
                <w:color w:val="auto"/>
              </w:rPr>
            </w:pPr>
            <w:r>
              <w:rPr>
                <w:rFonts w:ascii="Arial" w:cs="Arial" w:eastAsia="Arial" w:hAnsi="Arial"/>
                <w:sz w:val="14"/>
                <w:szCs w:val="14"/>
                <w:color w:val="131E29"/>
              </w:rPr>
              <w:t>639,710</w:t>
            </w:r>
          </w:p>
        </w:tc>
        <w:tc>
          <w:tcPr>
            <w:tcW w:w="80" w:type="dxa"/>
            <w:vAlign w:val="bottom"/>
          </w:tcPr>
          <w:p>
            <w:pPr>
              <w:spacing w:after="0"/>
              <w:rPr>
                <w:sz w:val="16"/>
                <w:szCs w:val="16"/>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131E29"/>
                <w:w w:val="76"/>
              </w:rPr>
              <w:t>$</w:t>
            </w:r>
          </w:p>
        </w:tc>
        <w:tc>
          <w:tcPr>
            <w:tcW w:w="1020" w:type="dxa"/>
            <w:vAlign w:val="bottom"/>
          </w:tcPr>
          <w:p>
            <w:pPr>
              <w:jc w:val="right"/>
              <w:ind w:right="9"/>
              <w:spacing w:after="0"/>
              <w:rPr>
                <w:sz w:val="20"/>
                <w:szCs w:val="20"/>
                <w:color w:val="auto"/>
              </w:rPr>
            </w:pPr>
            <w:r>
              <w:rPr>
                <w:rFonts w:ascii="Arial" w:cs="Arial" w:eastAsia="Arial" w:hAnsi="Arial"/>
                <w:sz w:val="14"/>
                <w:szCs w:val="14"/>
                <w:color w:val="131E29"/>
              </w:rPr>
              <w:t>403,746</w:t>
            </w:r>
          </w:p>
        </w:tc>
        <w:tc>
          <w:tcPr>
            <w:tcW w:w="8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131E29"/>
                <w:w w:val="76"/>
              </w:rPr>
              <w:t>$</w:t>
            </w:r>
          </w:p>
        </w:tc>
        <w:tc>
          <w:tcPr>
            <w:tcW w:w="980" w:type="dxa"/>
            <w:vAlign w:val="bottom"/>
          </w:tcPr>
          <w:p>
            <w:pPr>
              <w:jc w:val="right"/>
              <w:ind w:right="9"/>
              <w:spacing w:after="0"/>
              <w:rPr>
                <w:sz w:val="20"/>
                <w:szCs w:val="20"/>
                <w:color w:val="auto"/>
              </w:rPr>
            </w:pPr>
            <w:r>
              <w:rPr>
                <w:rFonts w:ascii="Arial" w:cs="Arial" w:eastAsia="Arial" w:hAnsi="Arial"/>
                <w:sz w:val="14"/>
                <w:szCs w:val="14"/>
                <w:color w:val="131E29"/>
              </w:rPr>
              <w:t>244,514</w:t>
            </w: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0" w:type="dxa"/>
            <w:vAlign w:val="bottom"/>
          </w:tcPr>
          <w:p>
            <w:pPr>
              <w:spacing w:after="0"/>
              <w:rPr>
                <w:sz w:val="18"/>
                <w:szCs w:val="18"/>
                <w:color w:val="auto"/>
              </w:rPr>
            </w:pPr>
          </w:p>
        </w:tc>
        <w:tc>
          <w:tcPr>
            <w:tcW w:w="714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Franchising and other</w:t>
            </w:r>
          </w:p>
        </w:tc>
        <w:tc>
          <w:tcPr>
            <w:tcW w:w="280" w:type="dxa"/>
            <w:vAlign w:val="bottom"/>
            <w:tcBorders>
              <w:bottom w:val="single" w:sz="8" w:color="D2DCE5"/>
            </w:tcBorders>
            <w:shd w:val="clear" w:color="auto" w:fill="D2DCE5"/>
          </w:tcPr>
          <w:p>
            <w:pPr>
              <w:spacing w:after="0"/>
              <w:rPr>
                <w:sz w:val="18"/>
                <w:szCs w:val="18"/>
                <w:color w:val="auto"/>
              </w:rPr>
            </w:pPr>
          </w:p>
        </w:tc>
        <w:tc>
          <w:tcPr>
            <w:tcW w:w="1040" w:type="dxa"/>
            <w:vAlign w:val="bottom"/>
            <w:tcBorders>
              <w:bottom w:val="single" w:sz="8" w:color="D2DCE5"/>
            </w:tcBorders>
            <w:shd w:val="clear" w:color="auto" w:fill="D2DCE5"/>
          </w:tcPr>
          <w:p>
            <w:pPr>
              <w:jc w:val="right"/>
              <w:ind w:right="9"/>
              <w:spacing w:after="0"/>
              <w:rPr>
                <w:sz w:val="20"/>
                <w:szCs w:val="20"/>
                <w:color w:val="auto"/>
              </w:rPr>
            </w:pPr>
            <w:r>
              <w:rPr>
                <w:rFonts w:ascii="Arial" w:cs="Arial" w:eastAsia="Arial" w:hAnsi="Arial"/>
                <w:sz w:val="14"/>
                <w:szCs w:val="14"/>
                <w:color w:val="131E29"/>
              </w:rPr>
              <w:t>99,302</w:t>
            </w:r>
          </w:p>
        </w:tc>
        <w:tc>
          <w:tcPr>
            <w:tcW w:w="80" w:type="dxa"/>
            <w:vAlign w:val="bottom"/>
            <w:tcBorders>
              <w:bottom w:val="single" w:sz="8" w:color="D2DCE5"/>
            </w:tcBorders>
            <w:shd w:val="clear" w:color="auto" w:fill="D2DCE5"/>
          </w:tcPr>
          <w:p>
            <w:pPr>
              <w:spacing w:after="0"/>
              <w:rPr>
                <w:sz w:val="18"/>
                <w:szCs w:val="18"/>
                <w:color w:val="auto"/>
              </w:rPr>
            </w:pPr>
          </w:p>
        </w:tc>
        <w:tc>
          <w:tcPr>
            <w:tcW w:w="300" w:type="dxa"/>
            <w:vAlign w:val="bottom"/>
            <w:tcBorders>
              <w:bottom w:val="single" w:sz="8" w:color="D2DCE5"/>
            </w:tcBorders>
            <w:shd w:val="clear" w:color="auto" w:fill="D2DCE5"/>
          </w:tcPr>
          <w:p>
            <w:pPr>
              <w:spacing w:after="0"/>
              <w:rPr>
                <w:sz w:val="18"/>
                <w:szCs w:val="18"/>
                <w:color w:val="auto"/>
              </w:rPr>
            </w:pPr>
          </w:p>
        </w:tc>
        <w:tc>
          <w:tcPr>
            <w:tcW w:w="1020" w:type="dxa"/>
            <w:vAlign w:val="bottom"/>
            <w:tcBorders>
              <w:bottom w:val="single" w:sz="8" w:color="D2DCE5"/>
            </w:tcBorders>
            <w:shd w:val="clear" w:color="auto" w:fill="D2DCE5"/>
          </w:tcPr>
          <w:p>
            <w:pPr>
              <w:jc w:val="right"/>
              <w:ind w:right="9"/>
              <w:spacing w:after="0"/>
              <w:rPr>
                <w:sz w:val="20"/>
                <w:szCs w:val="20"/>
                <w:color w:val="auto"/>
              </w:rPr>
            </w:pPr>
            <w:r>
              <w:rPr>
                <w:rFonts w:ascii="Arial" w:cs="Arial" w:eastAsia="Arial" w:hAnsi="Arial"/>
                <w:sz w:val="14"/>
                <w:szCs w:val="14"/>
                <w:color w:val="131E29"/>
              </w:rPr>
              <w:t>94,130</w:t>
            </w:r>
          </w:p>
        </w:tc>
        <w:tc>
          <w:tcPr>
            <w:tcW w:w="80" w:type="dxa"/>
            <w:vAlign w:val="bottom"/>
            <w:tcBorders>
              <w:bottom w:val="single" w:sz="8" w:color="D2DCE5"/>
            </w:tcBorders>
            <w:shd w:val="clear" w:color="auto" w:fill="D2DCE5"/>
          </w:tcPr>
          <w:p>
            <w:pPr>
              <w:spacing w:after="0"/>
              <w:rPr>
                <w:sz w:val="18"/>
                <w:szCs w:val="18"/>
                <w:color w:val="auto"/>
              </w:rPr>
            </w:pPr>
          </w:p>
        </w:tc>
        <w:tc>
          <w:tcPr>
            <w:tcW w:w="260" w:type="dxa"/>
            <w:vAlign w:val="bottom"/>
            <w:tcBorders>
              <w:bottom w:val="single" w:sz="8" w:color="D2DCE5"/>
            </w:tcBorders>
            <w:shd w:val="clear" w:color="auto" w:fill="D2DCE5"/>
          </w:tcPr>
          <w:p>
            <w:pPr>
              <w:spacing w:after="0"/>
              <w:rPr>
                <w:sz w:val="18"/>
                <w:szCs w:val="18"/>
                <w:color w:val="auto"/>
              </w:rPr>
            </w:pPr>
          </w:p>
        </w:tc>
        <w:tc>
          <w:tcPr>
            <w:tcW w:w="980" w:type="dxa"/>
            <w:vAlign w:val="bottom"/>
            <w:tcBorders>
              <w:bottom w:val="single" w:sz="8" w:color="D2DCE5"/>
            </w:tcBorders>
            <w:shd w:val="clear" w:color="auto" w:fill="D2DCE5"/>
          </w:tcPr>
          <w:p>
            <w:pPr>
              <w:jc w:val="right"/>
              <w:ind w:right="9"/>
              <w:spacing w:after="0"/>
              <w:rPr>
                <w:sz w:val="20"/>
                <w:szCs w:val="20"/>
                <w:color w:val="auto"/>
              </w:rPr>
            </w:pPr>
            <w:r>
              <w:rPr>
                <w:rFonts w:ascii="Arial" w:cs="Arial" w:eastAsia="Arial" w:hAnsi="Arial"/>
                <w:sz w:val="14"/>
                <w:szCs w:val="14"/>
                <w:color w:val="131E29"/>
              </w:rPr>
              <w:t>82,899</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7140" w:type="dxa"/>
            <w:vAlign w:val="bottom"/>
            <w:gridSpan w:val="2"/>
          </w:tcPr>
          <w:p>
            <w:pPr>
              <w:ind w:left="280"/>
              <w:spacing w:after="0"/>
              <w:rPr>
                <w:sz w:val="20"/>
                <w:szCs w:val="20"/>
                <w:color w:val="auto"/>
              </w:rPr>
            </w:pPr>
            <w:r>
              <w:rPr>
                <w:rFonts w:ascii="Arial" w:cs="Arial" w:eastAsia="Arial" w:hAnsi="Arial"/>
                <w:sz w:val="14"/>
                <w:szCs w:val="14"/>
                <w:color w:val="131E29"/>
              </w:rPr>
              <w:t>Total revenues</w:t>
            </w: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131E29"/>
              </w:rPr>
              <w:t>739,012</w:t>
            </w: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131E29"/>
              </w:rPr>
              <w:t>497,876</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131E29"/>
              </w:rPr>
              <w:t>327,413</w:t>
            </w: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706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70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10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102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60" w:type="dxa"/>
            <w:vAlign w:val="bottom"/>
            <w:shd w:val="clear" w:color="auto" w:fill="D2DCE5"/>
          </w:tcPr>
          <w:p>
            <w:pPr>
              <w:spacing w:after="0"/>
              <w:rPr>
                <w:sz w:val="15"/>
                <w:szCs w:val="15"/>
                <w:color w:val="auto"/>
              </w:rPr>
            </w:pPr>
          </w:p>
        </w:tc>
        <w:tc>
          <w:tcPr>
            <w:tcW w:w="98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7140" w:type="dxa"/>
            <w:vAlign w:val="bottom"/>
            <w:gridSpan w:val="2"/>
          </w:tcPr>
          <w:p>
            <w:pPr>
              <w:ind w:left="20"/>
              <w:spacing w:after="0"/>
              <w:rPr>
                <w:sz w:val="20"/>
                <w:szCs w:val="20"/>
                <w:color w:val="auto"/>
              </w:rPr>
            </w:pPr>
            <w:r>
              <w:rPr>
                <w:rFonts w:ascii="Arial" w:cs="Arial" w:eastAsia="Arial" w:hAnsi="Arial"/>
                <w:sz w:val="14"/>
                <w:szCs w:val="14"/>
                <w:color w:val="131E29"/>
              </w:rPr>
              <w:t>COSTS AND EXPENSES</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 w:type="dxa"/>
            <w:vAlign w:val="bottom"/>
          </w:tcPr>
          <w:p>
            <w:pPr>
              <w:spacing w:after="0"/>
              <w:rPr>
                <w:sz w:val="16"/>
                <w:szCs w:val="16"/>
                <w:color w:val="auto"/>
              </w:rPr>
            </w:pPr>
          </w:p>
        </w:tc>
        <w:tc>
          <w:tcPr>
            <w:tcW w:w="714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Cost of sales</w:t>
            </w:r>
          </w:p>
        </w:tc>
        <w:tc>
          <w:tcPr>
            <w:tcW w:w="280" w:type="dxa"/>
            <w:vAlign w:val="bottom"/>
            <w:tcBorders>
              <w:bottom w:val="single" w:sz="8" w:color="D2DCE5"/>
            </w:tcBorders>
            <w:shd w:val="clear" w:color="auto" w:fill="D2DCE5"/>
          </w:tcPr>
          <w:p>
            <w:pPr>
              <w:spacing w:after="0"/>
              <w:rPr>
                <w:sz w:val="16"/>
                <w:szCs w:val="16"/>
                <w:color w:val="auto"/>
              </w:rPr>
            </w:pPr>
          </w:p>
        </w:tc>
        <w:tc>
          <w:tcPr>
            <w:tcW w:w="1040" w:type="dxa"/>
            <w:vAlign w:val="bottom"/>
            <w:tcBorders>
              <w:bottom w:val="single" w:sz="8" w:color="D2DCE5"/>
            </w:tcBorders>
            <w:shd w:val="clear" w:color="auto" w:fill="D2DCE5"/>
          </w:tcPr>
          <w:p>
            <w:pPr>
              <w:jc w:val="right"/>
              <w:ind w:right="9"/>
              <w:spacing w:after="0"/>
              <w:rPr>
                <w:sz w:val="20"/>
                <w:szCs w:val="20"/>
                <w:color w:val="auto"/>
              </w:rPr>
            </w:pPr>
            <w:r>
              <w:rPr>
                <w:rFonts w:ascii="Arial" w:cs="Arial" w:eastAsia="Arial" w:hAnsi="Arial"/>
                <w:sz w:val="14"/>
                <w:szCs w:val="14"/>
                <w:color w:val="131E29"/>
              </w:rPr>
              <w:t>558,096</w:t>
            </w: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1020" w:type="dxa"/>
            <w:vAlign w:val="bottom"/>
            <w:tcBorders>
              <w:bottom w:val="single" w:sz="8" w:color="D2DCE5"/>
            </w:tcBorders>
            <w:shd w:val="clear" w:color="auto" w:fill="D2DCE5"/>
          </w:tcPr>
          <w:p>
            <w:pPr>
              <w:jc w:val="right"/>
              <w:ind w:right="9"/>
              <w:spacing w:after="0"/>
              <w:rPr>
                <w:sz w:val="20"/>
                <w:szCs w:val="20"/>
                <w:color w:val="auto"/>
              </w:rPr>
            </w:pPr>
            <w:r>
              <w:rPr>
                <w:rFonts w:ascii="Arial" w:cs="Arial" w:eastAsia="Arial" w:hAnsi="Arial"/>
                <w:sz w:val="14"/>
                <w:szCs w:val="14"/>
                <w:color w:val="131E29"/>
              </w:rPr>
              <w:t>344,573</w:t>
            </w:r>
          </w:p>
        </w:tc>
        <w:tc>
          <w:tcPr>
            <w:tcW w:w="80" w:type="dxa"/>
            <w:vAlign w:val="bottom"/>
            <w:tcBorders>
              <w:bottom w:val="single" w:sz="8" w:color="D2DCE5"/>
            </w:tcBorders>
            <w:shd w:val="clear" w:color="auto" w:fill="D2DCE5"/>
          </w:tcPr>
          <w:p>
            <w:pPr>
              <w:spacing w:after="0"/>
              <w:rPr>
                <w:sz w:val="16"/>
                <w:szCs w:val="16"/>
                <w:color w:val="auto"/>
              </w:rPr>
            </w:pPr>
          </w:p>
        </w:tc>
        <w:tc>
          <w:tcPr>
            <w:tcW w:w="260" w:type="dxa"/>
            <w:vAlign w:val="bottom"/>
            <w:tcBorders>
              <w:bottom w:val="single" w:sz="8" w:color="D2DCE5"/>
            </w:tcBorders>
            <w:shd w:val="clear" w:color="auto" w:fill="D2DCE5"/>
          </w:tcPr>
          <w:p>
            <w:pPr>
              <w:spacing w:after="0"/>
              <w:rPr>
                <w:sz w:val="16"/>
                <w:szCs w:val="16"/>
                <w:color w:val="auto"/>
              </w:rPr>
            </w:pPr>
          </w:p>
        </w:tc>
        <w:tc>
          <w:tcPr>
            <w:tcW w:w="980" w:type="dxa"/>
            <w:vAlign w:val="bottom"/>
            <w:tcBorders>
              <w:bottom w:val="single" w:sz="8" w:color="D2DCE5"/>
            </w:tcBorders>
            <w:shd w:val="clear" w:color="auto" w:fill="D2DCE5"/>
          </w:tcPr>
          <w:p>
            <w:pPr>
              <w:jc w:val="right"/>
              <w:ind w:right="9"/>
              <w:spacing w:after="0"/>
              <w:rPr>
                <w:sz w:val="20"/>
                <w:szCs w:val="20"/>
                <w:color w:val="auto"/>
              </w:rPr>
            </w:pPr>
            <w:r>
              <w:rPr>
                <w:rFonts w:ascii="Arial" w:cs="Arial" w:eastAsia="Arial" w:hAnsi="Arial"/>
                <w:sz w:val="14"/>
                <w:szCs w:val="14"/>
                <w:color w:val="131E29"/>
              </w:rPr>
              <w:t>211,478</w:t>
            </w: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7140" w:type="dxa"/>
            <w:vAlign w:val="bottom"/>
            <w:gridSpan w:val="2"/>
          </w:tcPr>
          <w:p>
            <w:pPr>
              <w:ind w:left="140"/>
              <w:spacing w:after="0"/>
              <w:rPr>
                <w:sz w:val="20"/>
                <w:szCs w:val="20"/>
                <w:color w:val="auto"/>
              </w:rPr>
            </w:pPr>
            <w:r>
              <w:rPr>
                <w:rFonts w:ascii="Arial" w:cs="Arial" w:eastAsia="Arial" w:hAnsi="Arial"/>
                <w:sz w:val="14"/>
                <w:szCs w:val="14"/>
                <w:color w:val="131E29"/>
              </w:rPr>
              <w:t>Selling, general and administrative</w:t>
            </w:r>
          </w:p>
        </w:tc>
        <w:tc>
          <w:tcPr>
            <w:tcW w:w="280" w:type="dxa"/>
            <w:vAlign w:val="bottom"/>
          </w:tcPr>
          <w:p>
            <w:pPr>
              <w:spacing w:after="0"/>
              <w:rPr>
                <w:sz w:val="16"/>
                <w:szCs w:val="16"/>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color w:val="131E29"/>
              </w:rPr>
              <w:t>183,528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color w:val="131E29"/>
              </w:rPr>
              <w:t>264,529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131E29"/>
              </w:rPr>
              <w:t>104,935</w:t>
            </w: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706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7140" w:type="dxa"/>
            <w:vAlign w:val="bottom"/>
            <w:tcBorders>
              <w:bottom w:val="single" w:sz="8" w:color="D2DCE5"/>
            </w:tcBorders>
            <w:gridSpan w:val="2"/>
            <w:shd w:val="clear" w:color="auto" w:fill="D2DCE5"/>
          </w:tcPr>
          <w:p>
            <w:pPr>
              <w:ind w:left="280"/>
              <w:spacing w:after="0"/>
              <w:rPr>
                <w:sz w:val="20"/>
                <w:szCs w:val="20"/>
                <w:color w:val="auto"/>
              </w:rPr>
            </w:pPr>
            <w:r>
              <w:rPr>
                <w:rFonts w:ascii="Arial" w:cs="Arial" w:eastAsia="Arial" w:hAnsi="Arial"/>
                <w:sz w:val="14"/>
                <w:szCs w:val="14"/>
                <w:color w:val="131E29"/>
              </w:rPr>
              <w:t>Total costs and expenses</w:t>
            </w:r>
          </w:p>
        </w:tc>
        <w:tc>
          <w:tcPr>
            <w:tcW w:w="280" w:type="dxa"/>
            <w:vAlign w:val="bottom"/>
            <w:tcBorders>
              <w:bottom w:val="single" w:sz="8" w:color="D2DCE5"/>
            </w:tcBorders>
            <w:shd w:val="clear" w:color="auto" w:fill="D2DCE5"/>
          </w:tcPr>
          <w:p>
            <w:pPr>
              <w:spacing w:after="0"/>
              <w:rPr>
                <w:sz w:val="17"/>
                <w:szCs w:val="17"/>
                <w:color w:val="auto"/>
              </w:rPr>
            </w:pPr>
          </w:p>
        </w:tc>
        <w:tc>
          <w:tcPr>
            <w:tcW w:w="1040" w:type="dxa"/>
            <w:vAlign w:val="bottom"/>
            <w:tcBorders>
              <w:bottom w:val="single" w:sz="8" w:color="D2DCE5"/>
            </w:tcBorders>
            <w:shd w:val="clear" w:color="auto" w:fill="D2DCE5"/>
          </w:tcPr>
          <w:p>
            <w:pPr>
              <w:jc w:val="right"/>
              <w:ind w:right="9"/>
              <w:spacing w:after="0"/>
              <w:rPr>
                <w:sz w:val="20"/>
                <w:szCs w:val="20"/>
                <w:color w:val="auto"/>
              </w:rPr>
            </w:pPr>
            <w:r>
              <w:rPr>
                <w:rFonts w:ascii="Arial" w:cs="Arial" w:eastAsia="Arial" w:hAnsi="Arial"/>
                <w:sz w:val="14"/>
                <w:szCs w:val="14"/>
                <w:color w:val="131E29"/>
              </w:rPr>
              <w:t>741,624</w:t>
            </w:r>
          </w:p>
        </w:tc>
        <w:tc>
          <w:tcPr>
            <w:tcW w:w="80" w:type="dxa"/>
            <w:vAlign w:val="bottom"/>
            <w:tcBorders>
              <w:bottom w:val="single" w:sz="8" w:color="D2DCE5"/>
            </w:tcBorders>
            <w:shd w:val="clear" w:color="auto" w:fill="D2DCE5"/>
          </w:tcPr>
          <w:p>
            <w:pPr>
              <w:spacing w:after="0"/>
              <w:rPr>
                <w:sz w:val="17"/>
                <w:szCs w:val="17"/>
                <w:color w:val="auto"/>
              </w:rPr>
            </w:pPr>
          </w:p>
        </w:tc>
        <w:tc>
          <w:tcPr>
            <w:tcW w:w="300" w:type="dxa"/>
            <w:vAlign w:val="bottom"/>
            <w:tcBorders>
              <w:bottom w:val="single" w:sz="8" w:color="D2DCE5"/>
            </w:tcBorders>
            <w:shd w:val="clear" w:color="auto" w:fill="D2DCE5"/>
          </w:tcPr>
          <w:p>
            <w:pPr>
              <w:spacing w:after="0"/>
              <w:rPr>
                <w:sz w:val="17"/>
                <w:szCs w:val="17"/>
                <w:color w:val="auto"/>
              </w:rPr>
            </w:pPr>
          </w:p>
        </w:tc>
        <w:tc>
          <w:tcPr>
            <w:tcW w:w="1020" w:type="dxa"/>
            <w:vAlign w:val="bottom"/>
            <w:tcBorders>
              <w:bottom w:val="single" w:sz="8" w:color="D2DCE5"/>
            </w:tcBorders>
            <w:shd w:val="clear" w:color="auto" w:fill="D2DCE5"/>
          </w:tcPr>
          <w:p>
            <w:pPr>
              <w:jc w:val="right"/>
              <w:ind w:right="9"/>
              <w:spacing w:after="0"/>
              <w:rPr>
                <w:sz w:val="20"/>
                <w:szCs w:val="20"/>
                <w:color w:val="auto"/>
              </w:rPr>
            </w:pPr>
            <w:r>
              <w:rPr>
                <w:rFonts w:ascii="Arial" w:cs="Arial" w:eastAsia="Arial" w:hAnsi="Arial"/>
                <w:sz w:val="14"/>
                <w:szCs w:val="14"/>
                <w:color w:val="131E29"/>
              </w:rPr>
              <w:t>609,102</w:t>
            </w:r>
          </w:p>
        </w:tc>
        <w:tc>
          <w:tcPr>
            <w:tcW w:w="80" w:type="dxa"/>
            <w:vAlign w:val="bottom"/>
            <w:tcBorders>
              <w:bottom w:val="single" w:sz="8" w:color="D2DCE5"/>
            </w:tcBorders>
            <w:shd w:val="clear" w:color="auto" w:fill="D2DCE5"/>
          </w:tcPr>
          <w:p>
            <w:pPr>
              <w:spacing w:after="0"/>
              <w:rPr>
                <w:sz w:val="17"/>
                <w:szCs w:val="17"/>
                <w:color w:val="auto"/>
              </w:rPr>
            </w:pPr>
          </w:p>
        </w:tc>
        <w:tc>
          <w:tcPr>
            <w:tcW w:w="260" w:type="dxa"/>
            <w:vAlign w:val="bottom"/>
            <w:tcBorders>
              <w:bottom w:val="single" w:sz="8" w:color="D2DCE5"/>
            </w:tcBorders>
            <w:shd w:val="clear" w:color="auto" w:fill="D2DCE5"/>
          </w:tcPr>
          <w:p>
            <w:pPr>
              <w:spacing w:after="0"/>
              <w:rPr>
                <w:sz w:val="17"/>
                <w:szCs w:val="17"/>
                <w:color w:val="auto"/>
              </w:rPr>
            </w:pPr>
          </w:p>
        </w:tc>
        <w:tc>
          <w:tcPr>
            <w:tcW w:w="980" w:type="dxa"/>
            <w:vAlign w:val="bottom"/>
            <w:tcBorders>
              <w:bottom w:val="single" w:sz="8" w:color="D2DCE5"/>
            </w:tcBorders>
            <w:shd w:val="clear" w:color="auto" w:fill="D2DCE5"/>
          </w:tcPr>
          <w:p>
            <w:pPr>
              <w:jc w:val="right"/>
              <w:ind w:right="9"/>
              <w:spacing w:after="0"/>
              <w:rPr>
                <w:sz w:val="20"/>
                <w:szCs w:val="20"/>
                <w:color w:val="auto"/>
              </w:rPr>
            </w:pPr>
            <w:r>
              <w:rPr>
                <w:rFonts w:ascii="Arial" w:cs="Arial" w:eastAsia="Arial" w:hAnsi="Arial"/>
                <w:sz w:val="14"/>
                <w:szCs w:val="14"/>
                <w:color w:val="131E29"/>
              </w:rPr>
              <w:t>316,413</w:t>
            </w: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71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INCOME (LOSS) FROM OPERATIONS</w:t>
            </w:r>
          </w:p>
        </w:tc>
        <w:tc>
          <w:tcPr>
            <w:tcW w:w="280" w:type="dxa"/>
            <w:vAlign w:val="bottom"/>
            <w:tcBorders>
              <w:bottom w:val="single" w:sz="8" w:color="D2DCE5"/>
            </w:tcBorders>
            <w:shd w:val="clear" w:color="auto" w:fill="D2DCE5"/>
          </w:tcPr>
          <w:p>
            <w:pPr>
              <w:spacing w:after="0"/>
              <w:rPr>
                <w:sz w:val="16"/>
                <w:szCs w:val="16"/>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(2,612)</w:t>
            </w: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(111,226)</w:t>
            </w:r>
          </w:p>
        </w:tc>
        <w:tc>
          <w:tcPr>
            <w:tcW w:w="80" w:type="dxa"/>
            <w:vAlign w:val="bottom"/>
            <w:tcBorders>
              <w:bottom w:val="single" w:sz="8" w:color="D2DCE5"/>
            </w:tcBorders>
            <w:shd w:val="clear" w:color="auto" w:fill="D2DCE5"/>
          </w:tcPr>
          <w:p>
            <w:pPr>
              <w:spacing w:after="0"/>
              <w:rPr>
                <w:sz w:val="16"/>
                <w:szCs w:val="16"/>
                <w:color w:val="auto"/>
              </w:rPr>
            </w:pPr>
          </w:p>
        </w:tc>
        <w:tc>
          <w:tcPr>
            <w:tcW w:w="260" w:type="dxa"/>
            <w:vAlign w:val="bottom"/>
            <w:tcBorders>
              <w:bottom w:val="single" w:sz="8" w:color="D2DCE5"/>
            </w:tcBorders>
            <w:shd w:val="clear" w:color="auto" w:fill="D2DCE5"/>
          </w:tcPr>
          <w:p>
            <w:pPr>
              <w:spacing w:after="0"/>
              <w:rPr>
                <w:sz w:val="16"/>
                <w:szCs w:val="16"/>
                <w:color w:val="auto"/>
              </w:rPr>
            </w:pPr>
          </w:p>
        </w:tc>
        <w:tc>
          <w:tcPr>
            <w:tcW w:w="980" w:type="dxa"/>
            <w:vAlign w:val="bottom"/>
            <w:tcBorders>
              <w:bottom w:val="single" w:sz="8" w:color="D2DCE5"/>
            </w:tcBorders>
            <w:shd w:val="clear" w:color="auto" w:fill="D2DCE5"/>
          </w:tcPr>
          <w:p>
            <w:pPr>
              <w:jc w:val="right"/>
              <w:ind w:right="9"/>
              <w:spacing w:after="0"/>
              <w:rPr>
                <w:sz w:val="20"/>
                <w:szCs w:val="20"/>
                <w:color w:val="auto"/>
              </w:rPr>
            </w:pPr>
            <w:r>
              <w:rPr>
                <w:rFonts w:ascii="Arial" w:cs="Arial" w:eastAsia="Arial" w:hAnsi="Arial"/>
                <w:sz w:val="14"/>
                <w:szCs w:val="14"/>
                <w:color w:val="131E29"/>
              </w:rPr>
              <w:t>11,000</w:t>
            </w: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71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OTHER EXPENSE</w:t>
            </w:r>
          </w:p>
        </w:tc>
        <w:tc>
          <w:tcPr>
            <w:tcW w:w="280" w:type="dxa"/>
            <w:vAlign w:val="bottom"/>
            <w:tcBorders>
              <w:bottom w:val="single" w:sz="8" w:color="D2DCE5"/>
            </w:tcBorders>
            <w:shd w:val="clear" w:color="auto" w:fill="D2DCE5"/>
          </w:tcPr>
          <w:p>
            <w:pPr>
              <w:spacing w:after="0"/>
              <w:rPr>
                <w:sz w:val="16"/>
                <w:szCs w:val="16"/>
                <w:color w:val="auto"/>
              </w:rPr>
            </w:pPr>
          </w:p>
        </w:tc>
        <w:tc>
          <w:tcPr>
            <w:tcW w:w="104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102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260" w:type="dxa"/>
            <w:vAlign w:val="bottom"/>
            <w:tcBorders>
              <w:bottom w:val="single" w:sz="8" w:color="D2DCE5"/>
            </w:tcBorders>
            <w:shd w:val="clear" w:color="auto" w:fill="D2DCE5"/>
          </w:tcPr>
          <w:p>
            <w:pPr>
              <w:spacing w:after="0"/>
              <w:rPr>
                <w:sz w:val="16"/>
                <w:szCs w:val="16"/>
                <w:color w:val="auto"/>
              </w:rPr>
            </w:pPr>
          </w:p>
        </w:tc>
        <w:tc>
          <w:tcPr>
            <w:tcW w:w="980" w:type="dxa"/>
            <w:vAlign w:val="bottom"/>
            <w:tcBorders>
              <w:bottom w:val="single" w:sz="8" w:color="D2DCE5"/>
            </w:tcBorders>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7140" w:type="dxa"/>
            <w:vAlign w:val="bottom"/>
            <w:gridSpan w:val="2"/>
          </w:tcPr>
          <w:p>
            <w:pPr>
              <w:ind w:left="140"/>
              <w:spacing w:after="0"/>
              <w:rPr>
                <w:sz w:val="20"/>
                <w:szCs w:val="20"/>
                <w:color w:val="auto"/>
              </w:rPr>
            </w:pPr>
            <w:r>
              <w:rPr>
                <w:rFonts w:ascii="Arial" w:cs="Arial" w:eastAsia="Arial" w:hAnsi="Arial"/>
                <w:sz w:val="14"/>
                <w:szCs w:val="14"/>
                <w:color w:val="131E29"/>
              </w:rPr>
              <w:t>Interest expense, net</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131E29"/>
              </w:rPr>
              <w:t>(18,018)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(7,093)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131E29"/>
              </w:rPr>
              <w:t>(3,736)</w:t>
            </w: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0" w:type="dxa"/>
            <w:vAlign w:val="bottom"/>
          </w:tcPr>
          <w:p>
            <w:pPr>
              <w:spacing w:after="0"/>
              <w:rPr>
                <w:sz w:val="18"/>
                <w:szCs w:val="18"/>
                <w:color w:val="auto"/>
              </w:rPr>
            </w:pPr>
          </w:p>
        </w:tc>
        <w:tc>
          <w:tcPr>
            <w:tcW w:w="714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Other income (expense)</w:t>
            </w:r>
          </w:p>
        </w:tc>
        <w:tc>
          <w:tcPr>
            <w:tcW w:w="280" w:type="dxa"/>
            <w:vAlign w:val="bottom"/>
            <w:tcBorders>
              <w:bottom w:val="single" w:sz="8" w:color="D2DCE5"/>
            </w:tcBorders>
            <w:shd w:val="clear" w:color="auto" w:fill="D2DCE5"/>
          </w:tcPr>
          <w:p>
            <w:pPr>
              <w:spacing w:after="0"/>
              <w:rPr>
                <w:sz w:val="18"/>
                <w:szCs w:val="18"/>
                <w:color w:val="auto"/>
              </w:rPr>
            </w:pPr>
          </w:p>
        </w:tc>
        <w:tc>
          <w:tcPr>
            <w:tcW w:w="1040" w:type="dxa"/>
            <w:vAlign w:val="bottom"/>
            <w:tcBorders>
              <w:bottom w:val="single" w:sz="8" w:color="D2DCE5"/>
            </w:tcBorders>
            <w:shd w:val="clear" w:color="auto" w:fill="D2DCE5"/>
          </w:tcPr>
          <w:p>
            <w:pPr>
              <w:jc w:val="right"/>
              <w:ind w:right="9"/>
              <w:spacing w:after="0"/>
              <w:rPr>
                <w:sz w:val="20"/>
                <w:szCs w:val="20"/>
                <w:color w:val="auto"/>
              </w:rPr>
            </w:pPr>
            <w:r>
              <w:rPr>
                <w:rFonts w:ascii="Arial" w:cs="Arial" w:eastAsia="Arial" w:hAnsi="Arial"/>
                <w:sz w:val="14"/>
                <w:szCs w:val="14"/>
                <w:color w:val="131E29"/>
              </w:rPr>
              <w:t>3,976</w:t>
            </w:r>
          </w:p>
        </w:tc>
        <w:tc>
          <w:tcPr>
            <w:tcW w:w="80" w:type="dxa"/>
            <w:vAlign w:val="bottom"/>
            <w:tcBorders>
              <w:bottom w:val="single" w:sz="8" w:color="D2DCE5"/>
            </w:tcBorders>
            <w:shd w:val="clear" w:color="auto" w:fill="D2DCE5"/>
          </w:tcPr>
          <w:p>
            <w:pPr>
              <w:spacing w:after="0"/>
              <w:rPr>
                <w:sz w:val="18"/>
                <w:szCs w:val="18"/>
                <w:color w:val="auto"/>
              </w:rPr>
            </w:pPr>
          </w:p>
        </w:tc>
        <w:tc>
          <w:tcPr>
            <w:tcW w:w="300" w:type="dxa"/>
            <w:vAlign w:val="bottom"/>
            <w:tcBorders>
              <w:bottom w:val="single" w:sz="8" w:color="D2DCE5"/>
            </w:tcBorders>
            <w:shd w:val="clear" w:color="auto" w:fill="D2DCE5"/>
          </w:tcPr>
          <w:p>
            <w:pPr>
              <w:spacing w:after="0"/>
              <w:rPr>
                <w:sz w:val="18"/>
                <w:szCs w:val="18"/>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(1,240)</w:t>
            </w:r>
          </w:p>
        </w:tc>
        <w:tc>
          <w:tcPr>
            <w:tcW w:w="80" w:type="dxa"/>
            <w:vAlign w:val="bottom"/>
            <w:tcBorders>
              <w:bottom w:val="single" w:sz="8" w:color="D2DCE5"/>
            </w:tcBorders>
            <w:shd w:val="clear" w:color="auto" w:fill="D2DCE5"/>
          </w:tcPr>
          <w:p>
            <w:pPr>
              <w:spacing w:after="0"/>
              <w:rPr>
                <w:sz w:val="18"/>
                <w:szCs w:val="18"/>
                <w:color w:val="auto"/>
              </w:rPr>
            </w:pPr>
          </w:p>
        </w:tc>
        <w:tc>
          <w:tcPr>
            <w:tcW w:w="260" w:type="dxa"/>
            <w:vAlign w:val="bottom"/>
            <w:tcBorders>
              <w:bottom w:val="single" w:sz="8" w:color="D2DCE5"/>
            </w:tcBorders>
            <w:shd w:val="clear" w:color="auto" w:fill="D2DCE5"/>
          </w:tcPr>
          <w:p>
            <w:pPr>
              <w:spacing w:after="0"/>
              <w:rPr>
                <w:sz w:val="18"/>
                <w:szCs w:val="18"/>
                <w:color w:val="auto"/>
              </w:rPr>
            </w:pPr>
          </w:p>
        </w:tc>
        <w:tc>
          <w:tcPr>
            <w:tcW w:w="9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(363)</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7140" w:type="dxa"/>
            <w:vAlign w:val="bottom"/>
            <w:gridSpan w:val="2"/>
          </w:tcPr>
          <w:p>
            <w:pPr>
              <w:ind w:left="280"/>
              <w:spacing w:after="0"/>
              <w:rPr>
                <w:sz w:val="20"/>
                <w:szCs w:val="20"/>
                <w:color w:val="auto"/>
              </w:rPr>
            </w:pPr>
            <w:r>
              <w:rPr>
                <w:rFonts w:ascii="Arial" w:cs="Arial" w:eastAsia="Arial" w:hAnsi="Arial"/>
                <w:sz w:val="14"/>
                <w:szCs w:val="14"/>
                <w:color w:val="131E29"/>
              </w:rPr>
              <w:t>Total other expense</w:t>
            </w: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(14,042)</w:t>
            </w: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(8,333)</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(4,099)</w:t>
            </w: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706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70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10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102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60" w:type="dxa"/>
            <w:vAlign w:val="bottom"/>
            <w:shd w:val="clear" w:color="auto" w:fill="D2DCE5"/>
          </w:tcPr>
          <w:p>
            <w:pPr>
              <w:spacing w:after="0"/>
              <w:rPr>
                <w:sz w:val="15"/>
                <w:szCs w:val="15"/>
                <w:color w:val="auto"/>
              </w:rPr>
            </w:pPr>
          </w:p>
        </w:tc>
        <w:tc>
          <w:tcPr>
            <w:tcW w:w="98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7140" w:type="dxa"/>
            <w:vAlign w:val="bottom"/>
            <w:gridSpan w:val="2"/>
          </w:tcPr>
          <w:p>
            <w:pPr>
              <w:ind w:left="20"/>
              <w:spacing w:after="0"/>
              <w:rPr>
                <w:sz w:val="20"/>
                <w:szCs w:val="20"/>
                <w:color w:val="auto"/>
              </w:rPr>
            </w:pPr>
            <w:r>
              <w:rPr>
                <w:rFonts w:ascii="Arial" w:cs="Arial" w:eastAsia="Arial" w:hAnsi="Arial"/>
                <w:sz w:val="14"/>
                <w:szCs w:val="14"/>
                <w:color w:val="131E29"/>
              </w:rPr>
              <w:t>INCOME (LOSS) BEFORE INCOME TAXES</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131E29"/>
              </w:rPr>
              <w:t>(16,654)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(119,559)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131E29"/>
              </w:rPr>
              <w:t>6,901</w:t>
            </w: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0" w:type="dxa"/>
            <w:vAlign w:val="bottom"/>
          </w:tcPr>
          <w:p>
            <w:pPr>
              <w:spacing w:after="0"/>
              <w:rPr>
                <w:sz w:val="18"/>
                <w:szCs w:val="18"/>
                <w:color w:val="auto"/>
              </w:rPr>
            </w:pPr>
          </w:p>
        </w:tc>
        <w:tc>
          <w:tcPr>
            <w:tcW w:w="71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Income tax expense (benefit)</w:t>
            </w:r>
          </w:p>
        </w:tc>
        <w:tc>
          <w:tcPr>
            <w:tcW w:w="280" w:type="dxa"/>
            <w:vAlign w:val="bottom"/>
            <w:tcBorders>
              <w:bottom w:val="single" w:sz="8" w:color="D2DCE5"/>
            </w:tcBorders>
            <w:shd w:val="clear" w:color="auto" w:fill="D2DCE5"/>
          </w:tcPr>
          <w:p>
            <w:pPr>
              <w:spacing w:after="0"/>
              <w:rPr>
                <w:sz w:val="18"/>
                <w:szCs w:val="18"/>
                <w:color w:val="auto"/>
              </w:rPr>
            </w:pPr>
          </w:p>
        </w:tc>
        <w:tc>
          <w:tcPr>
            <w:tcW w:w="1040" w:type="dxa"/>
            <w:vAlign w:val="bottom"/>
            <w:tcBorders>
              <w:bottom w:val="single" w:sz="8" w:color="D2DCE5"/>
            </w:tcBorders>
            <w:shd w:val="clear" w:color="auto" w:fill="D2DCE5"/>
          </w:tcPr>
          <w:p>
            <w:pPr>
              <w:jc w:val="right"/>
              <w:ind w:right="9"/>
              <w:spacing w:after="0"/>
              <w:rPr>
                <w:sz w:val="20"/>
                <w:szCs w:val="20"/>
                <w:color w:val="auto"/>
              </w:rPr>
            </w:pPr>
            <w:r>
              <w:rPr>
                <w:rFonts w:ascii="Arial" w:cs="Arial" w:eastAsia="Arial" w:hAnsi="Arial"/>
                <w:sz w:val="14"/>
                <w:szCs w:val="14"/>
                <w:color w:val="131E29"/>
              </w:rPr>
              <w:t>2,599</w:t>
            </w:r>
          </w:p>
        </w:tc>
        <w:tc>
          <w:tcPr>
            <w:tcW w:w="80" w:type="dxa"/>
            <w:vAlign w:val="bottom"/>
            <w:tcBorders>
              <w:bottom w:val="single" w:sz="8" w:color="D2DCE5"/>
            </w:tcBorders>
            <w:shd w:val="clear" w:color="auto" w:fill="D2DCE5"/>
          </w:tcPr>
          <w:p>
            <w:pPr>
              <w:spacing w:after="0"/>
              <w:rPr>
                <w:sz w:val="18"/>
                <w:szCs w:val="18"/>
                <w:color w:val="auto"/>
              </w:rPr>
            </w:pPr>
          </w:p>
        </w:tc>
        <w:tc>
          <w:tcPr>
            <w:tcW w:w="300" w:type="dxa"/>
            <w:vAlign w:val="bottom"/>
            <w:tcBorders>
              <w:bottom w:val="single" w:sz="8" w:color="D2DCE5"/>
            </w:tcBorders>
            <w:shd w:val="clear" w:color="auto" w:fill="D2DCE5"/>
          </w:tcPr>
          <w:p>
            <w:pPr>
              <w:spacing w:after="0"/>
              <w:rPr>
                <w:sz w:val="18"/>
                <w:szCs w:val="18"/>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(1,628)</w:t>
            </w:r>
          </w:p>
        </w:tc>
        <w:tc>
          <w:tcPr>
            <w:tcW w:w="80" w:type="dxa"/>
            <w:vAlign w:val="bottom"/>
            <w:tcBorders>
              <w:bottom w:val="single" w:sz="8" w:color="D2DCE5"/>
            </w:tcBorders>
            <w:shd w:val="clear" w:color="auto" w:fill="D2DCE5"/>
          </w:tcPr>
          <w:p>
            <w:pPr>
              <w:spacing w:after="0"/>
              <w:rPr>
                <w:sz w:val="18"/>
                <w:szCs w:val="18"/>
                <w:color w:val="auto"/>
              </w:rPr>
            </w:pPr>
          </w:p>
        </w:tc>
        <w:tc>
          <w:tcPr>
            <w:tcW w:w="260" w:type="dxa"/>
            <w:vAlign w:val="bottom"/>
            <w:tcBorders>
              <w:bottom w:val="single" w:sz="8" w:color="D2DCE5"/>
            </w:tcBorders>
            <w:shd w:val="clear" w:color="auto" w:fill="D2DCE5"/>
          </w:tcPr>
          <w:p>
            <w:pPr>
              <w:spacing w:after="0"/>
              <w:rPr>
                <w:sz w:val="18"/>
                <w:szCs w:val="18"/>
                <w:color w:val="auto"/>
              </w:rPr>
            </w:pPr>
          </w:p>
        </w:tc>
        <w:tc>
          <w:tcPr>
            <w:tcW w:w="980" w:type="dxa"/>
            <w:vAlign w:val="bottom"/>
            <w:tcBorders>
              <w:bottom w:val="single" w:sz="8" w:color="D2DCE5"/>
            </w:tcBorders>
            <w:shd w:val="clear" w:color="auto" w:fill="D2DCE5"/>
          </w:tcPr>
          <w:p>
            <w:pPr>
              <w:jc w:val="right"/>
              <w:ind w:right="9"/>
              <w:spacing w:after="0"/>
              <w:rPr>
                <w:sz w:val="20"/>
                <w:szCs w:val="20"/>
                <w:color w:val="auto"/>
              </w:rPr>
            </w:pPr>
            <w:r>
              <w:rPr>
                <w:rFonts w:ascii="Arial" w:cs="Arial" w:eastAsia="Arial" w:hAnsi="Arial"/>
                <w:sz w:val="14"/>
                <w:szCs w:val="14"/>
                <w:color w:val="131E29"/>
              </w:rPr>
              <w:t>843</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7140" w:type="dxa"/>
            <w:vAlign w:val="bottom"/>
            <w:gridSpan w:val="2"/>
          </w:tcPr>
          <w:p>
            <w:pPr>
              <w:ind w:left="20"/>
              <w:spacing w:after="0"/>
              <w:rPr>
                <w:sz w:val="20"/>
                <w:szCs w:val="20"/>
                <w:color w:val="auto"/>
              </w:rPr>
            </w:pPr>
            <w:r>
              <w:rPr>
                <w:rFonts w:ascii="Arial" w:cs="Arial" w:eastAsia="Arial" w:hAnsi="Arial"/>
                <w:sz w:val="14"/>
                <w:szCs w:val="14"/>
                <w:color w:val="131E29"/>
              </w:rPr>
              <w:t>NET INCOME (LOSS)</w:t>
            </w:r>
          </w:p>
        </w:tc>
        <w:tc>
          <w:tcPr>
            <w:tcW w:w="28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131E29"/>
                <w:w w:val="76"/>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(19,253)</w:t>
            </w:r>
          </w:p>
        </w:tc>
        <w:tc>
          <w:tcPr>
            <w:tcW w:w="80" w:type="dxa"/>
            <w:vAlign w:val="bottom"/>
          </w:tcPr>
          <w:p>
            <w:pPr>
              <w:spacing w:after="0"/>
              <w:rPr>
                <w:sz w:val="15"/>
                <w:szCs w:val="15"/>
                <w:color w:val="auto"/>
              </w:rPr>
            </w:pPr>
          </w:p>
        </w:tc>
        <w:tc>
          <w:tcPr>
            <w:tcW w:w="300" w:type="dxa"/>
            <w:vAlign w:val="bottom"/>
            <w:tcBorders>
              <w:top w:val="single" w:sz="8" w:color="auto"/>
            </w:tcBorders>
          </w:tcPr>
          <w:p>
            <w:pPr>
              <w:jc w:val="right"/>
              <w:ind w:right="149"/>
              <w:spacing w:after="0"/>
              <w:rPr>
                <w:sz w:val="20"/>
                <w:szCs w:val="20"/>
                <w:color w:val="auto"/>
              </w:rPr>
            </w:pPr>
            <w:r>
              <w:rPr>
                <w:rFonts w:ascii="Arial" w:cs="Arial" w:eastAsia="Arial" w:hAnsi="Arial"/>
                <w:sz w:val="14"/>
                <w:szCs w:val="14"/>
                <w:color w:val="131E29"/>
                <w:w w:val="76"/>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(117,931)</w:t>
            </w:r>
          </w:p>
        </w:tc>
        <w:tc>
          <w:tcPr>
            <w:tcW w:w="80" w:type="dxa"/>
            <w:vAlign w:val="bottom"/>
          </w:tcPr>
          <w:p>
            <w:pPr>
              <w:spacing w:after="0"/>
              <w:rPr>
                <w:sz w:val="15"/>
                <w:szCs w:val="15"/>
                <w:color w:val="auto"/>
              </w:rPr>
            </w:pPr>
          </w:p>
        </w:tc>
        <w:tc>
          <w:tcPr>
            <w:tcW w:w="26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131E29"/>
                <w:w w:val="76"/>
              </w:rPr>
              <w:t>$</w:t>
            </w:r>
          </w:p>
        </w:tc>
        <w:tc>
          <w:tcPr>
            <w:tcW w:w="9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131E29"/>
              </w:rPr>
              <w:t>6,058</w:t>
            </w: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 w:type="dxa"/>
            <w:vAlign w:val="bottom"/>
          </w:tcPr>
          <w:p>
            <w:pPr>
              <w:spacing w:after="0"/>
              <w:rPr>
                <w:sz w:val="16"/>
                <w:szCs w:val="16"/>
                <w:color w:val="auto"/>
              </w:rPr>
            </w:pPr>
          </w:p>
        </w:tc>
        <w:tc>
          <w:tcPr>
            <w:tcW w:w="714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Less: Net income (loss) attributable to Dutch Bros OpCo prior to the Reorganization Transactions</w:t>
            </w:r>
          </w:p>
        </w:tc>
        <w:tc>
          <w:tcPr>
            <w:tcW w:w="280" w:type="dxa"/>
            <w:vAlign w:val="bottom"/>
            <w:tcBorders>
              <w:bottom w:val="single" w:sz="8" w:color="D2DCE5"/>
            </w:tcBorders>
            <w:shd w:val="clear" w:color="auto" w:fill="D2DCE5"/>
          </w:tcPr>
          <w:p>
            <w:pPr>
              <w:spacing w:after="0"/>
              <w:rPr>
                <w:sz w:val="16"/>
                <w:szCs w:val="16"/>
                <w:color w:val="auto"/>
              </w:rPr>
            </w:pPr>
          </w:p>
        </w:tc>
        <w:tc>
          <w:tcPr>
            <w:tcW w:w="112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6"/>
                <w:szCs w:val="16"/>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(67,374)</w:t>
            </w:r>
          </w:p>
        </w:tc>
        <w:tc>
          <w:tcPr>
            <w:tcW w:w="80" w:type="dxa"/>
            <w:vAlign w:val="bottom"/>
            <w:tcBorders>
              <w:bottom w:val="single" w:sz="8" w:color="D2DCE5"/>
            </w:tcBorders>
            <w:shd w:val="clear" w:color="auto" w:fill="D2DCE5"/>
          </w:tcPr>
          <w:p>
            <w:pPr>
              <w:spacing w:after="0"/>
              <w:rPr>
                <w:sz w:val="16"/>
                <w:szCs w:val="16"/>
                <w:color w:val="auto"/>
              </w:rPr>
            </w:pPr>
          </w:p>
        </w:tc>
        <w:tc>
          <w:tcPr>
            <w:tcW w:w="260" w:type="dxa"/>
            <w:vAlign w:val="bottom"/>
            <w:tcBorders>
              <w:bottom w:val="single" w:sz="8" w:color="D2DCE5"/>
            </w:tcBorders>
            <w:shd w:val="clear" w:color="auto" w:fill="D2DCE5"/>
          </w:tcPr>
          <w:p>
            <w:pPr>
              <w:spacing w:after="0"/>
              <w:rPr>
                <w:sz w:val="16"/>
                <w:szCs w:val="16"/>
                <w:color w:val="auto"/>
              </w:rPr>
            </w:pPr>
          </w:p>
        </w:tc>
        <w:tc>
          <w:tcPr>
            <w:tcW w:w="980" w:type="dxa"/>
            <w:vAlign w:val="bottom"/>
            <w:tcBorders>
              <w:bottom w:val="single" w:sz="8" w:color="D2DCE5"/>
            </w:tcBorders>
            <w:shd w:val="clear" w:color="auto" w:fill="D2DCE5"/>
          </w:tcPr>
          <w:p>
            <w:pPr>
              <w:jc w:val="right"/>
              <w:ind w:right="9"/>
              <w:spacing w:after="0"/>
              <w:rPr>
                <w:sz w:val="20"/>
                <w:szCs w:val="20"/>
                <w:color w:val="auto"/>
              </w:rPr>
            </w:pPr>
            <w:r>
              <w:rPr>
                <w:rFonts w:ascii="Arial" w:cs="Arial" w:eastAsia="Arial" w:hAnsi="Arial"/>
                <w:sz w:val="14"/>
                <w:szCs w:val="14"/>
                <w:color w:val="131E29"/>
              </w:rPr>
              <w:t>6,058</w:t>
            </w: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7140" w:type="dxa"/>
            <w:vAlign w:val="bottom"/>
            <w:gridSpan w:val="2"/>
          </w:tcPr>
          <w:p>
            <w:pPr>
              <w:ind w:left="140"/>
              <w:spacing w:after="0"/>
              <w:rPr>
                <w:sz w:val="20"/>
                <w:szCs w:val="20"/>
                <w:color w:val="auto"/>
              </w:rPr>
            </w:pPr>
            <w:r>
              <w:rPr>
                <w:rFonts w:ascii="Arial" w:cs="Arial" w:eastAsia="Arial" w:hAnsi="Arial"/>
                <w:sz w:val="14"/>
                <w:szCs w:val="14"/>
                <w:color w:val="131E29"/>
              </w:rPr>
              <w:t>Less: Net loss attributable to non-controlling interests</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131E29"/>
              </w:rPr>
              <w:t>(14,500)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(37,878)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706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71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NET LOSS ATTRIBUTABLE TO DUTCH BROS INC.</w:t>
            </w:r>
          </w:p>
        </w:tc>
        <w:tc>
          <w:tcPr>
            <w:tcW w:w="280" w:type="dxa"/>
            <w:vAlign w:val="bottom"/>
            <w:tcBorders>
              <w:bottom w:val="single" w:sz="8" w:color="auto"/>
            </w:tcBorders>
            <w:shd w:val="clear" w:color="auto" w:fill="D2DCE5"/>
          </w:tcPr>
          <w:p>
            <w:pPr>
              <w:jc w:val="right"/>
              <w:ind w:right="129"/>
              <w:spacing w:after="0"/>
              <w:rPr>
                <w:sz w:val="20"/>
                <w:szCs w:val="20"/>
                <w:color w:val="auto"/>
              </w:rPr>
            </w:pPr>
            <w:r>
              <w:rPr>
                <w:rFonts w:ascii="Arial" w:cs="Arial" w:eastAsia="Arial" w:hAnsi="Arial"/>
                <w:sz w:val="14"/>
                <w:szCs w:val="14"/>
                <w:color w:val="131E29"/>
                <w:w w:val="76"/>
              </w:rPr>
              <w:t>$</w:t>
            </w: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(4,753)</w:t>
            </w:r>
          </w:p>
        </w:tc>
        <w:tc>
          <w:tcPr>
            <w:tcW w:w="80" w:type="dxa"/>
            <w:vAlign w:val="bottom"/>
            <w:tcBorders>
              <w:bottom w:val="single" w:sz="8" w:color="D2DCE5"/>
            </w:tcBorders>
            <w:shd w:val="clear" w:color="auto" w:fill="D2DCE5"/>
          </w:tcPr>
          <w:p>
            <w:pPr>
              <w:spacing w:after="0"/>
              <w:rPr>
                <w:sz w:val="19"/>
                <w:szCs w:val="19"/>
                <w:color w:val="auto"/>
              </w:rPr>
            </w:pPr>
          </w:p>
        </w:tc>
        <w:tc>
          <w:tcPr>
            <w:tcW w:w="300" w:type="dxa"/>
            <w:vAlign w:val="bottom"/>
            <w:tcBorders>
              <w:bottom w:val="single" w:sz="8" w:color="auto"/>
            </w:tcBorders>
            <w:shd w:val="clear" w:color="auto" w:fill="D2DCE5"/>
          </w:tcPr>
          <w:p>
            <w:pPr>
              <w:jc w:val="right"/>
              <w:ind w:right="149"/>
              <w:spacing w:after="0"/>
              <w:rPr>
                <w:sz w:val="20"/>
                <w:szCs w:val="20"/>
                <w:color w:val="auto"/>
              </w:rPr>
            </w:pPr>
            <w:r>
              <w:rPr>
                <w:rFonts w:ascii="Arial" w:cs="Arial" w:eastAsia="Arial" w:hAnsi="Arial"/>
                <w:sz w:val="14"/>
                <w:szCs w:val="14"/>
                <w:color w:val="131E29"/>
                <w:w w:val="76"/>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(12,679)</w:t>
            </w:r>
          </w:p>
        </w:tc>
        <w:tc>
          <w:tcPr>
            <w:tcW w:w="80" w:type="dxa"/>
            <w:vAlign w:val="bottom"/>
            <w:tcBorders>
              <w:bottom w:val="single" w:sz="8" w:color="D2DCE5"/>
            </w:tcBorders>
            <w:shd w:val="clear" w:color="auto" w:fill="D2DCE5"/>
          </w:tcPr>
          <w:p>
            <w:pPr>
              <w:spacing w:after="0"/>
              <w:rPr>
                <w:sz w:val="19"/>
                <w:szCs w:val="19"/>
                <w:color w:val="auto"/>
              </w:rPr>
            </w:pPr>
          </w:p>
        </w:tc>
        <w:tc>
          <w:tcPr>
            <w:tcW w:w="260" w:type="dxa"/>
            <w:vAlign w:val="bottom"/>
            <w:tcBorders>
              <w:bottom w:val="single" w:sz="8" w:color="auto"/>
            </w:tcBorders>
            <w:shd w:val="clear" w:color="auto" w:fill="D2DCE5"/>
          </w:tcPr>
          <w:p>
            <w:pPr>
              <w:jc w:val="right"/>
              <w:ind w:right="109"/>
              <w:spacing w:after="0"/>
              <w:rPr>
                <w:sz w:val="20"/>
                <w:szCs w:val="20"/>
                <w:color w:val="auto"/>
              </w:rPr>
            </w:pPr>
            <w:r>
              <w:rPr>
                <w:rFonts w:ascii="Arial" w:cs="Arial" w:eastAsia="Arial" w:hAnsi="Arial"/>
                <w:sz w:val="14"/>
                <w:szCs w:val="14"/>
                <w:color w:val="131E29"/>
                <w:w w:val="76"/>
              </w:rPr>
              <w:t>$</w:t>
            </w:r>
          </w:p>
        </w:tc>
        <w:tc>
          <w:tcPr>
            <w:tcW w:w="980" w:type="dxa"/>
            <w:vAlign w:val="bottom"/>
            <w:tcBorders>
              <w:bottom w:val="single" w:sz="8" w:color="auto"/>
            </w:tcBorders>
            <w:shd w:val="clear" w:color="auto" w:fill="D2DCE5"/>
          </w:tcPr>
          <w:p>
            <w:pPr>
              <w:jc w:val="right"/>
              <w:ind w:right="9"/>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140" w:type="dxa"/>
            <w:vAlign w:val="bottom"/>
            <w:tcBorders>
              <w:top w:val="single" w:sz="8" w:color="D2DCE5"/>
              <w:bottom w:val="single" w:sz="8" w:color="D2DCE5"/>
            </w:tcBorders>
            <w:gridSpan w:val="2"/>
            <w:vMerge w:val="restart"/>
          </w:tcPr>
          <w:p>
            <w:pPr>
              <w:ind w:left="20"/>
              <w:spacing w:after="0" w:line="194" w:lineRule="exact"/>
              <w:rPr>
                <w:sz w:val="20"/>
                <w:szCs w:val="20"/>
                <w:color w:val="auto"/>
              </w:rPr>
            </w:pPr>
            <w:r>
              <w:rPr>
                <w:rFonts w:ascii="Arial" w:cs="Arial" w:eastAsia="Arial" w:hAnsi="Arial"/>
                <w:sz w:val="14"/>
                <w:szCs w:val="14"/>
                <w:color w:val="131E29"/>
              </w:rPr>
              <w:t>Net loss per share of Class A and Class D common stock:</w:t>
            </w:r>
            <w:r>
              <w:rPr>
                <w:rFonts w:ascii="Arial" w:cs="Arial" w:eastAsia="Arial" w:hAnsi="Arial"/>
                <w:sz w:val="18"/>
                <w:szCs w:val="18"/>
                <w:color w:val="131E29"/>
                <w:vertAlign w:val="superscript"/>
              </w:rPr>
              <w:t>1</w:t>
            </w:r>
          </w:p>
        </w:tc>
        <w:tc>
          <w:tcPr>
            <w:tcW w:w="280" w:type="dxa"/>
            <w:vAlign w:val="bottom"/>
            <w:tcBorders>
              <w:top w:val="single" w:sz="8" w:color="D2DCE5"/>
              <w:bottom w:val="single" w:sz="8" w:color="auto"/>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60" w:type="dxa"/>
            <w:vAlign w:val="bottom"/>
            <w:tcBorders>
              <w:top w:val="single" w:sz="8" w:color="D2DCE5"/>
              <w:bottom w:val="single" w:sz="8" w:color="auto"/>
            </w:tcBorders>
          </w:tcPr>
          <w:p>
            <w:pPr>
              <w:spacing w:after="0" w:line="20" w:lineRule="exact"/>
              <w:rPr>
                <w:sz w:val="1"/>
                <w:szCs w:val="1"/>
                <w:color w:val="auto"/>
              </w:rPr>
            </w:pPr>
          </w:p>
        </w:tc>
        <w:tc>
          <w:tcPr>
            <w:tcW w:w="98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0" w:type="dxa"/>
            <w:vAlign w:val="bottom"/>
          </w:tcPr>
          <w:p>
            <w:pPr>
              <w:spacing w:after="0"/>
              <w:rPr>
                <w:sz w:val="13"/>
                <w:szCs w:val="13"/>
                <w:color w:val="auto"/>
              </w:rPr>
            </w:pPr>
          </w:p>
        </w:tc>
        <w:tc>
          <w:tcPr>
            <w:tcW w:w="714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714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Basic</w:t>
            </w:r>
          </w:p>
        </w:tc>
        <w:tc>
          <w:tcPr>
            <w:tcW w:w="280" w:type="dxa"/>
            <w:vAlign w:val="bottom"/>
            <w:tcBorders>
              <w:bottom w:val="single" w:sz="8" w:color="auto"/>
            </w:tcBorders>
            <w:shd w:val="clear" w:color="auto" w:fill="D2DCE5"/>
          </w:tcPr>
          <w:p>
            <w:pPr>
              <w:jc w:val="right"/>
              <w:ind w:right="129"/>
              <w:spacing w:after="0"/>
              <w:rPr>
                <w:sz w:val="20"/>
                <w:szCs w:val="20"/>
                <w:color w:val="auto"/>
              </w:rPr>
            </w:pPr>
            <w:r>
              <w:rPr>
                <w:rFonts w:ascii="Arial" w:cs="Arial" w:eastAsia="Arial" w:hAnsi="Arial"/>
                <w:sz w:val="14"/>
                <w:szCs w:val="14"/>
                <w:color w:val="131E29"/>
                <w:w w:val="76"/>
              </w:rPr>
              <w:t>$</w:t>
            </w: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(0.09)</w:t>
            </w:r>
          </w:p>
        </w:tc>
        <w:tc>
          <w:tcPr>
            <w:tcW w:w="80" w:type="dxa"/>
            <w:vAlign w:val="bottom"/>
            <w:tcBorders>
              <w:bottom w:val="single" w:sz="8" w:color="D2DCE5"/>
            </w:tcBorders>
            <w:shd w:val="clear" w:color="auto" w:fill="D2DCE5"/>
          </w:tcPr>
          <w:p>
            <w:pPr>
              <w:spacing w:after="0"/>
              <w:rPr>
                <w:sz w:val="20"/>
                <w:szCs w:val="20"/>
                <w:color w:val="auto"/>
              </w:rPr>
            </w:pPr>
          </w:p>
        </w:tc>
        <w:tc>
          <w:tcPr>
            <w:tcW w:w="300" w:type="dxa"/>
            <w:vAlign w:val="bottom"/>
            <w:tcBorders>
              <w:bottom w:val="single" w:sz="8" w:color="auto"/>
            </w:tcBorders>
            <w:shd w:val="clear" w:color="auto" w:fill="D2DCE5"/>
          </w:tcPr>
          <w:p>
            <w:pPr>
              <w:jc w:val="right"/>
              <w:ind w:right="149"/>
              <w:spacing w:after="0"/>
              <w:rPr>
                <w:sz w:val="20"/>
                <w:szCs w:val="20"/>
                <w:color w:val="auto"/>
              </w:rPr>
            </w:pPr>
            <w:r>
              <w:rPr>
                <w:rFonts w:ascii="Arial" w:cs="Arial" w:eastAsia="Arial" w:hAnsi="Arial"/>
                <w:sz w:val="14"/>
                <w:szCs w:val="14"/>
                <w:color w:val="131E29"/>
                <w:w w:val="76"/>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(0.28)</w:t>
            </w:r>
          </w:p>
        </w:tc>
        <w:tc>
          <w:tcPr>
            <w:tcW w:w="80" w:type="dxa"/>
            <w:vAlign w:val="bottom"/>
            <w:tcBorders>
              <w:bottom w:val="single" w:sz="8" w:color="D2DCE5"/>
            </w:tcBorders>
            <w:shd w:val="clear" w:color="auto" w:fill="D2DCE5"/>
          </w:tcPr>
          <w:p>
            <w:pPr>
              <w:spacing w:after="0"/>
              <w:rPr>
                <w:sz w:val="20"/>
                <w:szCs w:val="20"/>
                <w:color w:val="auto"/>
              </w:rPr>
            </w:pPr>
          </w:p>
        </w:tc>
        <w:tc>
          <w:tcPr>
            <w:tcW w:w="260" w:type="dxa"/>
            <w:vAlign w:val="bottom"/>
            <w:tcBorders>
              <w:bottom w:val="single" w:sz="8" w:color="auto"/>
            </w:tcBorders>
            <w:shd w:val="clear" w:color="auto" w:fill="D2DCE5"/>
          </w:tcPr>
          <w:p>
            <w:pPr>
              <w:spacing w:after="0"/>
              <w:rPr>
                <w:sz w:val="20"/>
                <w:szCs w:val="20"/>
                <w:color w:val="auto"/>
              </w:rPr>
            </w:pPr>
          </w:p>
        </w:tc>
        <w:tc>
          <w:tcPr>
            <w:tcW w:w="9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N/A</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06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D2DCE5"/>
              <w:bottom w:val="single" w:sz="8" w:color="auto"/>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60" w:type="dxa"/>
            <w:vAlign w:val="bottom"/>
            <w:tcBorders>
              <w:top w:val="single" w:sz="8" w:color="D2DCE5"/>
              <w:bottom w:val="single" w:sz="8" w:color="auto"/>
            </w:tcBorders>
          </w:tcPr>
          <w:p>
            <w:pPr>
              <w:spacing w:after="0" w:line="20" w:lineRule="exact"/>
              <w:rPr>
                <w:sz w:val="1"/>
                <w:szCs w:val="1"/>
                <w:color w:val="auto"/>
              </w:rPr>
            </w:pPr>
          </w:p>
        </w:tc>
        <w:tc>
          <w:tcPr>
            <w:tcW w:w="98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0" w:type="dxa"/>
            <w:vAlign w:val="bottom"/>
          </w:tcPr>
          <w:p>
            <w:pPr>
              <w:spacing w:after="0"/>
              <w:rPr>
                <w:sz w:val="15"/>
                <w:szCs w:val="15"/>
                <w:color w:val="auto"/>
              </w:rPr>
            </w:pPr>
          </w:p>
        </w:tc>
        <w:tc>
          <w:tcPr>
            <w:tcW w:w="7140" w:type="dxa"/>
            <w:vAlign w:val="bottom"/>
            <w:gridSpan w:val="2"/>
          </w:tcPr>
          <w:p>
            <w:pPr>
              <w:ind w:left="140"/>
              <w:spacing w:after="0"/>
              <w:rPr>
                <w:sz w:val="20"/>
                <w:szCs w:val="20"/>
                <w:color w:val="auto"/>
              </w:rPr>
            </w:pPr>
            <w:r>
              <w:rPr>
                <w:rFonts w:ascii="Arial" w:cs="Arial" w:eastAsia="Arial" w:hAnsi="Arial"/>
                <w:sz w:val="14"/>
                <w:szCs w:val="14"/>
                <w:color w:val="131E29"/>
              </w:rPr>
              <w:t>Diluted</w:t>
            </w: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131E29"/>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(0.09)</w:t>
            </w:r>
          </w:p>
        </w:tc>
        <w:tc>
          <w:tcPr>
            <w:tcW w:w="80" w:type="dxa"/>
            <w:vAlign w:val="bottom"/>
          </w:tcPr>
          <w:p>
            <w:pPr>
              <w:spacing w:after="0"/>
              <w:rPr>
                <w:sz w:val="15"/>
                <w:szCs w:val="15"/>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131E29"/>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(0.28)</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N/A</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06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0" w:type="dxa"/>
            <w:vAlign w:val="bottom"/>
          </w:tcPr>
          <w:p>
            <w:pPr>
              <w:spacing w:after="0"/>
              <w:rPr>
                <w:sz w:val="13"/>
                <w:szCs w:val="13"/>
                <w:color w:val="auto"/>
              </w:rPr>
            </w:pPr>
          </w:p>
        </w:tc>
        <w:tc>
          <w:tcPr>
            <w:tcW w:w="7140" w:type="dxa"/>
            <w:vAlign w:val="bottom"/>
            <w:tcBorders>
              <w:bottom w:val="single" w:sz="8" w:color="D2DCE5"/>
            </w:tcBorders>
            <w:gridSpan w:val="2"/>
            <w:shd w:val="clear" w:color="auto" w:fill="D2DCE5"/>
          </w:tcPr>
          <w:p>
            <w:pPr>
              <w:ind w:left="20"/>
              <w:spacing w:after="0" w:line="152" w:lineRule="exact"/>
              <w:rPr>
                <w:sz w:val="20"/>
                <w:szCs w:val="20"/>
                <w:color w:val="auto"/>
              </w:rPr>
            </w:pPr>
            <w:r>
              <w:rPr>
                <w:rFonts w:ascii="Arial" w:cs="Arial" w:eastAsia="Arial" w:hAnsi="Arial"/>
                <w:sz w:val="14"/>
                <w:szCs w:val="14"/>
                <w:color w:val="131E29"/>
              </w:rPr>
              <w:t>Weighted-average shares of Class A and Class D common stock outstanding:</w:t>
            </w:r>
          </w:p>
        </w:tc>
        <w:tc>
          <w:tcPr>
            <w:tcW w:w="280" w:type="dxa"/>
            <w:vAlign w:val="bottom"/>
            <w:tcBorders>
              <w:bottom w:val="single" w:sz="8" w:color="D2DCE5"/>
            </w:tcBorders>
            <w:shd w:val="clear" w:color="auto" w:fill="D2DCE5"/>
          </w:tcPr>
          <w:p>
            <w:pPr>
              <w:spacing w:after="0"/>
              <w:rPr>
                <w:sz w:val="13"/>
                <w:szCs w:val="13"/>
                <w:color w:val="auto"/>
              </w:rPr>
            </w:pPr>
          </w:p>
        </w:tc>
        <w:tc>
          <w:tcPr>
            <w:tcW w:w="1040" w:type="dxa"/>
            <w:vAlign w:val="bottom"/>
            <w:tcBorders>
              <w:bottom w:val="single" w:sz="8" w:color="D2DCE5"/>
            </w:tcBorders>
            <w:shd w:val="clear" w:color="auto" w:fill="D2DCE5"/>
          </w:tcPr>
          <w:p>
            <w:pPr>
              <w:spacing w:after="0"/>
              <w:rPr>
                <w:sz w:val="13"/>
                <w:szCs w:val="13"/>
                <w:color w:val="auto"/>
              </w:rPr>
            </w:pPr>
          </w:p>
        </w:tc>
        <w:tc>
          <w:tcPr>
            <w:tcW w:w="80" w:type="dxa"/>
            <w:vAlign w:val="bottom"/>
            <w:tcBorders>
              <w:bottom w:val="single" w:sz="8" w:color="D2DCE5"/>
            </w:tcBorders>
            <w:shd w:val="clear" w:color="auto" w:fill="D2DCE5"/>
          </w:tcPr>
          <w:p>
            <w:pPr>
              <w:spacing w:after="0"/>
              <w:rPr>
                <w:sz w:val="13"/>
                <w:szCs w:val="13"/>
                <w:color w:val="auto"/>
              </w:rPr>
            </w:pPr>
          </w:p>
        </w:tc>
        <w:tc>
          <w:tcPr>
            <w:tcW w:w="300" w:type="dxa"/>
            <w:vAlign w:val="bottom"/>
            <w:tcBorders>
              <w:bottom w:val="single" w:sz="8" w:color="D2DCE5"/>
            </w:tcBorders>
            <w:shd w:val="clear" w:color="auto" w:fill="D2DCE5"/>
          </w:tcPr>
          <w:p>
            <w:pPr>
              <w:spacing w:after="0"/>
              <w:rPr>
                <w:sz w:val="13"/>
                <w:szCs w:val="13"/>
                <w:color w:val="auto"/>
              </w:rPr>
            </w:pPr>
          </w:p>
        </w:tc>
        <w:tc>
          <w:tcPr>
            <w:tcW w:w="1020" w:type="dxa"/>
            <w:vAlign w:val="bottom"/>
            <w:tcBorders>
              <w:bottom w:val="single" w:sz="8" w:color="D2DCE5"/>
            </w:tcBorders>
            <w:shd w:val="clear" w:color="auto" w:fill="D2DCE5"/>
          </w:tcPr>
          <w:p>
            <w:pPr>
              <w:spacing w:after="0"/>
              <w:rPr>
                <w:sz w:val="13"/>
                <w:szCs w:val="13"/>
                <w:color w:val="auto"/>
              </w:rPr>
            </w:pPr>
          </w:p>
        </w:tc>
        <w:tc>
          <w:tcPr>
            <w:tcW w:w="80" w:type="dxa"/>
            <w:vAlign w:val="bottom"/>
            <w:tcBorders>
              <w:bottom w:val="single" w:sz="8" w:color="D2DCE5"/>
            </w:tcBorders>
            <w:shd w:val="clear" w:color="auto" w:fill="D2DCE5"/>
          </w:tcPr>
          <w:p>
            <w:pPr>
              <w:spacing w:after="0"/>
              <w:rPr>
                <w:sz w:val="13"/>
                <w:szCs w:val="13"/>
                <w:color w:val="auto"/>
              </w:rPr>
            </w:pPr>
          </w:p>
        </w:tc>
        <w:tc>
          <w:tcPr>
            <w:tcW w:w="260" w:type="dxa"/>
            <w:vAlign w:val="bottom"/>
            <w:tcBorders>
              <w:bottom w:val="single" w:sz="8" w:color="D2DCE5"/>
            </w:tcBorders>
            <w:shd w:val="clear" w:color="auto" w:fill="D2DCE5"/>
          </w:tcPr>
          <w:p>
            <w:pPr>
              <w:spacing w:after="0"/>
              <w:rPr>
                <w:sz w:val="13"/>
                <w:szCs w:val="13"/>
                <w:color w:val="auto"/>
              </w:rPr>
            </w:pPr>
          </w:p>
        </w:tc>
        <w:tc>
          <w:tcPr>
            <w:tcW w:w="980" w:type="dxa"/>
            <w:vAlign w:val="bottom"/>
            <w:tcBorders>
              <w:bottom w:val="single" w:sz="8" w:color="D2DCE5"/>
            </w:tcBorders>
            <w:shd w:val="clear" w:color="auto" w:fill="D2DCE5"/>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7140" w:type="dxa"/>
            <w:vAlign w:val="bottom"/>
            <w:gridSpan w:val="2"/>
          </w:tcPr>
          <w:p>
            <w:pPr>
              <w:ind w:left="140"/>
              <w:spacing w:after="0"/>
              <w:rPr>
                <w:sz w:val="20"/>
                <w:szCs w:val="20"/>
                <w:color w:val="auto"/>
              </w:rPr>
            </w:pPr>
            <w:r>
              <w:rPr>
                <w:rFonts w:ascii="Arial" w:cs="Arial" w:eastAsia="Arial" w:hAnsi="Arial"/>
                <w:sz w:val="14"/>
                <w:szCs w:val="14"/>
                <w:color w:val="131E29"/>
              </w:rPr>
              <w:t>Basic</w:t>
            </w:r>
          </w:p>
        </w:tc>
        <w:tc>
          <w:tcPr>
            <w:tcW w:w="280" w:type="dxa"/>
            <w:vAlign w:val="bottom"/>
          </w:tcPr>
          <w:p>
            <w:pPr>
              <w:spacing w:after="0"/>
              <w:rPr>
                <w:sz w:val="16"/>
                <w:szCs w:val="16"/>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color w:val="131E29"/>
              </w:rPr>
              <w:t>51,871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color w:val="131E29"/>
              </w:rPr>
              <w:t>45,864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131E29"/>
              </w:rPr>
              <w:t>N/A</w:t>
            </w: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 w:type="dxa"/>
            <w:vAlign w:val="bottom"/>
          </w:tcPr>
          <w:p>
            <w:pPr>
              <w:spacing w:after="0"/>
              <w:rPr>
                <w:sz w:val="16"/>
                <w:szCs w:val="16"/>
                <w:color w:val="auto"/>
              </w:rPr>
            </w:pPr>
          </w:p>
        </w:tc>
        <w:tc>
          <w:tcPr>
            <w:tcW w:w="714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Diluted</w:t>
            </w:r>
          </w:p>
        </w:tc>
        <w:tc>
          <w:tcPr>
            <w:tcW w:w="280" w:type="dxa"/>
            <w:vAlign w:val="bottom"/>
            <w:tcBorders>
              <w:bottom w:val="single" w:sz="8" w:color="D2DCE5"/>
            </w:tcBorders>
            <w:shd w:val="clear" w:color="auto" w:fill="D2DCE5"/>
          </w:tcPr>
          <w:p>
            <w:pPr>
              <w:spacing w:after="0"/>
              <w:rPr>
                <w:sz w:val="16"/>
                <w:szCs w:val="16"/>
                <w:color w:val="auto"/>
              </w:rPr>
            </w:pPr>
          </w:p>
        </w:tc>
        <w:tc>
          <w:tcPr>
            <w:tcW w:w="1040" w:type="dxa"/>
            <w:vAlign w:val="bottom"/>
            <w:tcBorders>
              <w:bottom w:val="single" w:sz="8" w:color="D2DCE5"/>
            </w:tcBorders>
            <w:shd w:val="clear" w:color="auto" w:fill="D2DCE5"/>
          </w:tcPr>
          <w:p>
            <w:pPr>
              <w:jc w:val="right"/>
              <w:ind w:right="9"/>
              <w:spacing w:after="0"/>
              <w:rPr>
                <w:sz w:val="20"/>
                <w:szCs w:val="20"/>
                <w:color w:val="auto"/>
              </w:rPr>
            </w:pPr>
            <w:r>
              <w:rPr>
                <w:rFonts w:ascii="Arial" w:cs="Arial" w:eastAsia="Arial" w:hAnsi="Arial"/>
                <w:sz w:val="14"/>
                <w:szCs w:val="14"/>
                <w:color w:val="131E29"/>
              </w:rPr>
              <w:t>51,871</w:t>
            </w: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1020" w:type="dxa"/>
            <w:vAlign w:val="bottom"/>
            <w:tcBorders>
              <w:bottom w:val="single" w:sz="8" w:color="D2DCE5"/>
            </w:tcBorders>
            <w:shd w:val="clear" w:color="auto" w:fill="D2DCE5"/>
          </w:tcPr>
          <w:p>
            <w:pPr>
              <w:jc w:val="right"/>
              <w:ind w:right="9"/>
              <w:spacing w:after="0"/>
              <w:rPr>
                <w:sz w:val="20"/>
                <w:szCs w:val="20"/>
                <w:color w:val="auto"/>
              </w:rPr>
            </w:pPr>
            <w:r>
              <w:rPr>
                <w:rFonts w:ascii="Arial" w:cs="Arial" w:eastAsia="Arial" w:hAnsi="Arial"/>
                <w:sz w:val="14"/>
                <w:szCs w:val="14"/>
                <w:color w:val="131E29"/>
              </w:rPr>
              <w:t>45,864</w:t>
            </w:r>
          </w:p>
        </w:tc>
        <w:tc>
          <w:tcPr>
            <w:tcW w:w="80" w:type="dxa"/>
            <w:vAlign w:val="bottom"/>
            <w:tcBorders>
              <w:bottom w:val="single" w:sz="8" w:color="D2DCE5"/>
            </w:tcBorders>
            <w:shd w:val="clear" w:color="auto" w:fill="D2DCE5"/>
          </w:tcPr>
          <w:p>
            <w:pPr>
              <w:spacing w:after="0"/>
              <w:rPr>
                <w:sz w:val="16"/>
                <w:szCs w:val="16"/>
                <w:color w:val="auto"/>
              </w:rPr>
            </w:pPr>
          </w:p>
        </w:tc>
        <w:tc>
          <w:tcPr>
            <w:tcW w:w="260" w:type="dxa"/>
            <w:vAlign w:val="bottom"/>
            <w:tcBorders>
              <w:bottom w:val="single" w:sz="8" w:color="D2DCE5"/>
            </w:tcBorders>
            <w:shd w:val="clear" w:color="auto" w:fill="D2DCE5"/>
          </w:tcPr>
          <w:p>
            <w:pPr>
              <w:spacing w:after="0"/>
              <w:rPr>
                <w:sz w:val="16"/>
                <w:szCs w:val="16"/>
                <w:color w:val="auto"/>
              </w:rPr>
            </w:pPr>
          </w:p>
        </w:tc>
        <w:tc>
          <w:tcPr>
            <w:tcW w:w="9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N/A</w:t>
            </w:r>
          </w:p>
        </w:tc>
        <w:tc>
          <w:tcPr>
            <w:tcW w:w="0" w:type="dxa"/>
            <w:vAlign w:val="bottom"/>
          </w:tcPr>
          <w:p>
            <w:pPr>
              <w:spacing w:after="0"/>
              <w:rPr>
                <w:sz w:val="1"/>
                <w:szCs w:val="1"/>
                <w:color w:val="auto"/>
              </w:rPr>
            </w:pPr>
          </w:p>
        </w:tc>
      </w:tr>
      <w:tr>
        <w:trPr>
          <w:trHeight w:val="244"/>
        </w:trPr>
        <w:tc>
          <w:tcPr>
            <w:tcW w:w="7120" w:type="dxa"/>
            <w:vAlign w:val="bottom"/>
            <w:gridSpan w:val="2"/>
          </w:tcPr>
          <w:p>
            <w:pPr>
              <w:jc w:val="right"/>
              <w:ind w:right="5710"/>
              <w:spacing w:after="0"/>
              <w:rPr>
                <w:sz w:val="20"/>
                <w:szCs w:val="20"/>
                <w:color w:val="auto"/>
              </w:rPr>
            </w:pPr>
            <w:r>
              <w:rPr>
                <w:rFonts w:ascii="Arial" w:cs="Arial" w:eastAsia="Arial" w:hAnsi="Arial"/>
                <w:sz w:val="14"/>
                <w:szCs w:val="14"/>
                <w:color w:val="131E29"/>
                <w:w w:val="99"/>
              </w:rPr>
              <w:t>_________________</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20" w:hanging="115"/>
        <w:spacing w:after="0"/>
        <w:tabs>
          <w:tab w:leader="none" w:pos="120" w:val="left"/>
        </w:tabs>
        <w:numPr>
          <w:ilvl w:val="0"/>
          <w:numId w:val="68"/>
        </w:numPr>
        <w:rPr>
          <w:rFonts w:ascii="Arial" w:cs="Arial" w:eastAsia="Arial" w:hAnsi="Arial"/>
          <w:sz w:val="15"/>
          <w:szCs w:val="15"/>
          <w:color w:val="auto"/>
          <w:vertAlign w:val="superscript"/>
        </w:rPr>
      </w:pPr>
      <w:r>
        <w:rPr>
          <w:rFonts w:ascii="Arial" w:cs="Arial" w:eastAsia="Arial" w:hAnsi="Arial"/>
          <w:sz w:val="11"/>
          <w:szCs w:val="11"/>
          <w:color w:val="auto"/>
        </w:rPr>
        <w:t>Basic and diluted net loss per share of Class A and Class D common stock are applicable only for periods subsequent to September 14, 2021, the effective date of the Company’s Reorganization Transactions and IPO.</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94" w:name="page95"/>
    <w:bookmarkEnd w:id="94"/>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Consolidated Statements of Comprehensive Income (Loss)</w:t>
      </w:r>
    </w:p>
    <w:p>
      <w:pPr>
        <w:spacing w:after="0" w:line="351"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131E29"/>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4712335</wp:posOffset>
            </wp:positionH>
            <wp:positionV relativeFrom="paragraph">
              <wp:posOffset>31115</wp:posOffset>
            </wp:positionV>
            <wp:extent cx="2452370" cy="69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452370" cy="698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131E29"/>
              </w:rPr>
              <w:t>2022</w:t>
            </w:r>
          </w:p>
        </w:tc>
        <w:tc>
          <w:tcPr>
            <w:tcW w:w="80" w:type="dxa"/>
            <w:vAlign w:val="bottom"/>
            <w:tcBorders>
              <w:bottom w:val="single" w:sz="8" w:color="D2DCE5"/>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131E29"/>
              </w:rPr>
              <w:t>2021</w:t>
            </w:r>
          </w:p>
        </w:tc>
        <w:tc>
          <w:tcPr>
            <w:tcW w:w="100" w:type="dxa"/>
            <w:vAlign w:val="bottom"/>
            <w:tcBorders>
              <w:bottom w:val="single" w:sz="8" w:color="D2DC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131E29"/>
              </w:rPr>
              <w:t>2020</w:t>
            </w:r>
          </w:p>
        </w:tc>
      </w:tr>
      <w:tr>
        <w:trPr>
          <w:trHeight w:val="192"/>
        </w:trPr>
        <w:tc>
          <w:tcPr>
            <w:tcW w:w="74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Net income (loss)</w:t>
            </w:r>
          </w:p>
        </w:tc>
        <w:tc>
          <w:tcPr>
            <w:tcW w:w="280" w:type="dxa"/>
            <w:vAlign w:val="bottom"/>
            <w:tcBorders>
              <w:bottom w:val="single" w:sz="8" w:color="D2DCE5"/>
            </w:tcBorders>
            <w:shd w:val="clear" w:color="auto" w:fill="D2DCE5"/>
          </w:tcPr>
          <w:p>
            <w:pPr>
              <w:jc w:val="right"/>
              <w:ind w:right="109"/>
              <w:spacing w:after="0"/>
              <w:rPr>
                <w:sz w:val="20"/>
                <w:szCs w:val="20"/>
                <w:color w:val="auto"/>
              </w:rPr>
            </w:pPr>
            <w:r>
              <w:rPr>
                <w:rFonts w:ascii="Arial" w:cs="Arial" w:eastAsia="Arial" w:hAnsi="Arial"/>
                <w:sz w:val="14"/>
                <w:szCs w:val="14"/>
                <w:color w:val="131E29"/>
              </w:rPr>
              <w:t>$</w:t>
            </w: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(19,253)</w:t>
            </w:r>
          </w:p>
        </w:tc>
        <w:tc>
          <w:tcPr>
            <w:tcW w:w="8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jc w:val="right"/>
              <w:ind w:right="129"/>
              <w:spacing w:after="0"/>
              <w:rPr>
                <w:sz w:val="20"/>
                <w:szCs w:val="20"/>
                <w:color w:val="auto"/>
              </w:rPr>
            </w:pPr>
            <w:r>
              <w:rPr>
                <w:rFonts w:ascii="Arial" w:cs="Arial" w:eastAsia="Arial" w:hAnsi="Arial"/>
                <w:sz w:val="14"/>
                <w:szCs w:val="14"/>
                <w:color w:val="131E29"/>
                <w:w w:val="76"/>
              </w:rPr>
              <w:t>$</w:t>
            </w:r>
          </w:p>
        </w:tc>
        <w:tc>
          <w:tcPr>
            <w:tcW w:w="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(117,931)</w:t>
            </w:r>
          </w:p>
        </w:tc>
        <w:tc>
          <w:tcPr>
            <w:tcW w:w="100" w:type="dxa"/>
            <w:vAlign w:val="bottom"/>
            <w:tcBorders>
              <w:bottom w:val="single" w:sz="8" w:color="D2DCE5"/>
            </w:tcBorders>
            <w:shd w:val="clear" w:color="auto" w:fill="D2DCE5"/>
          </w:tcPr>
          <w:p>
            <w:pPr>
              <w:spacing w:after="0"/>
              <w:rPr>
                <w:sz w:val="16"/>
                <w:szCs w:val="16"/>
                <w:color w:val="auto"/>
              </w:rPr>
            </w:pPr>
          </w:p>
        </w:tc>
        <w:tc>
          <w:tcPr>
            <w:tcW w:w="260" w:type="dxa"/>
            <w:vAlign w:val="bottom"/>
            <w:tcBorders>
              <w:bottom w:val="single" w:sz="8" w:color="D2DCE5"/>
            </w:tcBorders>
            <w:shd w:val="clear" w:color="auto" w:fill="D2DCE5"/>
          </w:tcPr>
          <w:p>
            <w:pPr>
              <w:jc w:val="right"/>
              <w:ind w:right="109"/>
              <w:spacing w:after="0"/>
              <w:rPr>
                <w:sz w:val="20"/>
                <w:szCs w:val="20"/>
                <w:color w:val="auto"/>
              </w:rPr>
            </w:pPr>
            <w:r>
              <w:rPr>
                <w:rFonts w:ascii="Arial" w:cs="Arial" w:eastAsia="Arial" w:hAnsi="Arial"/>
                <w:sz w:val="14"/>
                <w:szCs w:val="14"/>
                <w:color w:val="131E29"/>
                <w:w w:val="76"/>
              </w:rPr>
              <w:t>$</w:t>
            </w: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6,058</w:t>
            </w:r>
          </w:p>
        </w:tc>
      </w:tr>
      <w:tr>
        <w:trPr>
          <w:trHeight w:val="191"/>
        </w:trPr>
        <w:tc>
          <w:tcPr>
            <w:tcW w:w="7420" w:type="dxa"/>
            <w:vAlign w:val="bottom"/>
            <w:gridSpan w:val="2"/>
          </w:tcPr>
          <w:p>
            <w:pPr>
              <w:ind w:left="20"/>
              <w:spacing w:after="0"/>
              <w:rPr>
                <w:sz w:val="20"/>
                <w:szCs w:val="20"/>
                <w:color w:val="auto"/>
              </w:rPr>
            </w:pPr>
            <w:r>
              <w:rPr>
                <w:rFonts w:ascii="Arial" w:cs="Arial" w:eastAsia="Arial" w:hAnsi="Arial"/>
                <w:sz w:val="14"/>
                <w:szCs w:val="14"/>
                <w:color w:val="131E29"/>
              </w:rPr>
              <w:t>Other comprehensive income:</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2"/>
        </w:trPr>
        <w:tc>
          <w:tcPr>
            <w:tcW w:w="7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0"/>
        </w:trPr>
        <w:tc>
          <w:tcPr>
            <w:tcW w:w="7420" w:type="dxa"/>
            <w:vAlign w:val="bottom"/>
            <w:gridSpan w:val="2"/>
            <w:shd w:val="clear" w:color="auto" w:fill="D2DCE5"/>
          </w:tcPr>
          <w:p>
            <w:pPr>
              <w:ind w:left="100"/>
              <w:spacing w:after="0"/>
              <w:rPr>
                <w:sz w:val="20"/>
                <w:szCs w:val="20"/>
                <w:color w:val="auto"/>
              </w:rPr>
            </w:pPr>
            <w:r>
              <w:rPr>
                <w:rFonts w:ascii="Arial" w:cs="Arial" w:eastAsia="Arial" w:hAnsi="Arial"/>
                <w:sz w:val="14"/>
                <w:szCs w:val="14"/>
                <w:color w:val="131E29"/>
              </w:rPr>
              <w:t>Unrealized gain on derivative securities, effective portion, net of income tax expense of $273, $—, and $—,</w:t>
            </w:r>
          </w:p>
        </w:tc>
        <w:tc>
          <w:tcPr>
            <w:tcW w:w="280" w:type="dxa"/>
            <w:vAlign w:val="bottom"/>
            <w:shd w:val="clear" w:color="auto" w:fill="D2DCE5"/>
          </w:tcPr>
          <w:p>
            <w:pPr>
              <w:spacing w:after="0"/>
              <w:rPr>
                <w:sz w:val="16"/>
                <w:szCs w:val="16"/>
                <w:color w:val="auto"/>
              </w:rPr>
            </w:pPr>
          </w:p>
        </w:tc>
        <w:tc>
          <w:tcPr>
            <w:tcW w:w="9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94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260" w:type="dxa"/>
            <w:vAlign w:val="bottom"/>
            <w:shd w:val="clear" w:color="auto" w:fill="D2DCE5"/>
          </w:tcPr>
          <w:p>
            <w:pPr>
              <w:spacing w:after="0"/>
              <w:rPr>
                <w:sz w:val="16"/>
                <w:szCs w:val="16"/>
                <w:color w:val="auto"/>
              </w:rPr>
            </w:pPr>
          </w:p>
        </w:tc>
        <w:tc>
          <w:tcPr>
            <w:tcW w:w="960" w:type="dxa"/>
            <w:vAlign w:val="bottom"/>
            <w:shd w:val="clear" w:color="auto" w:fill="D2DCE5"/>
          </w:tcPr>
          <w:p>
            <w:pPr>
              <w:spacing w:after="0"/>
              <w:rPr>
                <w:sz w:val="16"/>
                <w:szCs w:val="16"/>
                <w:color w:val="auto"/>
              </w:rPr>
            </w:pPr>
          </w:p>
        </w:tc>
      </w:tr>
      <w:tr>
        <w:trPr>
          <w:trHeight w:val="192"/>
        </w:trPr>
        <w:tc>
          <w:tcPr>
            <w:tcW w:w="7420" w:type="dxa"/>
            <w:vAlign w:val="bottom"/>
            <w:tcBorders>
              <w:bottom w:val="single" w:sz="8" w:color="D2DCE5"/>
            </w:tcBorders>
            <w:gridSpan w:val="2"/>
            <w:shd w:val="clear" w:color="auto" w:fill="D2DCE5"/>
          </w:tcPr>
          <w:p>
            <w:pPr>
              <w:ind w:left="100"/>
              <w:spacing w:after="0"/>
              <w:rPr>
                <w:sz w:val="20"/>
                <w:szCs w:val="20"/>
                <w:color w:val="auto"/>
              </w:rPr>
            </w:pPr>
            <w:r>
              <w:rPr>
                <w:rFonts w:ascii="Arial" w:cs="Arial" w:eastAsia="Arial" w:hAnsi="Arial"/>
                <w:sz w:val="14"/>
                <w:szCs w:val="14"/>
                <w:color w:val="131E29"/>
              </w:rPr>
              <w:t>respectively</w:t>
            </w:r>
          </w:p>
        </w:tc>
        <w:tc>
          <w:tcPr>
            <w:tcW w:w="280" w:type="dxa"/>
            <w:vAlign w:val="bottom"/>
            <w:tcBorders>
              <w:bottom w:val="single" w:sz="8" w:color="D2DCE5"/>
            </w:tcBorders>
            <w:shd w:val="clear" w:color="auto" w:fill="D2DCE5"/>
          </w:tcPr>
          <w:p>
            <w:pPr>
              <w:spacing w:after="0"/>
              <w:rPr>
                <w:sz w:val="16"/>
                <w:szCs w:val="16"/>
                <w:color w:val="auto"/>
              </w:rPr>
            </w:pP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2,908</w:t>
            </w:r>
          </w:p>
        </w:tc>
        <w:tc>
          <w:tcPr>
            <w:tcW w:w="8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spacing w:after="0"/>
              <w:rPr>
                <w:sz w:val="16"/>
                <w:szCs w:val="16"/>
                <w:color w:val="auto"/>
              </w:rPr>
            </w:pPr>
          </w:p>
        </w:tc>
        <w:tc>
          <w:tcPr>
            <w:tcW w:w="1040" w:type="dxa"/>
            <w:vAlign w:val="bottom"/>
            <w:tcBorders>
              <w:bottom w:val="single" w:sz="8" w:color="D2DCE5"/>
            </w:tcBorders>
            <w:gridSpan w:val="2"/>
            <w:shd w:val="clear" w:color="auto" w:fill="D2DCE5"/>
          </w:tcPr>
          <w:p>
            <w:pPr>
              <w:ind w:left="740"/>
              <w:spacing w:after="0"/>
              <w:rPr>
                <w:sz w:val="20"/>
                <w:szCs w:val="20"/>
                <w:color w:val="auto"/>
              </w:rPr>
            </w:pPr>
            <w:r>
              <w:rPr>
                <w:rFonts w:ascii="Arial" w:cs="Arial" w:eastAsia="Arial" w:hAnsi="Arial"/>
                <w:sz w:val="14"/>
                <w:szCs w:val="14"/>
                <w:color w:val="131E29"/>
              </w:rPr>
              <w:t>—</w:t>
            </w:r>
          </w:p>
        </w:tc>
        <w:tc>
          <w:tcPr>
            <w:tcW w:w="260" w:type="dxa"/>
            <w:vAlign w:val="bottom"/>
            <w:tcBorders>
              <w:bottom w:val="single" w:sz="8" w:color="D2DCE5"/>
            </w:tcBorders>
            <w:shd w:val="clear" w:color="auto" w:fill="D2DCE5"/>
          </w:tcPr>
          <w:p>
            <w:pPr>
              <w:spacing w:after="0"/>
              <w:rPr>
                <w:sz w:val="16"/>
                <w:szCs w:val="16"/>
                <w:color w:val="auto"/>
              </w:rPr>
            </w:pP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r>
      <w:tr>
        <w:trPr>
          <w:trHeight w:val="181"/>
        </w:trPr>
        <w:tc>
          <w:tcPr>
            <w:tcW w:w="7420" w:type="dxa"/>
            <w:vAlign w:val="bottom"/>
            <w:gridSpan w:val="2"/>
          </w:tcPr>
          <w:p>
            <w:pPr>
              <w:ind w:left="20"/>
              <w:spacing w:after="0"/>
              <w:rPr>
                <w:sz w:val="20"/>
                <w:szCs w:val="20"/>
                <w:color w:val="auto"/>
              </w:rPr>
            </w:pPr>
            <w:r>
              <w:rPr>
                <w:rFonts w:ascii="Arial" w:cs="Arial" w:eastAsia="Arial" w:hAnsi="Arial"/>
                <w:sz w:val="14"/>
                <w:szCs w:val="14"/>
                <w:color w:val="131E29"/>
              </w:rPr>
              <w:t>Comprehensive income (loss)</w:t>
            </w: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(16,345)</w:t>
            </w: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(117,931)</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6,058</w:t>
            </w:r>
          </w:p>
        </w:tc>
      </w:tr>
      <w:tr>
        <w:trPr>
          <w:trHeight w:val="22"/>
        </w:trPr>
        <w:tc>
          <w:tcPr>
            <w:tcW w:w="7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742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Less: comprehensive income (loss) attributable to Dutch Bros OpCo prior to the Reorganization Transactions</w:t>
            </w:r>
          </w:p>
        </w:tc>
        <w:tc>
          <w:tcPr>
            <w:tcW w:w="280" w:type="dxa"/>
            <w:vAlign w:val="bottom"/>
            <w:tcBorders>
              <w:bottom w:val="single" w:sz="8" w:color="D2DCE5"/>
            </w:tcBorders>
            <w:shd w:val="clear" w:color="auto" w:fill="D2DCE5"/>
          </w:tcPr>
          <w:p>
            <w:pPr>
              <w:spacing w:after="0"/>
              <w:rPr>
                <w:sz w:val="16"/>
                <w:szCs w:val="16"/>
                <w:color w:val="auto"/>
              </w:rPr>
            </w:pPr>
          </w:p>
        </w:tc>
        <w:tc>
          <w:tcPr>
            <w:tcW w:w="104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280" w:type="dxa"/>
            <w:vAlign w:val="bottom"/>
            <w:tcBorders>
              <w:bottom w:val="single" w:sz="8" w:color="D2DCE5"/>
            </w:tcBorders>
            <w:shd w:val="clear" w:color="auto" w:fill="D2DCE5"/>
          </w:tcPr>
          <w:p>
            <w:pPr>
              <w:spacing w:after="0"/>
              <w:rPr>
                <w:sz w:val="16"/>
                <w:szCs w:val="16"/>
                <w:color w:val="auto"/>
              </w:rPr>
            </w:pPr>
          </w:p>
        </w:tc>
        <w:tc>
          <w:tcPr>
            <w:tcW w:w="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(67,374)</w:t>
            </w:r>
          </w:p>
        </w:tc>
        <w:tc>
          <w:tcPr>
            <w:tcW w:w="100" w:type="dxa"/>
            <w:vAlign w:val="bottom"/>
            <w:tcBorders>
              <w:bottom w:val="single" w:sz="8" w:color="D2DCE5"/>
            </w:tcBorders>
            <w:shd w:val="clear" w:color="auto" w:fill="D2DCE5"/>
          </w:tcPr>
          <w:p>
            <w:pPr>
              <w:spacing w:after="0"/>
              <w:rPr>
                <w:sz w:val="16"/>
                <w:szCs w:val="16"/>
                <w:color w:val="auto"/>
              </w:rPr>
            </w:pPr>
          </w:p>
        </w:tc>
        <w:tc>
          <w:tcPr>
            <w:tcW w:w="260" w:type="dxa"/>
            <w:vAlign w:val="bottom"/>
            <w:tcBorders>
              <w:bottom w:val="single" w:sz="8" w:color="D2DCE5"/>
            </w:tcBorders>
            <w:shd w:val="clear" w:color="auto" w:fill="D2DCE5"/>
          </w:tcPr>
          <w:p>
            <w:pPr>
              <w:spacing w:after="0"/>
              <w:rPr>
                <w:sz w:val="16"/>
                <w:szCs w:val="16"/>
                <w:color w:val="auto"/>
              </w:rPr>
            </w:pP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6,058</w:t>
            </w:r>
          </w:p>
        </w:tc>
      </w:tr>
      <w:tr>
        <w:trPr>
          <w:trHeight w:val="191"/>
        </w:trPr>
        <w:tc>
          <w:tcPr>
            <w:tcW w:w="7420" w:type="dxa"/>
            <w:vAlign w:val="bottom"/>
            <w:gridSpan w:val="2"/>
          </w:tcPr>
          <w:p>
            <w:pPr>
              <w:ind w:left="140"/>
              <w:spacing w:after="0"/>
              <w:rPr>
                <w:sz w:val="20"/>
                <w:szCs w:val="20"/>
                <w:color w:val="auto"/>
              </w:rPr>
            </w:pPr>
            <w:r>
              <w:rPr>
                <w:rFonts w:ascii="Arial" w:cs="Arial" w:eastAsia="Arial" w:hAnsi="Arial"/>
                <w:sz w:val="14"/>
                <w:szCs w:val="14"/>
                <w:color w:val="131E29"/>
              </w:rPr>
              <w:t>Less: comprehensive loss attributable to non-controlling interests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131E29"/>
              </w:rPr>
              <w:t>(12,405)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131E29"/>
              </w:rPr>
              <w:t>(37,878)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131E29"/>
              </w:rPr>
              <w:t>—</w:t>
            </w:r>
          </w:p>
        </w:tc>
      </w:tr>
      <w:tr>
        <w:trPr>
          <w:trHeight w:val="22"/>
        </w:trPr>
        <w:tc>
          <w:tcPr>
            <w:tcW w:w="734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8"/>
        </w:trPr>
        <w:tc>
          <w:tcPr>
            <w:tcW w:w="74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Comprehensive loss attributable to Dutch Bros Inc.</w:t>
            </w:r>
          </w:p>
        </w:tc>
        <w:tc>
          <w:tcPr>
            <w:tcW w:w="280" w:type="dxa"/>
            <w:vAlign w:val="bottom"/>
            <w:tcBorders>
              <w:bottom w:val="single" w:sz="8" w:color="auto"/>
            </w:tcBorders>
            <w:shd w:val="clear" w:color="auto" w:fill="D2DCE5"/>
          </w:tcPr>
          <w:p>
            <w:pPr>
              <w:jc w:val="right"/>
              <w:ind w:right="109"/>
              <w:spacing w:after="0"/>
              <w:rPr>
                <w:sz w:val="20"/>
                <w:szCs w:val="20"/>
                <w:color w:val="auto"/>
              </w:rPr>
            </w:pPr>
            <w:r>
              <w:rPr>
                <w:rFonts w:ascii="Arial" w:cs="Arial" w:eastAsia="Arial" w:hAnsi="Arial"/>
                <w:sz w:val="14"/>
                <w:szCs w:val="14"/>
                <w:color w:val="131E29"/>
              </w:rPr>
              <w:t>$</w:t>
            </w: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(3,940)</w:t>
            </w:r>
          </w:p>
        </w:tc>
        <w:tc>
          <w:tcPr>
            <w:tcW w:w="80" w:type="dxa"/>
            <w:vAlign w:val="bottom"/>
            <w:tcBorders>
              <w:bottom w:val="single" w:sz="8" w:color="D2DCE5"/>
            </w:tcBorders>
            <w:shd w:val="clear" w:color="auto" w:fill="D2DCE5"/>
          </w:tcPr>
          <w:p>
            <w:pPr>
              <w:spacing w:after="0"/>
              <w:rPr>
                <w:sz w:val="19"/>
                <w:szCs w:val="19"/>
                <w:color w:val="auto"/>
              </w:rPr>
            </w:pPr>
          </w:p>
        </w:tc>
        <w:tc>
          <w:tcPr>
            <w:tcW w:w="280" w:type="dxa"/>
            <w:vAlign w:val="bottom"/>
            <w:tcBorders>
              <w:bottom w:val="single" w:sz="8" w:color="auto"/>
            </w:tcBorders>
            <w:shd w:val="clear" w:color="auto" w:fill="D2DCE5"/>
          </w:tcPr>
          <w:p>
            <w:pPr>
              <w:jc w:val="right"/>
              <w:ind w:right="129"/>
              <w:spacing w:after="0"/>
              <w:rPr>
                <w:sz w:val="20"/>
                <w:szCs w:val="20"/>
                <w:color w:val="auto"/>
              </w:rPr>
            </w:pPr>
            <w:r>
              <w:rPr>
                <w:rFonts w:ascii="Arial" w:cs="Arial" w:eastAsia="Arial" w:hAnsi="Arial"/>
                <w:sz w:val="14"/>
                <w:szCs w:val="14"/>
                <w:color w:val="131E29"/>
                <w:w w:val="76"/>
              </w:rPr>
              <w:t>$</w:t>
            </w: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(12,679)</w:t>
            </w:r>
          </w:p>
        </w:tc>
        <w:tc>
          <w:tcPr>
            <w:tcW w:w="100" w:type="dxa"/>
            <w:vAlign w:val="bottom"/>
            <w:tcBorders>
              <w:bottom w:val="single" w:sz="8" w:color="D2DCE5"/>
            </w:tcBorders>
            <w:shd w:val="clear" w:color="auto" w:fill="D2DCE5"/>
          </w:tcPr>
          <w:p>
            <w:pPr>
              <w:spacing w:after="0"/>
              <w:rPr>
                <w:sz w:val="19"/>
                <w:szCs w:val="19"/>
                <w:color w:val="auto"/>
              </w:rPr>
            </w:pPr>
          </w:p>
        </w:tc>
        <w:tc>
          <w:tcPr>
            <w:tcW w:w="260" w:type="dxa"/>
            <w:vAlign w:val="bottom"/>
            <w:tcBorders>
              <w:bottom w:val="single" w:sz="8" w:color="auto"/>
            </w:tcBorders>
            <w:shd w:val="clear" w:color="auto" w:fill="D2DCE5"/>
          </w:tcPr>
          <w:p>
            <w:pPr>
              <w:jc w:val="right"/>
              <w:ind w:right="109"/>
              <w:spacing w:after="0"/>
              <w:rPr>
                <w:sz w:val="20"/>
                <w:szCs w:val="20"/>
                <w:color w:val="auto"/>
              </w:rPr>
            </w:pPr>
            <w:r>
              <w:rPr>
                <w:rFonts w:ascii="Arial" w:cs="Arial" w:eastAsia="Arial" w:hAnsi="Arial"/>
                <w:sz w:val="14"/>
                <w:szCs w:val="14"/>
                <w:color w:val="131E29"/>
                <w:w w:val="76"/>
              </w:rPr>
              <w:t>$</w:t>
            </w: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r>
      <w:tr>
        <w:trPr>
          <w:trHeight w:val="20"/>
        </w:trPr>
        <w:tc>
          <w:tcPr>
            <w:tcW w:w="734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D2DCE5"/>
              <w:bottom w:val="single" w:sz="8" w:color="auto"/>
            </w:tcBorders>
          </w:tcPr>
          <w:p>
            <w:pPr>
              <w:spacing w:after="0" w:line="20" w:lineRule="exact"/>
              <w:rPr>
                <w:sz w:val="1"/>
                <w:szCs w:val="1"/>
                <w:color w:val="auto"/>
              </w:rPr>
            </w:pPr>
          </w:p>
        </w:tc>
        <w:tc>
          <w:tcPr>
            <w:tcW w:w="9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D2DCE5"/>
              <w:bottom w:val="single" w:sz="8" w:color="auto"/>
            </w:tcBorders>
          </w:tcPr>
          <w:p>
            <w:pPr>
              <w:spacing w:after="0" w:line="20" w:lineRule="exact"/>
              <w:rPr>
                <w:sz w:val="1"/>
                <w:szCs w:val="1"/>
                <w:color w:val="auto"/>
              </w:rPr>
            </w:pPr>
          </w:p>
        </w:tc>
        <w:tc>
          <w:tcPr>
            <w:tcW w:w="9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60" w:type="dxa"/>
            <w:vAlign w:val="bottom"/>
            <w:tcBorders>
              <w:top w:val="single" w:sz="8" w:color="D2DCE5"/>
              <w:bottom w:val="single" w:sz="8" w:color="auto"/>
            </w:tcBorders>
          </w:tcPr>
          <w:p>
            <w:pPr>
              <w:spacing w:after="0" w:line="20" w:lineRule="exact"/>
              <w:rPr>
                <w:sz w:val="1"/>
                <w:szCs w:val="1"/>
                <w:color w:val="auto"/>
              </w:rPr>
            </w:pPr>
          </w:p>
        </w:tc>
        <w:tc>
          <w:tcPr>
            <w:tcW w:w="960" w:type="dxa"/>
            <w:vAlign w:val="bottom"/>
            <w:tcBorders>
              <w:top w:val="single" w:sz="8" w:color="D2DCE5"/>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95" w:name="page96"/>
    <w:bookmarkEnd w:id="95"/>
    <w:p>
      <w:pPr>
        <w:spacing w:after="0"/>
        <w:rPr>
          <w:sz w:val="20"/>
          <w:szCs w:val="20"/>
          <w:color w:val="auto"/>
        </w:rPr>
      </w:pPr>
      <w:r>
        <w:rPr>
          <w:rFonts w:ascii="Arial" w:cs="Arial" w:eastAsia="Arial" w:hAnsi="Arial"/>
          <w:sz w:val="11"/>
          <w:szCs w:val="11"/>
          <w:u w:val="single" w:color="auto"/>
          <w:color w:val="006098"/>
        </w:rPr>
        <w:t>Table of Contents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Consolidated Statements of Stockholders’/Members’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131E29"/>
        </w:rPr>
        <w:t>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31115</wp:posOffset>
            </wp:positionV>
            <wp:extent cx="7101205" cy="69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01205" cy="6985"/>
                    </a:xfrm>
                    <a:prstGeom prst="rect">
                      <a:avLst/>
                    </a:prstGeom>
                    <a:noFill/>
                  </pic:spPr>
                </pic:pic>
              </a:graphicData>
            </a:graphic>
          </wp:anchor>
        </w:drawing>
      </w:r>
    </w:p>
    <w:p>
      <w:pPr>
        <w:spacing w:after="0" w:line="50" w:lineRule="exact"/>
        <w:rPr>
          <w:sz w:val="20"/>
          <w:szCs w:val="20"/>
          <w:color w:val="auto"/>
        </w:rPr>
      </w:pPr>
    </w:p>
    <w:tbl>
      <w:tblPr>
        <w:tblLayout w:type="fixed"/>
        <w:tblInd w:w="60" w:type="dxa"/>
        <w:tblCellMar>
          <w:top w:w="0" w:type="dxa"/>
          <w:left w:w="0" w:type="dxa"/>
          <w:bottom w:w="0" w:type="dxa"/>
          <w:right w:w="0" w:type="dxa"/>
        </w:tblCellMar>
      </w:tblPr>
      <w:tr>
        <w:trPr>
          <w:trHeight w:val="160"/>
        </w:trPr>
        <w:tc>
          <w:tcPr>
            <w:tcW w:w="2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10"/>
          </w:tcPr>
          <w:p>
            <w:pPr>
              <w:ind w:left="180"/>
              <w:spacing w:after="0"/>
              <w:rPr>
                <w:sz w:val="20"/>
                <w:szCs w:val="20"/>
                <w:color w:val="auto"/>
              </w:rPr>
            </w:pPr>
            <w:r>
              <w:rPr>
                <w:rFonts w:ascii="Arial" w:cs="Arial" w:eastAsia="Arial" w:hAnsi="Arial"/>
                <w:sz w:val="11"/>
                <w:szCs w:val="11"/>
                <w:b w:val="1"/>
                <w:bCs w:val="1"/>
                <w:color w:val="131E29"/>
              </w:rPr>
              <w:t>Dutch Bros Inc. Stockholders’ Equity</w:t>
            </w:r>
          </w:p>
        </w:tc>
        <w:tc>
          <w:tcPr>
            <w:tcW w:w="6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5"/>
          </w:tcPr>
          <w:p>
            <w:pPr>
              <w:jc w:val="center"/>
              <w:ind w:right="80"/>
              <w:spacing w:after="0"/>
              <w:rPr>
                <w:sz w:val="20"/>
                <w:szCs w:val="20"/>
                <w:color w:val="auto"/>
              </w:rPr>
            </w:pPr>
            <w:r>
              <w:rPr>
                <w:rFonts w:ascii="Arial" w:cs="Arial" w:eastAsia="Arial" w:hAnsi="Arial"/>
                <w:sz w:val="11"/>
                <w:szCs w:val="11"/>
                <w:b w:val="1"/>
                <w:bCs w:val="1"/>
                <w:color w:val="131E29"/>
              </w:rPr>
              <w:t>Class A</w:t>
            </w:r>
          </w:p>
        </w:tc>
        <w:tc>
          <w:tcPr>
            <w:tcW w:w="1300" w:type="dxa"/>
            <w:vAlign w:val="bottom"/>
            <w:gridSpan w:val="5"/>
          </w:tcPr>
          <w:p>
            <w:pPr>
              <w:jc w:val="center"/>
              <w:ind w:right="80"/>
              <w:spacing w:after="0"/>
              <w:rPr>
                <w:sz w:val="20"/>
                <w:szCs w:val="20"/>
                <w:color w:val="auto"/>
              </w:rPr>
            </w:pPr>
            <w:r>
              <w:rPr>
                <w:rFonts w:ascii="Arial" w:cs="Arial" w:eastAsia="Arial" w:hAnsi="Arial"/>
                <w:sz w:val="11"/>
                <w:szCs w:val="11"/>
                <w:b w:val="1"/>
                <w:bCs w:val="1"/>
                <w:color w:val="131E29"/>
              </w:rPr>
              <w:t>Class B</w:t>
            </w:r>
          </w:p>
        </w:tc>
        <w:tc>
          <w:tcPr>
            <w:tcW w:w="1300" w:type="dxa"/>
            <w:vAlign w:val="bottom"/>
            <w:gridSpan w:val="5"/>
          </w:tcPr>
          <w:p>
            <w:pPr>
              <w:jc w:val="center"/>
              <w:ind w:right="80"/>
              <w:spacing w:after="0"/>
              <w:rPr>
                <w:sz w:val="20"/>
                <w:szCs w:val="20"/>
                <w:color w:val="auto"/>
              </w:rPr>
            </w:pPr>
            <w:r>
              <w:rPr>
                <w:rFonts w:ascii="Arial" w:cs="Arial" w:eastAsia="Arial" w:hAnsi="Arial"/>
                <w:sz w:val="11"/>
                <w:szCs w:val="11"/>
                <w:b w:val="1"/>
                <w:bCs w:val="1"/>
                <w:color w:val="131E29"/>
              </w:rPr>
              <w:t>Class C</w:t>
            </w:r>
          </w:p>
        </w:tc>
        <w:tc>
          <w:tcPr>
            <w:tcW w:w="1280" w:type="dxa"/>
            <w:vAlign w:val="bottom"/>
            <w:gridSpan w:val="5"/>
          </w:tcPr>
          <w:p>
            <w:pPr>
              <w:jc w:val="center"/>
              <w:ind w:right="80"/>
              <w:spacing w:after="0"/>
              <w:rPr>
                <w:sz w:val="20"/>
                <w:szCs w:val="20"/>
                <w:color w:val="auto"/>
              </w:rPr>
            </w:pPr>
            <w:r>
              <w:rPr>
                <w:rFonts w:ascii="Arial" w:cs="Arial" w:eastAsia="Arial" w:hAnsi="Arial"/>
                <w:sz w:val="11"/>
                <w:szCs w:val="11"/>
                <w:b w:val="1"/>
                <w:bCs w:val="1"/>
                <w:color w:val="131E29"/>
                <w:w w:val="99"/>
              </w:rPr>
              <w:t>Class D</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5"/>
          </w:tcPr>
          <w:p>
            <w:pPr>
              <w:jc w:val="center"/>
              <w:ind w:right="60"/>
              <w:spacing w:after="0"/>
              <w:rPr>
                <w:sz w:val="20"/>
                <w:szCs w:val="20"/>
                <w:color w:val="auto"/>
              </w:rPr>
            </w:pPr>
            <w:r>
              <w:rPr>
                <w:rFonts w:ascii="Arial" w:cs="Arial" w:eastAsia="Arial" w:hAnsi="Arial"/>
                <w:sz w:val="11"/>
                <w:szCs w:val="11"/>
                <w:color w:val="131E29"/>
              </w:rPr>
              <w:t>Common Stock</w:t>
            </w:r>
          </w:p>
        </w:tc>
        <w:tc>
          <w:tcPr>
            <w:tcW w:w="1300" w:type="dxa"/>
            <w:vAlign w:val="bottom"/>
            <w:gridSpan w:val="5"/>
          </w:tcPr>
          <w:p>
            <w:pPr>
              <w:jc w:val="center"/>
              <w:ind w:right="80"/>
              <w:spacing w:after="0"/>
              <w:rPr>
                <w:sz w:val="20"/>
                <w:szCs w:val="20"/>
                <w:color w:val="auto"/>
              </w:rPr>
            </w:pPr>
            <w:r>
              <w:rPr>
                <w:rFonts w:ascii="Arial" w:cs="Arial" w:eastAsia="Arial" w:hAnsi="Arial"/>
                <w:sz w:val="11"/>
                <w:szCs w:val="11"/>
                <w:color w:val="131E29"/>
              </w:rPr>
              <w:t>Common Stock</w:t>
            </w:r>
          </w:p>
        </w:tc>
        <w:tc>
          <w:tcPr>
            <w:tcW w:w="1300" w:type="dxa"/>
            <w:vAlign w:val="bottom"/>
            <w:gridSpan w:val="5"/>
          </w:tcPr>
          <w:p>
            <w:pPr>
              <w:jc w:val="center"/>
              <w:ind w:right="80"/>
              <w:spacing w:after="0"/>
              <w:rPr>
                <w:sz w:val="20"/>
                <w:szCs w:val="20"/>
                <w:color w:val="auto"/>
              </w:rPr>
            </w:pPr>
            <w:r>
              <w:rPr>
                <w:rFonts w:ascii="Arial" w:cs="Arial" w:eastAsia="Arial" w:hAnsi="Arial"/>
                <w:sz w:val="11"/>
                <w:szCs w:val="11"/>
                <w:color w:val="131E29"/>
              </w:rPr>
              <w:t>Common Stock</w:t>
            </w:r>
          </w:p>
        </w:tc>
        <w:tc>
          <w:tcPr>
            <w:tcW w:w="1280" w:type="dxa"/>
            <w:vAlign w:val="bottom"/>
            <w:gridSpan w:val="5"/>
          </w:tcPr>
          <w:p>
            <w:pPr>
              <w:jc w:val="center"/>
              <w:ind w:right="80"/>
              <w:spacing w:after="0"/>
              <w:rPr>
                <w:sz w:val="20"/>
                <w:szCs w:val="20"/>
                <w:color w:val="auto"/>
              </w:rPr>
            </w:pPr>
            <w:r>
              <w:rPr>
                <w:rFonts w:ascii="Arial" w:cs="Arial" w:eastAsia="Arial" w:hAnsi="Arial"/>
                <w:sz w:val="11"/>
                <w:szCs w:val="11"/>
                <w:color w:val="131E29"/>
              </w:rPr>
              <w:t>Common 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1"/>
                <w:szCs w:val="11"/>
                <w:color w:val="131E29"/>
              </w:rPr>
              <w:t>Accumulated</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1"/>
                <w:szCs w:val="11"/>
                <w:color w:val="131E29"/>
              </w:rPr>
              <w:t>Additional</w:t>
            </w:r>
          </w:p>
        </w:tc>
        <w:tc>
          <w:tcPr>
            <w:tcW w:w="100" w:type="dxa"/>
            <w:vAlign w:val="bottom"/>
          </w:tcPr>
          <w:p>
            <w:pPr>
              <w:spacing w:after="0"/>
              <w:rPr>
                <w:sz w:val="11"/>
                <w:szCs w:val="11"/>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1"/>
                <w:szCs w:val="11"/>
                <w:color w:val="131E29"/>
              </w:rPr>
              <w:t>Other</w:t>
            </w:r>
          </w:p>
        </w:tc>
        <w:tc>
          <w:tcPr>
            <w:tcW w:w="820" w:type="dxa"/>
            <w:vAlign w:val="bottom"/>
            <w:gridSpan w:val="3"/>
            <w:vMerge w:val="restart"/>
          </w:tcPr>
          <w:p>
            <w:pPr>
              <w:ind w:left="40"/>
              <w:spacing w:after="0"/>
              <w:rPr>
                <w:sz w:val="20"/>
                <w:szCs w:val="20"/>
                <w:color w:val="auto"/>
              </w:rPr>
            </w:pPr>
            <w:r>
              <w:rPr>
                <w:rFonts w:ascii="Arial" w:cs="Arial" w:eastAsia="Arial" w:hAnsi="Arial"/>
                <w:sz w:val="11"/>
                <w:szCs w:val="11"/>
                <w:color w:val="131E29"/>
              </w:rPr>
              <w:t>Accumulated</w:t>
            </w:r>
          </w:p>
        </w:tc>
        <w:tc>
          <w:tcPr>
            <w:tcW w:w="100" w:type="dxa"/>
            <w:vAlign w:val="bottom"/>
          </w:tcPr>
          <w:p>
            <w:pPr>
              <w:spacing w:after="0"/>
              <w:rPr>
                <w:sz w:val="11"/>
                <w:szCs w:val="11"/>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1"/>
                <w:szCs w:val="11"/>
                <w:color w:val="131E29"/>
              </w:rPr>
              <w:t>Non-</w:t>
            </w:r>
          </w:p>
        </w:tc>
        <w:tc>
          <w:tcPr>
            <w:tcW w:w="600" w:type="dxa"/>
            <w:vAlign w:val="bottom"/>
            <w:vMerge w:val="restart"/>
          </w:tcPr>
          <w:p>
            <w:pPr>
              <w:jc w:val="right"/>
              <w:ind w:right="123"/>
              <w:spacing w:after="0"/>
              <w:rPr>
                <w:sz w:val="20"/>
                <w:szCs w:val="20"/>
                <w:color w:val="auto"/>
              </w:rPr>
            </w:pPr>
            <w:r>
              <w:rPr>
                <w:rFonts w:ascii="Arial" w:cs="Arial" w:eastAsia="Arial" w:hAnsi="Arial"/>
                <w:sz w:val="11"/>
                <w:szCs w:val="11"/>
                <w:color w:val="131E29"/>
              </w:rPr>
              <w:t>Total</w:t>
            </w:r>
          </w:p>
        </w:tc>
        <w:tc>
          <w:tcPr>
            <w:tcW w:w="0" w:type="dxa"/>
            <w:vAlign w:val="bottom"/>
          </w:tcPr>
          <w:p>
            <w:pPr>
              <w:spacing w:after="0"/>
              <w:rPr>
                <w:sz w:val="1"/>
                <w:szCs w:val="1"/>
                <w:color w:val="auto"/>
              </w:rPr>
            </w:pPr>
          </w:p>
        </w:tc>
      </w:tr>
      <w:tr>
        <w:trPr>
          <w:trHeight w:val="129"/>
        </w:trPr>
        <w:tc>
          <w:tcPr>
            <w:tcW w:w="2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1"/>
                <w:szCs w:val="11"/>
                <w:color w:val="131E29"/>
              </w:rPr>
              <w:t>Paid-in-</w:t>
            </w:r>
          </w:p>
        </w:tc>
        <w:tc>
          <w:tcPr>
            <w:tcW w:w="960" w:type="dxa"/>
            <w:vAlign w:val="bottom"/>
            <w:gridSpan w:val="3"/>
          </w:tcPr>
          <w:p>
            <w:pPr>
              <w:jc w:val="center"/>
              <w:ind w:right="80"/>
              <w:spacing w:after="0"/>
              <w:rPr>
                <w:sz w:val="20"/>
                <w:szCs w:val="20"/>
                <w:color w:val="auto"/>
              </w:rPr>
            </w:pPr>
            <w:r>
              <w:rPr>
                <w:rFonts w:ascii="Arial" w:cs="Arial" w:eastAsia="Arial" w:hAnsi="Arial"/>
                <w:sz w:val="11"/>
                <w:szCs w:val="11"/>
                <w:color w:val="131E29"/>
              </w:rPr>
              <w:t>Comprehensive</w:t>
            </w:r>
          </w:p>
        </w:tc>
        <w:tc>
          <w:tcPr>
            <w:tcW w:w="820" w:type="dxa"/>
            <w:vAlign w:val="bottom"/>
            <w:gridSpan w:val="3"/>
            <w:vMerge w:val="continue"/>
          </w:tcPr>
          <w:p>
            <w:pPr>
              <w:spacing w:after="0"/>
              <w:rPr>
                <w:sz w:val="11"/>
                <w:szCs w:val="11"/>
                <w:color w:val="auto"/>
              </w:rPr>
            </w:pPr>
          </w:p>
        </w:tc>
        <w:tc>
          <w:tcPr>
            <w:tcW w:w="720" w:type="dxa"/>
            <w:vAlign w:val="bottom"/>
            <w:gridSpan w:val="3"/>
          </w:tcPr>
          <w:p>
            <w:pPr>
              <w:jc w:val="center"/>
              <w:ind w:right="60"/>
              <w:spacing w:after="0"/>
              <w:rPr>
                <w:sz w:val="20"/>
                <w:szCs w:val="20"/>
                <w:color w:val="auto"/>
              </w:rPr>
            </w:pPr>
            <w:r>
              <w:rPr>
                <w:rFonts w:ascii="Arial" w:cs="Arial" w:eastAsia="Arial" w:hAnsi="Arial"/>
                <w:sz w:val="11"/>
                <w:szCs w:val="11"/>
                <w:color w:val="131E29"/>
              </w:rPr>
              <w:t>Controlling</w:t>
            </w: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180" w:type="dxa"/>
            <w:vAlign w:val="bottom"/>
            <w:tcBorders>
              <w:bottom w:val="single" w:sz="8" w:color="auto"/>
            </w:tcBorders>
          </w:tcPr>
          <w:p>
            <w:pPr>
              <w:spacing w:after="0"/>
              <w:rPr>
                <w:sz w:val="20"/>
                <w:szCs w:val="20"/>
                <w:color w:val="auto"/>
              </w:rPr>
            </w:pPr>
            <w:r>
              <w:rPr>
                <w:rFonts w:ascii="Arial" w:cs="Arial" w:eastAsia="Arial" w:hAnsi="Arial"/>
                <w:sz w:val="11"/>
                <w:szCs w:val="11"/>
                <w:color w:val="131E29"/>
              </w:rPr>
              <w:t>(in thousands)</w:t>
            </w:r>
          </w:p>
        </w:tc>
        <w:tc>
          <w:tcPr>
            <w:tcW w:w="60" w:type="dxa"/>
            <w:vAlign w:val="bottom"/>
            <w:tcBorders>
              <w:bottom w:val="single" w:sz="8" w:color="D2DCE5"/>
            </w:tcBorders>
          </w:tcPr>
          <w:p>
            <w:pPr>
              <w:spacing w:after="0"/>
              <w:rPr>
                <w:sz w:val="13"/>
                <w:szCs w:val="13"/>
                <w:color w:val="auto"/>
              </w:rPr>
            </w:pPr>
          </w:p>
        </w:tc>
        <w:tc>
          <w:tcPr>
            <w:tcW w:w="6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131E29"/>
              </w:rPr>
              <w:t>Shares</w:t>
            </w:r>
          </w:p>
        </w:tc>
        <w:tc>
          <w:tcPr>
            <w:tcW w:w="60" w:type="dxa"/>
            <w:vAlign w:val="bottom"/>
            <w:tcBorders>
              <w:bottom w:val="single" w:sz="8" w:color="D2DCE5"/>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131E29"/>
              </w:rPr>
              <w:t>Amount</w:t>
            </w:r>
          </w:p>
        </w:tc>
        <w:tc>
          <w:tcPr>
            <w:tcW w:w="60" w:type="dxa"/>
            <w:vAlign w:val="bottom"/>
            <w:tcBorders>
              <w:bottom w:val="single" w:sz="8" w:color="D2DCE5"/>
            </w:tcBorders>
          </w:tcPr>
          <w:p>
            <w:pPr>
              <w:spacing w:after="0"/>
              <w:rPr>
                <w:sz w:val="13"/>
                <w:szCs w:val="13"/>
                <w:color w:val="auto"/>
              </w:rPr>
            </w:pPr>
          </w:p>
        </w:tc>
        <w:tc>
          <w:tcPr>
            <w:tcW w:w="5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131E29"/>
              </w:rPr>
              <w:t>Shares</w:t>
            </w:r>
          </w:p>
        </w:tc>
        <w:tc>
          <w:tcPr>
            <w:tcW w:w="60" w:type="dxa"/>
            <w:vAlign w:val="bottom"/>
            <w:tcBorders>
              <w:bottom w:val="single" w:sz="8" w:color="D2DCE5"/>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131E29"/>
              </w:rPr>
              <w:t>Amount</w:t>
            </w:r>
          </w:p>
        </w:tc>
        <w:tc>
          <w:tcPr>
            <w:tcW w:w="60" w:type="dxa"/>
            <w:vAlign w:val="bottom"/>
            <w:tcBorders>
              <w:bottom w:val="single" w:sz="8" w:color="D2DCE5"/>
            </w:tcBorders>
          </w:tcPr>
          <w:p>
            <w:pPr>
              <w:spacing w:after="0"/>
              <w:rPr>
                <w:sz w:val="13"/>
                <w:szCs w:val="13"/>
                <w:color w:val="auto"/>
              </w:rPr>
            </w:pPr>
          </w:p>
        </w:tc>
        <w:tc>
          <w:tcPr>
            <w:tcW w:w="5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131E29"/>
              </w:rPr>
              <w:t>Shares</w:t>
            </w:r>
          </w:p>
        </w:tc>
        <w:tc>
          <w:tcPr>
            <w:tcW w:w="60" w:type="dxa"/>
            <w:vAlign w:val="bottom"/>
            <w:tcBorders>
              <w:bottom w:val="single" w:sz="8" w:color="D2DCE5"/>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131E29"/>
              </w:rPr>
              <w:t>Amount</w:t>
            </w:r>
          </w:p>
        </w:tc>
        <w:tc>
          <w:tcPr>
            <w:tcW w:w="80" w:type="dxa"/>
            <w:vAlign w:val="bottom"/>
            <w:tcBorders>
              <w:bottom w:val="single" w:sz="8" w:color="D2DCE5"/>
            </w:tcBorders>
          </w:tcPr>
          <w:p>
            <w:pPr>
              <w:spacing w:after="0"/>
              <w:rPr>
                <w:sz w:val="13"/>
                <w:szCs w:val="13"/>
                <w:color w:val="auto"/>
              </w:rPr>
            </w:pPr>
          </w:p>
        </w:tc>
        <w:tc>
          <w:tcPr>
            <w:tcW w:w="5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131E29"/>
              </w:rPr>
              <w:t>Shares</w:t>
            </w:r>
          </w:p>
        </w:tc>
        <w:tc>
          <w:tcPr>
            <w:tcW w:w="60" w:type="dxa"/>
            <w:vAlign w:val="bottom"/>
            <w:tcBorders>
              <w:bottom w:val="single" w:sz="8" w:color="D2DCE5"/>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1"/>
                <w:szCs w:val="11"/>
                <w:color w:val="131E29"/>
              </w:rPr>
              <w:t>Amount</w:t>
            </w:r>
          </w:p>
        </w:tc>
        <w:tc>
          <w:tcPr>
            <w:tcW w:w="60" w:type="dxa"/>
            <w:vAlign w:val="bottom"/>
            <w:tcBorders>
              <w:bottom w:val="single" w:sz="8" w:color="D2DCE5"/>
            </w:tcBorders>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131E29"/>
              </w:rPr>
              <w:t>Capital</w:t>
            </w:r>
          </w:p>
        </w:tc>
        <w:tc>
          <w:tcPr>
            <w:tcW w:w="60" w:type="dxa"/>
            <w:vAlign w:val="bottom"/>
            <w:tcBorders>
              <w:bottom w:val="single" w:sz="8" w:color="D2DCE5"/>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63"/>
              <w:spacing w:after="0"/>
              <w:rPr>
                <w:sz w:val="20"/>
                <w:szCs w:val="20"/>
                <w:color w:val="auto"/>
              </w:rPr>
            </w:pPr>
            <w:r>
              <w:rPr>
                <w:rFonts w:ascii="Arial" w:cs="Arial" w:eastAsia="Arial" w:hAnsi="Arial"/>
                <w:sz w:val="11"/>
                <w:szCs w:val="11"/>
                <w:color w:val="131E29"/>
                <w:w w:val="99"/>
              </w:rPr>
              <w:t>Income</w:t>
            </w:r>
          </w:p>
        </w:tc>
        <w:tc>
          <w:tcPr>
            <w:tcW w:w="60" w:type="dxa"/>
            <w:vAlign w:val="bottom"/>
            <w:tcBorders>
              <w:bottom w:val="single" w:sz="8" w:color="D2DCE5"/>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131E29"/>
              </w:rPr>
              <w:t>Deficit</w:t>
            </w:r>
          </w:p>
        </w:tc>
        <w:tc>
          <w:tcPr>
            <w:tcW w:w="60" w:type="dxa"/>
            <w:vAlign w:val="bottom"/>
            <w:tcBorders>
              <w:bottom w:val="single" w:sz="8" w:color="D2DCE5"/>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43"/>
              <w:spacing w:after="0"/>
              <w:rPr>
                <w:sz w:val="20"/>
                <w:szCs w:val="20"/>
                <w:color w:val="auto"/>
              </w:rPr>
            </w:pPr>
            <w:r>
              <w:rPr>
                <w:rFonts w:ascii="Arial" w:cs="Arial" w:eastAsia="Arial" w:hAnsi="Arial"/>
                <w:sz w:val="11"/>
                <w:szCs w:val="11"/>
                <w:color w:val="131E29"/>
                <w:w w:val="99"/>
              </w:rPr>
              <w:t>Interests</w:t>
            </w:r>
          </w:p>
        </w:tc>
        <w:tc>
          <w:tcPr>
            <w:tcW w:w="60" w:type="dxa"/>
            <w:vAlign w:val="bottom"/>
            <w:tcBorders>
              <w:bottom w:val="single" w:sz="8" w:color="D2DCE5"/>
            </w:tcBorders>
          </w:tcPr>
          <w:p>
            <w:pPr>
              <w:spacing w:after="0"/>
              <w:rPr>
                <w:sz w:val="13"/>
                <w:szCs w:val="13"/>
                <w:color w:val="auto"/>
              </w:rPr>
            </w:pPr>
          </w:p>
        </w:tc>
        <w:tc>
          <w:tcPr>
            <w:tcW w:w="6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131E29"/>
              </w:rPr>
              <w:t>Equity</w:t>
            </w:r>
          </w:p>
        </w:tc>
        <w:tc>
          <w:tcPr>
            <w:tcW w:w="0" w:type="dxa"/>
            <w:vAlign w:val="bottom"/>
          </w:tcPr>
          <w:p>
            <w:pPr>
              <w:spacing w:after="0"/>
              <w:rPr>
                <w:sz w:val="1"/>
                <w:szCs w:val="1"/>
                <w:color w:val="auto"/>
              </w:rPr>
            </w:pPr>
          </w:p>
        </w:tc>
      </w:tr>
      <w:tr>
        <w:trPr>
          <w:trHeight w:val="175"/>
        </w:trPr>
        <w:tc>
          <w:tcPr>
            <w:tcW w:w="2240" w:type="dxa"/>
            <w:vAlign w:val="bottom"/>
            <w:gridSpan w:val="2"/>
            <w:shd w:val="clear" w:color="auto" w:fill="D2DCE5"/>
          </w:tcPr>
          <w:p>
            <w:pPr>
              <w:spacing w:after="0"/>
              <w:rPr>
                <w:sz w:val="20"/>
                <w:szCs w:val="20"/>
                <w:color w:val="auto"/>
              </w:rPr>
            </w:pPr>
            <w:r>
              <w:rPr>
                <w:rFonts w:ascii="Arial" w:cs="Arial" w:eastAsia="Arial" w:hAnsi="Arial"/>
                <w:sz w:val="11"/>
                <w:szCs w:val="11"/>
                <w:b w:val="1"/>
                <w:bCs w:val="1"/>
                <w:color w:val="131E29"/>
              </w:rPr>
              <w:t>Balance, December 31, 2021</w:t>
            </w:r>
          </w:p>
        </w:tc>
        <w:tc>
          <w:tcPr>
            <w:tcW w:w="60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34,433</w:t>
            </w:r>
          </w:p>
        </w:tc>
        <w:tc>
          <w:tcPr>
            <w:tcW w:w="60" w:type="dxa"/>
            <w:vAlign w:val="bottom"/>
            <w:shd w:val="clear" w:color="auto" w:fill="D2DCE5"/>
          </w:tcPr>
          <w:p>
            <w:pPr>
              <w:spacing w:after="0"/>
              <w:rPr>
                <w:sz w:val="15"/>
                <w:szCs w:val="15"/>
                <w:color w:val="auto"/>
              </w:rPr>
            </w:pPr>
          </w:p>
        </w:tc>
        <w:tc>
          <w:tcPr>
            <w:tcW w:w="80" w:type="dxa"/>
            <w:vAlign w:val="bottom"/>
            <w:shd w:val="clear" w:color="auto" w:fill="D2DCE5"/>
          </w:tcPr>
          <w:p>
            <w:pPr>
              <w:jc w:val="right"/>
              <w:spacing w:after="0"/>
              <w:rPr>
                <w:sz w:val="20"/>
                <w:szCs w:val="20"/>
                <w:color w:val="auto"/>
              </w:rPr>
            </w:pPr>
            <w:r>
              <w:rPr>
                <w:rFonts w:ascii="Arial" w:cs="Arial" w:eastAsia="Arial" w:hAnsi="Arial"/>
                <w:sz w:val="10"/>
                <w:szCs w:val="10"/>
                <w:color w:val="131E29"/>
                <w:w w:val="71"/>
              </w:rPr>
              <w:t>$</w:t>
            </w:r>
          </w:p>
        </w:tc>
        <w:tc>
          <w:tcPr>
            <w:tcW w:w="5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58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64,699</w:t>
            </w:r>
          </w:p>
        </w:tc>
        <w:tc>
          <w:tcPr>
            <w:tcW w:w="60" w:type="dxa"/>
            <w:vAlign w:val="bottom"/>
            <w:shd w:val="clear" w:color="auto" w:fill="D2DCE5"/>
          </w:tcPr>
          <w:p>
            <w:pPr>
              <w:spacing w:after="0"/>
              <w:rPr>
                <w:sz w:val="15"/>
                <w:szCs w:val="15"/>
                <w:color w:val="auto"/>
              </w:rPr>
            </w:pPr>
          </w:p>
        </w:tc>
        <w:tc>
          <w:tcPr>
            <w:tcW w:w="10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50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1</w:t>
            </w:r>
          </w:p>
        </w:tc>
        <w:tc>
          <w:tcPr>
            <w:tcW w:w="60" w:type="dxa"/>
            <w:vAlign w:val="bottom"/>
            <w:shd w:val="clear" w:color="auto" w:fill="D2DCE5"/>
          </w:tcPr>
          <w:p>
            <w:pPr>
              <w:spacing w:after="0"/>
              <w:rPr>
                <w:sz w:val="15"/>
                <w:szCs w:val="15"/>
                <w:color w:val="auto"/>
              </w:rPr>
            </w:pPr>
          </w:p>
        </w:tc>
        <w:tc>
          <w:tcPr>
            <w:tcW w:w="58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49,006</w:t>
            </w:r>
          </w:p>
        </w:tc>
        <w:tc>
          <w:tcPr>
            <w:tcW w:w="60" w:type="dxa"/>
            <w:vAlign w:val="bottom"/>
            <w:shd w:val="clear" w:color="auto" w:fill="D2DCE5"/>
          </w:tcPr>
          <w:p>
            <w:pPr>
              <w:spacing w:after="0"/>
              <w:rPr>
                <w:sz w:val="15"/>
                <w:szCs w:val="15"/>
                <w:color w:val="auto"/>
              </w:rPr>
            </w:pPr>
          </w:p>
        </w:tc>
        <w:tc>
          <w:tcPr>
            <w:tcW w:w="8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50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1</w:t>
            </w: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15,441</w:t>
            </w:r>
          </w:p>
        </w:tc>
        <w:tc>
          <w:tcPr>
            <w:tcW w:w="60" w:type="dxa"/>
            <w:vAlign w:val="bottom"/>
            <w:shd w:val="clear" w:color="auto" w:fill="D2DCE5"/>
          </w:tcPr>
          <w:p>
            <w:pPr>
              <w:spacing w:after="0"/>
              <w:rPr>
                <w:sz w:val="15"/>
                <w:szCs w:val="15"/>
                <w:color w:val="auto"/>
              </w:rPr>
            </w:pPr>
          </w:p>
        </w:tc>
        <w:tc>
          <w:tcPr>
            <w:tcW w:w="80" w:type="dxa"/>
            <w:vAlign w:val="bottom"/>
            <w:shd w:val="clear" w:color="auto" w:fill="D2DCE5"/>
          </w:tcPr>
          <w:p>
            <w:pPr>
              <w:jc w:val="right"/>
              <w:spacing w:after="0"/>
              <w:rPr>
                <w:sz w:val="20"/>
                <w:szCs w:val="20"/>
                <w:color w:val="auto"/>
              </w:rPr>
            </w:pPr>
            <w:r>
              <w:rPr>
                <w:rFonts w:ascii="Arial" w:cs="Arial" w:eastAsia="Arial" w:hAnsi="Arial"/>
                <w:sz w:val="10"/>
                <w:szCs w:val="10"/>
                <w:color w:val="131E29"/>
                <w:w w:val="71"/>
              </w:rPr>
              <w:t>$</w:t>
            </w:r>
          </w:p>
        </w:tc>
        <w:tc>
          <w:tcPr>
            <w:tcW w:w="560" w:type="dxa"/>
            <w:vAlign w:val="bottom"/>
            <w:gridSpan w:val="2"/>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0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$ 107,193</w:t>
            </w:r>
          </w:p>
        </w:tc>
        <w:tc>
          <w:tcPr>
            <w:tcW w:w="60" w:type="dxa"/>
            <w:vAlign w:val="bottom"/>
            <w:shd w:val="clear" w:color="auto" w:fill="D2DCE5"/>
          </w:tcPr>
          <w:p>
            <w:pPr>
              <w:spacing w:after="0"/>
              <w:rPr>
                <w:sz w:val="15"/>
                <w:szCs w:val="15"/>
                <w:color w:val="auto"/>
              </w:rPr>
            </w:pPr>
          </w:p>
        </w:tc>
        <w:tc>
          <w:tcPr>
            <w:tcW w:w="10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8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140" w:type="dxa"/>
            <w:vAlign w:val="bottom"/>
            <w:shd w:val="clear" w:color="auto" w:fill="D2DCE5"/>
          </w:tcPr>
          <w:p>
            <w:pPr>
              <w:jc w:val="right"/>
              <w:ind w:right="27"/>
              <w:spacing w:after="0"/>
              <w:rPr>
                <w:sz w:val="20"/>
                <w:szCs w:val="20"/>
                <w:color w:val="auto"/>
              </w:rPr>
            </w:pPr>
            <w:r>
              <w:rPr>
                <w:rFonts w:ascii="Arial" w:cs="Arial" w:eastAsia="Arial" w:hAnsi="Arial"/>
                <w:sz w:val="10"/>
                <w:szCs w:val="10"/>
                <w:color w:val="131E29"/>
                <w:w w:val="71"/>
              </w:rPr>
              <w:t>$</w:t>
            </w:r>
          </w:p>
        </w:tc>
        <w:tc>
          <w:tcPr>
            <w:tcW w:w="62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(12,679)</w:t>
            </w:r>
          </w:p>
        </w:tc>
        <w:tc>
          <w:tcPr>
            <w:tcW w:w="60" w:type="dxa"/>
            <w:vAlign w:val="bottom"/>
            <w:shd w:val="clear" w:color="auto" w:fill="D2DCE5"/>
          </w:tcPr>
          <w:p>
            <w:pPr>
              <w:spacing w:after="0"/>
              <w:rPr>
                <w:sz w:val="15"/>
                <w:szCs w:val="15"/>
                <w:color w:val="auto"/>
              </w:rPr>
            </w:pPr>
          </w:p>
        </w:tc>
        <w:tc>
          <w:tcPr>
            <w:tcW w:w="10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56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119,213</w:t>
            </w:r>
          </w:p>
        </w:tc>
        <w:tc>
          <w:tcPr>
            <w:tcW w:w="60" w:type="dxa"/>
            <w:vAlign w:val="bottom"/>
            <w:shd w:val="clear" w:color="auto" w:fill="D2DCE5"/>
          </w:tcPr>
          <w:p>
            <w:pPr>
              <w:spacing w:after="0"/>
              <w:rPr>
                <w:sz w:val="15"/>
                <w:szCs w:val="15"/>
                <w:color w:val="auto"/>
              </w:rPr>
            </w:pPr>
          </w:p>
        </w:tc>
        <w:tc>
          <w:tcPr>
            <w:tcW w:w="60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$ 213,729</w:t>
            </w:r>
          </w:p>
        </w:tc>
        <w:tc>
          <w:tcPr>
            <w:tcW w:w="0" w:type="dxa"/>
            <w:vAlign w:val="bottom"/>
          </w:tcPr>
          <w:p>
            <w:pPr>
              <w:spacing w:after="0"/>
              <w:rPr>
                <w:sz w:val="1"/>
                <w:szCs w:val="1"/>
                <w:color w:val="auto"/>
              </w:rPr>
            </w:pPr>
          </w:p>
        </w:tc>
      </w:tr>
      <w:tr>
        <w:trPr>
          <w:trHeight w:val="171"/>
        </w:trPr>
        <w:tc>
          <w:tcPr>
            <w:tcW w:w="2240" w:type="dxa"/>
            <w:vAlign w:val="bottom"/>
            <w:gridSpan w:val="2"/>
          </w:tcPr>
          <w:p>
            <w:pPr>
              <w:spacing w:after="0"/>
              <w:rPr>
                <w:sz w:val="20"/>
                <w:szCs w:val="20"/>
                <w:color w:val="auto"/>
              </w:rPr>
            </w:pPr>
            <w:r>
              <w:rPr>
                <w:rFonts w:ascii="Arial" w:cs="Arial" w:eastAsia="Arial" w:hAnsi="Arial"/>
                <w:sz w:val="11"/>
                <w:szCs w:val="11"/>
                <w:color w:val="131E29"/>
              </w:rPr>
              <w:t>Adoption of ASU 2016-02, as amended</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gridSpan w:val="2"/>
          </w:tcPr>
          <w:p>
            <w:pPr>
              <w:ind w:left="34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140" w:type="dxa"/>
            <w:vAlign w:val="bottom"/>
          </w:tcPr>
          <w:p>
            <w:pPr>
              <w:spacing w:after="0"/>
              <w:rPr>
                <w:sz w:val="14"/>
                <w:szCs w:val="14"/>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131E29"/>
              </w:rPr>
              <w:t>122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131E29"/>
              </w:rPr>
              <w:t>301</w:t>
            </w:r>
          </w:p>
        </w:tc>
        <w:tc>
          <w:tcPr>
            <w:tcW w:w="60" w:type="dxa"/>
            <w:vAlign w:val="bottom"/>
          </w:tcPr>
          <w:p>
            <w:pPr>
              <w:spacing w:after="0"/>
              <w:rPr>
                <w:sz w:val="14"/>
                <w:szCs w:val="14"/>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131E29"/>
              </w:rPr>
              <w:t>423</w:t>
            </w:r>
          </w:p>
        </w:tc>
        <w:tc>
          <w:tcPr>
            <w:tcW w:w="0" w:type="dxa"/>
            <w:vAlign w:val="bottom"/>
          </w:tcPr>
          <w:p>
            <w:pPr>
              <w:spacing w:after="0"/>
              <w:rPr>
                <w:sz w:val="1"/>
                <w:szCs w:val="1"/>
                <w:color w:val="auto"/>
              </w:rPr>
            </w:pPr>
          </w:p>
        </w:tc>
      </w:tr>
      <w:tr>
        <w:trPr>
          <w:trHeight w:val="190"/>
        </w:trPr>
        <w:tc>
          <w:tcPr>
            <w:tcW w:w="2240" w:type="dxa"/>
            <w:vAlign w:val="bottom"/>
            <w:gridSpan w:val="2"/>
            <w:shd w:val="clear" w:color="auto" w:fill="D2DCE5"/>
          </w:tcPr>
          <w:p>
            <w:pPr>
              <w:spacing w:after="0"/>
              <w:rPr>
                <w:sz w:val="20"/>
                <w:szCs w:val="20"/>
                <w:color w:val="auto"/>
              </w:rPr>
            </w:pPr>
            <w:r>
              <w:rPr>
                <w:rFonts w:ascii="Arial" w:cs="Arial" w:eastAsia="Arial" w:hAnsi="Arial"/>
                <w:sz w:val="11"/>
                <w:szCs w:val="11"/>
                <w:color w:val="131E29"/>
              </w:rPr>
              <w:t>Net loss</w:t>
            </w:r>
          </w:p>
        </w:tc>
        <w:tc>
          <w:tcPr>
            <w:tcW w:w="6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6"/>
                <w:szCs w:val="16"/>
                <w:color w:val="auto"/>
              </w:rPr>
            </w:pPr>
          </w:p>
        </w:tc>
        <w:tc>
          <w:tcPr>
            <w:tcW w:w="5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6"/>
                <w:szCs w:val="16"/>
                <w:color w:val="auto"/>
              </w:rPr>
            </w:pPr>
          </w:p>
        </w:tc>
        <w:tc>
          <w:tcPr>
            <w:tcW w:w="5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6"/>
                <w:szCs w:val="16"/>
                <w:color w:val="auto"/>
              </w:rPr>
            </w:pPr>
          </w:p>
        </w:tc>
        <w:tc>
          <w:tcPr>
            <w:tcW w:w="580" w:type="dxa"/>
            <w:vAlign w:val="bottom"/>
            <w:gridSpan w:val="2"/>
            <w:shd w:val="clear" w:color="auto" w:fill="D2DCE5"/>
          </w:tcPr>
          <w:p>
            <w:pPr>
              <w:jc w:val="right"/>
              <w:ind w:right="14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6"/>
                <w:szCs w:val="16"/>
                <w:color w:val="auto"/>
              </w:rPr>
            </w:pPr>
          </w:p>
        </w:tc>
        <w:tc>
          <w:tcPr>
            <w:tcW w:w="560" w:type="dxa"/>
            <w:vAlign w:val="bottom"/>
            <w:gridSpan w:val="2"/>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6"/>
                <w:szCs w:val="16"/>
                <w:color w:val="auto"/>
              </w:rPr>
            </w:pPr>
          </w:p>
        </w:tc>
        <w:tc>
          <w:tcPr>
            <w:tcW w:w="8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140" w:type="dxa"/>
            <w:vAlign w:val="bottom"/>
            <w:shd w:val="clear" w:color="auto" w:fill="D2DCE5"/>
          </w:tcPr>
          <w:p>
            <w:pPr>
              <w:spacing w:after="0"/>
              <w:rPr>
                <w:sz w:val="16"/>
                <w:szCs w:val="16"/>
                <w:color w:val="auto"/>
              </w:rPr>
            </w:pPr>
          </w:p>
        </w:tc>
        <w:tc>
          <w:tcPr>
            <w:tcW w:w="62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(4,753)</w:t>
            </w:r>
          </w:p>
        </w:tc>
        <w:tc>
          <w:tcPr>
            <w:tcW w:w="6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56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(14,500)</w:t>
            </w:r>
          </w:p>
        </w:tc>
        <w:tc>
          <w:tcPr>
            <w:tcW w:w="60" w:type="dxa"/>
            <w:vAlign w:val="bottom"/>
            <w:shd w:val="clear" w:color="auto" w:fill="D2DCE5"/>
          </w:tcPr>
          <w:p>
            <w:pPr>
              <w:spacing w:after="0"/>
              <w:rPr>
                <w:sz w:val="16"/>
                <w:szCs w:val="16"/>
                <w:color w:val="auto"/>
              </w:rPr>
            </w:pPr>
          </w:p>
        </w:tc>
        <w:tc>
          <w:tcPr>
            <w:tcW w:w="60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(19,253)</w:t>
            </w:r>
          </w:p>
        </w:tc>
        <w:tc>
          <w:tcPr>
            <w:tcW w:w="0" w:type="dxa"/>
            <w:vAlign w:val="bottom"/>
          </w:tcPr>
          <w:p>
            <w:pPr>
              <w:spacing w:after="0"/>
              <w:rPr>
                <w:sz w:val="1"/>
                <w:szCs w:val="1"/>
                <w:color w:val="auto"/>
              </w:rPr>
            </w:pPr>
          </w:p>
        </w:tc>
      </w:tr>
      <w:tr>
        <w:trPr>
          <w:trHeight w:val="161"/>
        </w:trPr>
        <w:tc>
          <w:tcPr>
            <w:tcW w:w="2240" w:type="dxa"/>
            <w:vAlign w:val="bottom"/>
            <w:gridSpan w:val="2"/>
          </w:tcPr>
          <w:p>
            <w:pPr>
              <w:spacing w:after="0"/>
              <w:rPr>
                <w:sz w:val="20"/>
                <w:szCs w:val="20"/>
                <w:color w:val="auto"/>
              </w:rPr>
            </w:pPr>
            <w:r>
              <w:rPr>
                <w:rFonts w:ascii="Arial" w:cs="Arial" w:eastAsia="Arial" w:hAnsi="Arial"/>
                <w:sz w:val="11"/>
                <w:szCs w:val="11"/>
                <w:color w:val="131E29"/>
              </w:rPr>
              <w:t>Unrealized gain on derivative securities,</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240" w:type="dxa"/>
            <w:vAlign w:val="bottom"/>
            <w:gridSpan w:val="2"/>
          </w:tcPr>
          <w:p>
            <w:pPr>
              <w:spacing w:after="0"/>
              <w:rPr>
                <w:sz w:val="20"/>
                <w:szCs w:val="20"/>
                <w:color w:val="auto"/>
              </w:rPr>
            </w:pPr>
            <w:r>
              <w:rPr>
                <w:rFonts w:ascii="Arial" w:cs="Arial" w:eastAsia="Arial" w:hAnsi="Arial"/>
                <w:sz w:val="11"/>
                <w:szCs w:val="11"/>
                <w:color w:val="131E29"/>
              </w:rPr>
              <w:t>effective portion, net of income tax</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1"/>
                <w:szCs w:val="11"/>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1"/>
                <w:szCs w:val="11"/>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131E29"/>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1"/>
                <w:szCs w:val="11"/>
                <w:color w:val="auto"/>
              </w:rPr>
            </w:pPr>
          </w:p>
        </w:tc>
        <w:tc>
          <w:tcPr>
            <w:tcW w:w="560" w:type="dxa"/>
            <w:vAlign w:val="bottom"/>
            <w:gridSpan w:val="2"/>
            <w:vMerge w:val="restart"/>
          </w:tcPr>
          <w:p>
            <w:pPr>
              <w:ind w:left="340"/>
              <w:spacing w:after="0"/>
              <w:rPr>
                <w:sz w:val="20"/>
                <w:szCs w:val="20"/>
                <w:color w:val="auto"/>
              </w:rPr>
            </w:pPr>
            <w:r>
              <w:rPr>
                <w:rFonts w:ascii="Arial" w:cs="Arial" w:eastAsia="Arial" w:hAnsi="Arial"/>
                <w:sz w:val="11"/>
                <w:szCs w:val="11"/>
                <w:color w:val="131E29"/>
              </w:rPr>
              <w:t>—</w:t>
            </w:r>
          </w:p>
        </w:tc>
        <w:tc>
          <w:tcPr>
            <w:tcW w:w="600" w:type="dxa"/>
            <w:vAlign w:val="bottom"/>
            <w:vMerge w:val="restart"/>
          </w:tcPr>
          <w:p>
            <w:pPr>
              <w:jc w:val="right"/>
              <w:spacing w:after="0"/>
              <w:rPr>
                <w:sz w:val="20"/>
                <w:szCs w:val="20"/>
                <w:color w:val="auto"/>
              </w:rPr>
            </w:pPr>
            <w:r>
              <w:rPr>
                <w:rFonts w:ascii="Arial" w:cs="Arial" w:eastAsia="Arial" w:hAnsi="Arial"/>
                <w:sz w:val="11"/>
                <w:szCs w:val="11"/>
                <w:color w:val="131E29"/>
              </w:rPr>
              <w:t>(17)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ind w:right="3"/>
              <w:spacing w:after="0"/>
              <w:rPr>
                <w:sz w:val="20"/>
                <w:szCs w:val="20"/>
                <w:color w:val="auto"/>
              </w:rPr>
            </w:pPr>
            <w:r>
              <w:rPr>
                <w:rFonts w:ascii="Arial" w:cs="Arial" w:eastAsia="Arial" w:hAnsi="Arial"/>
                <w:sz w:val="11"/>
                <w:szCs w:val="11"/>
                <w:color w:val="131E29"/>
              </w:rPr>
              <w:t>813</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1"/>
                <w:szCs w:val="11"/>
                <w:color w:val="auto"/>
              </w:rPr>
            </w:pPr>
          </w:p>
        </w:tc>
        <w:tc>
          <w:tcPr>
            <w:tcW w:w="560" w:type="dxa"/>
            <w:vAlign w:val="bottom"/>
            <w:vMerge w:val="restart"/>
          </w:tcPr>
          <w:p>
            <w:pPr>
              <w:jc w:val="right"/>
              <w:ind w:right="3"/>
              <w:spacing w:after="0"/>
              <w:rPr>
                <w:sz w:val="20"/>
                <w:szCs w:val="20"/>
                <w:color w:val="auto"/>
              </w:rPr>
            </w:pPr>
            <w:r>
              <w:rPr>
                <w:rFonts w:ascii="Arial" w:cs="Arial" w:eastAsia="Arial" w:hAnsi="Arial"/>
                <w:sz w:val="11"/>
                <w:szCs w:val="11"/>
                <w:color w:val="131E29"/>
              </w:rPr>
              <w:t>2,095</w:t>
            </w:r>
          </w:p>
        </w:tc>
        <w:tc>
          <w:tcPr>
            <w:tcW w:w="60" w:type="dxa"/>
            <w:vAlign w:val="bottom"/>
          </w:tcPr>
          <w:p>
            <w:pPr>
              <w:spacing w:after="0"/>
              <w:rPr>
                <w:sz w:val="11"/>
                <w:szCs w:val="11"/>
                <w:color w:val="auto"/>
              </w:rPr>
            </w:pPr>
          </w:p>
        </w:tc>
        <w:tc>
          <w:tcPr>
            <w:tcW w:w="600" w:type="dxa"/>
            <w:vAlign w:val="bottom"/>
            <w:vMerge w:val="restart"/>
          </w:tcPr>
          <w:p>
            <w:pPr>
              <w:jc w:val="right"/>
              <w:ind w:right="3"/>
              <w:spacing w:after="0"/>
              <w:rPr>
                <w:sz w:val="20"/>
                <w:szCs w:val="20"/>
                <w:color w:val="auto"/>
              </w:rPr>
            </w:pPr>
            <w:r>
              <w:rPr>
                <w:rFonts w:ascii="Arial" w:cs="Arial" w:eastAsia="Arial" w:hAnsi="Arial"/>
                <w:sz w:val="11"/>
                <w:szCs w:val="11"/>
                <w:color w:val="131E29"/>
              </w:rPr>
              <w:t>2,891</w:t>
            </w:r>
          </w:p>
        </w:tc>
        <w:tc>
          <w:tcPr>
            <w:tcW w:w="0" w:type="dxa"/>
            <w:vAlign w:val="bottom"/>
          </w:tcPr>
          <w:p>
            <w:pPr>
              <w:spacing w:after="0"/>
              <w:rPr>
                <w:sz w:val="1"/>
                <w:szCs w:val="1"/>
                <w:color w:val="auto"/>
              </w:rPr>
            </w:pPr>
          </w:p>
        </w:tc>
      </w:tr>
      <w:tr>
        <w:trPr>
          <w:trHeight w:val="142"/>
        </w:trPr>
        <w:tc>
          <w:tcPr>
            <w:tcW w:w="2240" w:type="dxa"/>
            <w:vAlign w:val="bottom"/>
            <w:gridSpan w:val="2"/>
          </w:tcPr>
          <w:p>
            <w:pPr>
              <w:spacing w:after="0"/>
              <w:rPr>
                <w:sz w:val="20"/>
                <w:szCs w:val="20"/>
                <w:color w:val="auto"/>
              </w:rPr>
            </w:pPr>
            <w:r>
              <w:rPr>
                <w:rFonts w:ascii="Arial" w:cs="Arial" w:eastAsia="Arial" w:hAnsi="Arial"/>
                <w:sz w:val="11"/>
                <w:szCs w:val="11"/>
                <w:color w:val="131E29"/>
              </w:rPr>
              <w:t>expense of $273</w:t>
            </w: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240" w:type="dxa"/>
            <w:vAlign w:val="bottom"/>
            <w:gridSpan w:val="2"/>
            <w:shd w:val="clear" w:color="auto" w:fill="D2DCE5"/>
          </w:tcPr>
          <w:p>
            <w:pPr>
              <w:spacing w:after="0"/>
              <w:rPr>
                <w:sz w:val="20"/>
                <w:szCs w:val="20"/>
                <w:color w:val="auto"/>
              </w:rPr>
            </w:pPr>
            <w:r>
              <w:rPr>
                <w:rFonts w:ascii="Arial" w:cs="Arial" w:eastAsia="Arial" w:hAnsi="Arial"/>
                <w:sz w:val="11"/>
                <w:szCs w:val="11"/>
                <w:color w:val="131E29"/>
              </w:rPr>
              <w:t>Equity-based compensation</w:t>
            </w:r>
          </w:p>
        </w:tc>
        <w:tc>
          <w:tcPr>
            <w:tcW w:w="6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6"/>
                <w:szCs w:val="16"/>
                <w:color w:val="auto"/>
              </w:rPr>
            </w:pPr>
          </w:p>
        </w:tc>
        <w:tc>
          <w:tcPr>
            <w:tcW w:w="5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6"/>
                <w:szCs w:val="16"/>
                <w:color w:val="auto"/>
              </w:rPr>
            </w:pPr>
          </w:p>
        </w:tc>
        <w:tc>
          <w:tcPr>
            <w:tcW w:w="5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6"/>
                <w:szCs w:val="16"/>
                <w:color w:val="auto"/>
              </w:rPr>
            </w:pPr>
          </w:p>
        </w:tc>
        <w:tc>
          <w:tcPr>
            <w:tcW w:w="580" w:type="dxa"/>
            <w:vAlign w:val="bottom"/>
            <w:gridSpan w:val="2"/>
            <w:shd w:val="clear" w:color="auto" w:fill="D2DCE5"/>
          </w:tcPr>
          <w:p>
            <w:pPr>
              <w:jc w:val="right"/>
              <w:ind w:right="14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6"/>
                <w:szCs w:val="16"/>
                <w:color w:val="auto"/>
              </w:rPr>
            </w:pPr>
          </w:p>
        </w:tc>
        <w:tc>
          <w:tcPr>
            <w:tcW w:w="560" w:type="dxa"/>
            <w:vAlign w:val="bottom"/>
            <w:gridSpan w:val="2"/>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0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13,743</w:t>
            </w:r>
          </w:p>
        </w:tc>
        <w:tc>
          <w:tcPr>
            <w:tcW w:w="6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8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140" w:type="dxa"/>
            <w:vAlign w:val="bottom"/>
            <w:shd w:val="clear" w:color="auto" w:fill="D2DCE5"/>
          </w:tcPr>
          <w:p>
            <w:pPr>
              <w:spacing w:after="0"/>
              <w:rPr>
                <w:sz w:val="16"/>
                <w:szCs w:val="16"/>
                <w:color w:val="auto"/>
              </w:rPr>
            </w:pPr>
          </w:p>
        </w:tc>
        <w:tc>
          <w:tcPr>
            <w:tcW w:w="68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6"/>
                <w:szCs w:val="16"/>
                <w:color w:val="auto"/>
              </w:rPr>
            </w:pPr>
          </w:p>
        </w:tc>
        <w:tc>
          <w:tcPr>
            <w:tcW w:w="56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27,914</w:t>
            </w:r>
          </w:p>
        </w:tc>
        <w:tc>
          <w:tcPr>
            <w:tcW w:w="60" w:type="dxa"/>
            <w:vAlign w:val="bottom"/>
            <w:shd w:val="clear" w:color="auto" w:fill="D2DCE5"/>
          </w:tcPr>
          <w:p>
            <w:pPr>
              <w:spacing w:after="0"/>
              <w:rPr>
                <w:sz w:val="16"/>
                <w:szCs w:val="16"/>
                <w:color w:val="auto"/>
              </w:rPr>
            </w:pPr>
          </w:p>
        </w:tc>
        <w:tc>
          <w:tcPr>
            <w:tcW w:w="60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41,657</w:t>
            </w:r>
          </w:p>
        </w:tc>
        <w:tc>
          <w:tcPr>
            <w:tcW w:w="0" w:type="dxa"/>
            <w:vAlign w:val="bottom"/>
          </w:tcPr>
          <w:p>
            <w:pPr>
              <w:spacing w:after="0"/>
              <w:rPr>
                <w:sz w:val="1"/>
                <w:szCs w:val="1"/>
                <w:color w:val="auto"/>
              </w:rPr>
            </w:pPr>
          </w:p>
        </w:tc>
      </w:tr>
      <w:tr>
        <w:trPr>
          <w:trHeight w:val="161"/>
        </w:trPr>
        <w:tc>
          <w:tcPr>
            <w:tcW w:w="2240" w:type="dxa"/>
            <w:vAlign w:val="bottom"/>
            <w:gridSpan w:val="2"/>
          </w:tcPr>
          <w:p>
            <w:pPr>
              <w:spacing w:after="0"/>
              <w:rPr>
                <w:sz w:val="20"/>
                <w:szCs w:val="20"/>
                <w:color w:val="auto"/>
              </w:rPr>
            </w:pPr>
            <w:r>
              <w:rPr>
                <w:rFonts w:ascii="Arial" w:cs="Arial" w:eastAsia="Arial" w:hAnsi="Arial"/>
                <w:sz w:val="11"/>
                <w:szCs w:val="11"/>
                <w:color w:val="131E29"/>
              </w:rPr>
              <w:t>Issuance of Class A common stock</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240" w:type="dxa"/>
            <w:vAlign w:val="bottom"/>
            <w:gridSpan w:val="2"/>
          </w:tcPr>
          <w:p>
            <w:pPr>
              <w:spacing w:after="0"/>
              <w:rPr>
                <w:sz w:val="20"/>
                <w:szCs w:val="20"/>
                <w:color w:val="auto"/>
              </w:rPr>
            </w:pPr>
            <w:r>
              <w:rPr>
                <w:rFonts w:ascii="Arial" w:cs="Arial" w:eastAsia="Arial" w:hAnsi="Arial"/>
                <w:sz w:val="11"/>
                <w:szCs w:val="11"/>
                <w:color w:val="131E29"/>
              </w:rPr>
              <w:t>pursuant to vesting of equity awards, net of</w:t>
            </w:r>
          </w:p>
        </w:tc>
        <w:tc>
          <w:tcPr>
            <w:tcW w:w="600" w:type="dxa"/>
            <w:vAlign w:val="bottom"/>
            <w:vMerge w:val="restart"/>
          </w:tcPr>
          <w:p>
            <w:pPr>
              <w:jc w:val="right"/>
              <w:ind w:right="3"/>
              <w:spacing w:after="0"/>
              <w:rPr>
                <w:sz w:val="20"/>
                <w:szCs w:val="20"/>
                <w:color w:val="auto"/>
              </w:rPr>
            </w:pPr>
            <w:r>
              <w:rPr>
                <w:rFonts w:ascii="Arial" w:cs="Arial" w:eastAsia="Arial" w:hAnsi="Arial"/>
                <w:sz w:val="11"/>
                <w:szCs w:val="11"/>
                <w:color w:val="131E29"/>
              </w:rPr>
              <w:t>131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1"/>
                <w:szCs w:val="11"/>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131E29"/>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1"/>
                <w:szCs w:val="11"/>
                <w:color w:val="auto"/>
              </w:rPr>
            </w:pPr>
          </w:p>
        </w:tc>
        <w:tc>
          <w:tcPr>
            <w:tcW w:w="560" w:type="dxa"/>
            <w:vAlign w:val="bottom"/>
            <w:gridSpan w:val="2"/>
            <w:vMerge w:val="restart"/>
          </w:tcPr>
          <w:p>
            <w:pPr>
              <w:ind w:left="340"/>
              <w:spacing w:after="0"/>
              <w:rPr>
                <w:sz w:val="20"/>
                <w:szCs w:val="20"/>
                <w:color w:val="auto"/>
              </w:rPr>
            </w:pPr>
            <w:r>
              <w:rPr>
                <w:rFonts w:ascii="Arial" w:cs="Arial" w:eastAsia="Arial" w:hAnsi="Arial"/>
                <w:sz w:val="11"/>
                <w:szCs w:val="11"/>
                <w:color w:val="131E29"/>
              </w:rPr>
              <w:t>—</w:t>
            </w:r>
          </w:p>
        </w:tc>
        <w:tc>
          <w:tcPr>
            <w:tcW w:w="600" w:type="dxa"/>
            <w:vAlign w:val="bottom"/>
            <w:vMerge w:val="restart"/>
          </w:tcPr>
          <w:p>
            <w:pPr>
              <w:jc w:val="right"/>
              <w:spacing w:after="0"/>
              <w:rPr>
                <w:sz w:val="20"/>
                <w:szCs w:val="20"/>
                <w:color w:val="auto"/>
              </w:rPr>
            </w:pPr>
            <w:r>
              <w:rPr>
                <w:rFonts w:ascii="Arial" w:cs="Arial" w:eastAsia="Arial" w:hAnsi="Arial"/>
                <w:sz w:val="11"/>
                <w:szCs w:val="11"/>
                <w:color w:val="131E29"/>
              </w:rPr>
              <w:t>(1,145)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140" w:type="dxa"/>
            <w:vAlign w:val="bottom"/>
          </w:tcPr>
          <w:p>
            <w:pPr>
              <w:spacing w:after="0"/>
              <w:rPr>
                <w:sz w:val="11"/>
                <w:szCs w:val="11"/>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131E29"/>
              </w:rPr>
              <w:t>(2,755)</w:t>
            </w:r>
          </w:p>
        </w:tc>
        <w:tc>
          <w:tcPr>
            <w:tcW w:w="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131E29"/>
              </w:rPr>
              <w:t>(3,900)</w:t>
            </w:r>
          </w:p>
        </w:tc>
        <w:tc>
          <w:tcPr>
            <w:tcW w:w="0" w:type="dxa"/>
            <w:vAlign w:val="bottom"/>
          </w:tcPr>
          <w:p>
            <w:pPr>
              <w:spacing w:after="0"/>
              <w:rPr>
                <w:sz w:val="1"/>
                <w:szCs w:val="1"/>
                <w:color w:val="auto"/>
              </w:rPr>
            </w:pPr>
          </w:p>
        </w:tc>
      </w:tr>
      <w:tr>
        <w:trPr>
          <w:trHeight w:val="142"/>
        </w:trPr>
        <w:tc>
          <w:tcPr>
            <w:tcW w:w="2240" w:type="dxa"/>
            <w:vAlign w:val="bottom"/>
            <w:gridSpan w:val="2"/>
          </w:tcPr>
          <w:p>
            <w:pPr>
              <w:spacing w:after="0"/>
              <w:rPr>
                <w:sz w:val="20"/>
                <w:szCs w:val="20"/>
                <w:color w:val="auto"/>
              </w:rPr>
            </w:pPr>
            <w:r>
              <w:rPr>
                <w:rFonts w:ascii="Arial" w:cs="Arial" w:eastAsia="Arial" w:hAnsi="Arial"/>
                <w:sz w:val="11"/>
                <w:szCs w:val="11"/>
                <w:color w:val="131E29"/>
              </w:rPr>
              <w:t>stock withheld for tax</w:t>
            </w:r>
          </w:p>
        </w:tc>
        <w:tc>
          <w:tcPr>
            <w:tcW w:w="6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240" w:type="dxa"/>
            <w:vAlign w:val="bottom"/>
            <w:gridSpan w:val="2"/>
            <w:shd w:val="clear" w:color="auto" w:fill="D2DCE5"/>
          </w:tcPr>
          <w:p>
            <w:pPr>
              <w:spacing w:after="0"/>
              <w:rPr>
                <w:sz w:val="20"/>
                <w:szCs w:val="20"/>
                <w:color w:val="auto"/>
              </w:rPr>
            </w:pPr>
            <w:r>
              <w:rPr>
                <w:rFonts w:ascii="Arial" w:cs="Arial" w:eastAsia="Arial" w:hAnsi="Arial"/>
                <w:sz w:val="11"/>
                <w:szCs w:val="11"/>
                <w:color w:val="131E29"/>
              </w:rPr>
              <w:t>Impact of Tax Receivable Agreements</w:t>
            </w:r>
          </w:p>
        </w:tc>
        <w:tc>
          <w:tcPr>
            <w:tcW w:w="6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6"/>
                <w:szCs w:val="16"/>
                <w:color w:val="auto"/>
              </w:rPr>
            </w:pPr>
          </w:p>
        </w:tc>
        <w:tc>
          <w:tcPr>
            <w:tcW w:w="5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6"/>
                <w:szCs w:val="16"/>
                <w:color w:val="auto"/>
              </w:rPr>
            </w:pPr>
          </w:p>
        </w:tc>
        <w:tc>
          <w:tcPr>
            <w:tcW w:w="5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6"/>
                <w:szCs w:val="16"/>
                <w:color w:val="auto"/>
              </w:rPr>
            </w:pPr>
          </w:p>
        </w:tc>
        <w:tc>
          <w:tcPr>
            <w:tcW w:w="580" w:type="dxa"/>
            <w:vAlign w:val="bottom"/>
            <w:gridSpan w:val="2"/>
            <w:shd w:val="clear" w:color="auto" w:fill="D2DCE5"/>
          </w:tcPr>
          <w:p>
            <w:pPr>
              <w:jc w:val="right"/>
              <w:ind w:right="14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6"/>
                <w:szCs w:val="16"/>
                <w:color w:val="auto"/>
              </w:rPr>
            </w:pPr>
          </w:p>
        </w:tc>
        <w:tc>
          <w:tcPr>
            <w:tcW w:w="560" w:type="dxa"/>
            <w:vAlign w:val="bottom"/>
            <w:gridSpan w:val="2"/>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0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16,429</w:t>
            </w:r>
          </w:p>
        </w:tc>
        <w:tc>
          <w:tcPr>
            <w:tcW w:w="6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8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140" w:type="dxa"/>
            <w:vAlign w:val="bottom"/>
            <w:shd w:val="clear" w:color="auto" w:fill="D2DCE5"/>
          </w:tcPr>
          <w:p>
            <w:pPr>
              <w:spacing w:after="0"/>
              <w:rPr>
                <w:sz w:val="16"/>
                <w:szCs w:val="16"/>
                <w:color w:val="auto"/>
              </w:rPr>
            </w:pPr>
          </w:p>
        </w:tc>
        <w:tc>
          <w:tcPr>
            <w:tcW w:w="68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6"/>
                <w:szCs w:val="16"/>
                <w:color w:val="auto"/>
              </w:rPr>
            </w:pPr>
          </w:p>
        </w:tc>
        <w:tc>
          <w:tcPr>
            <w:tcW w:w="62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0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16,429</w:t>
            </w:r>
          </w:p>
        </w:tc>
        <w:tc>
          <w:tcPr>
            <w:tcW w:w="0" w:type="dxa"/>
            <w:vAlign w:val="bottom"/>
          </w:tcPr>
          <w:p>
            <w:pPr>
              <w:spacing w:after="0"/>
              <w:rPr>
                <w:sz w:val="1"/>
                <w:szCs w:val="1"/>
                <w:color w:val="auto"/>
              </w:rPr>
            </w:pPr>
          </w:p>
        </w:tc>
      </w:tr>
      <w:tr>
        <w:trPr>
          <w:trHeight w:val="161"/>
        </w:trPr>
        <w:tc>
          <w:tcPr>
            <w:tcW w:w="2240" w:type="dxa"/>
            <w:vAlign w:val="bottom"/>
            <w:gridSpan w:val="2"/>
          </w:tcPr>
          <w:p>
            <w:pPr>
              <w:spacing w:after="0"/>
              <w:rPr>
                <w:sz w:val="20"/>
                <w:szCs w:val="20"/>
                <w:color w:val="auto"/>
              </w:rPr>
            </w:pPr>
            <w:r>
              <w:rPr>
                <w:rFonts w:ascii="Arial" w:cs="Arial" w:eastAsia="Arial" w:hAnsi="Arial"/>
                <w:sz w:val="11"/>
                <w:szCs w:val="11"/>
                <w:color w:val="131E29"/>
              </w:rPr>
              <w:t>Effect of exchange of Dutch Bros OpCo</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240" w:type="dxa"/>
            <w:vAlign w:val="bottom"/>
            <w:gridSpan w:val="2"/>
          </w:tcPr>
          <w:p>
            <w:pPr>
              <w:spacing w:after="0"/>
              <w:rPr>
                <w:sz w:val="20"/>
                <w:szCs w:val="20"/>
                <w:color w:val="auto"/>
              </w:rPr>
            </w:pPr>
            <w:r>
              <w:rPr>
                <w:rFonts w:ascii="Arial" w:cs="Arial" w:eastAsia="Arial" w:hAnsi="Arial"/>
                <w:sz w:val="11"/>
                <w:szCs w:val="11"/>
                <w:color w:val="131E29"/>
              </w:rPr>
              <w:t>Class A common units</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2"/>
                <w:szCs w:val="12"/>
                <w:color w:val="auto"/>
              </w:rPr>
            </w:pPr>
          </w:p>
        </w:tc>
        <w:tc>
          <w:tcPr>
            <w:tcW w:w="560" w:type="dxa"/>
            <w:vAlign w:val="bottom"/>
            <w:gridSpan w:val="2"/>
          </w:tcPr>
          <w:p>
            <w:pPr>
              <w:ind w:left="340"/>
              <w:spacing w:after="0"/>
              <w:rPr>
                <w:sz w:val="20"/>
                <w:szCs w:val="20"/>
                <w:color w:val="auto"/>
              </w:rPr>
            </w:pPr>
            <w:r>
              <w:rPr>
                <w:rFonts w:ascii="Arial" w:cs="Arial" w:eastAsia="Arial" w:hAnsi="Arial"/>
                <w:sz w:val="11"/>
                <w:szCs w:val="11"/>
                <w:color w:val="131E29"/>
              </w:rPr>
              <w:t>—</w:t>
            </w:r>
          </w:p>
        </w:tc>
        <w:tc>
          <w:tcPr>
            <w:tcW w:w="600" w:type="dxa"/>
            <w:vAlign w:val="bottom"/>
          </w:tcPr>
          <w:p>
            <w:pPr>
              <w:jc w:val="right"/>
              <w:ind w:right="3"/>
              <w:spacing w:after="0"/>
              <w:rPr>
                <w:sz w:val="20"/>
                <w:szCs w:val="20"/>
                <w:color w:val="auto"/>
              </w:rPr>
            </w:pPr>
            <w:r>
              <w:rPr>
                <w:rFonts w:ascii="Arial" w:cs="Arial" w:eastAsia="Arial" w:hAnsi="Arial"/>
                <w:sz w:val="11"/>
                <w:szCs w:val="11"/>
                <w:color w:val="131E29"/>
              </w:rPr>
              <w:t>9,410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131E29"/>
              </w:rPr>
              <w:t>(9,410)</w:t>
            </w:r>
          </w:p>
        </w:tc>
        <w:tc>
          <w:tcPr>
            <w:tcW w:w="60" w:type="dxa"/>
            <w:vAlign w:val="bottom"/>
          </w:tcPr>
          <w:p>
            <w:pPr>
              <w:spacing w:after="0"/>
              <w:rPr>
                <w:sz w:val="12"/>
                <w:szCs w:val="12"/>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131E29"/>
              </w:rPr>
              <w:t>—</w:t>
            </w:r>
          </w:p>
        </w:tc>
        <w:tc>
          <w:tcPr>
            <w:tcW w:w="0" w:type="dxa"/>
            <w:vAlign w:val="bottom"/>
          </w:tcPr>
          <w:p>
            <w:pPr>
              <w:spacing w:after="0"/>
              <w:rPr>
                <w:sz w:val="1"/>
                <w:szCs w:val="1"/>
                <w:color w:val="auto"/>
              </w:rPr>
            </w:pPr>
          </w:p>
        </w:tc>
      </w:tr>
      <w:tr>
        <w:trPr>
          <w:trHeight w:val="171"/>
        </w:trPr>
        <w:tc>
          <w:tcPr>
            <w:tcW w:w="2240" w:type="dxa"/>
            <w:vAlign w:val="bottom"/>
            <w:gridSpan w:val="2"/>
            <w:shd w:val="clear" w:color="auto" w:fill="D2DCE5"/>
          </w:tcPr>
          <w:p>
            <w:pPr>
              <w:spacing w:after="0"/>
              <w:rPr>
                <w:sz w:val="20"/>
                <w:szCs w:val="20"/>
                <w:color w:val="auto"/>
              </w:rPr>
            </w:pPr>
            <w:r>
              <w:rPr>
                <w:rFonts w:ascii="Arial" w:cs="Arial" w:eastAsia="Arial" w:hAnsi="Arial"/>
                <w:sz w:val="11"/>
                <w:szCs w:val="11"/>
                <w:color w:val="131E29"/>
              </w:rPr>
              <w:t>Surrender and cancellation of Class C &amp; D</w:t>
            </w:r>
          </w:p>
        </w:tc>
        <w:tc>
          <w:tcPr>
            <w:tcW w:w="6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8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40" w:type="dxa"/>
            <w:vAlign w:val="bottom"/>
            <w:shd w:val="clear" w:color="auto" w:fill="D2DCE5"/>
          </w:tcPr>
          <w:p>
            <w:pPr>
              <w:spacing w:after="0"/>
              <w:rPr>
                <w:sz w:val="14"/>
                <w:szCs w:val="14"/>
                <w:color w:val="auto"/>
              </w:rPr>
            </w:pPr>
          </w:p>
        </w:tc>
        <w:tc>
          <w:tcPr>
            <w:tcW w:w="62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D2DCE5"/>
          </w:tcPr>
          <w:p>
            <w:pPr>
              <w:spacing w:after="0"/>
              <w:rPr>
                <w:sz w:val="20"/>
                <w:szCs w:val="20"/>
                <w:color w:val="auto"/>
              </w:rPr>
            </w:pPr>
            <w:r>
              <w:rPr>
                <w:rFonts w:ascii="Arial" w:cs="Arial" w:eastAsia="Arial" w:hAnsi="Arial"/>
                <w:sz w:val="11"/>
                <w:szCs w:val="11"/>
                <w:color w:val="131E29"/>
              </w:rPr>
              <w:t>common stock</w:t>
            </w:r>
          </w:p>
        </w:tc>
        <w:tc>
          <w:tcPr>
            <w:tcW w:w="600" w:type="dxa"/>
            <w:vAlign w:val="bottom"/>
            <w:tcBorders>
              <w:bottom w:val="single" w:sz="8" w:color="auto"/>
            </w:tcBorders>
            <w:shd w:val="clear" w:color="auto" w:fill="D2DCE5"/>
          </w:tcPr>
          <w:p>
            <w:pPr>
              <w:jc w:val="right"/>
              <w:ind w:right="3"/>
              <w:spacing w:after="0"/>
              <w:rPr>
                <w:sz w:val="20"/>
                <w:szCs w:val="20"/>
                <w:color w:val="auto"/>
              </w:rPr>
            </w:pPr>
            <w:r>
              <w:rPr>
                <w:rFonts w:ascii="Arial" w:cs="Arial" w:eastAsia="Arial" w:hAnsi="Arial"/>
                <w:sz w:val="11"/>
                <w:szCs w:val="11"/>
                <w:color w:val="131E29"/>
              </w:rPr>
              <w:t>10,980</w:t>
            </w:r>
          </w:p>
        </w:tc>
        <w:tc>
          <w:tcPr>
            <w:tcW w:w="60" w:type="dxa"/>
            <w:vAlign w:val="bottom"/>
            <w:shd w:val="clear" w:color="auto" w:fill="D2DCE5"/>
          </w:tcPr>
          <w:p>
            <w:pPr>
              <w:spacing w:after="0"/>
              <w:rPr>
                <w:sz w:val="12"/>
                <w:szCs w:val="12"/>
                <w:color w:val="auto"/>
              </w:rPr>
            </w:pPr>
          </w:p>
        </w:tc>
        <w:tc>
          <w:tcPr>
            <w:tcW w:w="80" w:type="dxa"/>
            <w:vAlign w:val="bottom"/>
            <w:tcBorders>
              <w:bottom w:val="single" w:sz="8" w:color="auto"/>
            </w:tcBorders>
            <w:shd w:val="clear" w:color="auto" w:fill="D2DCE5"/>
          </w:tcPr>
          <w:p>
            <w:pPr>
              <w:spacing w:after="0"/>
              <w:rPr>
                <w:sz w:val="12"/>
                <w:szCs w:val="12"/>
                <w:color w:val="auto"/>
              </w:rPr>
            </w:pPr>
          </w:p>
        </w:tc>
        <w:tc>
          <w:tcPr>
            <w:tcW w:w="500" w:type="dxa"/>
            <w:vAlign w:val="bottom"/>
            <w:tcBorders>
              <w:bottom w:val="single" w:sz="8" w:color="auto"/>
            </w:tcBorders>
            <w:shd w:val="clear" w:color="auto" w:fill="D2DCE5"/>
          </w:tcPr>
          <w:p>
            <w:pPr>
              <w:jc w:val="right"/>
              <w:ind w:right="3"/>
              <w:spacing w:after="0"/>
              <w:rPr>
                <w:sz w:val="20"/>
                <w:szCs w:val="20"/>
                <w:color w:val="auto"/>
              </w:rPr>
            </w:pPr>
            <w:r>
              <w:rPr>
                <w:rFonts w:ascii="Arial" w:cs="Arial" w:eastAsia="Arial" w:hAnsi="Arial"/>
                <w:sz w:val="11"/>
                <w:szCs w:val="11"/>
                <w:color w:val="131E29"/>
              </w:rPr>
              <w:t>1</w:t>
            </w:r>
          </w:p>
        </w:tc>
        <w:tc>
          <w:tcPr>
            <w:tcW w:w="60" w:type="dxa"/>
            <w:vAlign w:val="bottom"/>
            <w:shd w:val="clear" w:color="auto" w:fill="D2DCE5"/>
          </w:tcPr>
          <w:p>
            <w:pPr>
              <w:spacing w:after="0"/>
              <w:rPr>
                <w:sz w:val="12"/>
                <w:szCs w:val="12"/>
                <w:color w:val="auto"/>
              </w:rPr>
            </w:pPr>
          </w:p>
        </w:tc>
        <w:tc>
          <w:tcPr>
            <w:tcW w:w="580" w:type="dxa"/>
            <w:vAlign w:val="bottom"/>
            <w:tcBorders>
              <w:bottom w:val="single" w:sz="8" w:color="auto"/>
            </w:tcBorders>
            <w:shd w:val="clear" w:color="auto" w:fill="D2DCE5"/>
          </w:tcPr>
          <w:p>
            <w:pPr>
              <w:jc w:val="right"/>
              <w:ind w:right="3"/>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2"/>
                <w:szCs w:val="12"/>
                <w:color w:val="auto"/>
              </w:rPr>
            </w:pPr>
          </w:p>
        </w:tc>
        <w:tc>
          <w:tcPr>
            <w:tcW w:w="100" w:type="dxa"/>
            <w:vAlign w:val="bottom"/>
            <w:tcBorders>
              <w:bottom w:val="single" w:sz="8" w:color="auto"/>
            </w:tcBorders>
            <w:shd w:val="clear" w:color="auto" w:fill="D2DCE5"/>
          </w:tcPr>
          <w:p>
            <w:pPr>
              <w:spacing w:after="0"/>
              <w:rPr>
                <w:sz w:val="12"/>
                <w:szCs w:val="12"/>
                <w:color w:val="auto"/>
              </w:rPr>
            </w:pPr>
          </w:p>
        </w:tc>
        <w:tc>
          <w:tcPr>
            <w:tcW w:w="500" w:type="dxa"/>
            <w:vAlign w:val="bottom"/>
            <w:tcBorders>
              <w:bottom w:val="single" w:sz="8" w:color="auto"/>
            </w:tcBorders>
            <w:shd w:val="clear" w:color="auto" w:fill="D2DCE5"/>
          </w:tcPr>
          <w:p>
            <w:pPr>
              <w:jc w:val="right"/>
              <w:ind w:right="3"/>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2"/>
                <w:szCs w:val="12"/>
                <w:color w:val="auto"/>
              </w:rPr>
            </w:pPr>
          </w:p>
        </w:tc>
        <w:tc>
          <w:tcPr>
            <w:tcW w:w="5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1"/>
                <w:szCs w:val="11"/>
                <w:color w:val="131E29"/>
              </w:rPr>
              <w:t>(7,950)</w:t>
            </w:r>
          </w:p>
        </w:tc>
        <w:tc>
          <w:tcPr>
            <w:tcW w:w="60" w:type="dxa"/>
            <w:vAlign w:val="bottom"/>
            <w:shd w:val="clear" w:color="auto" w:fill="D2DCE5"/>
          </w:tcPr>
          <w:p>
            <w:pPr>
              <w:spacing w:after="0"/>
              <w:rPr>
                <w:sz w:val="12"/>
                <w:szCs w:val="12"/>
                <w:color w:val="auto"/>
              </w:rPr>
            </w:pPr>
          </w:p>
        </w:tc>
        <w:tc>
          <w:tcPr>
            <w:tcW w:w="80" w:type="dxa"/>
            <w:vAlign w:val="bottom"/>
            <w:tcBorders>
              <w:bottom w:val="single" w:sz="8" w:color="auto"/>
            </w:tcBorders>
            <w:shd w:val="clear" w:color="auto" w:fill="D2DCE5"/>
          </w:tcPr>
          <w:p>
            <w:pPr>
              <w:spacing w:after="0"/>
              <w:rPr>
                <w:sz w:val="12"/>
                <w:szCs w:val="12"/>
                <w:color w:val="auto"/>
              </w:rPr>
            </w:pPr>
          </w:p>
        </w:tc>
        <w:tc>
          <w:tcPr>
            <w:tcW w:w="5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1"/>
                <w:szCs w:val="11"/>
                <w:color w:val="131E29"/>
              </w:rPr>
              <w:t>(1)</w:t>
            </w:r>
          </w:p>
        </w:tc>
        <w:tc>
          <w:tcPr>
            <w:tcW w:w="80" w:type="dxa"/>
            <w:vAlign w:val="bottom"/>
            <w:shd w:val="clear" w:color="auto" w:fill="D2DCE5"/>
          </w:tcPr>
          <w:p>
            <w:pPr>
              <w:spacing w:after="0"/>
              <w:rPr>
                <w:sz w:val="12"/>
                <w:szCs w:val="12"/>
                <w:color w:val="auto"/>
              </w:rPr>
            </w:pPr>
          </w:p>
        </w:tc>
        <w:tc>
          <w:tcPr>
            <w:tcW w:w="5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1"/>
                <w:szCs w:val="11"/>
                <w:color w:val="131E29"/>
              </w:rPr>
              <w:t>(3,030)</w:t>
            </w:r>
          </w:p>
        </w:tc>
        <w:tc>
          <w:tcPr>
            <w:tcW w:w="60" w:type="dxa"/>
            <w:vAlign w:val="bottom"/>
            <w:shd w:val="clear" w:color="auto" w:fill="D2DCE5"/>
          </w:tcPr>
          <w:p>
            <w:pPr>
              <w:spacing w:after="0"/>
              <w:rPr>
                <w:sz w:val="12"/>
                <w:szCs w:val="12"/>
                <w:color w:val="auto"/>
              </w:rPr>
            </w:pPr>
          </w:p>
        </w:tc>
        <w:tc>
          <w:tcPr>
            <w:tcW w:w="80" w:type="dxa"/>
            <w:vAlign w:val="bottom"/>
            <w:tcBorders>
              <w:bottom w:val="single" w:sz="8" w:color="auto"/>
            </w:tcBorders>
            <w:shd w:val="clear" w:color="auto" w:fill="D2DCE5"/>
          </w:tcPr>
          <w:p>
            <w:pPr>
              <w:spacing w:after="0"/>
              <w:rPr>
                <w:sz w:val="12"/>
                <w:szCs w:val="12"/>
                <w:color w:val="auto"/>
              </w:rPr>
            </w:pPr>
          </w:p>
        </w:tc>
        <w:tc>
          <w:tcPr>
            <w:tcW w:w="500" w:type="dxa"/>
            <w:vAlign w:val="bottom"/>
            <w:tcBorders>
              <w:bottom w:val="single" w:sz="8" w:color="auto"/>
            </w:tcBorders>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2"/>
                <w:szCs w:val="12"/>
                <w:color w:val="auto"/>
              </w:rPr>
            </w:pPr>
          </w:p>
        </w:tc>
        <w:tc>
          <w:tcPr>
            <w:tcW w:w="600" w:type="dxa"/>
            <w:vAlign w:val="bottom"/>
            <w:tcBorders>
              <w:bottom w:val="single" w:sz="8" w:color="auto"/>
            </w:tcBorders>
            <w:shd w:val="clear" w:color="auto" w:fill="D2DCE5"/>
          </w:tcPr>
          <w:p>
            <w:pPr>
              <w:jc w:val="right"/>
              <w:ind w:right="3"/>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2"/>
                <w:szCs w:val="12"/>
                <w:color w:val="auto"/>
              </w:rPr>
            </w:pPr>
          </w:p>
        </w:tc>
        <w:tc>
          <w:tcPr>
            <w:tcW w:w="100" w:type="dxa"/>
            <w:vAlign w:val="bottom"/>
            <w:tcBorders>
              <w:bottom w:val="single" w:sz="8" w:color="auto"/>
            </w:tcBorders>
            <w:shd w:val="clear" w:color="auto" w:fill="D2DCE5"/>
          </w:tcPr>
          <w:p>
            <w:pPr>
              <w:spacing w:after="0"/>
              <w:rPr>
                <w:sz w:val="12"/>
                <w:szCs w:val="12"/>
                <w:color w:val="auto"/>
              </w:rPr>
            </w:pPr>
          </w:p>
        </w:tc>
        <w:tc>
          <w:tcPr>
            <w:tcW w:w="800" w:type="dxa"/>
            <w:vAlign w:val="bottom"/>
            <w:tcBorders>
              <w:bottom w:val="single" w:sz="8" w:color="auto"/>
            </w:tcBorders>
            <w:shd w:val="clear" w:color="auto" w:fill="D2DCE5"/>
          </w:tcPr>
          <w:p>
            <w:pPr>
              <w:jc w:val="right"/>
              <w:ind w:right="3"/>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2"/>
                <w:szCs w:val="12"/>
                <w:color w:val="auto"/>
              </w:rPr>
            </w:pPr>
          </w:p>
        </w:tc>
        <w:tc>
          <w:tcPr>
            <w:tcW w:w="140" w:type="dxa"/>
            <w:vAlign w:val="bottom"/>
            <w:tcBorders>
              <w:bottom w:val="single" w:sz="8" w:color="auto"/>
            </w:tcBorders>
            <w:shd w:val="clear" w:color="auto" w:fill="D2DCE5"/>
          </w:tcPr>
          <w:p>
            <w:pPr>
              <w:spacing w:after="0"/>
              <w:rPr>
                <w:sz w:val="12"/>
                <w:szCs w:val="12"/>
                <w:color w:val="auto"/>
              </w:rPr>
            </w:pPr>
          </w:p>
        </w:tc>
        <w:tc>
          <w:tcPr>
            <w:tcW w:w="620" w:type="dxa"/>
            <w:vAlign w:val="bottom"/>
            <w:tcBorders>
              <w:bottom w:val="single" w:sz="8" w:color="auto"/>
            </w:tcBorders>
            <w:shd w:val="clear" w:color="auto" w:fill="D2DCE5"/>
          </w:tcPr>
          <w:p>
            <w:pPr>
              <w:jc w:val="right"/>
              <w:ind w:right="3"/>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2"/>
                <w:szCs w:val="12"/>
                <w:color w:val="auto"/>
              </w:rPr>
            </w:pPr>
          </w:p>
        </w:tc>
        <w:tc>
          <w:tcPr>
            <w:tcW w:w="100" w:type="dxa"/>
            <w:vAlign w:val="bottom"/>
            <w:tcBorders>
              <w:bottom w:val="single" w:sz="8" w:color="auto"/>
            </w:tcBorders>
            <w:shd w:val="clear" w:color="auto" w:fill="D2DCE5"/>
          </w:tcPr>
          <w:p>
            <w:pPr>
              <w:spacing w:after="0"/>
              <w:rPr>
                <w:sz w:val="12"/>
                <w:szCs w:val="12"/>
                <w:color w:val="auto"/>
              </w:rPr>
            </w:pPr>
          </w:p>
        </w:tc>
        <w:tc>
          <w:tcPr>
            <w:tcW w:w="560" w:type="dxa"/>
            <w:vAlign w:val="bottom"/>
            <w:tcBorders>
              <w:bottom w:val="single" w:sz="8" w:color="auto"/>
            </w:tcBorders>
            <w:shd w:val="clear" w:color="auto" w:fill="D2DCE5"/>
          </w:tcPr>
          <w:p>
            <w:pPr>
              <w:jc w:val="right"/>
              <w:ind w:right="3"/>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2"/>
                <w:szCs w:val="12"/>
                <w:color w:val="auto"/>
              </w:rPr>
            </w:pPr>
          </w:p>
        </w:tc>
        <w:tc>
          <w:tcPr>
            <w:tcW w:w="600" w:type="dxa"/>
            <w:vAlign w:val="bottom"/>
            <w:tcBorders>
              <w:bottom w:val="single" w:sz="8" w:color="auto"/>
            </w:tcBorders>
            <w:shd w:val="clear" w:color="auto" w:fill="D2DCE5"/>
          </w:tcPr>
          <w:p>
            <w:pPr>
              <w:jc w:val="right"/>
              <w:ind w:right="3"/>
              <w:spacing w:after="0"/>
              <w:rPr>
                <w:sz w:val="20"/>
                <w:szCs w:val="20"/>
                <w:color w:val="auto"/>
              </w:rPr>
            </w:pPr>
            <w:r>
              <w:rPr>
                <w:rFonts w:ascii="Arial" w:cs="Arial" w:eastAsia="Arial" w:hAnsi="Arial"/>
                <w:sz w:val="11"/>
                <w:szCs w:val="11"/>
                <w:color w:val="131E29"/>
              </w:rPr>
              <w:t>—</w:t>
            </w:r>
          </w:p>
        </w:tc>
        <w:tc>
          <w:tcPr>
            <w:tcW w:w="0" w:type="dxa"/>
            <w:vAlign w:val="bottom"/>
          </w:tcPr>
          <w:p>
            <w:pPr>
              <w:spacing w:after="0"/>
              <w:rPr>
                <w:sz w:val="1"/>
                <w:szCs w:val="1"/>
                <w:color w:val="auto"/>
              </w:rPr>
            </w:pPr>
          </w:p>
        </w:tc>
      </w:tr>
      <w:tr>
        <w:trPr>
          <w:trHeight w:val="180"/>
        </w:trPr>
        <w:tc>
          <w:tcPr>
            <w:tcW w:w="2240" w:type="dxa"/>
            <w:vAlign w:val="bottom"/>
            <w:gridSpan w:val="2"/>
          </w:tcPr>
          <w:p>
            <w:pPr>
              <w:spacing w:after="0"/>
              <w:rPr>
                <w:sz w:val="20"/>
                <w:szCs w:val="20"/>
                <w:color w:val="auto"/>
              </w:rPr>
            </w:pPr>
            <w:r>
              <w:rPr>
                <w:rFonts w:ascii="Arial" w:cs="Arial" w:eastAsia="Arial" w:hAnsi="Arial"/>
                <w:sz w:val="11"/>
                <w:szCs w:val="11"/>
                <w:b w:val="1"/>
                <w:bCs w:val="1"/>
                <w:color w:val="131E29"/>
              </w:rPr>
              <w:t>Balance, December 31, 2022</w:t>
            </w:r>
          </w:p>
        </w:tc>
        <w:tc>
          <w:tcPr>
            <w:tcW w:w="600" w:type="dxa"/>
            <w:vAlign w:val="bottom"/>
          </w:tcPr>
          <w:p>
            <w:pPr>
              <w:jc w:val="right"/>
              <w:ind w:right="3"/>
              <w:spacing w:after="0"/>
              <w:rPr>
                <w:sz w:val="20"/>
                <w:szCs w:val="20"/>
                <w:color w:val="auto"/>
              </w:rPr>
            </w:pPr>
            <w:r>
              <w:rPr>
                <w:rFonts w:ascii="Arial" w:cs="Arial" w:eastAsia="Arial" w:hAnsi="Arial"/>
                <w:sz w:val="11"/>
                <w:szCs w:val="11"/>
                <w:color w:val="131E29"/>
              </w:rPr>
              <w:t>45,544</w:t>
            </w:r>
          </w:p>
        </w:tc>
        <w:tc>
          <w:tcPr>
            <w:tcW w:w="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131E29"/>
                <w:w w:val="71"/>
              </w:rPr>
              <w:t>$</w:t>
            </w:r>
          </w:p>
        </w:tc>
        <w:tc>
          <w:tcPr>
            <w:tcW w:w="500" w:type="dxa"/>
            <w:vAlign w:val="bottom"/>
          </w:tcPr>
          <w:p>
            <w:pPr>
              <w:jc w:val="right"/>
              <w:ind w:right="3"/>
              <w:spacing w:after="0"/>
              <w:rPr>
                <w:sz w:val="20"/>
                <w:szCs w:val="20"/>
                <w:color w:val="auto"/>
              </w:rPr>
            </w:pPr>
            <w:r>
              <w:rPr>
                <w:rFonts w:ascii="Arial" w:cs="Arial" w:eastAsia="Arial" w:hAnsi="Arial"/>
                <w:sz w:val="11"/>
                <w:szCs w:val="11"/>
                <w:color w:val="131E29"/>
              </w:rPr>
              <w:t>1</w:t>
            </w:r>
          </w:p>
        </w:tc>
        <w:tc>
          <w:tcPr>
            <w:tcW w:w="60" w:type="dxa"/>
            <w:vAlign w:val="bottom"/>
          </w:tcPr>
          <w:p>
            <w:pPr>
              <w:spacing w:after="0"/>
              <w:rPr>
                <w:sz w:val="15"/>
                <w:szCs w:val="15"/>
                <w:color w:val="auto"/>
              </w:rPr>
            </w:pPr>
          </w:p>
        </w:tc>
        <w:tc>
          <w:tcPr>
            <w:tcW w:w="580" w:type="dxa"/>
            <w:vAlign w:val="bottom"/>
          </w:tcPr>
          <w:p>
            <w:pPr>
              <w:jc w:val="right"/>
              <w:ind w:right="3"/>
              <w:spacing w:after="0"/>
              <w:rPr>
                <w:sz w:val="20"/>
                <w:szCs w:val="20"/>
                <w:color w:val="auto"/>
              </w:rPr>
            </w:pPr>
            <w:r>
              <w:rPr>
                <w:rFonts w:ascii="Arial" w:cs="Arial" w:eastAsia="Arial" w:hAnsi="Arial"/>
                <w:sz w:val="11"/>
                <w:szCs w:val="11"/>
                <w:color w:val="131E29"/>
              </w:rPr>
              <w:t>64,699</w:t>
            </w:r>
          </w:p>
        </w:tc>
        <w:tc>
          <w:tcPr>
            <w:tcW w:w="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131E29"/>
                <w:w w:val="97"/>
              </w:rPr>
              <w:t>$</w:t>
            </w:r>
          </w:p>
        </w:tc>
        <w:tc>
          <w:tcPr>
            <w:tcW w:w="500" w:type="dxa"/>
            <w:vAlign w:val="bottom"/>
          </w:tcPr>
          <w:p>
            <w:pPr>
              <w:jc w:val="right"/>
              <w:ind w:right="3"/>
              <w:spacing w:after="0"/>
              <w:rPr>
                <w:sz w:val="20"/>
                <w:szCs w:val="20"/>
                <w:color w:val="auto"/>
              </w:rPr>
            </w:pPr>
            <w:r>
              <w:rPr>
                <w:rFonts w:ascii="Arial" w:cs="Arial" w:eastAsia="Arial" w:hAnsi="Arial"/>
                <w:sz w:val="11"/>
                <w:szCs w:val="11"/>
                <w:color w:val="131E29"/>
              </w:rPr>
              <w:t>1</w:t>
            </w:r>
          </w:p>
        </w:tc>
        <w:tc>
          <w:tcPr>
            <w:tcW w:w="60" w:type="dxa"/>
            <w:vAlign w:val="bottom"/>
          </w:tcPr>
          <w:p>
            <w:pPr>
              <w:spacing w:after="0"/>
              <w:rPr>
                <w:sz w:val="15"/>
                <w:szCs w:val="15"/>
                <w:color w:val="auto"/>
              </w:rPr>
            </w:pPr>
          </w:p>
        </w:tc>
        <w:tc>
          <w:tcPr>
            <w:tcW w:w="580" w:type="dxa"/>
            <w:vAlign w:val="bottom"/>
          </w:tcPr>
          <w:p>
            <w:pPr>
              <w:jc w:val="right"/>
              <w:ind w:right="3"/>
              <w:spacing w:after="0"/>
              <w:rPr>
                <w:sz w:val="20"/>
                <w:szCs w:val="20"/>
                <w:color w:val="auto"/>
              </w:rPr>
            </w:pPr>
            <w:r>
              <w:rPr>
                <w:rFonts w:ascii="Arial" w:cs="Arial" w:eastAsia="Arial" w:hAnsi="Arial"/>
                <w:sz w:val="11"/>
                <w:szCs w:val="11"/>
                <w:color w:val="131E29"/>
              </w:rPr>
              <w:t>41,056</w:t>
            </w:r>
          </w:p>
        </w:tc>
        <w:tc>
          <w:tcPr>
            <w:tcW w:w="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131E29"/>
                <w:w w:val="97"/>
              </w:rPr>
              <w:t>$</w:t>
            </w: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131E29"/>
              </w:rPr>
              <w:t>—</w:t>
            </w:r>
          </w:p>
        </w:tc>
        <w:tc>
          <w:tcPr>
            <w:tcW w:w="580" w:type="dxa"/>
            <w:vAlign w:val="bottom"/>
          </w:tcPr>
          <w:p>
            <w:pPr>
              <w:jc w:val="right"/>
              <w:ind w:right="3"/>
              <w:spacing w:after="0"/>
              <w:rPr>
                <w:sz w:val="20"/>
                <w:szCs w:val="20"/>
                <w:color w:val="auto"/>
              </w:rPr>
            </w:pPr>
            <w:r>
              <w:rPr>
                <w:rFonts w:ascii="Arial" w:cs="Arial" w:eastAsia="Arial" w:hAnsi="Arial"/>
                <w:sz w:val="11"/>
                <w:szCs w:val="11"/>
                <w:color w:val="131E29"/>
              </w:rPr>
              <w:t>12,411</w:t>
            </w:r>
          </w:p>
        </w:tc>
        <w:tc>
          <w:tcPr>
            <w:tcW w:w="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131E29"/>
                <w:w w:val="71"/>
              </w:rPr>
              <w:t>$</w:t>
            </w:r>
          </w:p>
        </w:tc>
        <w:tc>
          <w:tcPr>
            <w:tcW w:w="560" w:type="dxa"/>
            <w:vAlign w:val="bottom"/>
            <w:gridSpan w:val="2"/>
          </w:tcPr>
          <w:p>
            <w:pPr>
              <w:ind w:left="340"/>
              <w:spacing w:after="0"/>
              <w:rPr>
                <w:sz w:val="20"/>
                <w:szCs w:val="20"/>
                <w:color w:val="auto"/>
              </w:rPr>
            </w:pPr>
            <w:r>
              <w:rPr>
                <w:rFonts w:ascii="Arial" w:cs="Arial" w:eastAsia="Arial" w:hAnsi="Arial"/>
                <w:sz w:val="11"/>
                <w:szCs w:val="11"/>
                <w:color w:val="131E29"/>
              </w:rPr>
              <w:t>—</w:t>
            </w:r>
          </w:p>
        </w:tc>
        <w:tc>
          <w:tcPr>
            <w:tcW w:w="600" w:type="dxa"/>
            <w:vAlign w:val="bottom"/>
          </w:tcPr>
          <w:p>
            <w:pPr>
              <w:jc w:val="right"/>
              <w:ind w:right="3"/>
              <w:spacing w:after="0"/>
              <w:rPr>
                <w:sz w:val="20"/>
                <w:szCs w:val="20"/>
                <w:color w:val="auto"/>
              </w:rPr>
            </w:pPr>
            <w:r>
              <w:rPr>
                <w:rFonts w:ascii="Arial" w:cs="Arial" w:eastAsia="Arial" w:hAnsi="Arial"/>
                <w:sz w:val="11"/>
                <w:szCs w:val="11"/>
                <w:color w:val="131E29"/>
              </w:rPr>
              <w:t>$ 145,613</w:t>
            </w:r>
          </w:p>
        </w:tc>
        <w:tc>
          <w:tcPr>
            <w:tcW w:w="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131E29"/>
                <w:w w:val="97"/>
              </w:rPr>
              <w:t>$</w:t>
            </w:r>
          </w:p>
        </w:tc>
        <w:tc>
          <w:tcPr>
            <w:tcW w:w="800" w:type="dxa"/>
            <w:vAlign w:val="bottom"/>
          </w:tcPr>
          <w:p>
            <w:pPr>
              <w:jc w:val="right"/>
              <w:ind w:right="3"/>
              <w:spacing w:after="0"/>
              <w:rPr>
                <w:sz w:val="20"/>
                <w:szCs w:val="20"/>
                <w:color w:val="auto"/>
              </w:rPr>
            </w:pPr>
            <w:r>
              <w:rPr>
                <w:rFonts w:ascii="Arial" w:cs="Arial" w:eastAsia="Arial" w:hAnsi="Arial"/>
                <w:sz w:val="11"/>
                <w:szCs w:val="11"/>
                <w:color w:val="131E29"/>
              </w:rPr>
              <w:t>813</w:t>
            </w:r>
          </w:p>
        </w:tc>
        <w:tc>
          <w:tcPr>
            <w:tcW w:w="60" w:type="dxa"/>
            <w:vAlign w:val="bottom"/>
          </w:tcPr>
          <w:p>
            <w:pPr>
              <w:spacing w:after="0"/>
              <w:rPr>
                <w:sz w:val="15"/>
                <w:szCs w:val="15"/>
                <w:color w:val="auto"/>
              </w:rPr>
            </w:pPr>
          </w:p>
        </w:tc>
        <w:tc>
          <w:tcPr>
            <w:tcW w:w="140" w:type="dxa"/>
            <w:vAlign w:val="bottom"/>
          </w:tcPr>
          <w:p>
            <w:pPr>
              <w:jc w:val="right"/>
              <w:ind w:right="27"/>
              <w:spacing w:after="0"/>
              <w:rPr>
                <w:sz w:val="20"/>
                <w:szCs w:val="20"/>
                <w:color w:val="auto"/>
              </w:rPr>
            </w:pPr>
            <w:r>
              <w:rPr>
                <w:rFonts w:ascii="Arial" w:cs="Arial" w:eastAsia="Arial" w:hAnsi="Arial"/>
                <w:sz w:val="10"/>
                <w:szCs w:val="10"/>
                <w:color w:val="131E29"/>
                <w:w w:val="71"/>
              </w:rPr>
              <w:t>$</w:t>
            </w:r>
          </w:p>
        </w:tc>
        <w:tc>
          <w:tcPr>
            <w:tcW w:w="620" w:type="dxa"/>
            <w:vAlign w:val="bottom"/>
          </w:tcPr>
          <w:p>
            <w:pPr>
              <w:jc w:val="right"/>
              <w:spacing w:after="0"/>
              <w:rPr>
                <w:sz w:val="20"/>
                <w:szCs w:val="20"/>
                <w:color w:val="auto"/>
              </w:rPr>
            </w:pPr>
            <w:r>
              <w:rPr>
                <w:rFonts w:ascii="Arial" w:cs="Arial" w:eastAsia="Arial" w:hAnsi="Arial"/>
                <w:sz w:val="11"/>
                <w:szCs w:val="11"/>
                <w:color w:val="131E29"/>
              </w:rPr>
              <w:t>(17,310)</w:t>
            </w:r>
          </w:p>
        </w:tc>
        <w:tc>
          <w:tcPr>
            <w:tcW w:w="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131E29"/>
                <w:w w:val="97"/>
              </w:rPr>
              <w:t>$</w:t>
            </w:r>
          </w:p>
        </w:tc>
        <w:tc>
          <w:tcPr>
            <w:tcW w:w="560" w:type="dxa"/>
            <w:vAlign w:val="bottom"/>
          </w:tcPr>
          <w:p>
            <w:pPr>
              <w:jc w:val="right"/>
              <w:ind w:right="3"/>
              <w:spacing w:after="0"/>
              <w:rPr>
                <w:sz w:val="20"/>
                <w:szCs w:val="20"/>
                <w:color w:val="auto"/>
              </w:rPr>
            </w:pPr>
            <w:r>
              <w:rPr>
                <w:rFonts w:ascii="Arial" w:cs="Arial" w:eastAsia="Arial" w:hAnsi="Arial"/>
                <w:sz w:val="11"/>
                <w:szCs w:val="11"/>
                <w:color w:val="131E29"/>
              </w:rPr>
              <w:t>122,858</w:t>
            </w:r>
          </w:p>
        </w:tc>
        <w:tc>
          <w:tcPr>
            <w:tcW w:w="60" w:type="dxa"/>
            <w:vAlign w:val="bottom"/>
          </w:tcPr>
          <w:p>
            <w:pPr>
              <w:spacing w:after="0"/>
              <w:rPr>
                <w:sz w:val="15"/>
                <w:szCs w:val="15"/>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131E29"/>
              </w:rPr>
              <w:t>$ 251,976</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76" w:right="319" w:bottom="1440" w:gutter="0" w:footer="0" w:header="0"/>
        </w:sectPr>
      </w:pPr>
    </w:p>
    <w:bookmarkStart w:id="96" w:name="page97"/>
    <w:bookmarkEnd w:id="96"/>
    <w:p>
      <w:pPr>
        <w:spacing w:after="0"/>
        <w:rPr>
          <w:sz w:val="20"/>
          <w:szCs w:val="20"/>
          <w:color w:val="auto"/>
        </w:rPr>
      </w:pPr>
      <w:r>
        <w:rPr>
          <w:rFonts w:ascii="Arial" w:cs="Arial" w:eastAsia="Arial" w:hAnsi="Arial"/>
          <w:sz w:val="11"/>
          <w:szCs w:val="11"/>
          <w:u w:val="single" w:color="auto"/>
          <w:color w:val="006098"/>
        </w:rPr>
        <w:t>Table of Contents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Consolidated Statements of Stockholders’/Members’ Equity (continued)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0" w:type="dxa"/>
            <w:vAlign w:val="bottom"/>
            <w:gridSpan w:val="10"/>
          </w:tcPr>
          <w:p>
            <w:pPr>
              <w:ind w:left="20"/>
              <w:spacing w:after="0"/>
              <w:rPr>
                <w:sz w:val="20"/>
                <w:szCs w:val="20"/>
                <w:color w:val="auto"/>
              </w:rPr>
            </w:pPr>
            <w:r>
              <w:rPr>
                <w:rFonts w:ascii="Arial" w:cs="Arial" w:eastAsia="Arial" w:hAnsi="Arial"/>
                <w:sz w:val="14"/>
                <w:szCs w:val="14"/>
                <w:b w:val="1"/>
                <w:bCs w:val="1"/>
                <w:color w:val="131E29"/>
              </w:rPr>
              <w:t>Year Ended December 31, 2021</w:t>
            </w: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9"/>
        </w:trPr>
        <w:tc>
          <w:tcPr>
            <w:tcW w:w="2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131E29"/>
              </w:rPr>
              <w:t>Dutch Mafia</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131E29"/>
              </w:rPr>
              <w:t>LLC</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131E29"/>
              </w:rPr>
              <w:t>(Prior to</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131E29"/>
              </w:rPr>
              <w:t>Reorganization</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131E29"/>
              </w:rPr>
              <w:t>Transactions)</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00" w:type="dxa"/>
            <w:vAlign w:val="bottom"/>
            <w:gridSpan w:val="9"/>
          </w:tcPr>
          <w:p>
            <w:pPr>
              <w:ind w:left="260"/>
              <w:spacing w:after="0"/>
              <w:rPr>
                <w:sz w:val="20"/>
                <w:szCs w:val="20"/>
                <w:color w:val="auto"/>
              </w:rPr>
            </w:pPr>
            <w:r>
              <w:rPr>
                <w:rFonts w:ascii="Arial" w:cs="Arial" w:eastAsia="Arial" w:hAnsi="Arial"/>
                <w:sz w:val="11"/>
                <w:szCs w:val="11"/>
                <w:b w:val="1"/>
                <w:bCs w:val="1"/>
                <w:color w:val="131E29"/>
              </w:rPr>
              <w:t>Dutch Bros. Inc. Stockholders’ Equity</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Borders>
              <w:top w:val="single" w:sz="8" w:color="auto"/>
            </w:tcBorders>
            <w:gridSpan w:val="5"/>
          </w:tcPr>
          <w:p>
            <w:pPr>
              <w:jc w:val="center"/>
              <w:ind w:right="60"/>
              <w:spacing w:after="0"/>
              <w:rPr>
                <w:sz w:val="20"/>
                <w:szCs w:val="20"/>
                <w:color w:val="auto"/>
              </w:rPr>
            </w:pPr>
            <w:r>
              <w:rPr>
                <w:rFonts w:ascii="Arial" w:cs="Arial" w:eastAsia="Arial" w:hAnsi="Arial"/>
                <w:sz w:val="11"/>
                <w:szCs w:val="11"/>
                <w:b w:val="1"/>
                <w:bCs w:val="1"/>
                <w:color w:val="131E29"/>
              </w:rPr>
              <w:t>Class A</w:t>
            </w:r>
          </w:p>
        </w:tc>
        <w:tc>
          <w:tcPr>
            <w:tcW w:w="1300" w:type="dxa"/>
            <w:vAlign w:val="bottom"/>
            <w:tcBorders>
              <w:top w:val="single" w:sz="8" w:color="auto"/>
            </w:tcBorders>
            <w:gridSpan w:val="5"/>
          </w:tcPr>
          <w:p>
            <w:pPr>
              <w:jc w:val="center"/>
              <w:ind w:right="40"/>
              <w:spacing w:after="0"/>
              <w:rPr>
                <w:sz w:val="20"/>
                <w:szCs w:val="20"/>
                <w:color w:val="auto"/>
              </w:rPr>
            </w:pPr>
            <w:r>
              <w:rPr>
                <w:rFonts w:ascii="Arial" w:cs="Arial" w:eastAsia="Arial" w:hAnsi="Arial"/>
                <w:sz w:val="11"/>
                <w:szCs w:val="11"/>
                <w:b w:val="1"/>
                <w:bCs w:val="1"/>
                <w:color w:val="131E29"/>
              </w:rPr>
              <w:t>Class B</w:t>
            </w:r>
          </w:p>
        </w:tc>
        <w:tc>
          <w:tcPr>
            <w:tcW w:w="1300" w:type="dxa"/>
            <w:vAlign w:val="bottom"/>
            <w:tcBorders>
              <w:top w:val="single" w:sz="8" w:color="auto"/>
            </w:tcBorders>
            <w:gridSpan w:val="5"/>
          </w:tcPr>
          <w:p>
            <w:pPr>
              <w:jc w:val="center"/>
              <w:ind w:right="60"/>
              <w:spacing w:after="0"/>
              <w:rPr>
                <w:sz w:val="20"/>
                <w:szCs w:val="20"/>
                <w:color w:val="auto"/>
              </w:rPr>
            </w:pPr>
            <w:r>
              <w:rPr>
                <w:rFonts w:ascii="Arial" w:cs="Arial" w:eastAsia="Arial" w:hAnsi="Arial"/>
                <w:sz w:val="11"/>
                <w:szCs w:val="11"/>
                <w:b w:val="1"/>
                <w:bCs w:val="1"/>
                <w:color w:val="131E29"/>
                <w:w w:val="99"/>
              </w:rPr>
              <w:t>Class C</w:t>
            </w:r>
          </w:p>
        </w:tc>
        <w:tc>
          <w:tcPr>
            <w:tcW w:w="1300" w:type="dxa"/>
            <w:vAlign w:val="bottom"/>
            <w:tcBorders>
              <w:top w:val="single" w:sz="8" w:color="auto"/>
            </w:tcBorders>
            <w:gridSpan w:val="5"/>
          </w:tcPr>
          <w:p>
            <w:pPr>
              <w:jc w:val="center"/>
              <w:ind w:right="80"/>
              <w:spacing w:after="0"/>
              <w:rPr>
                <w:sz w:val="20"/>
                <w:szCs w:val="20"/>
                <w:color w:val="auto"/>
              </w:rPr>
            </w:pPr>
            <w:r>
              <w:rPr>
                <w:rFonts w:ascii="Arial" w:cs="Arial" w:eastAsia="Arial" w:hAnsi="Arial"/>
                <w:sz w:val="11"/>
                <w:szCs w:val="11"/>
                <w:b w:val="1"/>
                <w:bCs w:val="1"/>
                <w:color w:val="131E29"/>
              </w:rPr>
              <w:t>Class D</w:t>
            </w: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5"/>
          </w:tcPr>
          <w:p>
            <w:pPr>
              <w:jc w:val="center"/>
              <w:ind w:right="60"/>
              <w:spacing w:after="0"/>
              <w:rPr>
                <w:sz w:val="20"/>
                <w:szCs w:val="20"/>
                <w:color w:val="auto"/>
              </w:rPr>
            </w:pPr>
            <w:r>
              <w:rPr>
                <w:rFonts w:ascii="Arial" w:cs="Arial" w:eastAsia="Arial" w:hAnsi="Arial"/>
                <w:sz w:val="11"/>
                <w:szCs w:val="11"/>
                <w:color w:val="131E29"/>
              </w:rPr>
              <w:t>Common Stock</w:t>
            </w:r>
          </w:p>
        </w:tc>
        <w:tc>
          <w:tcPr>
            <w:tcW w:w="1300" w:type="dxa"/>
            <w:vAlign w:val="bottom"/>
            <w:gridSpan w:val="5"/>
          </w:tcPr>
          <w:p>
            <w:pPr>
              <w:jc w:val="center"/>
              <w:ind w:right="40"/>
              <w:spacing w:after="0"/>
              <w:rPr>
                <w:sz w:val="20"/>
                <w:szCs w:val="20"/>
                <w:color w:val="auto"/>
              </w:rPr>
            </w:pPr>
            <w:r>
              <w:rPr>
                <w:rFonts w:ascii="Arial" w:cs="Arial" w:eastAsia="Arial" w:hAnsi="Arial"/>
                <w:sz w:val="11"/>
                <w:szCs w:val="11"/>
                <w:color w:val="131E29"/>
              </w:rPr>
              <w:t>Common Stock</w:t>
            </w:r>
          </w:p>
        </w:tc>
        <w:tc>
          <w:tcPr>
            <w:tcW w:w="1300" w:type="dxa"/>
            <w:vAlign w:val="bottom"/>
            <w:gridSpan w:val="5"/>
          </w:tcPr>
          <w:p>
            <w:pPr>
              <w:jc w:val="center"/>
              <w:ind w:right="60"/>
              <w:spacing w:after="0"/>
              <w:rPr>
                <w:sz w:val="20"/>
                <w:szCs w:val="20"/>
                <w:color w:val="auto"/>
              </w:rPr>
            </w:pPr>
            <w:r>
              <w:rPr>
                <w:rFonts w:ascii="Arial" w:cs="Arial" w:eastAsia="Arial" w:hAnsi="Arial"/>
                <w:sz w:val="11"/>
                <w:szCs w:val="11"/>
                <w:color w:val="131E29"/>
              </w:rPr>
              <w:t>Common Stock</w:t>
            </w:r>
          </w:p>
        </w:tc>
        <w:tc>
          <w:tcPr>
            <w:tcW w:w="1300" w:type="dxa"/>
            <w:vAlign w:val="bottom"/>
            <w:gridSpan w:val="5"/>
          </w:tcPr>
          <w:p>
            <w:pPr>
              <w:jc w:val="center"/>
              <w:ind w:right="80"/>
              <w:spacing w:after="0"/>
              <w:rPr>
                <w:sz w:val="20"/>
                <w:szCs w:val="20"/>
                <w:color w:val="auto"/>
              </w:rPr>
            </w:pPr>
            <w:r>
              <w:rPr>
                <w:rFonts w:ascii="Arial" w:cs="Arial" w:eastAsia="Arial" w:hAnsi="Arial"/>
                <w:sz w:val="11"/>
                <w:szCs w:val="11"/>
                <w:color w:val="131E29"/>
              </w:rPr>
              <w:t>Common Stock</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3"/>
          </w:tcPr>
          <w:p>
            <w:pPr>
              <w:jc w:val="center"/>
              <w:ind w:right="60"/>
              <w:spacing w:after="0"/>
              <w:rPr>
                <w:sz w:val="20"/>
                <w:szCs w:val="20"/>
                <w:color w:val="auto"/>
              </w:rPr>
            </w:pPr>
            <w:r>
              <w:rPr>
                <w:rFonts w:ascii="Arial" w:cs="Arial" w:eastAsia="Arial" w:hAnsi="Arial"/>
                <w:sz w:val="11"/>
                <w:szCs w:val="11"/>
                <w:color w:val="131E29"/>
              </w:rPr>
              <w:t>Additional</w:t>
            </w:r>
          </w:p>
        </w:tc>
        <w:tc>
          <w:tcPr>
            <w:tcW w:w="840" w:type="dxa"/>
            <w:vAlign w:val="bottom"/>
            <w:gridSpan w:val="3"/>
            <w:vMerge w:val="restart"/>
          </w:tcPr>
          <w:p>
            <w:pPr>
              <w:ind w:left="60"/>
              <w:spacing w:after="0"/>
              <w:rPr>
                <w:sz w:val="20"/>
                <w:szCs w:val="20"/>
                <w:color w:val="auto"/>
              </w:rPr>
            </w:pPr>
            <w:r>
              <w:rPr>
                <w:rFonts w:ascii="Arial" w:cs="Arial" w:eastAsia="Arial" w:hAnsi="Arial"/>
                <w:sz w:val="11"/>
                <w:szCs w:val="11"/>
                <w:color w:val="131E29"/>
              </w:rPr>
              <w:t>Accumulated</w:t>
            </w:r>
          </w:p>
        </w:tc>
        <w:tc>
          <w:tcPr>
            <w:tcW w:w="100" w:type="dxa"/>
            <w:vAlign w:val="bottom"/>
          </w:tcPr>
          <w:p>
            <w:pPr>
              <w:spacing w:after="0"/>
              <w:rPr>
                <w:sz w:val="13"/>
                <w:szCs w:val="13"/>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1"/>
                <w:szCs w:val="11"/>
                <w:color w:val="131E29"/>
              </w:rPr>
              <w:t>Non-</w:t>
            </w:r>
          </w:p>
        </w:tc>
        <w:tc>
          <w:tcPr>
            <w:tcW w:w="100" w:type="dxa"/>
            <w:vAlign w:val="bottom"/>
          </w:tcPr>
          <w:p>
            <w:pPr>
              <w:spacing w:after="0"/>
              <w:rPr>
                <w:sz w:val="13"/>
                <w:szCs w:val="13"/>
                <w:color w:val="auto"/>
              </w:rPr>
            </w:pPr>
          </w:p>
        </w:tc>
        <w:tc>
          <w:tcPr>
            <w:tcW w:w="500" w:type="dxa"/>
            <w:vAlign w:val="bottom"/>
            <w:vMerge w:val="restart"/>
          </w:tcPr>
          <w:p>
            <w:pPr>
              <w:jc w:val="right"/>
              <w:ind w:right="123"/>
              <w:spacing w:after="0"/>
              <w:rPr>
                <w:sz w:val="20"/>
                <w:szCs w:val="20"/>
                <w:color w:val="auto"/>
              </w:rPr>
            </w:pPr>
            <w:r>
              <w:rPr>
                <w:rFonts w:ascii="Arial" w:cs="Arial" w:eastAsia="Arial" w:hAnsi="Arial"/>
                <w:sz w:val="11"/>
                <w:szCs w:val="11"/>
                <w:color w:val="131E29"/>
              </w:rPr>
              <w:t>Total</w:t>
            </w:r>
          </w:p>
        </w:tc>
        <w:tc>
          <w:tcPr>
            <w:tcW w:w="0" w:type="dxa"/>
            <w:vAlign w:val="bottom"/>
          </w:tcPr>
          <w:p>
            <w:pPr>
              <w:spacing w:after="0"/>
              <w:rPr>
                <w:sz w:val="1"/>
                <w:szCs w:val="1"/>
                <w:color w:val="auto"/>
              </w:rPr>
            </w:pPr>
          </w:p>
        </w:tc>
      </w:tr>
      <w:tr>
        <w:trPr>
          <w:trHeight w:val="129"/>
        </w:trPr>
        <w:tc>
          <w:tcPr>
            <w:tcW w:w="2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center"/>
              <w:ind w:right="140"/>
              <w:spacing w:after="0"/>
              <w:rPr>
                <w:sz w:val="20"/>
                <w:szCs w:val="20"/>
                <w:color w:val="auto"/>
              </w:rPr>
            </w:pPr>
            <w:r>
              <w:rPr>
                <w:rFonts w:ascii="Arial" w:cs="Arial" w:eastAsia="Arial" w:hAnsi="Arial"/>
                <w:sz w:val="11"/>
                <w:szCs w:val="11"/>
                <w:color w:val="131E29"/>
              </w:rPr>
              <w:t>Paid-in-</w:t>
            </w:r>
          </w:p>
        </w:tc>
        <w:tc>
          <w:tcPr>
            <w:tcW w:w="840" w:type="dxa"/>
            <w:vAlign w:val="bottom"/>
            <w:gridSpan w:val="3"/>
            <w:vMerge w:val="continue"/>
          </w:tcPr>
          <w:p>
            <w:pPr>
              <w:spacing w:after="0"/>
              <w:rPr>
                <w:sz w:val="11"/>
                <w:szCs w:val="11"/>
                <w:color w:val="auto"/>
              </w:rPr>
            </w:pPr>
          </w:p>
        </w:tc>
        <w:tc>
          <w:tcPr>
            <w:tcW w:w="720" w:type="dxa"/>
            <w:vAlign w:val="bottom"/>
            <w:gridSpan w:val="3"/>
          </w:tcPr>
          <w:p>
            <w:pPr>
              <w:jc w:val="center"/>
              <w:ind w:right="60"/>
              <w:spacing w:after="0"/>
              <w:rPr>
                <w:sz w:val="20"/>
                <w:szCs w:val="20"/>
                <w:color w:val="auto"/>
              </w:rPr>
            </w:pPr>
            <w:r>
              <w:rPr>
                <w:rFonts w:ascii="Arial" w:cs="Arial" w:eastAsia="Arial" w:hAnsi="Arial"/>
                <w:sz w:val="11"/>
                <w:szCs w:val="11"/>
                <w:color w:val="131E29"/>
              </w:rPr>
              <w:t>Controlling</w:t>
            </w: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60" w:type="dxa"/>
            <w:vAlign w:val="bottom"/>
            <w:tcBorders>
              <w:bottom w:val="single" w:sz="8" w:color="D2DCE5"/>
            </w:tcBorders>
          </w:tcPr>
          <w:p>
            <w:pPr>
              <w:spacing w:after="0"/>
              <w:rPr>
                <w:sz w:val="13"/>
                <w:szCs w:val="13"/>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color w:val="131E29"/>
              </w:rPr>
              <w:t>Members’ Equity</w:t>
            </w:r>
          </w:p>
        </w:tc>
        <w:tc>
          <w:tcPr>
            <w:tcW w:w="60" w:type="dxa"/>
            <w:vAlign w:val="bottom"/>
            <w:tcBorders>
              <w:bottom w:val="single" w:sz="8" w:color="D2DCE5"/>
            </w:tcBorders>
          </w:tcPr>
          <w:p>
            <w:pPr>
              <w:spacing w:after="0"/>
              <w:rPr>
                <w:sz w:val="13"/>
                <w:szCs w:val="13"/>
                <w:color w:val="auto"/>
              </w:rPr>
            </w:pPr>
          </w:p>
        </w:tc>
        <w:tc>
          <w:tcPr>
            <w:tcW w:w="5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131E29"/>
              </w:rPr>
              <w:t>Shares</w:t>
            </w:r>
          </w:p>
        </w:tc>
        <w:tc>
          <w:tcPr>
            <w:tcW w:w="60" w:type="dxa"/>
            <w:vAlign w:val="bottom"/>
            <w:tcBorders>
              <w:bottom w:val="single" w:sz="8" w:color="D2DCE5"/>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Amount</w:t>
            </w:r>
          </w:p>
        </w:tc>
        <w:tc>
          <w:tcPr>
            <w:tcW w:w="60" w:type="dxa"/>
            <w:vAlign w:val="bottom"/>
            <w:tcBorders>
              <w:bottom w:val="single" w:sz="8" w:color="D2DCE5"/>
            </w:tcBorders>
          </w:tcPr>
          <w:p>
            <w:pPr>
              <w:spacing w:after="0"/>
              <w:rPr>
                <w:sz w:val="13"/>
                <w:szCs w:val="13"/>
                <w:color w:val="auto"/>
              </w:rPr>
            </w:pPr>
          </w:p>
        </w:tc>
        <w:tc>
          <w:tcPr>
            <w:tcW w:w="6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131E29"/>
              </w:rPr>
              <w:t>Shares</w:t>
            </w:r>
          </w:p>
        </w:tc>
        <w:tc>
          <w:tcPr>
            <w:tcW w:w="60" w:type="dxa"/>
            <w:vAlign w:val="bottom"/>
            <w:tcBorders>
              <w:bottom w:val="single" w:sz="8" w:color="D2DCE5"/>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131E29"/>
              </w:rPr>
              <w:t>Amount</w:t>
            </w:r>
          </w:p>
        </w:tc>
        <w:tc>
          <w:tcPr>
            <w:tcW w:w="60" w:type="dxa"/>
            <w:vAlign w:val="bottom"/>
            <w:tcBorders>
              <w:bottom w:val="single" w:sz="8" w:color="D2DCE5"/>
            </w:tcBorders>
          </w:tcPr>
          <w:p>
            <w:pPr>
              <w:spacing w:after="0"/>
              <w:rPr>
                <w:sz w:val="13"/>
                <w:szCs w:val="13"/>
                <w:color w:val="auto"/>
              </w:rPr>
            </w:pP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131E29"/>
              </w:rPr>
              <w:t>Shares</w:t>
            </w:r>
          </w:p>
        </w:tc>
        <w:tc>
          <w:tcPr>
            <w:tcW w:w="60" w:type="dxa"/>
            <w:vAlign w:val="bottom"/>
            <w:tcBorders>
              <w:bottom w:val="single" w:sz="8" w:color="D2DCE5"/>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131E29"/>
              </w:rPr>
              <w:t>Amount</w:t>
            </w:r>
          </w:p>
        </w:tc>
        <w:tc>
          <w:tcPr>
            <w:tcW w:w="60" w:type="dxa"/>
            <w:vAlign w:val="bottom"/>
            <w:tcBorders>
              <w:bottom w:val="single" w:sz="8" w:color="D2DCE5"/>
            </w:tcBorders>
          </w:tcPr>
          <w:p>
            <w:pPr>
              <w:spacing w:after="0"/>
              <w:rPr>
                <w:sz w:val="13"/>
                <w:szCs w:val="13"/>
                <w:color w:val="auto"/>
              </w:rPr>
            </w:pPr>
          </w:p>
        </w:tc>
        <w:tc>
          <w:tcPr>
            <w:tcW w:w="5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131E29"/>
              </w:rPr>
              <w:t>Shares</w:t>
            </w:r>
          </w:p>
        </w:tc>
        <w:tc>
          <w:tcPr>
            <w:tcW w:w="60" w:type="dxa"/>
            <w:vAlign w:val="bottom"/>
            <w:tcBorders>
              <w:bottom w:val="single" w:sz="8" w:color="D2DCE5"/>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1"/>
                <w:szCs w:val="11"/>
                <w:color w:val="131E29"/>
              </w:rPr>
              <w:t>Amount</w:t>
            </w:r>
          </w:p>
        </w:tc>
        <w:tc>
          <w:tcPr>
            <w:tcW w:w="80" w:type="dxa"/>
            <w:vAlign w:val="bottom"/>
            <w:tcBorders>
              <w:bottom w:val="single" w:sz="8" w:color="D2DCE5"/>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center"/>
              <w:ind w:right="23"/>
              <w:spacing w:after="0"/>
              <w:rPr>
                <w:sz w:val="20"/>
                <w:szCs w:val="20"/>
                <w:color w:val="auto"/>
              </w:rPr>
            </w:pPr>
            <w:r>
              <w:rPr>
                <w:rFonts w:ascii="Arial" w:cs="Arial" w:eastAsia="Arial" w:hAnsi="Arial"/>
                <w:sz w:val="11"/>
                <w:szCs w:val="11"/>
                <w:color w:val="131E29"/>
                <w:w w:val="99"/>
              </w:rPr>
              <w:t>Capital</w:t>
            </w:r>
          </w:p>
        </w:tc>
        <w:tc>
          <w:tcPr>
            <w:tcW w:w="60" w:type="dxa"/>
            <w:vAlign w:val="bottom"/>
            <w:tcBorders>
              <w:bottom w:val="single" w:sz="8" w:color="D2DCE5"/>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131E29"/>
              </w:rPr>
              <w:t>Deficit</w:t>
            </w:r>
          </w:p>
        </w:tc>
        <w:tc>
          <w:tcPr>
            <w:tcW w:w="60" w:type="dxa"/>
            <w:vAlign w:val="bottom"/>
            <w:tcBorders>
              <w:bottom w:val="single" w:sz="8" w:color="D2DCE5"/>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23"/>
              <w:spacing w:after="0"/>
              <w:rPr>
                <w:sz w:val="20"/>
                <w:szCs w:val="20"/>
                <w:color w:val="auto"/>
              </w:rPr>
            </w:pPr>
            <w:r>
              <w:rPr>
                <w:rFonts w:ascii="Arial" w:cs="Arial" w:eastAsia="Arial" w:hAnsi="Arial"/>
                <w:sz w:val="11"/>
                <w:szCs w:val="11"/>
                <w:color w:val="131E29"/>
              </w:rPr>
              <w:t>Interests</w:t>
            </w:r>
          </w:p>
        </w:tc>
        <w:tc>
          <w:tcPr>
            <w:tcW w:w="60" w:type="dxa"/>
            <w:vAlign w:val="bottom"/>
            <w:tcBorders>
              <w:bottom w:val="single" w:sz="8" w:color="D2DCE5"/>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131E29"/>
              </w:rPr>
              <w:t>Equity</w:t>
            </w:r>
          </w:p>
        </w:tc>
        <w:tc>
          <w:tcPr>
            <w:tcW w:w="0" w:type="dxa"/>
            <w:vAlign w:val="bottom"/>
          </w:tcPr>
          <w:p>
            <w:pPr>
              <w:spacing w:after="0"/>
              <w:rPr>
                <w:sz w:val="1"/>
                <w:szCs w:val="1"/>
                <w:color w:val="auto"/>
              </w:rPr>
            </w:pPr>
          </w:p>
        </w:tc>
      </w:tr>
      <w:tr>
        <w:trPr>
          <w:trHeight w:val="175"/>
        </w:trPr>
        <w:tc>
          <w:tcPr>
            <w:tcW w:w="2320" w:type="dxa"/>
            <w:vAlign w:val="bottom"/>
            <w:gridSpan w:val="2"/>
            <w:shd w:val="clear" w:color="auto" w:fill="D2DCE5"/>
          </w:tcPr>
          <w:p>
            <w:pPr>
              <w:ind w:left="20"/>
              <w:spacing w:after="0"/>
              <w:rPr>
                <w:sz w:val="20"/>
                <w:szCs w:val="20"/>
                <w:color w:val="auto"/>
              </w:rPr>
            </w:pPr>
            <w:r>
              <w:rPr>
                <w:rFonts w:ascii="Arial" w:cs="Arial" w:eastAsia="Arial" w:hAnsi="Arial"/>
                <w:sz w:val="11"/>
                <w:szCs w:val="11"/>
                <w:b w:val="1"/>
                <w:bCs w:val="1"/>
                <w:color w:val="131E29"/>
              </w:rPr>
              <w:t>Balance, December 31, 2020</w:t>
            </w:r>
          </w:p>
        </w:tc>
        <w:tc>
          <w:tcPr>
            <w:tcW w:w="8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84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77,487</w:t>
            </w:r>
          </w:p>
        </w:tc>
        <w:tc>
          <w:tcPr>
            <w:tcW w:w="60" w:type="dxa"/>
            <w:vAlign w:val="bottom"/>
            <w:shd w:val="clear" w:color="auto" w:fill="D2DCE5"/>
          </w:tcPr>
          <w:p>
            <w:pPr>
              <w:spacing w:after="0"/>
              <w:rPr>
                <w:sz w:val="15"/>
                <w:szCs w:val="15"/>
                <w:color w:val="auto"/>
              </w:rPr>
            </w:pP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560" w:type="dxa"/>
            <w:vAlign w:val="bottom"/>
            <w:gridSpan w:val="2"/>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5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5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560" w:type="dxa"/>
            <w:vAlign w:val="bottom"/>
            <w:gridSpan w:val="2"/>
            <w:shd w:val="clear" w:color="auto" w:fill="D2DCE5"/>
          </w:tcPr>
          <w:p>
            <w:pPr>
              <w:ind w:left="3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jc w:val="right"/>
              <w:spacing w:after="0"/>
              <w:rPr>
                <w:sz w:val="20"/>
                <w:szCs w:val="20"/>
                <w:color w:val="auto"/>
              </w:rPr>
            </w:pPr>
            <w:r>
              <w:rPr>
                <w:rFonts w:ascii="Arial" w:cs="Arial" w:eastAsia="Arial" w:hAnsi="Arial"/>
                <w:sz w:val="10"/>
                <w:szCs w:val="10"/>
                <w:color w:val="131E29"/>
                <w:w w:val="71"/>
              </w:rPr>
              <w:t>$</w:t>
            </w:r>
          </w:p>
        </w:tc>
        <w:tc>
          <w:tcPr>
            <w:tcW w:w="56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60" w:type="dxa"/>
            <w:vAlign w:val="bottom"/>
            <w:shd w:val="clear" w:color="auto" w:fill="D2DCE5"/>
          </w:tcPr>
          <w:p>
            <w:pPr>
              <w:jc w:val="right"/>
              <w:ind w:right="23"/>
              <w:spacing w:after="0"/>
              <w:rPr>
                <w:sz w:val="20"/>
                <w:szCs w:val="20"/>
                <w:color w:val="auto"/>
              </w:rPr>
            </w:pPr>
            <w:r>
              <w:rPr>
                <w:rFonts w:ascii="Arial" w:cs="Arial" w:eastAsia="Arial" w:hAnsi="Arial"/>
                <w:sz w:val="11"/>
                <w:szCs w:val="11"/>
                <w:color w:val="131E29"/>
                <w:w w:val="97"/>
              </w:rPr>
              <w:t>$</w:t>
            </w:r>
          </w:p>
        </w:tc>
        <w:tc>
          <w:tcPr>
            <w:tcW w:w="68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62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50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77,487</w:t>
            </w:r>
          </w:p>
        </w:tc>
        <w:tc>
          <w:tcPr>
            <w:tcW w:w="0" w:type="dxa"/>
            <w:vAlign w:val="bottom"/>
          </w:tcPr>
          <w:p>
            <w:pPr>
              <w:spacing w:after="0"/>
              <w:rPr>
                <w:sz w:val="1"/>
                <w:szCs w:val="1"/>
                <w:color w:val="auto"/>
              </w:rPr>
            </w:pPr>
          </w:p>
        </w:tc>
      </w:tr>
      <w:tr>
        <w:trPr>
          <w:trHeight w:val="161"/>
        </w:trPr>
        <w:tc>
          <w:tcPr>
            <w:tcW w:w="2320" w:type="dxa"/>
            <w:vAlign w:val="bottom"/>
            <w:gridSpan w:val="2"/>
          </w:tcPr>
          <w:p>
            <w:pPr>
              <w:ind w:left="20"/>
              <w:spacing w:after="0"/>
              <w:rPr>
                <w:sz w:val="20"/>
                <w:szCs w:val="20"/>
                <w:color w:val="auto"/>
              </w:rPr>
            </w:pPr>
            <w:r>
              <w:rPr>
                <w:rFonts w:ascii="Arial" w:cs="Arial" w:eastAsia="Arial" w:hAnsi="Arial"/>
                <w:sz w:val="11"/>
                <w:szCs w:val="11"/>
                <w:color w:val="131E29"/>
              </w:rPr>
              <w:t>Net loss prior to the Reorganization</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320" w:type="dxa"/>
            <w:vAlign w:val="bottom"/>
            <w:gridSpan w:val="2"/>
          </w:tcPr>
          <w:p>
            <w:pPr>
              <w:ind w:left="20"/>
              <w:spacing w:after="0"/>
              <w:rPr>
                <w:sz w:val="20"/>
                <w:szCs w:val="20"/>
                <w:color w:val="auto"/>
              </w:rPr>
            </w:pPr>
            <w:r>
              <w:rPr>
                <w:rFonts w:ascii="Arial" w:cs="Arial" w:eastAsia="Arial" w:hAnsi="Arial"/>
                <w:sz w:val="11"/>
                <w:szCs w:val="11"/>
                <w:color w:val="131E29"/>
              </w:rPr>
              <w:t>Transactions</w:t>
            </w: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131E29"/>
              </w:rPr>
              <w:t>(67,374)</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2"/>
                <w:szCs w:val="12"/>
                <w:color w:val="auto"/>
              </w:rPr>
            </w:pPr>
          </w:p>
        </w:tc>
        <w:tc>
          <w:tcPr>
            <w:tcW w:w="560" w:type="dxa"/>
            <w:vAlign w:val="bottom"/>
            <w:gridSpan w:val="2"/>
          </w:tcPr>
          <w:p>
            <w:pPr>
              <w:ind w:left="34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2"/>
                <w:szCs w:val="12"/>
                <w:color w:val="auto"/>
              </w:rPr>
            </w:pPr>
          </w:p>
        </w:tc>
        <w:tc>
          <w:tcPr>
            <w:tcW w:w="560" w:type="dxa"/>
            <w:vAlign w:val="bottom"/>
            <w:gridSpan w:val="2"/>
          </w:tcPr>
          <w:p>
            <w:pPr>
              <w:ind w:left="3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16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131E29"/>
              </w:rPr>
              <w:t>(67,374)</w:t>
            </w:r>
          </w:p>
        </w:tc>
        <w:tc>
          <w:tcPr>
            <w:tcW w:w="0" w:type="dxa"/>
            <w:vAlign w:val="bottom"/>
          </w:tcPr>
          <w:p>
            <w:pPr>
              <w:spacing w:after="0"/>
              <w:rPr>
                <w:sz w:val="1"/>
                <w:szCs w:val="1"/>
                <w:color w:val="auto"/>
              </w:rPr>
            </w:pPr>
          </w:p>
        </w:tc>
      </w:tr>
      <w:tr>
        <w:trPr>
          <w:trHeight w:val="190"/>
        </w:trPr>
        <w:tc>
          <w:tcPr>
            <w:tcW w:w="232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Reclass of profits interest liability to equity</w:t>
            </w:r>
          </w:p>
        </w:tc>
        <w:tc>
          <w:tcPr>
            <w:tcW w:w="80" w:type="dxa"/>
            <w:vAlign w:val="bottom"/>
            <w:shd w:val="clear" w:color="auto" w:fill="D2DCE5"/>
          </w:tcPr>
          <w:p>
            <w:pPr>
              <w:spacing w:after="0"/>
              <w:rPr>
                <w:sz w:val="16"/>
                <w:szCs w:val="16"/>
                <w:color w:val="auto"/>
              </w:rPr>
            </w:pPr>
          </w:p>
        </w:tc>
        <w:tc>
          <w:tcPr>
            <w:tcW w:w="84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76,596</w:t>
            </w:r>
          </w:p>
        </w:tc>
        <w:tc>
          <w:tcPr>
            <w:tcW w:w="60" w:type="dxa"/>
            <w:vAlign w:val="bottom"/>
            <w:shd w:val="clear" w:color="auto" w:fill="D2DCE5"/>
          </w:tcPr>
          <w:p>
            <w:pPr>
              <w:spacing w:after="0"/>
              <w:rPr>
                <w:sz w:val="16"/>
                <w:szCs w:val="16"/>
                <w:color w:val="auto"/>
              </w:rPr>
            </w:pP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6"/>
                <w:szCs w:val="16"/>
                <w:color w:val="auto"/>
              </w:rPr>
            </w:pPr>
          </w:p>
        </w:tc>
        <w:tc>
          <w:tcPr>
            <w:tcW w:w="560" w:type="dxa"/>
            <w:vAlign w:val="bottom"/>
            <w:gridSpan w:val="2"/>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6"/>
                <w:szCs w:val="16"/>
                <w:color w:val="auto"/>
              </w:rPr>
            </w:pPr>
          </w:p>
        </w:tc>
        <w:tc>
          <w:tcPr>
            <w:tcW w:w="5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6"/>
                <w:szCs w:val="16"/>
                <w:color w:val="auto"/>
              </w:rPr>
            </w:pPr>
          </w:p>
        </w:tc>
        <w:tc>
          <w:tcPr>
            <w:tcW w:w="5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6"/>
                <w:szCs w:val="16"/>
                <w:color w:val="auto"/>
              </w:rPr>
            </w:pPr>
          </w:p>
        </w:tc>
        <w:tc>
          <w:tcPr>
            <w:tcW w:w="560" w:type="dxa"/>
            <w:vAlign w:val="bottom"/>
            <w:gridSpan w:val="2"/>
            <w:shd w:val="clear" w:color="auto" w:fill="D2DCE5"/>
          </w:tcPr>
          <w:p>
            <w:pPr>
              <w:ind w:left="3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6"/>
                <w:szCs w:val="16"/>
                <w:color w:val="auto"/>
              </w:rPr>
            </w:pPr>
          </w:p>
        </w:tc>
        <w:tc>
          <w:tcPr>
            <w:tcW w:w="56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60" w:type="dxa"/>
            <w:vAlign w:val="bottom"/>
            <w:shd w:val="clear" w:color="auto" w:fill="D2DCE5"/>
          </w:tcPr>
          <w:p>
            <w:pPr>
              <w:spacing w:after="0"/>
              <w:rPr>
                <w:sz w:val="16"/>
                <w:szCs w:val="16"/>
                <w:color w:val="auto"/>
              </w:rPr>
            </w:pPr>
          </w:p>
        </w:tc>
        <w:tc>
          <w:tcPr>
            <w:tcW w:w="68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6"/>
                <w:szCs w:val="16"/>
                <w:color w:val="auto"/>
              </w:rPr>
            </w:pPr>
          </w:p>
        </w:tc>
        <w:tc>
          <w:tcPr>
            <w:tcW w:w="62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6"/>
                <w:szCs w:val="16"/>
                <w:color w:val="auto"/>
              </w:rPr>
            </w:pPr>
          </w:p>
        </w:tc>
        <w:tc>
          <w:tcPr>
            <w:tcW w:w="50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76,596</w:t>
            </w:r>
          </w:p>
        </w:tc>
        <w:tc>
          <w:tcPr>
            <w:tcW w:w="0" w:type="dxa"/>
            <w:vAlign w:val="bottom"/>
          </w:tcPr>
          <w:p>
            <w:pPr>
              <w:spacing w:after="0"/>
              <w:rPr>
                <w:sz w:val="1"/>
                <w:szCs w:val="1"/>
                <w:color w:val="auto"/>
              </w:rPr>
            </w:pPr>
          </w:p>
        </w:tc>
      </w:tr>
      <w:tr>
        <w:trPr>
          <w:trHeight w:val="171"/>
        </w:trPr>
        <w:tc>
          <w:tcPr>
            <w:tcW w:w="2320" w:type="dxa"/>
            <w:vAlign w:val="bottom"/>
            <w:gridSpan w:val="2"/>
          </w:tcPr>
          <w:p>
            <w:pPr>
              <w:ind w:left="20"/>
              <w:spacing w:after="0"/>
              <w:rPr>
                <w:sz w:val="20"/>
                <w:szCs w:val="20"/>
                <w:color w:val="auto"/>
              </w:rPr>
            </w:pPr>
            <w:r>
              <w:rPr>
                <w:rFonts w:ascii="Arial" w:cs="Arial" w:eastAsia="Arial" w:hAnsi="Arial"/>
                <w:sz w:val="11"/>
                <w:szCs w:val="11"/>
                <w:color w:val="131E29"/>
              </w:rPr>
              <w:t>Member distributions</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131E29"/>
              </w:rPr>
              <w:t>(213,308)</w:t>
            </w:r>
          </w:p>
        </w:tc>
        <w:tc>
          <w:tcPr>
            <w:tcW w:w="6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gridSpan w:val="2"/>
          </w:tcPr>
          <w:p>
            <w:pPr>
              <w:ind w:left="34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4"/>
                <w:szCs w:val="14"/>
                <w:color w:val="auto"/>
              </w:rPr>
            </w:pPr>
          </w:p>
        </w:tc>
        <w:tc>
          <w:tcPr>
            <w:tcW w:w="560" w:type="dxa"/>
            <w:vAlign w:val="bottom"/>
            <w:gridSpan w:val="2"/>
          </w:tcPr>
          <w:p>
            <w:pPr>
              <w:ind w:left="3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16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131E29"/>
                <w:w w:val="97"/>
              </w:rPr>
              <w:t>(213,308)</w:t>
            </w:r>
          </w:p>
        </w:tc>
        <w:tc>
          <w:tcPr>
            <w:tcW w:w="0" w:type="dxa"/>
            <w:vAlign w:val="bottom"/>
          </w:tcPr>
          <w:p>
            <w:pPr>
              <w:spacing w:after="0"/>
              <w:rPr>
                <w:sz w:val="1"/>
                <w:szCs w:val="1"/>
                <w:color w:val="auto"/>
              </w:rPr>
            </w:pPr>
          </w:p>
        </w:tc>
      </w:tr>
      <w:tr>
        <w:trPr>
          <w:trHeight w:val="171"/>
        </w:trPr>
        <w:tc>
          <w:tcPr>
            <w:tcW w:w="232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Equity-based compensation recognized</w:t>
            </w:r>
          </w:p>
        </w:tc>
        <w:tc>
          <w:tcPr>
            <w:tcW w:w="80" w:type="dxa"/>
            <w:vAlign w:val="bottom"/>
            <w:shd w:val="clear" w:color="auto" w:fill="D2DCE5"/>
          </w:tcPr>
          <w:p>
            <w:pPr>
              <w:spacing w:after="0"/>
              <w:rPr>
                <w:sz w:val="14"/>
                <w:szCs w:val="14"/>
                <w:color w:val="auto"/>
              </w:rPr>
            </w:pPr>
          </w:p>
        </w:tc>
        <w:tc>
          <w:tcPr>
            <w:tcW w:w="84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4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60" w:type="dxa"/>
            <w:vAlign w:val="bottom"/>
            <w:shd w:val="clear" w:color="auto" w:fill="D2DCE5"/>
          </w:tcPr>
          <w:p>
            <w:pPr>
              <w:spacing w:after="0"/>
              <w:rPr>
                <w:sz w:val="14"/>
                <w:szCs w:val="14"/>
                <w:color w:val="auto"/>
              </w:rPr>
            </w:pPr>
          </w:p>
        </w:tc>
        <w:tc>
          <w:tcPr>
            <w:tcW w:w="62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32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prior to the Reorganization Transactions</w:t>
            </w:r>
          </w:p>
        </w:tc>
        <w:tc>
          <w:tcPr>
            <w:tcW w:w="80" w:type="dxa"/>
            <w:vAlign w:val="bottom"/>
            <w:shd w:val="clear" w:color="auto" w:fill="D2DCE5"/>
          </w:tcPr>
          <w:p>
            <w:pPr>
              <w:spacing w:after="0"/>
              <w:rPr>
                <w:sz w:val="13"/>
                <w:szCs w:val="13"/>
                <w:color w:val="auto"/>
              </w:rPr>
            </w:pPr>
          </w:p>
        </w:tc>
        <w:tc>
          <w:tcPr>
            <w:tcW w:w="84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78,579</w:t>
            </w:r>
          </w:p>
        </w:tc>
        <w:tc>
          <w:tcPr>
            <w:tcW w:w="60" w:type="dxa"/>
            <w:vAlign w:val="bottom"/>
            <w:shd w:val="clear" w:color="auto" w:fill="D2DCE5"/>
          </w:tcPr>
          <w:p>
            <w:pPr>
              <w:spacing w:after="0"/>
              <w:rPr>
                <w:sz w:val="13"/>
                <w:szCs w:val="13"/>
                <w:color w:val="auto"/>
              </w:rPr>
            </w:pP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3"/>
                <w:szCs w:val="13"/>
                <w:color w:val="auto"/>
              </w:rPr>
            </w:pPr>
          </w:p>
        </w:tc>
        <w:tc>
          <w:tcPr>
            <w:tcW w:w="560" w:type="dxa"/>
            <w:vAlign w:val="bottom"/>
            <w:gridSpan w:val="2"/>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3"/>
                <w:szCs w:val="13"/>
                <w:color w:val="auto"/>
              </w:rPr>
            </w:pPr>
          </w:p>
        </w:tc>
        <w:tc>
          <w:tcPr>
            <w:tcW w:w="5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3"/>
                <w:szCs w:val="13"/>
                <w:color w:val="auto"/>
              </w:rPr>
            </w:pPr>
          </w:p>
        </w:tc>
        <w:tc>
          <w:tcPr>
            <w:tcW w:w="5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3"/>
                <w:szCs w:val="13"/>
                <w:color w:val="auto"/>
              </w:rPr>
            </w:pPr>
          </w:p>
        </w:tc>
        <w:tc>
          <w:tcPr>
            <w:tcW w:w="560" w:type="dxa"/>
            <w:vAlign w:val="bottom"/>
            <w:gridSpan w:val="2"/>
            <w:shd w:val="clear" w:color="auto" w:fill="D2DCE5"/>
          </w:tcPr>
          <w:p>
            <w:pPr>
              <w:ind w:left="3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3"/>
                <w:szCs w:val="13"/>
                <w:color w:val="auto"/>
              </w:rPr>
            </w:pPr>
          </w:p>
        </w:tc>
        <w:tc>
          <w:tcPr>
            <w:tcW w:w="56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60" w:type="dxa"/>
            <w:vAlign w:val="bottom"/>
            <w:shd w:val="clear" w:color="auto" w:fill="D2DCE5"/>
          </w:tcPr>
          <w:p>
            <w:pPr>
              <w:spacing w:after="0"/>
              <w:rPr>
                <w:sz w:val="13"/>
                <w:szCs w:val="13"/>
                <w:color w:val="auto"/>
              </w:rPr>
            </w:pPr>
          </w:p>
        </w:tc>
        <w:tc>
          <w:tcPr>
            <w:tcW w:w="68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3"/>
                <w:szCs w:val="13"/>
                <w:color w:val="auto"/>
              </w:rPr>
            </w:pPr>
          </w:p>
        </w:tc>
        <w:tc>
          <w:tcPr>
            <w:tcW w:w="62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3"/>
                <w:szCs w:val="13"/>
                <w:color w:val="auto"/>
              </w:rPr>
            </w:pPr>
          </w:p>
        </w:tc>
        <w:tc>
          <w:tcPr>
            <w:tcW w:w="50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78,579</w:t>
            </w:r>
          </w:p>
        </w:tc>
        <w:tc>
          <w:tcPr>
            <w:tcW w:w="0" w:type="dxa"/>
            <w:vAlign w:val="bottom"/>
          </w:tcPr>
          <w:p>
            <w:pPr>
              <w:spacing w:after="0"/>
              <w:rPr>
                <w:sz w:val="1"/>
                <w:szCs w:val="1"/>
                <w:color w:val="auto"/>
              </w:rPr>
            </w:pPr>
          </w:p>
        </w:tc>
      </w:tr>
      <w:tr>
        <w:trPr>
          <w:trHeight w:val="161"/>
        </w:trPr>
        <w:tc>
          <w:tcPr>
            <w:tcW w:w="2320" w:type="dxa"/>
            <w:vAlign w:val="bottom"/>
            <w:gridSpan w:val="2"/>
          </w:tcPr>
          <w:p>
            <w:pPr>
              <w:ind w:left="20"/>
              <w:spacing w:after="0"/>
              <w:rPr>
                <w:sz w:val="20"/>
                <w:szCs w:val="20"/>
                <w:color w:val="auto"/>
              </w:rPr>
            </w:pPr>
            <w:r>
              <w:rPr>
                <w:rFonts w:ascii="Arial" w:cs="Arial" w:eastAsia="Arial" w:hAnsi="Arial"/>
                <w:sz w:val="11"/>
                <w:szCs w:val="11"/>
                <w:color w:val="131E29"/>
              </w:rPr>
              <w:t>Effect of the Reorganization Transactions</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320" w:type="dxa"/>
            <w:vAlign w:val="bottom"/>
            <w:gridSpan w:val="2"/>
          </w:tcPr>
          <w:p>
            <w:pPr>
              <w:ind w:left="20"/>
              <w:spacing w:after="0"/>
              <w:rPr>
                <w:sz w:val="20"/>
                <w:szCs w:val="20"/>
                <w:color w:val="auto"/>
              </w:rPr>
            </w:pPr>
            <w:r>
              <w:rPr>
                <w:rFonts w:ascii="Arial" w:cs="Arial" w:eastAsia="Arial" w:hAnsi="Arial"/>
                <w:sz w:val="11"/>
                <w:szCs w:val="11"/>
                <w:color w:val="131E29"/>
              </w:rPr>
              <w:t>and initial public offering on non-controlling</w:t>
            </w:r>
          </w:p>
        </w:tc>
        <w:tc>
          <w:tcPr>
            <w:tcW w:w="80" w:type="dxa"/>
            <w:vAlign w:val="bottom"/>
          </w:tcPr>
          <w:p>
            <w:pPr>
              <w:spacing w:after="0"/>
              <w:rPr>
                <w:sz w:val="11"/>
                <w:szCs w:val="11"/>
                <w:color w:val="auto"/>
              </w:rPr>
            </w:pPr>
          </w:p>
        </w:tc>
        <w:tc>
          <w:tcPr>
            <w:tcW w:w="840" w:type="dxa"/>
            <w:vAlign w:val="bottom"/>
            <w:vMerge w:val="restart"/>
          </w:tcPr>
          <w:p>
            <w:pPr>
              <w:jc w:val="right"/>
              <w:ind w:right="3"/>
              <w:spacing w:after="0"/>
              <w:rPr>
                <w:sz w:val="20"/>
                <w:szCs w:val="20"/>
                <w:color w:val="auto"/>
              </w:rPr>
            </w:pPr>
            <w:r>
              <w:rPr>
                <w:rFonts w:ascii="Arial" w:cs="Arial" w:eastAsia="Arial" w:hAnsi="Arial"/>
                <w:sz w:val="11"/>
                <w:szCs w:val="11"/>
                <w:color w:val="131E29"/>
              </w:rPr>
              <w:t>48,020</w:t>
            </w:r>
          </w:p>
        </w:tc>
        <w:tc>
          <w:tcPr>
            <w:tcW w:w="60" w:type="dxa"/>
            <w:vAlign w:val="bottom"/>
          </w:tcPr>
          <w:p>
            <w:pPr>
              <w:spacing w:after="0"/>
              <w:rPr>
                <w:sz w:val="11"/>
                <w:szCs w:val="11"/>
                <w:color w:val="auto"/>
              </w:rPr>
            </w:pPr>
          </w:p>
        </w:tc>
        <w:tc>
          <w:tcPr>
            <w:tcW w:w="580" w:type="dxa"/>
            <w:vAlign w:val="bottom"/>
            <w:vMerge w:val="restart"/>
          </w:tcPr>
          <w:p>
            <w:pPr>
              <w:jc w:val="right"/>
              <w:ind w:right="3"/>
              <w:spacing w:after="0"/>
              <w:rPr>
                <w:sz w:val="20"/>
                <w:szCs w:val="20"/>
                <w:color w:val="auto"/>
              </w:rPr>
            </w:pPr>
            <w:r>
              <w:rPr>
                <w:rFonts w:ascii="Arial" w:cs="Arial" w:eastAsia="Arial" w:hAnsi="Arial"/>
                <w:sz w:val="11"/>
                <w:szCs w:val="11"/>
                <w:color w:val="131E29"/>
              </w:rPr>
              <w:t>9,877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restart"/>
          </w:tcPr>
          <w:p>
            <w:pPr>
              <w:ind w:left="340"/>
              <w:spacing w:after="0"/>
              <w:rPr>
                <w:sz w:val="20"/>
                <w:szCs w:val="20"/>
                <w:color w:val="auto"/>
              </w:rPr>
            </w:pPr>
            <w:r>
              <w:rPr>
                <w:rFonts w:ascii="Arial" w:cs="Arial" w:eastAsia="Arial" w:hAnsi="Arial"/>
                <w:sz w:val="11"/>
                <w:szCs w:val="11"/>
                <w:color w:val="131E29"/>
              </w:rPr>
              <w:t>—</w:t>
            </w:r>
          </w:p>
        </w:tc>
        <w:tc>
          <w:tcPr>
            <w:tcW w:w="600" w:type="dxa"/>
            <w:vAlign w:val="bottom"/>
            <w:vMerge w:val="restart"/>
          </w:tcPr>
          <w:p>
            <w:pPr>
              <w:jc w:val="right"/>
              <w:ind w:right="3"/>
              <w:spacing w:after="0"/>
              <w:rPr>
                <w:sz w:val="20"/>
                <w:szCs w:val="20"/>
                <w:color w:val="auto"/>
              </w:rPr>
            </w:pPr>
            <w:r>
              <w:rPr>
                <w:rFonts w:ascii="Arial" w:cs="Arial" w:eastAsia="Arial" w:hAnsi="Arial"/>
                <w:sz w:val="11"/>
                <w:szCs w:val="11"/>
                <w:color w:val="131E29"/>
              </w:rPr>
              <w:t>71,408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restart"/>
          </w:tcPr>
          <w:p>
            <w:pPr>
              <w:jc w:val="right"/>
              <w:ind w:right="3"/>
              <w:spacing w:after="0"/>
              <w:rPr>
                <w:sz w:val="20"/>
                <w:szCs w:val="20"/>
                <w:color w:val="auto"/>
              </w:rPr>
            </w:pPr>
            <w:r>
              <w:rPr>
                <w:rFonts w:ascii="Arial" w:cs="Arial" w:eastAsia="Arial" w:hAnsi="Arial"/>
                <w:sz w:val="11"/>
                <w:szCs w:val="11"/>
                <w:color w:val="131E29"/>
              </w:rPr>
              <w:t>1</w:t>
            </w:r>
          </w:p>
        </w:tc>
        <w:tc>
          <w:tcPr>
            <w:tcW w:w="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131E29"/>
              </w:rPr>
              <w:t>54,068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jc w:val="right"/>
              <w:ind w:right="3"/>
              <w:spacing w:after="0"/>
              <w:rPr>
                <w:sz w:val="20"/>
                <w:szCs w:val="20"/>
                <w:color w:val="auto"/>
              </w:rPr>
            </w:pPr>
            <w:r>
              <w:rPr>
                <w:rFonts w:ascii="Arial" w:cs="Arial" w:eastAsia="Arial" w:hAnsi="Arial"/>
                <w:sz w:val="11"/>
                <w:szCs w:val="11"/>
                <w:color w:val="131E29"/>
              </w:rPr>
              <w:t>1</w:t>
            </w:r>
          </w:p>
        </w:tc>
        <w:tc>
          <w:tcPr>
            <w:tcW w:w="60" w:type="dxa"/>
            <w:vAlign w:val="bottom"/>
          </w:tcPr>
          <w:p>
            <w:pPr>
              <w:spacing w:after="0"/>
              <w:rPr>
                <w:sz w:val="11"/>
                <w:szCs w:val="11"/>
                <w:color w:val="auto"/>
              </w:rPr>
            </w:pPr>
          </w:p>
        </w:tc>
        <w:tc>
          <w:tcPr>
            <w:tcW w:w="580" w:type="dxa"/>
            <w:vAlign w:val="bottom"/>
            <w:vMerge w:val="restart"/>
          </w:tcPr>
          <w:p>
            <w:pPr>
              <w:jc w:val="right"/>
              <w:ind w:right="3"/>
              <w:spacing w:after="0"/>
              <w:rPr>
                <w:sz w:val="20"/>
                <w:szCs w:val="20"/>
                <w:color w:val="auto"/>
              </w:rPr>
            </w:pPr>
            <w:r>
              <w:rPr>
                <w:rFonts w:ascii="Arial" w:cs="Arial" w:eastAsia="Arial" w:hAnsi="Arial"/>
                <w:sz w:val="11"/>
                <w:szCs w:val="11"/>
                <w:color w:val="131E29"/>
              </w:rPr>
              <w:t>17,036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vMerge w:val="restart"/>
          </w:tcPr>
          <w:p>
            <w:pPr>
              <w:ind w:left="3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131E29"/>
                <w:w w:val="97"/>
              </w:rPr>
              <w:t>(195,936)</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131E29"/>
              </w:rPr>
              <w:t>147,914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131E29"/>
              </w:rPr>
              <w:t>—</w:t>
            </w:r>
          </w:p>
        </w:tc>
        <w:tc>
          <w:tcPr>
            <w:tcW w:w="0" w:type="dxa"/>
            <w:vAlign w:val="bottom"/>
          </w:tcPr>
          <w:p>
            <w:pPr>
              <w:spacing w:after="0"/>
              <w:rPr>
                <w:sz w:val="1"/>
                <w:szCs w:val="1"/>
                <w:color w:val="auto"/>
              </w:rPr>
            </w:pPr>
          </w:p>
        </w:tc>
      </w:tr>
      <w:tr>
        <w:trPr>
          <w:trHeight w:val="142"/>
        </w:trPr>
        <w:tc>
          <w:tcPr>
            <w:tcW w:w="2320" w:type="dxa"/>
            <w:vAlign w:val="bottom"/>
            <w:gridSpan w:val="2"/>
          </w:tcPr>
          <w:p>
            <w:pPr>
              <w:ind w:left="20"/>
              <w:spacing w:after="0"/>
              <w:rPr>
                <w:sz w:val="20"/>
                <w:szCs w:val="20"/>
                <w:color w:val="auto"/>
              </w:rPr>
            </w:pPr>
            <w:r>
              <w:rPr>
                <w:rFonts w:ascii="Arial" w:cs="Arial" w:eastAsia="Arial" w:hAnsi="Arial"/>
                <w:sz w:val="11"/>
                <w:szCs w:val="11"/>
                <w:color w:val="131E29"/>
              </w:rPr>
              <w:t>interests</w:t>
            </w: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32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Issuance of Class A common stock sold in</w:t>
            </w:r>
          </w:p>
        </w:tc>
        <w:tc>
          <w:tcPr>
            <w:tcW w:w="80" w:type="dxa"/>
            <w:vAlign w:val="bottom"/>
            <w:shd w:val="clear" w:color="auto" w:fill="D2DCE5"/>
          </w:tcPr>
          <w:p>
            <w:pPr>
              <w:spacing w:after="0"/>
              <w:rPr>
                <w:sz w:val="14"/>
                <w:szCs w:val="14"/>
                <w:color w:val="auto"/>
              </w:rPr>
            </w:pPr>
          </w:p>
        </w:tc>
        <w:tc>
          <w:tcPr>
            <w:tcW w:w="84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4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60" w:type="dxa"/>
            <w:vAlign w:val="bottom"/>
            <w:shd w:val="clear" w:color="auto" w:fill="D2DCE5"/>
          </w:tcPr>
          <w:p>
            <w:pPr>
              <w:spacing w:after="0"/>
              <w:rPr>
                <w:sz w:val="14"/>
                <w:szCs w:val="14"/>
                <w:color w:val="auto"/>
              </w:rPr>
            </w:pPr>
          </w:p>
        </w:tc>
        <w:tc>
          <w:tcPr>
            <w:tcW w:w="62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32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initial public offering, net of offering costs</w:t>
            </w:r>
          </w:p>
        </w:tc>
        <w:tc>
          <w:tcPr>
            <w:tcW w:w="80" w:type="dxa"/>
            <w:vAlign w:val="bottom"/>
            <w:shd w:val="clear" w:color="auto" w:fill="D2DCE5"/>
          </w:tcPr>
          <w:p>
            <w:pPr>
              <w:spacing w:after="0"/>
              <w:rPr>
                <w:sz w:val="13"/>
                <w:szCs w:val="13"/>
                <w:color w:val="auto"/>
              </w:rPr>
            </w:pPr>
          </w:p>
        </w:tc>
        <w:tc>
          <w:tcPr>
            <w:tcW w:w="90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58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24,211</w:t>
            </w:r>
          </w:p>
        </w:tc>
        <w:tc>
          <w:tcPr>
            <w:tcW w:w="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gridSpan w:val="2"/>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3"/>
                <w:szCs w:val="13"/>
                <w:color w:val="auto"/>
              </w:rPr>
            </w:pPr>
          </w:p>
        </w:tc>
        <w:tc>
          <w:tcPr>
            <w:tcW w:w="5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3"/>
                <w:szCs w:val="13"/>
                <w:color w:val="auto"/>
              </w:rPr>
            </w:pPr>
          </w:p>
        </w:tc>
        <w:tc>
          <w:tcPr>
            <w:tcW w:w="5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3"/>
                <w:szCs w:val="13"/>
                <w:color w:val="auto"/>
              </w:rPr>
            </w:pPr>
          </w:p>
        </w:tc>
        <w:tc>
          <w:tcPr>
            <w:tcW w:w="560" w:type="dxa"/>
            <w:vAlign w:val="bottom"/>
            <w:gridSpan w:val="2"/>
            <w:shd w:val="clear" w:color="auto" w:fill="D2DCE5"/>
          </w:tcPr>
          <w:p>
            <w:pPr>
              <w:ind w:left="3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3"/>
                <w:szCs w:val="13"/>
                <w:color w:val="auto"/>
              </w:rPr>
            </w:pPr>
          </w:p>
        </w:tc>
        <w:tc>
          <w:tcPr>
            <w:tcW w:w="50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520,804</w:t>
            </w:r>
          </w:p>
        </w:tc>
        <w:tc>
          <w:tcPr>
            <w:tcW w:w="60" w:type="dxa"/>
            <w:vAlign w:val="bottom"/>
            <w:shd w:val="clear" w:color="auto" w:fill="D2DCE5"/>
          </w:tcPr>
          <w:p>
            <w:pPr>
              <w:spacing w:after="0"/>
              <w:rPr>
                <w:sz w:val="13"/>
                <w:szCs w:val="13"/>
                <w:color w:val="auto"/>
              </w:rPr>
            </w:pPr>
          </w:p>
        </w:tc>
        <w:tc>
          <w:tcPr>
            <w:tcW w:w="160" w:type="dxa"/>
            <w:vAlign w:val="bottom"/>
            <w:shd w:val="clear" w:color="auto" w:fill="D2DCE5"/>
          </w:tcPr>
          <w:p>
            <w:pPr>
              <w:spacing w:after="0"/>
              <w:rPr>
                <w:sz w:val="13"/>
                <w:szCs w:val="13"/>
                <w:color w:val="auto"/>
              </w:rPr>
            </w:pPr>
          </w:p>
        </w:tc>
        <w:tc>
          <w:tcPr>
            <w:tcW w:w="68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3"/>
                <w:szCs w:val="13"/>
                <w:color w:val="auto"/>
              </w:rPr>
            </w:pPr>
          </w:p>
        </w:tc>
        <w:tc>
          <w:tcPr>
            <w:tcW w:w="62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3"/>
                <w:szCs w:val="13"/>
                <w:color w:val="auto"/>
              </w:rPr>
            </w:pPr>
          </w:p>
        </w:tc>
        <w:tc>
          <w:tcPr>
            <w:tcW w:w="50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520,804</w:t>
            </w:r>
          </w:p>
        </w:tc>
        <w:tc>
          <w:tcPr>
            <w:tcW w:w="0" w:type="dxa"/>
            <w:vAlign w:val="bottom"/>
          </w:tcPr>
          <w:p>
            <w:pPr>
              <w:spacing w:after="0"/>
              <w:rPr>
                <w:sz w:val="1"/>
                <w:szCs w:val="1"/>
                <w:color w:val="auto"/>
              </w:rPr>
            </w:pPr>
          </w:p>
        </w:tc>
      </w:tr>
      <w:tr>
        <w:trPr>
          <w:trHeight w:val="161"/>
        </w:trPr>
        <w:tc>
          <w:tcPr>
            <w:tcW w:w="2320" w:type="dxa"/>
            <w:vAlign w:val="bottom"/>
            <w:gridSpan w:val="2"/>
          </w:tcPr>
          <w:p>
            <w:pPr>
              <w:ind w:left="20"/>
              <w:spacing w:after="0"/>
              <w:rPr>
                <w:sz w:val="20"/>
                <w:szCs w:val="20"/>
                <w:color w:val="auto"/>
              </w:rPr>
            </w:pPr>
            <w:r>
              <w:rPr>
                <w:rFonts w:ascii="Arial" w:cs="Arial" w:eastAsia="Arial" w:hAnsi="Arial"/>
                <w:sz w:val="11"/>
                <w:szCs w:val="11"/>
                <w:color w:val="131E29"/>
              </w:rPr>
              <w:t>Purchase of OpCo Units in connection with</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320" w:type="dxa"/>
            <w:vAlign w:val="bottom"/>
            <w:gridSpan w:val="2"/>
          </w:tcPr>
          <w:p>
            <w:pPr>
              <w:ind w:left="20"/>
              <w:spacing w:after="0"/>
              <w:rPr>
                <w:sz w:val="20"/>
                <w:szCs w:val="20"/>
                <w:color w:val="auto"/>
              </w:rPr>
            </w:pPr>
            <w:r>
              <w:rPr>
                <w:rFonts w:ascii="Arial" w:cs="Arial" w:eastAsia="Arial" w:hAnsi="Arial"/>
                <w:sz w:val="11"/>
                <w:szCs w:val="11"/>
                <w:color w:val="131E29"/>
              </w:rPr>
              <w:t>the initial public offering</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2"/>
                <w:szCs w:val="12"/>
                <w:color w:val="auto"/>
              </w:rPr>
            </w:pPr>
          </w:p>
        </w:tc>
        <w:tc>
          <w:tcPr>
            <w:tcW w:w="560" w:type="dxa"/>
            <w:vAlign w:val="bottom"/>
            <w:gridSpan w:val="2"/>
          </w:tcPr>
          <w:p>
            <w:pPr>
              <w:ind w:left="340"/>
              <w:spacing w:after="0"/>
              <w:rPr>
                <w:sz w:val="20"/>
                <w:szCs w:val="20"/>
                <w:color w:val="auto"/>
              </w:rPr>
            </w:pPr>
            <w:r>
              <w:rPr>
                <w:rFonts w:ascii="Arial" w:cs="Arial" w:eastAsia="Arial" w:hAnsi="Arial"/>
                <w:sz w:val="11"/>
                <w:szCs w:val="11"/>
                <w:color w:val="131E29"/>
              </w:rPr>
              <w:t>—</w:t>
            </w:r>
          </w:p>
        </w:tc>
        <w:tc>
          <w:tcPr>
            <w:tcW w:w="600" w:type="dxa"/>
            <w:vAlign w:val="bottom"/>
          </w:tcPr>
          <w:p>
            <w:pPr>
              <w:jc w:val="right"/>
              <w:spacing w:after="0"/>
              <w:rPr>
                <w:sz w:val="20"/>
                <w:szCs w:val="20"/>
                <w:color w:val="auto"/>
              </w:rPr>
            </w:pPr>
            <w:r>
              <w:rPr>
                <w:rFonts w:ascii="Arial" w:cs="Arial" w:eastAsia="Arial" w:hAnsi="Arial"/>
                <w:sz w:val="11"/>
                <w:szCs w:val="11"/>
                <w:color w:val="131E29"/>
              </w:rPr>
              <w:t>(6,709)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580" w:type="dxa"/>
            <w:vAlign w:val="bottom"/>
          </w:tcPr>
          <w:p>
            <w:pPr>
              <w:jc w:val="right"/>
              <w:spacing w:after="0"/>
              <w:rPr>
                <w:sz w:val="20"/>
                <w:szCs w:val="20"/>
                <w:color w:val="auto"/>
              </w:rPr>
            </w:pPr>
            <w:r>
              <w:rPr>
                <w:rFonts w:ascii="Arial" w:cs="Arial" w:eastAsia="Arial" w:hAnsi="Arial"/>
                <w:sz w:val="11"/>
                <w:szCs w:val="11"/>
                <w:color w:val="131E29"/>
              </w:rPr>
              <w:t>(5,062)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2"/>
                <w:szCs w:val="12"/>
                <w:color w:val="auto"/>
              </w:rPr>
            </w:pPr>
          </w:p>
        </w:tc>
        <w:tc>
          <w:tcPr>
            <w:tcW w:w="560" w:type="dxa"/>
            <w:vAlign w:val="bottom"/>
            <w:gridSpan w:val="2"/>
          </w:tcPr>
          <w:p>
            <w:pPr>
              <w:ind w:left="3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131E29"/>
                <w:w w:val="97"/>
              </w:rPr>
              <w:t>(239,421)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131E29"/>
              </w:rPr>
              <w:t>(13,849)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131E29"/>
                <w:w w:val="97"/>
              </w:rPr>
              <w:t>(253,270)</w:t>
            </w:r>
          </w:p>
        </w:tc>
        <w:tc>
          <w:tcPr>
            <w:tcW w:w="0" w:type="dxa"/>
            <w:vAlign w:val="bottom"/>
          </w:tcPr>
          <w:p>
            <w:pPr>
              <w:spacing w:after="0"/>
              <w:rPr>
                <w:sz w:val="1"/>
                <w:szCs w:val="1"/>
                <w:color w:val="auto"/>
              </w:rPr>
            </w:pPr>
          </w:p>
        </w:tc>
      </w:tr>
      <w:tr>
        <w:trPr>
          <w:trHeight w:val="222"/>
        </w:trPr>
        <w:tc>
          <w:tcPr>
            <w:tcW w:w="232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Impact of Tax Receivable Agreements</w:t>
            </w:r>
          </w:p>
        </w:tc>
        <w:tc>
          <w:tcPr>
            <w:tcW w:w="80" w:type="dxa"/>
            <w:vAlign w:val="bottom"/>
            <w:shd w:val="clear" w:color="auto" w:fill="D2DCE5"/>
          </w:tcPr>
          <w:p>
            <w:pPr>
              <w:spacing w:after="0"/>
              <w:rPr>
                <w:sz w:val="19"/>
                <w:szCs w:val="19"/>
                <w:color w:val="auto"/>
              </w:rPr>
            </w:pPr>
          </w:p>
        </w:tc>
        <w:tc>
          <w:tcPr>
            <w:tcW w:w="900" w:type="dxa"/>
            <w:vAlign w:val="bottom"/>
            <w:gridSpan w:val="2"/>
            <w:shd w:val="clear" w:color="auto" w:fill="D2DCE5"/>
          </w:tcPr>
          <w:p>
            <w:pPr>
              <w:jc w:val="right"/>
              <w:ind w:right="120"/>
              <w:spacing w:after="0"/>
              <w:rPr>
                <w:sz w:val="20"/>
                <w:szCs w:val="20"/>
                <w:color w:val="auto"/>
              </w:rPr>
            </w:pPr>
            <w:r>
              <w:rPr>
                <w:rFonts w:ascii="Arial" w:cs="Arial" w:eastAsia="Arial" w:hAnsi="Arial"/>
                <w:sz w:val="14"/>
                <w:szCs w:val="14"/>
                <w:color w:val="131E29"/>
              </w:rPr>
              <w:t>—</w:t>
            </w: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9"/>
                <w:szCs w:val="19"/>
                <w:color w:val="auto"/>
              </w:rPr>
            </w:pPr>
          </w:p>
        </w:tc>
        <w:tc>
          <w:tcPr>
            <w:tcW w:w="560" w:type="dxa"/>
            <w:vAlign w:val="bottom"/>
            <w:gridSpan w:val="2"/>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9"/>
                <w:szCs w:val="19"/>
                <w:color w:val="auto"/>
              </w:rPr>
            </w:pPr>
          </w:p>
        </w:tc>
        <w:tc>
          <w:tcPr>
            <w:tcW w:w="5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9"/>
                <w:szCs w:val="19"/>
                <w:color w:val="auto"/>
              </w:rPr>
            </w:pPr>
          </w:p>
        </w:tc>
        <w:tc>
          <w:tcPr>
            <w:tcW w:w="5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9"/>
                <w:szCs w:val="19"/>
                <w:color w:val="auto"/>
              </w:rPr>
            </w:pPr>
          </w:p>
        </w:tc>
        <w:tc>
          <w:tcPr>
            <w:tcW w:w="560" w:type="dxa"/>
            <w:vAlign w:val="bottom"/>
            <w:gridSpan w:val="2"/>
            <w:shd w:val="clear" w:color="auto" w:fill="D2DCE5"/>
          </w:tcPr>
          <w:p>
            <w:pPr>
              <w:ind w:left="3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9"/>
                <w:szCs w:val="19"/>
                <w:color w:val="auto"/>
              </w:rPr>
            </w:pPr>
          </w:p>
        </w:tc>
        <w:tc>
          <w:tcPr>
            <w:tcW w:w="50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46,446</w:t>
            </w:r>
          </w:p>
        </w:tc>
        <w:tc>
          <w:tcPr>
            <w:tcW w:w="60" w:type="dxa"/>
            <w:vAlign w:val="bottom"/>
            <w:shd w:val="clear" w:color="auto" w:fill="D2DCE5"/>
          </w:tcPr>
          <w:p>
            <w:pPr>
              <w:spacing w:after="0"/>
              <w:rPr>
                <w:sz w:val="19"/>
                <w:szCs w:val="19"/>
                <w:color w:val="auto"/>
              </w:rPr>
            </w:pPr>
          </w:p>
        </w:tc>
        <w:tc>
          <w:tcPr>
            <w:tcW w:w="160" w:type="dxa"/>
            <w:vAlign w:val="bottom"/>
            <w:shd w:val="clear" w:color="auto" w:fill="D2DCE5"/>
          </w:tcPr>
          <w:p>
            <w:pPr>
              <w:spacing w:after="0"/>
              <w:rPr>
                <w:sz w:val="19"/>
                <w:szCs w:val="19"/>
                <w:color w:val="auto"/>
              </w:rPr>
            </w:pPr>
          </w:p>
        </w:tc>
        <w:tc>
          <w:tcPr>
            <w:tcW w:w="68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9"/>
                <w:szCs w:val="19"/>
                <w:color w:val="auto"/>
              </w:rPr>
            </w:pPr>
          </w:p>
        </w:tc>
        <w:tc>
          <w:tcPr>
            <w:tcW w:w="62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9"/>
                <w:szCs w:val="19"/>
                <w:color w:val="auto"/>
              </w:rPr>
            </w:pPr>
          </w:p>
        </w:tc>
        <w:tc>
          <w:tcPr>
            <w:tcW w:w="50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46,446</w:t>
            </w:r>
          </w:p>
        </w:tc>
        <w:tc>
          <w:tcPr>
            <w:tcW w:w="0" w:type="dxa"/>
            <w:vAlign w:val="bottom"/>
          </w:tcPr>
          <w:p>
            <w:pPr>
              <w:spacing w:after="0"/>
              <w:rPr>
                <w:sz w:val="1"/>
                <w:szCs w:val="1"/>
                <w:color w:val="auto"/>
              </w:rPr>
            </w:pPr>
          </w:p>
        </w:tc>
      </w:tr>
      <w:tr>
        <w:trPr>
          <w:trHeight w:val="161"/>
        </w:trPr>
        <w:tc>
          <w:tcPr>
            <w:tcW w:w="2320" w:type="dxa"/>
            <w:vAlign w:val="bottom"/>
            <w:gridSpan w:val="2"/>
          </w:tcPr>
          <w:p>
            <w:pPr>
              <w:ind w:left="20"/>
              <w:spacing w:after="0"/>
              <w:rPr>
                <w:sz w:val="20"/>
                <w:szCs w:val="20"/>
                <w:color w:val="auto"/>
              </w:rPr>
            </w:pPr>
            <w:r>
              <w:rPr>
                <w:rFonts w:ascii="Arial" w:cs="Arial" w:eastAsia="Arial" w:hAnsi="Arial"/>
                <w:sz w:val="11"/>
                <w:szCs w:val="11"/>
                <w:color w:val="131E29"/>
              </w:rPr>
              <w:t>Net loss subsequent to the Reorganization</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320" w:type="dxa"/>
            <w:vAlign w:val="bottom"/>
            <w:gridSpan w:val="2"/>
          </w:tcPr>
          <w:p>
            <w:pPr>
              <w:ind w:left="20"/>
              <w:spacing w:after="0"/>
              <w:rPr>
                <w:sz w:val="20"/>
                <w:szCs w:val="20"/>
                <w:color w:val="auto"/>
              </w:rPr>
            </w:pPr>
            <w:r>
              <w:rPr>
                <w:rFonts w:ascii="Arial" w:cs="Arial" w:eastAsia="Arial" w:hAnsi="Arial"/>
                <w:sz w:val="11"/>
                <w:szCs w:val="11"/>
                <w:color w:val="131E29"/>
              </w:rPr>
              <w:t>Transactions</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2"/>
                <w:szCs w:val="12"/>
                <w:color w:val="auto"/>
              </w:rPr>
            </w:pPr>
          </w:p>
        </w:tc>
        <w:tc>
          <w:tcPr>
            <w:tcW w:w="560" w:type="dxa"/>
            <w:vAlign w:val="bottom"/>
            <w:gridSpan w:val="2"/>
          </w:tcPr>
          <w:p>
            <w:pPr>
              <w:ind w:left="34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2"/>
                <w:szCs w:val="12"/>
                <w:color w:val="auto"/>
              </w:rPr>
            </w:pPr>
          </w:p>
        </w:tc>
        <w:tc>
          <w:tcPr>
            <w:tcW w:w="560" w:type="dxa"/>
            <w:vAlign w:val="bottom"/>
            <w:gridSpan w:val="2"/>
          </w:tcPr>
          <w:p>
            <w:pPr>
              <w:ind w:left="3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131E29"/>
              </w:rPr>
              <w:t>(12,679)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131E29"/>
              </w:rPr>
              <w:t>(37,878)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131E29"/>
              </w:rPr>
              <w:t>(50,557)</w:t>
            </w:r>
          </w:p>
        </w:tc>
        <w:tc>
          <w:tcPr>
            <w:tcW w:w="0" w:type="dxa"/>
            <w:vAlign w:val="bottom"/>
          </w:tcPr>
          <w:p>
            <w:pPr>
              <w:spacing w:after="0"/>
              <w:rPr>
                <w:sz w:val="1"/>
                <w:szCs w:val="1"/>
                <w:color w:val="auto"/>
              </w:rPr>
            </w:pPr>
          </w:p>
        </w:tc>
      </w:tr>
      <w:tr>
        <w:trPr>
          <w:trHeight w:val="171"/>
        </w:trPr>
        <w:tc>
          <w:tcPr>
            <w:tcW w:w="232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Equity-based compensation recognized</w:t>
            </w:r>
          </w:p>
        </w:tc>
        <w:tc>
          <w:tcPr>
            <w:tcW w:w="80" w:type="dxa"/>
            <w:vAlign w:val="bottom"/>
            <w:shd w:val="clear" w:color="auto" w:fill="D2DCE5"/>
          </w:tcPr>
          <w:p>
            <w:pPr>
              <w:spacing w:after="0"/>
              <w:rPr>
                <w:sz w:val="14"/>
                <w:szCs w:val="14"/>
                <w:color w:val="auto"/>
              </w:rPr>
            </w:pPr>
          </w:p>
        </w:tc>
        <w:tc>
          <w:tcPr>
            <w:tcW w:w="84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4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60" w:type="dxa"/>
            <w:vAlign w:val="bottom"/>
            <w:shd w:val="clear" w:color="auto" w:fill="D2DCE5"/>
          </w:tcPr>
          <w:p>
            <w:pPr>
              <w:spacing w:after="0"/>
              <w:rPr>
                <w:sz w:val="14"/>
                <w:szCs w:val="14"/>
                <w:color w:val="auto"/>
              </w:rPr>
            </w:pPr>
          </w:p>
        </w:tc>
        <w:tc>
          <w:tcPr>
            <w:tcW w:w="62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32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subsequent to the Reorganization</w:t>
            </w:r>
          </w:p>
        </w:tc>
        <w:tc>
          <w:tcPr>
            <w:tcW w:w="80" w:type="dxa"/>
            <w:vAlign w:val="bottom"/>
            <w:shd w:val="clear" w:color="auto" w:fill="D2DCE5"/>
          </w:tcPr>
          <w:p>
            <w:pPr>
              <w:spacing w:after="0"/>
              <w:rPr>
                <w:sz w:val="11"/>
                <w:szCs w:val="11"/>
                <w:color w:val="auto"/>
              </w:rPr>
            </w:pPr>
          </w:p>
        </w:tc>
        <w:tc>
          <w:tcPr>
            <w:tcW w:w="90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6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vMerge w:val="restart"/>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ind w:left="3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1"/>
                <w:szCs w:val="11"/>
                <w:color w:val="auto"/>
              </w:rPr>
            </w:pPr>
          </w:p>
        </w:tc>
        <w:tc>
          <w:tcPr>
            <w:tcW w:w="500" w:type="dxa"/>
            <w:vAlign w:val="bottom"/>
            <w:vMerge w:val="restart"/>
            <w:shd w:val="clear" w:color="auto" w:fill="D2DCE5"/>
          </w:tcPr>
          <w:p>
            <w:pPr>
              <w:jc w:val="right"/>
              <w:spacing w:after="0"/>
              <w:rPr>
                <w:sz w:val="20"/>
                <w:szCs w:val="20"/>
                <w:color w:val="auto"/>
              </w:rPr>
            </w:pPr>
            <w:r>
              <w:rPr>
                <w:rFonts w:ascii="Arial" w:cs="Arial" w:eastAsia="Arial" w:hAnsi="Arial"/>
                <w:sz w:val="11"/>
                <w:szCs w:val="11"/>
                <w:color w:val="131E29"/>
              </w:rPr>
              <w:t>12,663</w:t>
            </w:r>
          </w:p>
        </w:tc>
        <w:tc>
          <w:tcPr>
            <w:tcW w:w="60" w:type="dxa"/>
            <w:vAlign w:val="bottom"/>
            <w:shd w:val="clear" w:color="auto" w:fill="D2DCE5"/>
          </w:tcPr>
          <w:p>
            <w:pPr>
              <w:spacing w:after="0"/>
              <w:rPr>
                <w:sz w:val="11"/>
                <w:szCs w:val="11"/>
                <w:color w:val="auto"/>
              </w:rPr>
            </w:pPr>
          </w:p>
        </w:tc>
        <w:tc>
          <w:tcPr>
            <w:tcW w:w="160" w:type="dxa"/>
            <w:vAlign w:val="bottom"/>
            <w:shd w:val="clear" w:color="auto" w:fill="D2DCE5"/>
          </w:tcPr>
          <w:p>
            <w:pPr>
              <w:spacing w:after="0"/>
              <w:rPr>
                <w:sz w:val="11"/>
                <w:szCs w:val="11"/>
                <w:color w:val="auto"/>
              </w:rPr>
            </w:pPr>
          </w:p>
        </w:tc>
        <w:tc>
          <w:tcPr>
            <w:tcW w:w="680" w:type="dxa"/>
            <w:vAlign w:val="bottom"/>
            <w:gridSpan w:val="2"/>
            <w:vMerge w:val="restart"/>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1"/>
                <w:szCs w:val="11"/>
                <w:color w:val="auto"/>
              </w:rPr>
            </w:pPr>
          </w:p>
        </w:tc>
        <w:tc>
          <w:tcPr>
            <w:tcW w:w="560" w:type="dxa"/>
            <w:vAlign w:val="bottom"/>
            <w:vMerge w:val="restart"/>
            <w:shd w:val="clear" w:color="auto" w:fill="D2DCE5"/>
          </w:tcPr>
          <w:p>
            <w:pPr>
              <w:jc w:val="right"/>
              <w:spacing w:after="0"/>
              <w:rPr>
                <w:sz w:val="20"/>
                <w:szCs w:val="20"/>
                <w:color w:val="auto"/>
              </w:rPr>
            </w:pPr>
            <w:r>
              <w:rPr>
                <w:rFonts w:ascii="Arial" w:cs="Arial" w:eastAsia="Arial" w:hAnsi="Arial"/>
                <w:sz w:val="11"/>
                <w:szCs w:val="11"/>
                <w:color w:val="131E29"/>
              </w:rPr>
              <w:t>31,390</w:t>
            </w:r>
          </w:p>
        </w:tc>
        <w:tc>
          <w:tcPr>
            <w:tcW w:w="60" w:type="dxa"/>
            <w:vAlign w:val="bottom"/>
            <w:shd w:val="clear" w:color="auto" w:fill="D2DCE5"/>
          </w:tcPr>
          <w:p>
            <w:pPr>
              <w:spacing w:after="0"/>
              <w:rPr>
                <w:sz w:val="11"/>
                <w:szCs w:val="11"/>
                <w:color w:val="auto"/>
              </w:rPr>
            </w:pPr>
          </w:p>
        </w:tc>
        <w:tc>
          <w:tcPr>
            <w:tcW w:w="100" w:type="dxa"/>
            <w:vAlign w:val="bottom"/>
            <w:shd w:val="clear" w:color="auto" w:fill="D2DCE5"/>
          </w:tcPr>
          <w:p>
            <w:pPr>
              <w:spacing w:after="0"/>
              <w:rPr>
                <w:sz w:val="11"/>
                <w:szCs w:val="11"/>
                <w:color w:val="auto"/>
              </w:rPr>
            </w:pPr>
          </w:p>
        </w:tc>
        <w:tc>
          <w:tcPr>
            <w:tcW w:w="500" w:type="dxa"/>
            <w:vAlign w:val="bottom"/>
            <w:vMerge w:val="restart"/>
            <w:shd w:val="clear" w:color="auto" w:fill="D2DCE5"/>
          </w:tcPr>
          <w:p>
            <w:pPr>
              <w:jc w:val="right"/>
              <w:spacing w:after="0"/>
              <w:rPr>
                <w:sz w:val="20"/>
                <w:szCs w:val="20"/>
                <w:color w:val="auto"/>
              </w:rPr>
            </w:pPr>
            <w:r>
              <w:rPr>
                <w:rFonts w:ascii="Arial" w:cs="Arial" w:eastAsia="Arial" w:hAnsi="Arial"/>
                <w:sz w:val="11"/>
                <w:szCs w:val="11"/>
                <w:color w:val="131E29"/>
              </w:rPr>
              <w:t>44,053</w:t>
            </w:r>
          </w:p>
        </w:tc>
        <w:tc>
          <w:tcPr>
            <w:tcW w:w="0" w:type="dxa"/>
            <w:vAlign w:val="bottom"/>
          </w:tcPr>
          <w:p>
            <w:pPr>
              <w:spacing w:after="0"/>
              <w:rPr>
                <w:sz w:val="1"/>
                <w:szCs w:val="1"/>
                <w:color w:val="auto"/>
              </w:rPr>
            </w:pPr>
          </w:p>
        </w:tc>
      </w:tr>
      <w:tr>
        <w:trPr>
          <w:trHeight w:val="146"/>
        </w:trPr>
        <w:tc>
          <w:tcPr>
            <w:tcW w:w="232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Transactions</w:t>
            </w:r>
          </w:p>
        </w:tc>
        <w:tc>
          <w:tcPr>
            <w:tcW w:w="80" w:type="dxa"/>
            <w:vAlign w:val="bottom"/>
            <w:shd w:val="clear" w:color="auto" w:fill="D2DCE5"/>
          </w:tcPr>
          <w:p>
            <w:pPr>
              <w:spacing w:after="0"/>
              <w:rPr>
                <w:sz w:val="12"/>
                <w:szCs w:val="12"/>
                <w:color w:val="auto"/>
              </w:rPr>
            </w:pPr>
          </w:p>
        </w:tc>
        <w:tc>
          <w:tcPr>
            <w:tcW w:w="900" w:type="dxa"/>
            <w:vAlign w:val="bottom"/>
            <w:gridSpan w:val="2"/>
            <w:vMerge w:val="continue"/>
            <w:shd w:val="clear" w:color="auto" w:fill="D2DCE5"/>
          </w:tcPr>
          <w:p>
            <w:pPr>
              <w:spacing w:after="0"/>
              <w:rPr>
                <w:sz w:val="12"/>
                <w:szCs w:val="12"/>
                <w:color w:val="auto"/>
              </w:rPr>
            </w:pPr>
          </w:p>
        </w:tc>
        <w:tc>
          <w:tcPr>
            <w:tcW w:w="640" w:type="dxa"/>
            <w:vAlign w:val="bottom"/>
            <w:gridSpan w:val="2"/>
            <w:vMerge w:val="continue"/>
            <w:shd w:val="clear" w:color="auto" w:fill="D2DCE5"/>
          </w:tcPr>
          <w:p>
            <w:pPr>
              <w:spacing w:after="0"/>
              <w:rPr>
                <w:sz w:val="12"/>
                <w:szCs w:val="12"/>
                <w:color w:val="auto"/>
              </w:rPr>
            </w:pPr>
          </w:p>
        </w:tc>
        <w:tc>
          <w:tcPr>
            <w:tcW w:w="80" w:type="dxa"/>
            <w:vAlign w:val="bottom"/>
            <w:shd w:val="clear" w:color="auto" w:fill="D2DCE5"/>
          </w:tcPr>
          <w:p>
            <w:pPr>
              <w:spacing w:after="0"/>
              <w:rPr>
                <w:sz w:val="12"/>
                <w:szCs w:val="12"/>
                <w:color w:val="auto"/>
              </w:rPr>
            </w:pPr>
          </w:p>
        </w:tc>
        <w:tc>
          <w:tcPr>
            <w:tcW w:w="560" w:type="dxa"/>
            <w:vAlign w:val="bottom"/>
            <w:gridSpan w:val="2"/>
            <w:vMerge w:val="continue"/>
            <w:shd w:val="clear" w:color="auto" w:fill="D2DCE5"/>
          </w:tcPr>
          <w:p>
            <w:pPr>
              <w:spacing w:after="0"/>
              <w:rPr>
                <w:sz w:val="12"/>
                <w:szCs w:val="12"/>
                <w:color w:val="auto"/>
              </w:rPr>
            </w:pPr>
          </w:p>
        </w:tc>
        <w:tc>
          <w:tcPr>
            <w:tcW w:w="660" w:type="dxa"/>
            <w:vAlign w:val="bottom"/>
            <w:gridSpan w:val="2"/>
            <w:vMerge w:val="continue"/>
            <w:shd w:val="clear" w:color="auto" w:fill="D2DCE5"/>
          </w:tcPr>
          <w:p>
            <w:pPr>
              <w:spacing w:after="0"/>
              <w:rPr>
                <w:sz w:val="12"/>
                <w:szCs w:val="12"/>
                <w:color w:val="auto"/>
              </w:rPr>
            </w:pPr>
          </w:p>
        </w:tc>
        <w:tc>
          <w:tcPr>
            <w:tcW w:w="80" w:type="dxa"/>
            <w:vAlign w:val="bottom"/>
            <w:shd w:val="clear" w:color="auto" w:fill="D2DCE5"/>
          </w:tcPr>
          <w:p>
            <w:pPr>
              <w:spacing w:after="0"/>
              <w:rPr>
                <w:sz w:val="12"/>
                <w:szCs w:val="12"/>
                <w:color w:val="auto"/>
              </w:rPr>
            </w:pPr>
          </w:p>
        </w:tc>
        <w:tc>
          <w:tcPr>
            <w:tcW w:w="560" w:type="dxa"/>
            <w:vAlign w:val="bottom"/>
            <w:gridSpan w:val="2"/>
            <w:vMerge w:val="continue"/>
            <w:shd w:val="clear" w:color="auto" w:fill="D2DCE5"/>
          </w:tcPr>
          <w:p>
            <w:pPr>
              <w:spacing w:after="0"/>
              <w:rPr>
                <w:sz w:val="12"/>
                <w:szCs w:val="12"/>
                <w:color w:val="auto"/>
              </w:rPr>
            </w:pPr>
          </w:p>
        </w:tc>
        <w:tc>
          <w:tcPr>
            <w:tcW w:w="640" w:type="dxa"/>
            <w:vAlign w:val="bottom"/>
            <w:gridSpan w:val="2"/>
            <w:vMerge w:val="continue"/>
            <w:shd w:val="clear" w:color="auto" w:fill="D2DCE5"/>
          </w:tcPr>
          <w:p>
            <w:pPr>
              <w:spacing w:after="0"/>
              <w:rPr>
                <w:sz w:val="12"/>
                <w:szCs w:val="12"/>
                <w:color w:val="auto"/>
              </w:rPr>
            </w:pPr>
          </w:p>
        </w:tc>
        <w:tc>
          <w:tcPr>
            <w:tcW w:w="100" w:type="dxa"/>
            <w:vAlign w:val="bottom"/>
            <w:shd w:val="clear" w:color="auto" w:fill="D2DCE5"/>
          </w:tcPr>
          <w:p>
            <w:pPr>
              <w:spacing w:after="0"/>
              <w:rPr>
                <w:sz w:val="12"/>
                <w:szCs w:val="12"/>
                <w:color w:val="auto"/>
              </w:rPr>
            </w:pPr>
          </w:p>
        </w:tc>
        <w:tc>
          <w:tcPr>
            <w:tcW w:w="560" w:type="dxa"/>
            <w:vAlign w:val="bottom"/>
            <w:gridSpan w:val="2"/>
            <w:vMerge w:val="continue"/>
            <w:shd w:val="clear" w:color="auto" w:fill="D2DCE5"/>
          </w:tcPr>
          <w:p>
            <w:pPr>
              <w:spacing w:after="0"/>
              <w:rPr>
                <w:sz w:val="12"/>
                <w:szCs w:val="12"/>
                <w:color w:val="auto"/>
              </w:rPr>
            </w:pPr>
          </w:p>
        </w:tc>
        <w:tc>
          <w:tcPr>
            <w:tcW w:w="640" w:type="dxa"/>
            <w:vAlign w:val="bottom"/>
            <w:gridSpan w:val="2"/>
            <w:vMerge w:val="continue"/>
            <w:shd w:val="clear" w:color="auto" w:fill="D2DCE5"/>
          </w:tcPr>
          <w:p>
            <w:pPr>
              <w:spacing w:after="0"/>
              <w:rPr>
                <w:sz w:val="12"/>
                <w:szCs w:val="12"/>
                <w:color w:val="auto"/>
              </w:rPr>
            </w:pPr>
          </w:p>
        </w:tc>
        <w:tc>
          <w:tcPr>
            <w:tcW w:w="100" w:type="dxa"/>
            <w:vAlign w:val="bottom"/>
            <w:shd w:val="clear" w:color="auto" w:fill="D2DCE5"/>
          </w:tcPr>
          <w:p>
            <w:pPr>
              <w:spacing w:after="0"/>
              <w:rPr>
                <w:sz w:val="12"/>
                <w:szCs w:val="12"/>
                <w:color w:val="auto"/>
              </w:rPr>
            </w:pPr>
          </w:p>
        </w:tc>
        <w:tc>
          <w:tcPr>
            <w:tcW w:w="560" w:type="dxa"/>
            <w:vAlign w:val="bottom"/>
            <w:gridSpan w:val="2"/>
            <w:vMerge w:val="continue"/>
            <w:shd w:val="clear" w:color="auto" w:fill="D2DCE5"/>
          </w:tcPr>
          <w:p>
            <w:pPr>
              <w:spacing w:after="0"/>
              <w:rPr>
                <w:sz w:val="12"/>
                <w:szCs w:val="12"/>
                <w:color w:val="auto"/>
              </w:rPr>
            </w:pPr>
          </w:p>
        </w:tc>
        <w:tc>
          <w:tcPr>
            <w:tcW w:w="80" w:type="dxa"/>
            <w:vAlign w:val="bottom"/>
            <w:shd w:val="clear" w:color="auto" w:fill="D2DCE5"/>
          </w:tcPr>
          <w:p>
            <w:pPr>
              <w:spacing w:after="0"/>
              <w:rPr>
                <w:sz w:val="12"/>
                <w:szCs w:val="12"/>
                <w:color w:val="auto"/>
              </w:rPr>
            </w:pPr>
          </w:p>
        </w:tc>
        <w:tc>
          <w:tcPr>
            <w:tcW w:w="500" w:type="dxa"/>
            <w:vAlign w:val="bottom"/>
            <w:vMerge w:val="continue"/>
            <w:shd w:val="clear" w:color="auto" w:fill="D2DCE5"/>
          </w:tcPr>
          <w:p>
            <w:pPr>
              <w:spacing w:after="0"/>
              <w:rPr>
                <w:sz w:val="12"/>
                <w:szCs w:val="12"/>
                <w:color w:val="auto"/>
              </w:rPr>
            </w:pPr>
          </w:p>
        </w:tc>
        <w:tc>
          <w:tcPr>
            <w:tcW w:w="60" w:type="dxa"/>
            <w:vAlign w:val="bottom"/>
            <w:shd w:val="clear" w:color="auto" w:fill="D2DCE5"/>
          </w:tcPr>
          <w:p>
            <w:pPr>
              <w:spacing w:after="0"/>
              <w:rPr>
                <w:sz w:val="12"/>
                <w:szCs w:val="12"/>
                <w:color w:val="auto"/>
              </w:rPr>
            </w:pPr>
          </w:p>
        </w:tc>
        <w:tc>
          <w:tcPr>
            <w:tcW w:w="160" w:type="dxa"/>
            <w:vAlign w:val="bottom"/>
            <w:shd w:val="clear" w:color="auto" w:fill="D2DCE5"/>
          </w:tcPr>
          <w:p>
            <w:pPr>
              <w:spacing w:after="0"/>
              <w:rPr>
                <w:sz w:val="12"/>
                <w:szCs w:val="12"/>
                <w:color w:val="auto"/>
              </w:rPr>
            </w:pPr>
          </w:p>
        </w:tc>
        <w:tc>
          <w:tcPr>
            <w:tcW w:w="680" w:type="dxa"/>
            <w:vAlign w:val="bottom"/>
            <w:gridSpan w:val="2"/>
            <w:vMerge w:val="continue"/>
            <w:shd w:val="clear" w:color="auto" w:fill="D2DCE5"/>
          </w:tcPr>
          <w:p>
            <w:pPr>
              <w:spacing w:after="0"/>
              <w:rPr>
                <w:sz w:val="12"/>
                <w:szCs w:val="12"/>
                <w:color w:val="auto"/>
              </w:rPr>
            </w:pPr>
          </w:p>
        </w:tc>
        <w:tc>
          <w:tcPr>
            <w:tcW w:w="100" w:type="dxa"/>
            <w:vAlign w:val="bottom"/>
            <w:shd w:val="clear" w:color="auto" w:fill="D2DCE5"/>
          </w:tcPr>
          <w:p>
            <w:pPr>
              <w:spacing w:after="0"/>
              <w:rPr>
                <w:sz w:val="12"/>
                <w:szCs w:val="12"/>
                <w:color w:val="auto"/>
              </w:rPr>
            </w:pPr>
          </w:p>
        </w:tc>
        <w:tc>
          <w:tcPr>
            <w:tcW w:w="560" w:type="dxa"/>
            <w:vAlign w:val="bottom"/>
            <w:vMerge w:val="continue"/>
            <w:shd w:val="clear" w:color="auto" w:fill="D2DCE5"/>
          </w:tcPr>
          <w:p>
            <w:pPr>
              <w:spacing w:after="0"/>
              <w:rPr>
                <w:sz w:val="12"/>
                <w:szCs w:val="12"/>
                <w:color w:val="auto"/>
              </w:rPr>
            </w:pPr>
          </w:p>
        </w:tc>
        <w:tc>
          <w:tcPr>
            <w:tcW w:w="60" w:type="dxa"/>
            <w:vAlign w:val="bottom"/>
            <w:shd w:val="clear" w:color="auto" w:fill="D2DCE5"/>
          </w:tcPr>
          <w:p>
            <w:pPr>
              <w:spacing w:after="0"/>
              <w:rPr>
                <w:sz w:val="12"/>
                <w:szCs w:val="12"/>
                <w:color w:val="auto"/>
              </w:rPr>
            </w:pPr>
          </w:p>
        </w:tc>
        <w:tc>
          <w:tcPr>
            <w:tcW w:w="100" w:type="dxa"/>
            <w:vAlign w:val="bottom"/>
            <w:shd w:val="clear" w:color="auto" w:fill="D2DCE5"/>
          </w:tcPr>
          <w:p>
            <w:pPr>
              <w:spacing w:after="0"/>
              <w:rPr>
                <w:sz w:val="12"/>
                <w:szCs w:val="12"/>
                <w:color w:val="auto"/>
              </w:rPr>
            </w:pPr>
          </w:p>
        </w:tc>
        <w:tc>
          <w:tcPr>
            <w:tcW w:w="500" w:type="dxa"/>
            <w:vAlign w:val="bottom"/>
            <w:vMerge w:val="continue"/>
            <w:shd w:val="clear" w:color="auto" w:fill="D2DCE5"/>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320" w:type="dxa"/>
            <w:vAlign w:val="bottom"/>
            <w:gridSpan w:val="2"/>
          </w:tcPr>
          <w:p>
            <w:pPr>
              <w:ind w:left="20"/>
              <w:spacing w:after="0"/>
              <w:rPr>
                <w:sz w:val="20"/>
                <w:szCs w:val="20"/>
                <w:color w:val="auto"/>
              </w:rPr>
            </w:pPr>
            <w:r>
              <w:rPr>
                <w:rFonts w:ascii="Arial" w:cs="Arial" w:eastAsia="Arial" w:hAnsi="Arial"/>
                <w:sz w:val="11"/>
                <w:szCs w:val="11"/>
                <w:color w:val="131E29"/>
              </w:rPr>
              <w:t>Issuance of Class A common stock</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320" w:type="dxa"/>
            <w:vAlign w:val="bottom"/>
            <w:gridSpan w:val="2"/>
          </w:tcPr>
          <w:p>
            <w:pPr>
              <w:ind w:left="20"/>
              <w:spacing w:after="0"/>
              <w:rPr>
                <w:sz w:val="20"/>
                <w:szCs w:val="20"/>
                <w:color w:val="auto"/>
              </w:rPr>
            </w:pPr>
            <w:r>
              <w:rPr>
                <w:rFonts w:ascii="Arial" w:cs="Arial" w:eastAsia="Arial" w:hAnsi="Arial"/>
                <w:sz w:val="11"/>
                <w:szCs w:val="11"/>
                <w:color w:val="131E29"/>
              </w:rPr>
              <w:t>pursuant to vesting of equity awards, net of</w:t>
            </w:r>
          </w:p>
        </w:tc>
        <w:tc>
          <w:tcPr>
            <w:tcW w:w="80" w:type="dxa"/>
            <w:vAlign w:val="bottom"/>
          </w:tcPr>
          <w:p>
            <w:pPr>
              <w:spacing w:after="0"/>
              <w:rPr>
                <w:sz w:val="11"/>
                <w:szCs w:val="11"/>
                <w:color w:val="auto"/>
              </w:rPr>
            </w:pP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580" w:type="dxa"/>
            <w:vAlign w:val="bottom"/>
            <w:vMerge w:val="restart"/>
          </w:tcPr>
          <w:p>
            <w:pPr>
              <w:jc w:val="right"/>
              <w:ind w:right="3"/>
              <w:spacing w:after="0"/>
              <w:rPr>
                <w:sz w:val="20"/>
                <w:szCs w:val="20"/>
                <w:color w:val="auto"/>
              </w:rPr>
            </w:pPr>
            <w:r>
              <w:rPr>
                <w:rFonts w:ascii="Arial" w:cs="Arial" w:eastAsia="Arial" w:hAnsi="Arial"/>
                <w:sz w:val="11"/>
                <w:szCs w:val="11"/>
                <w:color w:val="131E29"/>
              </w:rPr>
              <w:t>345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restart"/>
          </w:tcPr>
          <w:p>
            <w:pPr>
              <w:ind w:left="340"/>
              <w:spacing w:after="0"/>
              <w:rPr>
                <w:sz w:val="20"/>
                <w:szCs w:val="20"/>
                <w:color w:val="auto"/>
              </w:rPr>
            </w:pPr>
            <w:r>
              <w:rPr>
                <w:rFonts w:ascii="Arial" w:cs="Arial" w:eastAsia="Arial" w:hAnsi="Arial"/>
                <w:sz w:val="11"/>
                <w:szCs w:val="11"/>
                <w:color w:val="131E29"/>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1"/>
                <w:szCs w:val="11"/>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1"/>
                <w:szCs w:val="11"/>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1"/>
                <w:szCs w:val="11"/>
                <w:color w:val="auto"/>
              </w:rPr>
            </w:pPr>
          </w:p>
        </w:tc>
        <w:tc>
          <w:tcPr>
            <w:tcW w:w="560" w:type="dxa"/>
            <w:vAlign w:val="bottom"/>
            <w:gridSpan w:val="2"/>
            <w:vMerge w:val="restart"/>
          </w:tcPr>
          <w:p>
            <w:pPr>
              <w:ind w:left="3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131E29"/>
              </w:rPr>
              <w:t>(3,258)</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131E29"/>
              </w:rPr>
              <w:t>(8,075)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131E29"/>
              </w:rPr>
              <w:t>(11,333)</w:t>
            </w:r>
          </w:p>
        </w:tc>
        <w:tc>
          <w:tcPr>
            <w:tcW w:w="0" w:type="dxa"/>
            <w:vAlign w:val="bottom"/>
          </w:tcPr>
          <w:p>
            <w:pPr>
              <w:spacing w:after="0"/>
              <w:rPr>
                <w:sz w:val="1"/>
                <w:szCs w:val="1"/>
                <w:color w:val="auto"/>
              </w:rPr>
            </w:pPr>
          </w:p>
        </w:tc>
      </w:tr>
      <w:tr>
        <w:trPr>
          <w:trHeight w:val="142"/>
        </w:trPr>
        <w:tc>
          <w:tcPr>
            <w:tcW w:w="2320" w:type="dxa"/>
            <w:vAlign w:val="bottom"/>
            <w:gridSpan w:val="2"/>
          </w:tcPr>
          <w:p>
            <w:pPr>
              <w:ind w:left="20"/>
              <w:spacing w:after="0"/>
              <w:rPr>
                <w:sz w:val="20"/>
                <w:szCs w:val="20"/>
                <w:color w:val="auto"/>
              </w:rPr>
            </w:pPr>
            <w:r>
              <w:rPr>
                <w:rFonts w:ascii="Arial" w:cs="Arial" w:eastAsia="Arial" w:hAnsi="Arial"/>
                <w:sz w:val="11"/>
                <w:szCs w:val="11"/>
                <w:color w:val="131E29"/>
              </w:rPr>
              <w:t>stock withheld for tax</w:t>
            </w: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32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Effect of exchange of Dutch Bros OpCo</w:t>
            </w:r>
          </w:p>
        </w:tc>
        <w:tc>
          <w:tcPr>
            <w:tcW w:w="80" w:type="dxa"/>
            <w:vAlign w:val="bottom"/>
            <w:shd w:val="clear" w:color="auto" w:fill="D2DCE5"/>
          </w:tcPr>
          <w:p>
            <w:pPr>
              <w:spacing w:after="0"/>
              <w:rPr>
                <w:sz w:val="14"/>
                <w:szCs w:val="14"/>
                <w:color w:val="auto"/>
              </w:rPr>
            </w:pPr>
          </w:p>
        </w:tc>
        <w:tc>
          <w:tcPr>
            <w:tcW w:w="84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4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60" w:type="dxa"/>
            <w:vAlign w:val="bottom"/>
            <w:shd w:val="clear" w:color="auto" w:fill="D2DCE5"/>
          </w:tcPr>
          <w:p>
            <w:pPr>
              <w:spacing w:after="0"/>
              <w:rPr>
                <w:sz w:val="14"/>
                <w:szCs w:val="14"/>
                <w:color w:val="auto"/>
              </w:rPr>
            </w:pPr>
          </w:p>
        </w:tc>
        <w:tc>
          <w:tcPr>
            <w:tcW w:w="62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32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Class A common units</w:t>
            </w:r>
          </w:p>
        </w:tc>
        <w:tc>
          <w:tcPr>
            <w:tcW w:w="80" w:type="dxa"/>
            <w:vAlign w:val="bottom"/>
            <w:shd w:val="clear" w:color="auto" w:fill="D2DCE5"/>
          </w:tcPr>
          <w:p>
            <w:pPr>
              <w:spacing w:after="0"/>
              <w:rPr>
                <w:sz w:val="13"/>
                <w:szCs w:val="13"/>
                <w:color w:val="auto"/>
              </w:rPr>
            </w:pPr>
          </w:p>
        </w:tc>
        <w:tc>
          <w:tcPr>
            <w:tcW w:w="90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3"/>
                <w:szCs w:val="13"/>
                <w:color w:val="auto"/>
              </w:rPr>
            </w:pPr>
          </w:p>
        </w:tc>
        <w:tc>
          <w:tcPr>
            <w:tcW w:w="560" w:type="dxa"/>
            <w:vAlign w:val="bottom"/>
            <w:gridSpan w:val="2"/>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3"/>
                <w:szCs w:val="13"/>
                <w:color w:val="auto"/>
              </w:rPr>
            </w:pPr>
          </w:p>
        </w:tc>
        <w:tc>
          <w:tcPr>
            <w:tcW w:w="5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3"/>
                <w:szCs w:val="13"/>
                <w:color w:val="auto"/>
              </w:rPr>
            </w:pPr>
          </w:p>
        </w:tc>
        <w:tc>
          <w:tcPr>
            <w:tcW w:w="5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3"/>
                <w:szCs w:val="13"/>
                <w:color w:val="auto"/>
              </w:rPr>
            </w:pPr>
          </w:p>
        </w:tc>
        <w:tc>
          <w:tcPr>
            <w:tcW w:w="560" w:type="dxa"/>
            <w:vAlign w:val="bottom"/>
            <w:gridSpan w:val="2"/>
            <w:shd w:val="clear" w:color="auto" w:fill="D2DCE5"/>
          </w:tcPr>
          <w:p>
            <w:pPr>
              <w:ind w:left="3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3"/>
                <w:szCs w:val="13"/>
                <w:color w:val="auto"/>
              </w:rPr>
            </w:pPr>
          </w:p>
        </w:tc>
        <w:tc>
          <w:tcPr>
            <w:tcW w:w="50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289</w:t>
            </w:r>
          </w:p>
        </w:tc>
        <w:tc>
          <w:tcPr>
            <w:tcW w:w="60" w:type="dxa"/>
            <w:vAlign w:val="bottom"/>
            <w:shd w:val="clear" w:color="auto" w:fill="D2DCE5"/>
          </w:tcPr>
          <w:p>
            <w:pPr>
              <w:spacing w:after="0"/>
              <w:rPr>
                <w:sz w:val="13"/>
                <w:szCs w:val="13"/>
                <w:color w:val="auto"/>
              </w:rPr>
            </w:pPr>
          </w:p>
        </w:tc>
        <w:tc>
          <w:tcPr>
            <w:tcW w:w="160" w:type="dxa"/>
            <w:vAlign w:val="bottom"/>
            <w:shd w:val="clear" w:color="auto" w:fill="D2DCE5"/>
          </w:tcPr>
          <w:p>
            <w:pPr>
              <w:spacing w:after="0"/>
              <w:rPr>
                <w:sz w:val="13"/>
                <w:szCs w:val="13"/>
                <w:color w:val="auto"/>
              </w:rPr>
            </w:pPr>
          </w:p>
        </w:tc>
        <w:tc>
          <w:tcPr>
            <w:tcW w:w="68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3"/>
                <w:szCs w:val="13"/>
                <w:color w:val="auto"/>
              </w:rPr>
            </w:pPr>
          </w:p>
        </w:tc>
        <w:tc>
          <w:tcPr>
            <w:tcW w:w="56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(289)</w:t>
            </w:r>
          </w:p>
        </w:tc>
        <w:tc>
          <w:tcPr>
            <w:tcW w:w="60" w:type="dxa"/>
            <w:vAlign w:val="bottom"/>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50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w:t>
            </w:r>
          </w:p>
        </w:tc>
        <w:tc>
          <w:tcPr>
            <w:tcW w:w="0" w:type="dxa"/>
            <w:vAlign w:val="bottom"/>
          </w:tcPr>
          <w:p>
            <w:pPr>
              <w:spacing w:after="0"/>
              <w:rPr>
                <w:sz w:val="1"/>
                <w:szCs w:val="1"/>
                <w:color w:val="auto"/>
              </w:rPr>
            </w:pPr>
          </w:p>
        </w:tc>
      </w:tr>
      <w:tr>
        <w:trPr>
          <w:trHeight w:val="161"/>
        </w:trPr>
        <w:tc>
          <w:tcPr>
            <w:tcW w:w="2320" w:type="dxa"/>
            <w:vAlign w:val="bottom"/>
            <w:gridSpan w:val="2"/>
          </w:tcPr>
          <w:p>
            <w:pPr>
              <w:ind w:left="20"/>
              <w:spacing w:after="0"/>
              <w:rPr>
                <w:sz w:val="20"/>
                <w:szCs w:val="20"/>
                <w:color w:val="auto"/>
              </w:rPr>
            </w:pPr>
            <w:r>
              <w:rPr>
                <w:rFonts w:ascii="Arial" w:cs="Arial" w:eastAsia="Arial" w:hAnsi="Arial"/>
                <w:sz w:val="11"/>
                <w:szCs w:val="11"/>
                <w:color w:val="131E29"/>
              </w:rPr>
              <w:t>Surrender and cancellation of Class C &amp; D</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20" w:type="dxa"/>
            <w:vAlign w:val="bottom"/>
            <w:tcBorders>
              <w:bottom w:val="single" w:sz="8" w:color="D2DCE5"/>
            </w:tcBorders>
            <w:gridSpan w:val="2"/>
          </w:tcPr>
          <w:p>
            <w:pPr>
              <w:ind w:left="20"/>
              <w:spacing w:after="0"/>
              <w:rPr>
                <w:sz w:val="20"/>
                <w:szCs w:val="20"/>
                <w:color w:val="auto"/>
              </w:rPr>
            </w:pPr>
            <w:r>
              <w:rPr>
                <w:rFonts w:ascii="Arial" w:cs="Arial" w:eastAsia="Arial" w:hAnsi="Arial"/>
                <w:sz w:val="11"/>
                <w:szCs w:val="11"/>
                <w:color w:val="131E29"/>
              </w:rPr>
              <w:t>common stock</w:t>
            </w: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131E29"/>
              </w:rPr>
              <w:t>—</w:t>
            </w:r>
          </w:p>
        </w:tc>
        <w:tc>
          <w:tcPr>
            <w:tcW w:w="60" w:type="dxa"/>
            <w:vAlign w:val="bottom"/>
            <w:tcBorders>
              <w:bottom w:val="single" w:sz="8" w:color="D2DCE5"/>
            </w:tcBorders>
          </w:tcPr>
          <w:p>
            <w:pPr>
              <w:spacing w:after="0"/>
              <w:rPr>
                <w:sz w:val="12"/>
                <w:szCs w:val="12"/>
                <w:color w:val="auto"/>
              </w:rPr>
            </w:pP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131E29"/>
              </w:rPr>
              <w:t>—</w:t>
            </w:r>
          </w:p>
        </w:tc>
        <w:tc>
          <w:tcPr>
            <w:tcW w:w="60" w:type="dxa"/>
            <w:vAlign w:val="bottom"/>
            <w:tcBorders>
              <w:bottom w:val="single" w:sz="8" w:color="D2DCE5"/>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ind w:left="340"/>
              <w:spacing w:after="0"/>
              <w:rPr>
                <w:sz w:val="20"/>
                <w:szCs w:val="20"/>
                <w:color w:val="auto"/>
              </w:rPr>
            </w:pPr>
            <w:r>
              <w:rPr>
                <w:rFonts w:ascii="Arial" w:cs="Arial" w:eastAsia="Arial" w:hAnsi="Arial"/>
                <w:sz w:val="11"/>
                <w:szCs w:val="11"/>
                <w:color w:val="131E29"/>
              </w:rPr>
              <w:t>—</w:t>
            </w:r>
          </w:p>
        </w:tc>
        <w:tc>
          <w:tcPr>
            <w:tcW w:w="60" w:type="dxa"/>
            <w:vAlign w:val="bottom"/>
            <w:tcBorders>
              <w:bottom w:val="single" w:sz="8" w:color="D2DCE5"/>
            </w:tcBorders>
          </w:tcPr>
          <w:p>
            <w:pPr>
              <w:spacing w:after="0"/>
              <w:rPr>
                <w:sz w:val="12"/>
                <w:szCs w:val="12"/>
                <w:color w:val="auto"/>
              </w:rPr>
            </w:pP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131E29"/>
              </w:rPr>
              <w:t>—</w:t>
            </w:r>
          </w:p>
        </w:tc>
        <w:tc>
          <w:tcPr>
            <w:tcW w:w="60" w:type="dxa"/>
            <w:vAlign w:val="bottom"/>
            <w:tcBorders>
              <w:bottom w:val="single" w:sz="8" w:color="D2DCE5"/>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131E29"/>
              </w:rPr>
              <w:t>—</w:t>
            </w:r>
          </w:p>
        </w:tc>
        <w:tc>
          <w:tcPr>
            <w:tcW w:w="60" w:type="dxa"/>
            <w:vAlign w:val="bottom"/>
            <w:tcBorders>
              <w:bottom w:val="single" w:sz="8" w:color="D2DCE5"/>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131E29"/>
              </w:rPr>
              <w:t>—</w:t>
            </w:r>
          </w:p>
        </w:tc>
        <w:tc>
          <w:tcPr>
            <w:tcW w:w="60" w:type="dxa"/>
            <w:vAlign w:val="bottom"/>
            <w:tcBorders>
              <w:bottom w:val="single" w:sz="8" w:color="D2DCE5"/>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131E29"/>
              </w:rPr>
              <w:t>—</w:t>
            </w:r>
          </w:p>
        </w:tc>
        <w:tc>
          <w:tcPr>
            <w:tcW w:w="60" w:type="dxa"/>
            <w:vAlign w:val="bottom"/>
            <w:tcBorders>
              <w:bottom w:val="single" w:sz="8" w:color="D2DCE5"/>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131E29"/>
              </w:rPr>
              <w:t>(1,595)</w:t>
            </w:r>
          </w:p>
        </w:tc>
        <w:tc>
          <w:tcPr>
            <w:tcW w:w="60" w:type="dxa"/>
            <w:vAlign w:val="bottom"/>
            <w:tcBorders>
              <w:bottom w:val="single" w:sz="8" w:color="D2DCE5"/>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ind w:left="320"/>
              <w:spacing w:after="0"/>
              <w:rPr>
                <w:sz w:val="20"/>
                <w:szCs w:val="20"/>
                <w:color w:val="auto"/>
              </w:rPr>
            </w:pPr>
            <w:r>
              <w:rPr>
                <w:rFonts w:ascii="Arial" w:cs="Arial" w:eastAsia="Arial" w:hAnsi="Arial"/>
                <w:sz w:val="11"/>
                <w:szCs w:val="11"/>
                <w:color w:val="131E29"/>
              </w:rPr>
              <w:t>—</w:t>
            </w:r>
          </w:p>
        </w:tc>
        <w:tc>
          <w:tcPr>
            <w:tcW w:w="80" w:type="dxa"/>
            <w:vAlign w:val="bottom"/>
            <w:tcBorders>
              <w:bottom w:val="single" w:sz="8" w:color="D2DCE5"/>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131E29"/>
              </w:rPr>
              <w:t>(34,394)</w:t>
            </w:r>
          </w:p>
        </w:tc>
        <w:tc>
          <w:tcPr>
            <w:tcW w:w="60" w:type="dxa"/>
            <w:vAlign w:val="bottom"/>
            <w:tcBorders>
              <w:bottom w:val="single" w:sz="8" w:color="D2DCE5"/>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131E29"/>
              </w:rPr>
              <w:t>—</w:t>
            </w:r>
          </w:p>
        </w:tc>
        <w:tc>
          <w:tcPr>
            <w:tcW w:w="60" w:type="dxa"/>
            <w:vAlign w:val="bottom"/>
            <w:tcBorders>
              <w:bottom w:val="single" w:sz="8" w:color="D2DCE5"/>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131E29"/>
              </w:rPr>
              <w:t>—</w:t>
            </w:r>
          </w:p>
        </w:tc>
        <w:tc>
          <w:tcPr>
            <w:tcW w:w="60" w:type="dxa"/>
            <w:vAlign w:val="bottom"/>
            <w:tcBorders>
              <w:bottom w:val="single" w:sz="8" w:color="D2DCE5"/>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131E29"/>
              </w:rPr>
              <w:t>(34,394)</w:t>
            </w:r>
          </w:p>
        </w:tc>
        <w:tc>
          <w:tcPr>
            <w:tcW w:w="0" w:type="dxa"/>
            <w:vAlign w:val="bottom"/>
          </w:tcPr>
          <w:p>
            <w:pPr>
              <w:spacing w:after="0"/>
              <w:rPr>
                <w:sz w:val="1"/>
                <w:szCs w:val="1"/>
                <w:color w:val="auto"/>
              </w:rPr>
            </w:pPr>
          </w:p>
        </w:tc>
      </w:tr>
      <w:tr>
        <w:trPr>
          <w:trHeight w:val="200"/>
        </w:trPr>
        <w:tc>
          <w:tcPr>
            <w:tcW w:w="2320" w:type="dxa"/>
            <w:vAlign w:val="bottom"/>
            <w:gridSpan w:val="2"/>
            <w:shd w:val="clear" w:color="auto" w:fill="D2DCE5"/>
          </w:tcPr>
          <w:p>
            <w:pPr>
              <w:ind w:left="20"/>
              <w:spacing w:after="0"/>
              <w:rPr>
                <w:sz w:val="20"/>
                <w:szCs w:val="20"/>
                <w:color w:val="auto"/>
              </w:rPr>
            </w:pPr>
            <w:r>
              <w:rPr>
                <w:rFonts w:ascii="Arial" w:cs="Arial" w:eastAsia="Arial" w:hAnsi="Arial"/>
                <w:sz w:val="11"/>
                <w:szCs w:val="11"/>
                <w:b w:val="1"/>
                <w:bCs w:val="1"/>
                <w:color w:val="131E29"/>
              </w:rPr>
              <w:t>Balance, December 31, 2021</w:t>
            </w:r>
          </w:p>
        </w:tc>
        <w:tc>
          <w:tcPr>
            <w:tcW w:w="8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90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58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34,433</w:t>
            </w:r>
          </w:p>
        </w:tc>
        <w:tc>
          <w:tcPr>
            <w:tcW w:w="60" w:type="dxa"/>
            <w:vAlign w:val="bottom"/>
            <w:shd w:val="clear" w:color="auto" w:fill="D2DCE5"/>
          </w:tcPr>
          <w:p>
            <w:pPr>
              <w:spacing w:after="0"/>
              <w:rPr>
                <w:sz w:val="17"/>
                <w:szCs w:val="17"/>
                <w:color w:val="auto"/>
              </w:rPr>
            </w:pPr>
          </w:p>
        </w:tc>
        <w:tc>
          <w:tcPr>
            <w:tcW w:w="8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560" w:type="dxa"/>
            <w:vAlign w:val="bottom"/>
            <w:gridSpan w:val="2"/>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0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64,699</w:t>
            </w:r>
          </w:p>
        </w:tc>
        <w:tc>
          <w:tcPr>
            <w:tcW w:w="60" w:type="dxa"/>
            <w:vAlign w:val="bottom"/>
            <w:shd w:val="clear" w:color="auto" w:fill="D2DCE5"/>
          </w:tcPr>
          <w:p>
            <w:pPr>
              <w:spacing w:after="0"/>
              <w:rPr>
                <w:sz w:val="17"/>
                <w:szCs w:val="17"/>
                <w:color w:val="auto"/>
              </w:rPr>
            </w:pPr>
          </w:p>
        </w:tc>
        <w:tc>
          <w:tcPr>
            <w:tcW w:w="8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50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1</w:t>
            </w:r>
          </w:p>
        </w:tc>
        <w:tc>
          <w:tcPr>
            <w:tcW w:w="60" w:type="dxa"/>
            <w:vAlign w:val="bottom"/>
            <w:shd w:val="clear" w:color="auto" w:fill="D2DCE5"/>
          </w:tcPr>
          <w:p>
            <w:pPr>
              <w:spacing w:after="0"/>
              <w:rPr>
                <w:sz w:val="17"/>
                <w:szCs w:val="17"/>
                <w:color w:val="auto"/>
              </w:rPr>
            </w:pPr>
          </w:p>
        </w:tc>
        <w:tc>
          <w:tcPr>
            <w:tcW w:w="58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49,006</w:t>
            </w:r>
          </w:p>
        </w:tc>
        <w:tc>
          <w:tcPr>
            <w:tcW w:w="60" w:type="dxa"/>
            <w:vAlign w:val="bottom"/>
            <w:shd w:val="clear" w:color="auto" w:fill="D2DCE5"/>
          </w:tcPr>
          <w:p>
            <w:pPr>
              <w:spacing w:after="0"/>
              <w:rPr>
                <w:sz w:val="17"/>
                <w:szCs w:val="17"/>
                <w:color w:val="auto"/>
              </w:rPr>
            </w:pPr>
          </w:p>
        </w:tc>
        <w:tc>
          <w:tcPr>
            <w:tcW w:w="10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50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1</w:t>
            </w:r>
          </w:p>
        </w:tc>
        <w:tc>
          <w:tcPr>
            <w:tcW w:w="60" w:type="dxa"/>
            <w:vAlign w:val="bottom"/>
            <w:shd w:val="clear" w:color="auto" w:fill="D2DCE5"/>
          </w:tcPr>
          <w:p>
            <w:pPr>
              <w:spacing w:after="0"/>
              <w:rPr>
                <w:sz w:val="17"/>
                <w:szCs w:val="17"/>
                <w:color w:val="auto"/>
              </w:rPr>
            </w:pPr>
          </w:p>
        </w:tc>
        <w:tc>
          <w:tcPr>
            <w:tcW w:w="58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15,441</w:t>
            </w:r>
          </w:p>
        </w:tc>
        <w:tc>
          <w:tcPr>
            <w:tcW w:w="60" w:type="dxa"/>
            <w:vAlign w:val="bottom"/>
            <w:shd w:val="clear" w:color="auto" w:fill="D2DCE5"/>
          </w:tcPr>
          <w:p>
            <w:pPr>
              <w:spacing w:after="0"/>
              <w:rPr>
                <w:sz w:val="17"/>
                <w:szCs w:val="17"/>
                <w:color w:val="auto"/>
              </w:rPr>
            </w:pPr>
          </w:p>
        </w:tc>
        <w:tc>
          <w:tcPr>
            <w:tcW w:w="10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560" w:type="dxa"/>
            <w:vAlign w:val="bottom"/>
            <w:gridSpan w:val="2"/>
            <w:shd w:val="clear" w:color="auto" w:fill="D2DCE5"/>
          </w:tcPr>
          <w:p>
            <w:pPr>
              <w:ind w:left="3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jc w:val="right"/>
              <w:spacing w:after="0"/>
              <w:rPr>
                <w:sz w:val="20"/>
                <w:szCs w:val="20"/>
                <w:color w:val="auto"/>
              </w:rPr>
            </w:pPr>
            <w:r>
              <w:rPr>
                <w:rFonts w:ascii="Arial" w:cs="Arial" w:eastAsia="Arial" w:hAnsi="Arial"/>
                <w:sz w:val="10"/>
                <w:szCs w:val="10"/>
                <w:color w:val="131E29"/>
                <w:w w:val="71"/>
              </w:rPr>
              <w:t>$</w:t>
            </w:r>
          </w:p>
        </w:tc>
        <w:tc>
          <w:tcPr>
            <w:tcW w:w="50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107,193</w:t>
            </w:r>
          </w:p>
        </w:tc>
        <w:tc>
          <w:tcPr>
            <w:tcW w:w="60" w:type="dxa"/>
            <w:vAlign w:val="bottom"/>
            <w:shd w:val="clear" w:color="auto" w:fill="D2DCE5"/>
          </w:tcPr>
          <w:p>
            <w:pPr>
              <w:spacing w:after="0"/>
              <w:rPr>
                <w:sz w:val="17"/>
                <w:szCs w:val="17"/>
                <w:color w:val="auto"/>
              </w:rPr>
            </w:pPr>
          </w:p>
        </w:tc>
        <w:tc>
          <w:tcPr>
            <w:tcW w:w="160" w:type="dxa"/>
            <w:vAlign w:val="bottom"/>
            <w:shd w:val="clear" w:color="auto" w:fill="D2DCE5"/>
          </w:tcPr>
          <w:p>
            <w:pPr>
              <w:jc w:val="right"/>
              <w:ind w:right="23"/>
              <w:spacing w:after="0"/>
              <w:rPr>
                <w:sz w:val="20"/>
                <w:szCs w:val="20"/>
                <w:color w:val="auto"/>
              </w:rPr>
            </w:pPr>
            <w:r>
              <w:rPr>
                <w:rFonts w:ascii="Arial" w:cs="Arial" w:eastAsia="Arial" w:hAnsi="Arial"/>
                <w:sz w:val="11"/>
                <w:szCs w:val="11"/>
                <w:color w:val="131E29"/>
                <w:w w:val="97"/>
              </w:rPr>
              <w:t>$</w:t>
            </w:r>
          </w:p>
        </w:tc>
        <w:tc>
          <w:tcPr>
            <w:tcW w:w="62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(12,679)</w:t>
            </w:r>
          </w:p>
        </w:tc>
        <w:tc>
          <w:tcPr>
            <w:tcW w:w="60" w:type="dxa"/>
            <w:vAlign w:val="bottom"/>
            <w:shd w:val="clear" w:color="auto" w:fill="D2DCE5"/>
          </w:tcPr>
          <w:p>
            <w:pPr>
              <w:spacing w:after="0"/>
              <w:rPr>
                <w:sz w:val="17"/>
                <w:szCs w:val="17"/>
                <w:color w:val="auto"/>
              </w:rPr>
            </w:pPr>
          </w:p>
        </w:tc>
        <w:tc>
          <w:tcPr>
            <w:tcW w:w="10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56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119,213</w:t>
            </w:r>
          </w:p>
        </w:tc>
        <w:tc>
          <w:tcPr>
            <w:tcW w:w="60" w:type="dxa"/>
            <w:vAlign w:val="bottom"/>
            <w:shd w:val="clear" w:color="auto" w:fill="D2DCE5"/>
          </w:tcPr>
          <w:p>
            <w:pPr>
              <w:spacing w:after="0"/>
              <w:rPr>
                <w:sz w:val="17"/>
                <w:szCs w:val="17"/>
                <w:color w:val="auto"/>
              </w:rPr>
            </w:pPr>
          </w:p>
        </w:tc>
        <w:tc>
          <w:tcPr>
            <w:tcW w:w="10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50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213,729</w:t>
            </w:r>
          </w:p>
        </w:tc>
        <w:tc>
          <w:tcPr>
            <w:tcW w:w="0" w:type="dxa"/>
            <w:vAlign w:val="bottom"/>
          </w:tcPr>
          <w:p>
            <w:pPr>
              <w:spacing w:after="0"/>
              <w:rPr>
                <w:sz w:val="1"/>
                <w:szCs w:val="1"/>
                <w:color w:val="auto"/>
              </w:rPr>
            </w:pPr>
          </w:p>
        </w:tc>
      </w:tr>
      <w:tr>
        <w:trPr>
          <w:trHeight w:val="20"/>
        </w:trPr>
        <w:tc>
          <w:tcPr>
            <w:tcW w:w="2260" w:type="dxa"/>
            <w:vAlign w:val="bottom"/>
            <w:tcBorders>
              <w:top w:val="single" w:sz="8" w:color="D2DCE5"/>
            </w:tcBorders>
          </w:tcPr>
          <w:p>
            <w:pPr>
              <w:spacing w:after="0" w:line="20" w:lineRule="exact"/>
              <w:rPr>
                <w:sz w:val="1"/>
                <w:szCs w:val="1"/>
                <w:color w:val="auto"/>
              </w:rPr>
            </w:pPr>
          </w:p>
        </w:tc>
        <w:tc>
          <w:tcPr>
            <w:tcW w:w="6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2DCE5"/>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2DCE5"/>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2DCE5"/>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2DCE5"/>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97" w:name="page98"/>
    <w:bookmarkEnd w:id="97"/>
    <w:p>
      <w:pPr>
        <w:spacing w:after="0"/>
        <w:rPr>
          <w:sz w:val="20"/>
          <w:szCs w:val="20"/>
          <w:color w:val="auto"/>
        </w:rPr>
      </w:pPr>
      <w:r>
        <w:rPr>
          <w:rFonts w:ascii="Arial" w:cs="Arial" w:eastAsia="Arial" w:hAnsi="Arial"/>
          <w:sz w:val="11"/>
          <w:szCs w:val="11"/>
          <w:u w:val="single" w:color="auto"/>
          <w:color w:val="006098"/>
        </w:rPr>
        <w:t>Table of Contents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Consolidated Statements of Stockholders’/Members’ Equity (continued)</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131E29"/>
        </w:rPr>
        <w:t>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676910</wp:posOffset>
            </wp:positionH>
            <wp:positionV relativeFrom="paragraph">
              <wp:posOffset>31115</wp:posOffset>
            </wp:positionV>
            <wp:extent cx="5814060"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814060" cy="6985"/>
                    </a:xfrm>
                    <a:prstGeom prst="rect">
                      <a:avLst/>
                    </a:prstGeom>
                    <a:noFill/>
                  </pic:spPr>
                </pic:pic>
              </a:graphicData>
            </a:graphic>
          </wp:anchor>
        </w:drawing>
      </w:r>
    </w:p>
    <w:p>
      <w:pPr>
        <w:spacing w:after="0" w:line="60" w:lineRule="exact"/>
        <w:rPr>
          <w:sz w:val="20"/>
          <w:szCs w:val="20"/>
          <w:color w:val="auto"/>
        </w:rPr>
      </w:pPr>
    </w:p>
    <w:tbl>
      <w:tblPr>
        <w:tblLayout w:type="fixed"/>
        <w:tblInd w:w="1060" w:type="dxa"/>
        <w:tblCellMar>
          <w:top w:w="0" w:type="dxa"/>
          <w:left w:w="0" w:type="dxa"/>
          <w:bottom w:w="0" w:type="dxa"/>
          <w:right w:w="0" w:type="dxa"/>
        </w:tblCellMar>
      </w:tblPr>
      <w:tr>
        <w:trPr>
          <w:trHeight w:val="170"/>
        </w:trPr>
        <w:tc>
          <w:tcPr>
            <w:tcW w:w="5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3"/>
          </w:tcPr>
          <w:p>
            <w:pPr>
              <w:jc w:val="center"/>
              <w:ind w:right="60"/>
              <w:spacing w:after="0"/>
              <w:rPr>
                <w:sz w:val="20"/>
                <w:szCs w:val="20"/>
                <w:color w:val="auto"/>
              </w:rPr>
            </w:pPr>
            <w:r>
              <w:rPr>
                <w:rFonts w:ascii="Arial" w:cs="Arial" w:eastAsia="Arial" w:hAnsi="Arial"/>
                <w:sz w:val="14"/>
                <w:szCs w:val="14"/>
                <w:color w:val="131E29"/>
                <w:w w:val="99"/>
              </w:rPr>
              <w:t>Temporary Equity:</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5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color w:val="131E29"/>
              </w:rPr>
              <w:t>Redeemable</w:t>
            </w:r>
          </w:p>
        </w:tc>
        <w:tc>
          <w:tcPr>
            <w:tcW w:w="1360" w:type="dxa"/>
            <w:vAlign w:val="bottom"/>
            <w:gridSpan w:val="3"/>
          </w:tcPr>
          <w:p>
            <w:pPr>
              <w:jc w:val="right"/>
              <w:ind w:right="140"/>
              <w:spacing w:after="0"/>
              <w:rPr>
                <w:sz w:val="20"/>
                <w:szCs w:val="20"/>
                <w:color w:val="auto"/>
              </w:rPr>
            </w:pPr>
            <w:r>
              <w:rPr>
                <w:rFonts w:ascii="Arial" w:cs="Arial" w:eastAsia="Arial" w:hAnsi="Arial"/>
                <w:sz w:val="14"/>
                <w:szCs w:val="14"/>
                <w:color w:val="131E29"/>
              </w:rPr>
              <w:t>Permanent Equity:</w:t>
            </w:r>
          </w:p>
        </w:tc>
        <w:tc>
          <w:tcPr>
            <w:tcW w:w="120" w:type="dxa"/>
            <w:vAlign w:val="bottom"/>
          </w:tcPr>
          <w:p>
            <w:pPr>
              <w:spacing w:after="0"/>
              <w:rPr>
                <w:sz w:val="14"/>
                <w:szCs w:val="14"/>
                <w:color w:val="auto"/>
              </w:rPr>
            </w:pPr>
          </w:p>
        </w:tc>
        <w:tc>
          <w:tcPr>
            <w:tcW w:w="1160" w:type="dxa"/>
            <w:vAlign w:val="bottom"/>
          </w:tcPr>
          <w:p>
            <w:pPr>
              <w:jc w:val="right"/>
              <w:ind w:right="89"/>
              <w:spacing w:after="0"/>
              <w:rPr>
                <w:sz w:val="20"/>
                <w:szCs w:val="20"/>
                <w:color w:val="auto"/>
              </w:rPr>
            </w:pPr>
            <w:r>
              <w:rPr>
                <w:rFonts w:ascii="Arial" w:cs="Arial" w:eastAsia="Arial" w:hAnsi="Arial"/>
                <w:sz w:val="14"/>
                <w:szCs w:val="14"/>
                <w:color w:val="131E29"/>
              </w:rPr>
              <w:t>Total Members’</w:t>
            </w:r>
          </w:p>
        </w:tc>
      </w:tr>
      <w:tr>
        <w:trPr>
          <w:trHeight w:val="182"/>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color w:val="131E29"/>
              </w:rPr>
              <w:t>Common Units</w:t>
            </w:r>
          </w:p>
        </w:tc>
        <w:tc>
          <w:tcPr>
            <w:tcW w:w="80" w:type="dxa"/>
            <w:vAlign w:val="bottom"/>
            <w:tcBorders>
              <w:bottom w:val="single" w:sz="8" w:color="D2DCE5"/>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131E29"/>
                <w:w w:val="99"/>
              </w:rPr>
              <w:t>Members’ Deficit</w:t>
            </w:r>
          </w:p>
        </w:tc>
        <w:tc>
          <w:tcPr>
            <w:tcW w:w="80" w:type="dxa"/>
            <w:vAlign w:val="bottom"/>
            <w:tcBorders>
              <w:bottom w:val="single" w:sz="8" w:color="D2DCE5"/>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131E29"/>
              </w:rPr>
              <w:t>Equity</w:t>
            </w:r>
          </w:p>
        </w:tc>
      </w:tr>
      <w:tr>
        <w:trPr>
          <w:trHeight w:val="192"/>
        </w:trPr>
        <w:tc>
          <w:tcPr>
            <w:tcW w:w="51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Balance, December 31, 2019</w:t>
            </w:r>
          </w:p>
        </w:tc>
        <w:tc>
          <w:tcPr>
            <w:tcW w:w="140" w:type="dxa"/>
            <w:vAlign w:val="bottom"/>
            <w:tcBorders>
              <w:bottom w:val="single" w:sz="8" w:color="D2DCE5"/>
            </w:tcBorders>
            <w:shd w:val="clear" w:color="auto" w:fill="D2DCE5"/>
          </w:tcPr>
          <w:p>
            <w:pPr>
              <w:spacing w:after="0"/>
              <w:rPr>
                <w:sz w:val="16"/>
                <w:szCs w:val="16"/>
                <w:color w:val="auto"/>
              </w:rPr>
            </w:pPr>
          </w:p>
        </w:tc>
        <w:tc>
          <w:tcPr>
            <w:tcW w:w="11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937,721</w:t>
            </w:r>
          </w:p>
        </w:tc>
        <w:tc>
          <w:tcPr>
            <w:tcW w:w="8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11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(858,542)</w:t>
            </w:r>
          </w:p>
        </w:tc>
        <w:tc>
          <w:tcPr>
            <w:tcW w:w="80" w:type="dxa"/>
            <w:vAlign w:val="bottom"/>
            <w:tcBorders>
              <w:bottom w:val="single" w:sz="8" w:color="D2DCE5"/>
            </w:tcBorders>
            <w:shd w:val="clear" w:color="auto" w:fill="D2DCE5"/>
          </w:tcPr>
          <w:p>
            <w:pPr>
              <w:spacing w:after="0"/>
              <w:rPr>
                <w:sz w:val="16"/>
                <w:szCs w:val="16"/>
                <w:color w:val="auto"/>
              </w:rPr>
            </w:pPr>
          </w:p>
        </w:tc>
        <w:tc>
          <w:tcPr>
            <w:tcW w:w="120" w:type="dxa"/>
            <w:vAlign w:val="bottom"/>
            <w:tcBorders>
              <w:bottom w:val="single" w:sz="8" w:color="D2DCE5"/>
            </w:tcBorders>
            <w:shd w:val="clear" w:color="auto" w:fill="D2DCE5"/>
          </w:tcPr>
          <w:p>
            <w:pPr>
              <w:spacing w:after="0"/>
              <w:rPr>
                <w:sz w:val="16"/>
                <w:szCs w:val="16"/>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79,179</w:t>
            </w:r>
          </w:p>
        </w:tc>
      </w:tr>
      <w:tr>
        <w:trPr>
          <w:trHeight w:val="191"/>
        </w:trPr>
        <w:tc>
          <w:tcPr>
            <w:tcW w:w="5160" w:type="dxa"/>
            <w:vAlign w:val="bottom"/>
            <w:gridSpan w:val="2"/>
          </w:tcPr>
          <w:p>
            <w:pPr>
              <w:ind w:left="20"/>
              <w:spacing w:after="0"/>
              <w:rPr>
                <w:sz w:val="20"/>
                <w:szCs w:val="20"/>
                <w:color w:val="auto"/>
              </w:rPr>
            </w:pPr>
            <w:r>
              <w:rPr>
                <w:rFonts w:ascii="Arial" w:cs="Arial" w:eastAsia="Arial" w:hAnsi="Arial"/>
                <w:sz w:val="14"/>
                <w:szCs w:val="14"/>
                <w:color w:val="131E29"/>
              </w:rPr>
              <w:t>Distributions to members</w:t>
            </w:r>
          </w:p>
        </w:tc>
        <w:tc>
          <w:tcPr>
            <w:tcW w:w="14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131E29"/>
              </w:rPr>
              <w:t>(7,750)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131E29"/>
              </w:rPr>
              <w:t>(7,750)</w:t>
            </w:r>
          </w:p>
        </w:tc>
      </w:tr>
      <w:tr>
        <w:trPr>
          <w:trHeight w:val="22"/>
        </w:trPr>
        <w:tc>
          <w:tcPr>
            <w:tcW w:w="5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2"/>
        </w:trPr>
        <w:tc>
          <w:tcPr>
            <w:tcW w:w="51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Increase in redemption value of common units</w:t>
            </w:r>
          </w:p>
        </w:tc>
        <w:tc>
          <w:tcPr>
            <w:tcW w:w="140" w:type="dxa"/>
            <w:vAlign w:val="bottom"/>
            <w:tcBorders>
              <w:bottom w:val="single" w:sz="8" w:color="D2DCE5"/>
            </w:tcBorders>
            <w:shd w:val="clear" w:color="auto" w:fill="D2DCE5"/>
          </w:tcPr>
          <w:p>
            <w:pPr>
              <w:spacing w:after="0"/>
              <w:rPr>
                <w:sz w:val="16"/>
                <w:szCs w:val="16"/>
                <w:color w:val="auto"/>
              </w:rPr>
            </w:pPr>
          </w:p>
        </w:tc>
        <w:tc>
          <w:tcPr>
            <w:tcW w:w="11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598,051</w:t>
            </w:r>
          </w:p>
        </w:tc>
        <w:tc>
          <w:tcPr>
            <w:tcW w:w="8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11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(598,051)</w:t>
            </w:r>
          </w:p>
        </w:tc>
        <w:tc>
          <w:tcPr>
            <w:tcW w:w="80" w:type="dxa"/>
            <w:vAlign w:val="bottom"/>
            <w:tcBorders>
              <w:bottom w:val="single" w:sz="8" w:color="D2DCE5"/>
            </w:tcBorders>
            <w:shd w:val="clear" w:color="auto" w:fill="D2DCE5"/>
          </w:tcPr>
          <w:p>
            <w:pPr>
              <w:spacing w:after="0"/>
              <w:rPr>
                <w:sz w:val="16"/>
                <w:szCs w:val="16"/>
                <w:color w:val="auto"/>
              </w:rPr>
            </w:pPr>
          </w:p>
        </w:tc>
        <w:tc>
          <w:tcPr>
            <w:tcW w:w="120" w:type="dxa"/>
            <w:vAlign w:val="bottom"/>
            <w:tcBorders>
              <w:bottom w:val="single" w:sz="8" w:color="D2DCE5"/>
            </w:tcBorders>
            <w:shd w:val="clear" w:color="auto" w:fill="D2DCE5"/>
          </w:tcPr>
          <w:p>
            <w:pPr>
              <w:spacing w:after="0"/>
              <w:rPr>
                <w:sz w:val="16"/>
                <w:szCs w:val="16"/>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r>
      <w:tr>
        <w:trPr>
          <w:trHeight w:val="191"/>
        </w:trPr>
        <w:tc>
          <w:tcPr>
            <w:tcW w:w="5160" w:type="dxa"/>
            <w:vAlign w:val="bottom"/>
            <w:gridSpan w:val="2"/>
          </w:tcPr>
          <w:p>
            <w:pPr>
              <w:ind w:left="20"/>
              <w:spacing w:after="0"/>
              <w:rPr>
                <w:sz w:val="20"/>
                <w:szCs w:val="20"/>
                <w:color w:val="auto"/>
              </w:rPr>
            </w:pPr>
            <w:r>
              <w:rPr>
                <w:rFonts w:ascii="Arial" w:cs="Arial" w:eastAsia="Arial" w:hAnsi="Arial"/>
                <w:sz w:val="14"/>
                <w:szCs w:val="14"/>
                <w:color w:val="131E29"/>
              </w:rPr>
              <w:t>Net income</w:t>
            </w:r>
          </w:p>
        </w:tc>
        <w:tc>
          <w:tcPr>
            <w:tcW w:w="14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131E29"/>
              </w:rPr>
              <w:t>6,058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131E29"/>
              </w:rPr>
              <w:t>6,058</w:t>
            </w:r>
          </w:p>
        </w:tc>
      </w:tr>
      <w:tr>
        <w:trPr>
          <w:trHeight w:val="22"/>
        </w:trPr>
        <w:tc>
          <w:tcPr>
            <w:tcW w:w="508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8"/>
        </w:trPr>
        <w:tc>
          <w:tcPr>
            <w:tcW w:w="51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Balance, December 31, 2020</w:t>
            </w:r>
          </w:p>
        </w:tc>
        <w:tc>
          <w:tcPr>
            <w:tcW w:w="1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1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1,535,772</w:t>
            </w:r>
          </w:p>
        </w:tc>
        <w:tc>
          <w:tcPr>
            <w:tcW w:w="80" w:type="dxa"/>
            <w:vAlign w:val="bottom"/>
            <w:tcBorders>
              <w:bottom w:val="single" w:sz="8" w:color="D2DCE5"/>
            </w:tcBorders>
            <w:shd w:val="clear" w:color="auto" w:fill="D2DCE5"/>
          </w:tcPr>
          <w:p>
            <w:pPr>
              <w:spacing w:after="0"/>
              <w:rPr>
                <w:sz w:val="19"/>
                <w:szCs w:val="19"/>
                <w:color w:val="auto"/>
              </w:rPr>
            </w:pPr>
          </w:p>
        </w:tc>
        <w:tc>
          <w:tcPr>
            <w:tcW w:w="1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1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(1,458,285)</w:t>
            </w:r>
          </w:p>
        </w:tc>
        <w:tc>
          <w:tcPr>
            <w:tcW w:w="80" w:type="dxa"/>
            <w:vAlign w:val="bottom"/>
            <w:tcBorders>
              <w:bottom w:val="single" w:sz="8" w:color="D2DCE5"/>
            </w:tcBorders>
            <w:shd w:val="clear" w:color="auto" w:fill="D2DCE5"/>
          </w:tcPr>
          <w:p>
            <w:pPr>
              <w:spacing w:after="0"/>
              <w:rPr>
                <w:sz w:val="19"/>
                <w:szCs w:val="19"/>
                <w:color w:val="auto"/>
              </w:rPr>
            </w:pPr>
          </w:p>
        </w:tc>
        <w:tc>
          <w:tcPr>
            <w:tcW w:w="1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77,487</w:t>
            </w:r>
          </w:p>
        </w:tc>
      </w:tr>
      <w:tr>
        <w:trPr>
          <w:trHeight w:val="20"/>
        </w:trPr>
        <w:tc>
          <w:tcPr>
            <w:tcW w:w="508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40" w:type="dxa"/>
            <w:vAlign w:val="bottom"/>
            <w:tcBorders>
              <w:top w:val="single" w:sz="8" w:color="D2DCE5"/>
              <w:bottom w:val="single" w:sz="8" w:color="auto"/>
            </w:tcBorders>
          </w:tcPr>
          <w:p>
            <w:pPr>
              <w:spacing w:after="0" w:line="20" w:lineRule="exact"/>
              <w:rPr>
                <w:sz w:val="1"/>
                <w:szCs w:val="1"/>
                <w:color w:val="auto"/>
              </w:rPr>
            </w:pPr>
          </w:p>
        </w:tc>
        <w:tc>
          <w:tcPr>
            <w:tcW w:w="114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bottom w:val="single" w:sz="8" w:color="auto"/>
            </w:tcBorders>
          </w:tcPr>
          <w:p>
            <w:pPr>
              <w:spacing w:after="0" w:line="20" w:lineRule="exact"/>
              <w:rPr>
                <w:sz w:val="1"/>
                <w:szCs w:val="1"/>
                <w:color w:val="auto"/>
              </w:rPr>
            </w:pPr>
          </w:p>
        </w:tc>
        <w:tc>
          <w:tcPr>
            <w:tcW w:w="118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20" w:type="dxa"/>
            <w:vAlign w:val="bottom"/>
            <w:tcBorders>
              <w:top w:val="single" w:sz="8" w:color="D2DCE5"/>
              <w:bottom w:val="single" w:sz="8" w:color="auto"/>
            </w:tcBorders>
          </w:tcPr>
          <w:p>
            <w:pPr>
              <w:spacing w:after="0" w:line="20" w:lineRule="exact"/>
              <w:rPr>
                <w:sz w:val="1"/>
                <w:szCs w:val="1"/>
                <w:color w:val="auto"/>
              </w:rPr>
            </w:pPr>
          </w:p>
        </w:tc>
        <w:tc>
          <w:tcPr>
            <w:tcW w:w="1160" w:type="dxa"/>
            <w:vAlign w:val="bottom"/>
            <w:tcBorders>
              <w:top w:val="single" w:sz="8" w:color="D2DCE5"/>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98" w:name="page99"/>
    <w:bookmarkEnd w:id="98"/>
    <w:p>
      <w:pPr>
        <w:spacing w:after="0"/>
        <w:rPr>
          <w:sz w:val="20"/>
          <w:szCs w:val="20"/>
          <w:color w:val="auto"/>
        </w:rPr>
      </w:pPr>
      <w:r>
        <w:rPr>
          <w:rFonts w:ascii="Arial" w:cs="Arial" w:eastAsia="Arial" w:hAnsi="Arial"/>
          <w:sz w:val="11"/>
          <w:szCs w:val="11"/>
          <w:u w:val="single" w:color="auto"/>
          <w:color w:val="006098"/>
        </w:rPr>
        <w:t>Table of Contents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3"/>
          <w:szCs w:val="13"/>
          <w:color w:val="131E29"/>
        </w:rPr>
        <w:t>Consolidated Statements of Cash Flows</w:t>
      </w:r>
    </w:p>
    <w:p>
      <w:pPr>
        <w:spacing w:after="0" w:line="200" w:lineRule="exact"/>
        <w:rPr>
          <w:sz w:val="20"/>
          <w:szCs w:val="20"/>
          <w:color w:val="auto"/>
        </w:rPr>
      </w:pPr>
    </w:p>
    <w:p>
      <w:pPr>
        <w:spacing w:after="0" w:line="239" w:lineRule="exact"/>
        <w:rPr>
          <w:sz w:val="20"/>
          <w:szCs w:val="20"/>
          <w:color w:val="auto"/>
        </w:rPr>
      </w:pPr>
    </w:p>
    <w:tbl>
      <w:tblPr>
        <w:tblLayout w:type="fixed"/>
        <w:tblInd w:w="240" w:type="dxa"/>
        <w:tblCellMar>
          <w:top w:w="0" w:type="dxa"/>
          <w:left w:w="0" w:type="dxa"/>
          <w:bottom w:w="0" w:type="dxa"/>
          <w:right w:w="0" w:type="dxa"/>
        </w:tblCellMar>
      </w:tblPr>
      <w:tr>
        <w:trPr>
          <w:trHeight w:val="177"/>
        </w:trPr>
        <w:tc>
          <w:tcPr>
            <w:tcW w:w="6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6"/>
          </w:tcPr>
          <w:p>
            <w:pPr>
              <w:jc w:val="right"/>
              <w:ind w:right="136"/>
              <w:spacing w:after="0"/>
              <w:rPr>
                <w:sz w:val="20"/>
                <w:szCs w:val="20"/>
                <w:color w:val="auto"/>
              </w:rPr>
            </w:pPr>
            <w:r>
              <w:rPr>
                <w:rFonts w:ascii="Arial" w:cs="Arial" w:eastAsia="Arial" w:hAnsi="Arial"/>
                <w:sz w:val="13"/>
                <w:szCs w:val="13"/>
                <w:b w:val="1"/>
                <w:bCs w:val="1"/>
                <w:color w:val="131E29"/>
              </w:rPr>
              <w:t>Year Ended December 31,</w:t>
            </w:r>
          </w:p>
        </w:tc>
        <w:tc>
          <w:tcPr>
            <w:tcW w:w="920" w:type="dxa"/>
            <w:vAlign w:val="bottom"/>
            <w:tcBorders>
              <w:bottom w:val="single" w:sz="8" w:color="auto"/>
            </w:tcBorders>
          </w:tcPr>
          <w:p>
            <w:pPr>
              <w:spacing w:after="0"/>
              <w:rPr>
                <w:sz w:val="15"/>
                <w:szCs w:val="15"/>
                <w:color w:val="auto"/>
              </w:rPr>
            </w:pPr>
          </w:p>
        </w:tc>
      </w:tr>
      <w:tr>
        <w:trPr>
          <w:trHeight w:val="182"/>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160" w:type="dxa"/>
            <w:vAlign w:val="bottom"/>
            <w:tcBorders>
              <w:bottom w:val="single" w:sz="8" w:color="D2DCE5"/>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131E29"/>
              </w:rPr>
              <w:t>2022</w:t>
            </w:r>
          </w:p>
        </w:tc>
        <w:tc>
          <w:tcPr>
            <w:tcW w:w="80" w:type="dxa"/>
            <w:vAlign w:val="bottom"/>
            <w:tcBorders>
              <w:bottom w:val="single" w:sz="8" w:color="D2DCE5"/>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131E29"/>
              </w:rPr>
              <w:t>2021</w:t>
            </w:r>
          </w:p>
        </w:tc>
        <w:tc>
          <w:tcPr>
            <w:tcW w:w="80" w:type="dxa"/>
            <w:vAlign w:val="bottom"/>
            <w:tcBorders>
              <w:bottom w:val="single" w:sz="8" w:color="D2DCE5"/>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131E29"/>
              </w:rPr>
              <w:t>2020</w:t>
            </w:r>
          </w:p>
        </w:tc>
      </w:tr>
      <w:tr>
        <w:trPr>
          <w:trHeight w:val="189"/>
        </w:trPr>
        <w:tc>
          <w:tcPr>
            <w:tcW w:w="702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Cash flows from operating activities:</w:t>
            </w:r>
          </w:p>
        </w:tc>
        <w:tc>
          <w:tcPr>
            <w:tcW w:w="260" w:type="dxa"/>
            <w:vAlign w:val="bottom"/>
            <w:shd w:val="clear" w:color="auto" w:fill="D2DCE5"/>
          </w:tcPr>
          <w:p>
            <w:pPr>
              <w:spacing w:after="0"/>
              <w:rPr>
                <w:sz w:val="16"/>
                <w:szCs w:val="16"/>
                <w:color w:val="auto"/>
              </w:rPr>
            </w:pPr>
          </w:p>
        </w:tc>
        <w:tc>
          <w:tcPr>
            <w:tcW w:w="9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9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920" w:type="dxa"/>
            <w:vAlign w:val="bottom"/>
            <w:shd w:val="clear" w:color="auto" w:fill="D2DCE5"/>
          </w:tcPr>
          <w:p>
            <w:pPr>
              <w:spacing w:after="0"/>
              <w:rPr>
                <w:sz w:val="16"/>
                <w:szCs w:val="16"/>
                <w:color w:val="auto"/>
              </w:rPr>
            </w:pPr>
          </w:p>
        </w:tc>
      </w:tr>
      <w:tr>
        <w:trPr>
          <w:trHeight w:val="183"/>
        </w:trPr>
        <w:tc>
          <w:tcPr>
            <w:tcW w:w="7020" w:type="dxa"/>
            <w:vAlign w:val="bottom"/>
            <w:gridSpan w:val="2"/>
          </w:tcPr>
          <w:p>
            <w:pPr>
              <w:ind w:left="140"/>
              <w:spacing w:after="0"/>
              <w:rPr>
                <w:sz w:val="20"/>
                <w:szCs w:val="20"/>
                <w:color w:val="auto"/>
              </w:rPr>
            </w:pPr>
            <w:r>
              <w:rPr>
                <w:rFonts w:ascii="Arial" w:cs="Arial" w:eastAsia="Arial" w:hAnsi="Arial"/>
                <w:sz w:val="13"/>
                <w:szCs w:val="13"/>
                <w:color w:val="131E29"/>
              </w:rPr>
              <w:t>Net income (loss)</w:t>
            </w:r>
          </w:p>
        </w:tc>
        <w:tc>
          <w:tcPr>
            <w:tcW w:w="260" w:type="dxa"/>
            <w:vAlign w:val="bottom"/>
          </w:tcPr>
          <w:p>
            <w:pPr>
              <w:jc w:val="right"/>
              <w:ind w:right="116"/>
              <w:spacing w:after="0"/>
              <w:rPr>
                <w:sz w:val="20"/>
                <w:szCs w:val="20"/>
                <w:color w:val="auto"/>
              </w:rPr>
            </w:pPr>
            <w:r>
              <w:rPr>
                <w:rFonts w:ascii="Arial" w:cs="Arial" w:eastAsia="Arial" w:hAnsi="Arial"/>
                <w:sz w:val="13"/>
                <w:szCs w:val="13"/>
                <w:color w:val="131E29"/>
                <w:w w:val="82"/>
              </w:rPr>
              <w:t>$</w:t>
            </w:r>
          </w:p>
        </w:tc>
        <w:tc>
          <w:tcPr>
            <w:tcW w:w="940" w:type="dxa"/>
            <w:vAlign w:val="bottom"/>
          </w:tcPr>
          <w:p>
            <w:pPr>
              <w:jc w:val="right"/>
              <w:spacing w:after="0"/>
              <w:rPr>
                <w:sz w:val="20"/>
                <w:szCs w:val="20"/>
                <w:color w:val="auto"/>
              </w:rPr>
            </w:pPr>
            <w:r>
              <w:rPr>
                <w:rFonts w:ascii="Arial" w:cs="Arial" w:eastAsia="Arial" w:hAnsi="Arial"/>
                <w:sz w:val="13"/>
                <w:szCs w:val="13"/>
                <w:color w:val="131E29"/>
              </w:rPr>
              <w:t>(19,253)</w:t>
            </w:r>
          </w:p>
        </w:tc>
        <w:tc>
          <w:tcPr>
            <w:tcW w:w="80" w:type="dxa"/>
            <w:vAlign w:val="bottom"/>
          </w:tcPr>
          <w:p>
            <w:pPr>
              <w:spacing w:after="0"/>
              <w:rPr>
                <w:sz w:val="15"/>
                <w:szCs w:val="15"/>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131E29"/>
                <w:w w:val="82"/>
              </w:rPr>
              <w:t>$</w:t>
            </w:r>
          </w:p>
        </w:tc>
        <w:tc>
          <w:tcPr>
            <w:tcW w:w="940" w:type="dxa"/>
            <w:vAlign w:val="bottom"/>
          </w:tcPr>
          <w:p>
            <w:pPr>
              <w:jc w:val="right"/>
              <w:spacing w:after="0"/>
              <w:rPr>
                <w:sz w:val="20"/>
                <w:szCs w:val="20"/>
                <w:color w:val="auto"/>
              </w:rPr>
            </w:pPr>
            <w:r>
              <w:rPr>
                <w:rFonts w:ascii="Arial" w:cs="Arial" w:eastAsia="Arial" w:hAnsi="Arial"/>
                <w:sz w:val="13"/>
                <w:szCs w:val="13"/>
                <w:color w:val="131E29"/>
              </w:rPr>
              <w:t>(117,931)</w:t>
            </w:r>
          </w:p>
        </w:tc>
        <w:tc>
          <w:tcPr>
            <w:tcW w:w="80" w:type="dxa"/>
            <w:vAlign w:val="bottom"/>
          </w:tcPr>
          <w:p>
            <w:pPr>
              <w:spacing w:after="0"/>
              <w:rPr>
                <w:sz w:val="15"/>
                <w:szCs w:val="15"/>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131E29"/>
                <w:w w:val="82"/>
              </w:rPr>
              <w:t>$</w:t>
            </w:r>
          </w:p>
        </w:tc>
        <w:tc>
          <w:tcPr>
            <w:tcW w:w="920" w:type="dxa"/>
            <w:vAlign w:val="bottom"/>
          </w:tcPr>
          <w:p>
            <w:pPr>
              <w:jc w:val="right"/>
              <w:spacing w:after="0"/>
              <w:rPr>
                <w:sz w:val="20"/>
                <w:szCs w:val="20"/>
                <w:color w:val="auto"/>
              </w:rPr>
            </w:pPr>
            <w:r>
              <w:rPr>
                <w:rFonts w:ascii="Arial" w:cs="Arial" w:eastAsia="Arial" w:hAnsi="Arial"/>
                <w:sz w:val="13"/>
                <w:szCs w:val="13"/>
                <w:color w:val="131E29"/>
              </w:rPr>
              <w:t>6,058</w:t>
            </w:r>
          </w:p>
        </w:tc>
      </w:tr>
      <w:tr>
        <w:trPr>
          <w:trHeight w:val="199"/>
        </w:trPr>
        <w:tc>
          <w:tcPr>
            <w:tcW w:w="7020" w:type="dxa"/>
            <w:vAlign w:val="bottom"/>
            <w:gridSpan w:val="2"/>
            <w:shd w:val="clear" w:color="auto" w:fill="D2DCE5"/>
          </w:tcPr>
          <w:p>
            <w:pPr>
              <w:ind w:left="140"/>
              <w:spacing w:after="0"/>
              <w:rPr>
                <w:sz w:val="20"/>
                <w:szCs w:val="20"/>
                <w:color w:val="auto"/>
              </w:rPr>
            </w:pPr>
            <w:r>
              <w:rPr>
                <w:rFonts w:ascii="Arial" w:cs="Arial" w:eastAsia="Arial" w:hAnsi="Arial"/>
                <w:sz w:val="13"/>
                <w:szCs w:val="13"/>
                <w:color w:val="131E29"/>
              </w:rPr>
              <w:t>Adjustments to reconcile net income (loss) to net cash provided by operating activities:</w:t>
            </w:r>
          </w:p>
        </w:tc>
        <w:tc>
          <w:tcPr>
            <w:tcW w:w="260" w:type="dxa"/>
            <w:vAlign w:val="bottom"/>
            <w:shd w:val="clear" w:color="auto" w:fill="D2DCE5"/>
          </w:tcPr>
          <w:p>
            <w:pPr>
              <w:spacing w:after="0"/>
              <w:rPr>
                <w:sz w:val="17"/>
                <w:szCs w:val="17"/>
                <w:color w:val="auto"/>
              </w:rPr>
            </w:pPr>
          </w:p>
        </w:tc>
        <w:tc>
          <w:tcPr>
            <w:tcW w:w="9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9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920" w:type="dxa"/>
            <w:vAlign w:val="bottom"/>
            <w:shd w:val="clear" w:color="auto" w:fill="D2DCE5"/>
          </w:tcPr>
          <w:p>
            <w:pPr>
              <w:spacing w:after="0"/>
              <w:rPr>
                <w:sz w:val="17"/>
                <w:szCs w:val="17"/>
                <w:color w:val="auto"/>
              </w:rPr>
            </w:pPr>
          </w:p>
        </w:tc>
      </w:tr>
      <w:tr>
        <w:trPr>
          <w:trHeight w:val="183"/>
        </w:trPr>
        <w:tc>
          <w:tcPr>
            <w:tcW w:w="7020" w:type="dxa"/>
            <w:vAlign w:val="bottom"/>
            <w:gridSpan w:val="2"/>
          </w:tcPr>
          <w:p>
            <w:pPr>
              <w:ind w:left="280"/>
              <w:spacing w:after="0"/>
              <w:rPr>
                <w:sz w:val="20"/>
                <w:szCs w:val="20"/>
                <w:color w:val="auto"/>
              </w:rPr>
            </w:pPr>
            <w:r>
              <w:rPr>
                <w:rFonts w:ascii="Arial" w:cs="Arial" w:eastAsia="Arial" w:hAnsi="Arial"/>
                <w:sz w:val="13"/>
                <w:szCs w:val="13"/>
                <w:color w:val="131E29"/>
              </w:rPr>
              <w:t>Depreciation and amortization</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131E29"/>
              </w:rPr>
              <w:t>44,728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131E29"/>
              </w:rPr>
              <w:t>25,217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131E29"/>
              </w:rPr>
              <w:t>15,537</w:t>
            </w:r>
          </w:p>
        </w:tc>
      </w:tr>
      <w:tr>
        <w:trPr>
          <w:trHeight w:val="199"/>
        </w:trPr>
        <w:tc>
          <w:tcPr>
            <w:tcW w:w="7020" w:type="dxa"/>
            <w:vAlign w:val="bottom"/>
            <w:gridSpan w:val="2"/>
            <w:shd w:val="clear" w:color="auto" w:fill="D2DCE5"/>
          </w:tcPr>
          <w:p>
            <w:pPr>
              <w:ind w:left="280"/>
              <w:spacing w:after="0"/>
              <w:rPr>
                <w:sz w:val="20"/>
                <w:szCs w:val="20"/>
                <w:color w:val="auto"/>
              </w:rPr>
            </w:pPr>
            <w:r>
              <w:rPr>
                <w:rFonts w:ascii="Arial" w:cs="Arial" w:eastAsia="Arial" w:hAnsi="Arial"/>
                <w:sz w:val="13"/>
                <w:szCs w:val="13"/>
                <w:color w:val="131E29"/>
              </w:rPr>
              <w:t>Non-cash interest expense</w:t>
            </w:r>
          </w:p>
        </w:tc>
        <w:tc>
          <w:tcPr>
            <w:tcW w:w="260" w:type="dxa"/>
            <w:vAlign w:val="bottom"/>
            <w:shd w:val="clear" w:color="auto" w:fill="D2DCE5"/>
          </w:tcPr>
          <w:p>
            <w:pPr>
              <w:spacing w:after="0"/>
              <w:rPr>
                <w:sz w:val="17"/>
                <w:szCs w:val="17"/>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691</w:t>
            </w: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280</w:t>
            </w: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92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98</w:t>
            </w:r>
          </w:p>
        </w:tc>
      </w:tr>
      <w:tr>
        <w:trPr>
          <w:trHeight w:val="183"/>
        </w:trPr>
        <w:tc>
          <w:tcPr>
            <w:tcW w:w="7020" w:type="dxa"/>
            <w:vAlign w:val="bottom"/>
            <w:gridSpan w:val="2"/>
          </w:tcPr>
          <w:p>
            <w:pPr>
              <w:ind w:left="280"/>
              <w:spacing w:after="0"/>
              <w:rPr>
                <w:sz w:val="20"/>
                <w:szCs w:val="20"/>
                <w:color w:val="auto"/>
              </w:rPr>
            </w:pPr>
            <w:r>
              <w:rPr>
                <w:rFonts w:ascii="Arial" w:cs="Arial" w:eastAsia="Arial" w:hAnsi="Arial"/>
                <w:sz w:val="13"/>
                <w:szCs w:val="13"/>
                <w:color w:val="131E29"/>
              </w:rPr>
              <w:t>(Gain) loss on disposal of assets</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131E29"/>
              </w:rPr>
              <w:t>(340)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131E29"/>
              </w:rPr>
              <w:t>657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131E29"/>
              </w:rPr>
              <w:t>475</w:t>
            </w:r>
          </w:p>
        </w:tc>
      </w:tr>
      <w:tr>
        <w:trPr>
          <w:trHeight w:val="199"/>
        </w:trPr>
        <w:tc>
          <w:tcPr>
            <w:tcW w:w="7020" w:type="dxa"/>
            <w:vAlign w:val="bottom"/>
            <w:gridSpan w:val="2"/>
            <w:shd w:val="clear" w:color="auto" w:fill="D2DCE5"/>
          </w:tcPr>
          <w:p>
            <w:pPr>
              <w:ind w:left="280"/>
              <w:spacing w:after="0"/>
              <w:rPr>
                <w:sz w:val="20"/>
                <w:szCs w:val="20"/>
                <w:color w:val="auto"/>
              </w:rPr>
            </w:pPr>
            <w:r>
              <w:rPr>
                <w:rFonts w:ascii="Arial" w:cs="Arial" w:eastAsia="Arial" w:hAnsi="Arial"/>
                <w:sz w:val="13"/>
                <w:szCs w:val="13"/>
                <w:color w:val="131E29"/>
              </w:rPr>
              <w:t>Loss on extinguishment of debt</w:t>
            </w:r>
          </w:p>
        </w:tc>
        <w:tc>
          <w:tcPr>
            <w:tcW w:w="260" w:type="dxa"/>
            <w:vAlign w:val="bottom"/>
            <w:shd w:val="clear" w:color="auto" w:fill="D2DCE5"/>
          </w:tcPr>
          <w:p>
            <w:pPr>
              <w:spacing w:after="0"/>
              <w:rPr>
                <w:sz w:val="17"/>
                <w:szCs w:val="17"/>
                <w:color w:val="auto"/>
              </w:rPr>
            </w:pPr>
          </w:p>
        </w:tc>
        <w:tc>
          <w:tcPr>
            <w:tcW w:w="1020" w:type="dxa"/>
            <w:vAlign w:val="bottom"/>
            <w:gridSpan w:val="2"/>
            <w:shd w:val="clear" w:color="auto" w:fill="D2DCE5"/>
          </w:tcPr>
          <w:p>
            <w:pPr>
              <w:jc w:val="right"/>
              <w:ind w:right="140"/>
              <w:spacing w:after="0"/>
              <w:rPr>
                <w:sz w:val="20"/>
                <w:szCs w:val="20"/>
                <w:color w:val="auto"/>
              </w:rPr>
            </w:pPr>
            <w:r>
              <w:rPr>
                <w:rFonts w:ascii="Arial" w:cs="Arial" w:eastAsia="Arial" w:hAnsi="Arial"/>
                <w:sz w:val="13"/>
                <w:szCs w:val="13"/>
                <w:color w:val="131E29"/>
              </w:rPr>
              <w:t>—</w:t>
            </w:r>
          </w:p>
        </w:tc>
        <w:tc>
          <w:tcPr>
            <w:tcW w:w="280" w:type="dxa"/>
            <w:vAlign w:val="bottom"/>
            <w:shd w:val="clear" w:color="auto" w:fill="D2DCE5"/>
          </w:tcPr>
          <w:p>
            <w:pPr>
              <w:spacing w:after="0"/>
              <w:rPr>
                <w:sz w:val="17"/>
                <w:szCs w:val="17"/>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1,286</w:t>
            </w: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92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w:t>
            </w:r>
          </w:p>
        </w:tc>
      </w:tr>
      <w:tr>
        <w:trPr>
          <w:trHeight w:val="183"/>
        </w:trPr>
        <w:tc>
          <w:tcPr>
            <w:tcW w:w="7020" w:type="dxa"/>
            <w:vAlign w:val="bottom"/>
            <w:gridSpan w:val="2"/>
          </w:tcPr>
          <w:p>
            <w:pPr>
              <w:ind w:left="280"/>
              <w:spacing w:after="0"/>
              <w:rPr>
                <w:sz w:val="20"/>
                <w:szCs w:val="20"/>
                <w:color w:val="auto"/>
              </w:rPr>
            </w:pPr>
            <w:r>
              <w:rPr>
                <w:rFonts w:ascii="Arial" w:cs="Arial" w:eastAsia="Arial" w:hAnsi="Arial"/>
                <w:sz w:val="13"/>
                <w:szCs w:val="13"/>
                <w:color w:val="131E29"/>
              </w:rPr>
              <w:t>Equity-based compensation</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131E29"/>
              </w:rPr>
              <w:t>41,657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131E29"/>
              </w:rPr>
              <w:t>157,716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131E29"/>
              </w:rPr>
              <w:t>35,087</w:t>
            </w:r>
          </w:p>
        </w:tc>
      </w:tr>
      <w:tr>
        <w:trPr>
          <w:trHeight w:val="199"/>
        </w:trPr>
        <w:tc>
          <w:tcPr>
            <w:tcW w:w="7020" w:type="dxa"/>
            <w:vAlign w:val="bottom"/>
            <w:gridSpan w:val="2"/>
            <w:shd w:val="clear" w:color="auto" w:fill="D2DCE5"/>
          </w:tcPr>
          <w:p>
            <w:pPr>
              <w:ind w:left="280"/>
              <w:spacing w:after="0"/>
              <w:rPr>
                <w:sz w:val="20"/>
                <w:szCs w:val="20"/>
                <w:color w:val="auto"/>
              </w:rPr>
            </w:pPr>
            <w:r>
              <w:rPr>
                <w:rFonts w:ascii="Arial" w:cs="Arial" w:eastAsia="Arial" w:hAnsi="Arial"/>
                <w:sz w:val="13"/>
                <w:szCs w:val="13"/>
                <w:color w:val="131E29"/>
              </w:rPr>
              <w:t>Deferred income taxes</w:t>
            </w:r>
          </w:p>
        </w:tc>
        <w:tc>
          <w:tcPr>
            <w:tcW w:w="260" w:type="dxa"/>
            <w:vAlign w:val="bottom"/>
            <w:shd w:val="clear" w:color="auto" w:fill="D2DCE5"/>
          </w:tcPr>
          <w:p>
            <w:pPr>
              <w:spacing w:after="0"/>
              <w:rPr>
                <w:sz w:val="17"/>
                <w:szCs w:val="17"/>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1,078</w:t>
            </w: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(2,663)</w:t>
            </w: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92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w:t>
            </w:r>
          </w:p>
        </w:tc>
      </w:tr>
      <w:tr>
        <w:trPr>
          <w:trHeight w:val="183"/>
        </w:trPr>
        <w:tc>
          <w:tcPr>
            <w:tcW w:w="7020" w:type="dxa"/>
            <w:vAlign w:val="bottom"/>
            <w:gridSpan w:val="2"/>
          </w:tcPr>
          <w:p>
            <w:pPr>
              <w:ind w:left="280"/>
              <w:spacing w:after="0"/>
              <w:rPr>
                <w:sz w:val="20"/>
                <w:szCs w:val="20"/>
                <w:color w:val="auto"/>
              </w:rPr>
            </w:pPr>
            <w:r>
              <w:rPr>
                <w:rFonts w:ascii="Arial" w:cs="Arial" w:eastAsia="Arial" w:hAnsi="Arial"/>
                <w:sz w:val="13"/>
                <w:szCs w:val="13"/>
                <w:color w:val="131E29"/>
              </w:rPr>
              <w:t>Remeasurement gain on TRAs</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131E29"/>
              </w:rPr>
              <w:t>(3,466)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131E29"/>
              </w:rPr>
              <w: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131E29"/>
              </w:rPr>
              <w:t>—</w:t>
            </w:r>
          </w:p>
        </w:tc>
      </w:tr>
      <w:tr>
        <w:trPr>
          <w:trHeight w:val="199"/>
        </w:trPr>
        <w:tc>
          <w:tcPr>
            <w:tcW w:w="7020" w:type="dxa"/>
            <w:vAlign w:val="bottom"/>
            <w:gridSpan w:val="2"/>
            <w:shd w:val="clear" w:color="auto" w:fill="D2DCE5"/>
          </w:tcPr>
          <w:p>
            <w:pPr>
              <w:ind w:left="280"/>
              <w:spacing w:after="0"/>
              <w:rPr>
                <w:sz w:val="20"/>
                <w:szCs w:val="20"/>
                <w:color w:val="auto"/>
              </w:rPr>
            </w:pPr>
            <w:r>
              <w:rPr>
                <w:rFonts w:ascii="Arial" w:cs="Arial" w:eastAsia="Arial" w:hAnsi="Arial"/>
                <w:sz w:val="13"/>
                <w:szCs w:val="13"/>
                <w:color w:val="131E29"/>
              </w:rPr>
              <w:t>Non-cash operating leases</w:t>
            </w:r>
          </w:p>
        </w:tc>
        <w:tc>
          <w:tcPr>
            <w:tcW w:w="260" w:type="dxa"/>
            <w:vAlign w:val="bottom"/>
            <w:shd w:val="clear" w:color="auto" w:fill="D2DCE5"/>
          </w:tcPr>
          <w:p>
            <w:pPr>
              <w:spacing w:after="0"/>
              <w:rPr>
                <w:sz w:val="17"/>
                <w:szCs w:val="17"/>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9,919</w:t>
            </w: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1020" w:type="dxa"/>
            <w:vAlign w:val="bottom"/>
            <w:gridSpan w:val="2"/>
            <w:shd w:val="clear" w:color="auto" w:fill="D2DCE5"/>
          </w:tcPr>
          <w:p>
            <w:pPr>
              <w:jc w:val="right"/>
              <w:ind w:right="140"/>
              <w:spacing w:after="0"/>
              <w:rPr>
                <w:sz w:val="20"/>
                <w:szCs w:val="20"/>
                <w:color w:val="auto"/>
              </w:rPr>
            </w:pPr>
            <w:r>
              <w:rPr>
                <w:rFonts w:ascii="Arial" w:cs="Arial" w:eastAsia="Arial" w:hAnsi="Arial"/>
                <w:sz w:val="13"/>
                <w:szCs w:val="13"/>
                <w:color w:val="131E29"/>
              </w:rPr>
              <w:t>—</w:t>
            </w:r>
          </w:p>
        </w:tc>
        <w:tc>
          <w:tcPr>
            <w:tcW w:w="280" w:type="dxa"/>
            <w:vAlign w:val="bottom"/>
            <w:shd w:val="clear" w:color="auto" w:fill="D2DCE5"/>
          </w:tcPr>
          <w:p>
            <w:pPr>
              <w:spacing w:after="0"/>
              <w:rPr>
                <w:sz w:val="17"/>
                <w:szCs w:val="17"/>
                <w:color w:val="auto"/>
              </w:rPr>
            </w:pPr>
          </w:p>
        </w:tc>
        <w:tc>
          <w:tcPr>
            <w:tcW w:w="92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w:t>
            </w:r>
          </w:p>
        </w:tc>
      </w:tr>
      <w:tr>
        <w:trPr>
          <w:trHeight w:val="183"/>
        </w:trPr>
        <w:tc>
          <w:tcPr>
            <w:tcW w:w="7020" w:type="dxa"/>
            <w:vAlign w:val="bottom"/>
            <w:gridSpan w:val="2"/>
          </w:tcPr>
          <w:p>
            <w:pPr>
              <w:ind w:left="280"/>
              <w:spacing w:after="0"/>
              <w:rPr>
                <w:sz w:val="20"/>
                <w:szCs w:val="20"/>
                <w:color w:val="auto"/>
              </w:rPr>
            </w:pPr>
            <w:r>
              <w:rPr>
                <w:rFonts w:ascii="Arial" w:cs="Arial" w:eastAsia="Arial" w:hAnsi="Arial"/>
                <w:sz w:val="13"/>
                <w:szCs w:val="13"/>
                <w:color w:val="131E29"/>
              </w:rPr>
              <w:t>Changes in operating assets and liabilities, net of acquisitions:</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9"/>
        </w:trPr>
        <w:tc>
          <w:tcPr>
            <w:tcW w:w="7020" w:type="dxa"/>
            <w:vAlign w:val="bottom"/>
            <w:gridSpan w:val="2"/>
            <w:shd w:val="clear" w:color="auto" w:fill="D2DCE5"/>
          </w:tcPr>
          <w:p>
            <w:pPr>
              <w:ind w:left="400"/>
              <w:spacing w:after="0"/>
              <w:rPr>
                <w:sz w:val="20"/>
                <w:szCs w:val="20"/>
                <w:color w:val="auto"/>
              </w:rPr>
            </w:pPr>
            <w:r>
              <w:rPr>
                <w:rFonts w:ascii="Arial" w:cs="Arial" w:eastAsia="Arial" w:hAnsi="Arial"/>
                <w:sz w:val="13"/>
                <w:szCs w:val="13"/>
                <w:color w:val="131E29"/>
              </w:rPr>
              <w:t>Accounts receivable, net</w:t>
            </w:r>
          </w:p>
        </w:tc>
        <w:tc>
          <w:tcPr>
            <w:tcW w:w="260" w:type="dxa"/>
            <w:vAlign w:val="bottom"/>
            <w:shd w:val="clear" w:color="auto" w:fill="D2DCE5"/>
          </w:tcPr>
          <w:p>
            <w:pPr>
              <w:spacing w:after="0"/>
              <w:rPr>
                <w:sz w:val="17"/>
                <w:szCs w:val="17"/>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(1,322)</w:t>
            </w: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193</w:t>
            </w: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92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(4,218)</w:t>
            </w:r>
          </w:p>
        </w:tc>
      </w:tr>
      <w:tr>
        <w:trPr>
          <w:trHeight w:val="183"/>
        </w:trPr>
        <w:tc>
          <w:tcPr>
            <w:tcW w:w="7020" w:type="dxa"/>
            <w:vAlign w:val="bottom"/>
            <w:gridSpan w:val="2"/>
          </w:tcPr>
          <w:p>
            <w:pPr>
              <w:ind w:left="400"/>
              <w:spacing w:after="0"/>
              <w:rPr>
                <w:sz w:val="20"/>
                <w:szCs w:val="20"/>
                <w:color w:val="auto"/>
              </w:rPr>
            </w:pPr>
            <w:r>
              <w:rPr>
                <w:rFonts w:ascii="Arial" w:cs="Arial" w:eastAsia="Arial" w:hAnsi="Arial"/>
                <w:sz w:val="13"/>
                <w:szCs w:val="13"/>
                <w:color w:val="131E29"/>
              </w:rPr>
              <w:t>Inventories, net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131E29"/>
              </w:rPr>
              <w:t>(15,817)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131E29"/>
              </w:rPr>
              <w:t>(7,668)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131E29"/>
              </w:rPr>
              <w:t>(4,587)</w:t>
            </w:r>
          </w:p>
        </w:tc>
      </w:tr>
      <w:tr>
        <w:trPr>
          <w:trHeight w:val="199"/>
        </w:trPr>
        <w:tc>
          <w:tcPr>
            <w:tcW w:w="7020" w:type="dxa"/>
            <w:vAlign w:val="bottom"/>
            <w:gridSpan w:val="2"/>
            <w:shd w:val="clear" w:color="auto" w:fill="D2DCE5"/>
          </w:tcPr>
          <w:p>
            <w:pPr>
              <w:ind w:left="400"/>
              <w:spacing w:after="0"/>
              <w:rPr>
                <w:sz w:val="20"/>
                <w:szCs w:val="20"/>
                <w:color w:val="auto"/>
              </w:rPr>
            </w:pPr>
            <w:r>
              <w:rPr>
                <w:rFonts w:ascii="Arial" w:cs="Arial" w:eastAsia="Arial" w:hAnsi="Arial"/>
                <w:sz w:val="13"/>
                <w:szCs w:val="13"/>
                <w:color w:val="131E29"/>
              </w:rPr>
              <w:t>Prepaid expenses and other current assets</w:t>
            </w:r>
          </w:p>
        </w:tc>
        <w:tc>
          <w:tcPr>
            <w:tcW w:w="260" w:type="dxa"/>
            <w:vAlign w:val="bottom"/>
            <w:shd w:val="clear" w:color="auto" w:fill="D2DCE5"/>
          </w:tcPr>
          <w:p>
            <w:pPr>
              <w:spacing w:after="0"/>
              <w:rPr>
                <w:sz w:val="17"/>
                <w:szCs w:val="17"/>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(695)</w:t>
            </w: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(3,761)</w:t>
            </w: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92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(1,284)</w:t>
            </w:r>
          </w:p>
        </w:tc>
      </w:tr>
      <w:tr>
        <w:trPr>
          <w:trHeight w:val="183"/>
        </w:trPr>
        <w:tc>
          <w:tcPr>
            <w:tcW w:w="7020" w:type="dxa"/>
            <w:vAlign w:val="bottom"/>
            <w:gridSpan w:val="2"/>
          </w:tcPr>
          <w:p>
            <w:pPr>
              <w:ind w:left="400"/>
              <w:spacing w:after="0"/>
              <w:rPr>
                <w:sz w:val="20"/>
                <w:szCs w:val="20"/>
                <w:color w:val="auto"/>
              </w:rPr>
            </w:pPr>
            <w:r>
              <w:rPr>
                <w:rFonts w:ascii="Arial" w:cs="Arial" w:eastAsia="Arial" w:hAnsi="Arial"/>
                <w:sz w:val="13"/>
                <w:szCs w:val="13"/>
                <w:color w:val="131E29"/>
              </w:rPr>
              <w:t>Other long-term assets</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131E29"/>
              </w:rPr>
              <w:t>1,147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131E29"/>
              </w:rPr>
              <w:t>13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131E29"/>
              </w:rPr>
              <w:t>(573)</w:t>
            </w:r>
          </w:p>
        </w:tc>
      </w:tr>
      <w:tr>
        <w:trPr>
          <w:trHeight w:val="199"/>
        </w:trPr>
        <w:tc>
          <w:tcPr>
            <w:tcW w:w="7020" w:type="dxa"/>
            <w:vAlign w:val="bottom"/>
            <w:gridSpan w:val="2"/>
            <w:shd w:val="clear" w:color="auto" w:fill="D2DCE5"/>
          </w:tcPr>
          <w:p>
            <w:pPr>
              <w:ind w:left="400"/>
              <w:spacing w:after="0"/>
              <w:rPr>
                <w:sz w:val="20"/>
                <w:szCs w:val="20"/>
                <w:color w:val="auto"/>
              </w:rPr>
            </w:pPr>
            <w:r>
              <w:rPr>
                <w:rFonts w:ascii="Arial" w:cs="Arial" w:eastAsia="Arial" w:hAnsi="Arial"/>
                <w:sz w:val="13"/>
                <w:szCs w:val="13"/>
                <w:color w:val="131E29"/>
              </w:rPr>
              <w:t>Accounts payable</w:t>
            </w:r>
          </w:p>
        </w:tc>
        <w:tc>
          <w:tcPr>
            <w:tcW w:w="260" w:type="dxa"/>
            <w:vAlign w:val="bottom"/>
            <w:shd w:val="clear" w:color="auto" w:fill="D2DCE5"/>
          </w:tcPr>
          <w:p>
            <w:pPr>
              <w:spacing w:after="0"/>
              <w:rPr>
                <w:sz w:val="17"/>
                <w:szCs w:val="17"/>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1,606</w:t>
            </w: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2,154</w:t>
            </w: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92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(518)</w:t>
            </w:r>
          </w:p>
        </w:tc>
      </w:tr>
      <w:tr>
        <w:trPr>
          <w:trHeight w:val="183"/>
        </w:trPr>
        <w:tc>
          <w:tcPr>
            <w:tcW w:w="7020" w:type="dxa"/>
            <w:vAlign w:val="bottom"/>
            <w:gridSpan w:val="2"/>
          </w:tcPr>
          <w:p>
            <w:pPr>
              <w:ind w:left="400"/>
              <w:spacing w:after="0"/>
              <w:rPr>
                <w:sz w:val="20"/>
                <w:szCs w:val="20"/>
                <w:color w:val="auto"/>
              </w:rPr>
            </w:pPr>
            <w:r>
              <w:rPr>
                <w:rFonts w:ascii="Arial" w:cs="Arial" w:eastAsia="Arial" w:hAnsi="Arial"/>
                <w:sz w:val="13"/>
                <w:szCs w:val="13"/>
                <w:color w:val="131E29"/>
              </w:rPr>
              <w:t>Accrued liabilities</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131E29"/>
              </w:rPr>
              <w:t>5,601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131E29"/>
              </w:rPr>
              <w:t>7,927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131E29"/>
              </w:rPr>
              <w:t>2,194</w:t>
            </w:r>
          </w:p>
        </w:tc>
      </w:tr>
      <w:tr>
        <w:trPr>
          <w:trHeight w:val="199"/>
        </w:trPr>
        <w:tc>
          <w:tcPr>
            <w:tcW w:w="7020" w:type="dxa"/>
            <w:vAlign w:val="bottom"/>
            <w:gridSpan w:val="2"/>
            <w:shd w:val="clear" w:color="auto" w:fill="D2DCE5"/>
          </w:tcPr>
          <w:p>
            <w:pPr>
              <w:ind w:left="400"/>
              <w:spacing w:after="0"/>
              <w:rPr>
                <w:sz w:val="20"/>
                <w:szCs w:val="20"/>
                <w:color w:val="auto"/>
              </w:rPr>
            </w:pPr>
            <w:r>
              <w:rPr>
                <w:rFonts w:ascii="Arial" w:cs="Arial" w:eastAsia="Arial" w:hAnsi="Arial"/>
                <w:sz w:val="13"/>
                <w:szCs w:val="13"/>
                <w:color w:val="131E29"/>
              </w:rPr>
              <w:t>Other current liabilities</w:t>
            </w:r>
          </w:p>
        </w:tc>
        <w:tc>
          <w:tcPr>
            <w:tcW w:w="260" w:type="dxa"/>
            <w:vAlign w:val="bottom"/>
            <w:shd w:val="clear" w:color="auto" w:fill="D2DCE5"/>
          </w:tcPr>
          <w:p>
            <w:pPr>
              <w:spacing w:after="0"/>
              <w:rPr>
                <w:sz w:val="17"/>
                <w:szCs w:val="17"/>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1,376</w:t>
            </w: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4,955</w:t>
            </w: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92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584</w:t>
            </w:r>
          </w:p>
        </w:tc>
      </w:tr>
      <w:tr>
        <w:trPr>
          <w:trHeight w:val="183"/>
        </w:trPr>
        <w:tc>
          <w:tcPr>
            <w:tcW w:w="7020" w:type="dxa"/>
            <w:vAlign w:val="bottom"/>
            <w:gridSpan w:val="2"/>
          </w:tcPr>
          <w:p>
            <w:pPr>
              <w:ind w:left="400"/>
              <w:spacing w:after="0"/>
              <w:rPr>
                <w:sz w:val="20"/>
                <w:szCs w:val="20"/>
                <w:color w:val="auto"/>
              </w:rPr>
            </w:pPr>
            <w:r>
              <w:rPr>
                <w:rFonts w:ascii="Arial" w:cs="Arial" w:eastAsia="Arial" w:hAnsi="Arial"/>
                <w:sz w:val="13"/>
                <w:szCs w:val="13"/>
                <w:color w:val="131E29"/>
              </w:rPr>
              <w:t>Deferred revenue</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131E29"/>
              </w:rPr>
              <w:t>3,367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131E29"/>
              </w:rPr>
              <w:t>11,706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131E29"/>
              </w:rPr>
              <w:t>4,419</w:t>
            </w:r>
          </w:p>
        </w:tc>
      </w:tr>
      <w:tr>
        <w:trPr>
          <w:trHeight w:val="199"/>
        </w:trPr>
        <w:tc>
          <w:tcPr>
            <w:tcW w:w="7020" w:type="dxa"/>
            <w:vAlign w:val="bottom"/>
            <w:gridSpan w:val="2"/>
            <w:shd w:val="clear" w:color="auto" w:fill="D2DCE5"/>
          </w:tcPr>
          <w:p>
            <w:pPr>
              <w:ind w:left="400"/>
              <w:spacing w:after="0"/>
              <w:rPr>
                <w:sz w:val="20"/>
                <w:szCs w:val="20"/>
                <w:color w:val="auto"/>
              </w:rPr>
            </w:pPr>
            <w:r>
              <w:rPr>
                <w:rFonts w:ascii="Arial" w:cs="Arial" w:eastAsia="Arial" w:hAnsi="Arial"/>
                <w:sz w:val="13"/>
                <w:szCs w:val="13"/>
                <w:color w:val="131E29"/>
              </w:rPr>
              <w:t>Deferred rent</w:t>
            </w:r>
          </w:p>
        </w:tc>
        <w:tc>
          <w:tcPr>
            <w:tcW w:w="260" w:type="dxa"/>
            <w:vAlign w:val="bottom"/>
            <w:shd w:val="clear" w:color="auto" w:fill="D2DCE5"/>
          </w:tcPr>
          <w:p>
            <w:pPr>
              <w:spacing w:after="0"/>
              <w:rPr>
                <w:sz w:val="17"/>
                <w:szCs w:val="17"/>
                <w:color w:val="auto"/>
              </w:rPr>
            </w:pPr>
          </w:p>
        </w:tc>
        <w:tc>
          <w:tcPr>
            <w:tcW w:w="1020" w:type="dxa"/>
            <w:vAlign w:val="bottom"/>
            <w:gridSpan w:val="2"/>
            <w:shd w:val="clear" w:color="auto" w:fill="D2DCE5"/>
          </w:tcPr>
          <w:p>
            <w:pPr>
              <w:jc w:val="right"/>
              <w:ind w:right="140"/>
              <w:spacing w:after="0"/>
              <w:rPr>
                <w:sz w:val="20"/>
                <w:szCs w:val="20"/>
                <w:color w:val="auto"/>
              </w:rPr>
            </w:pPr>
            <w:r>
              <w:rPr>
                <w:rFonts w:ascii="Arial" w:cs="Arial" w:eastAsia="Arial" w:hAnsi="Arial"/>
                <w:sz w:val="13"/>
                <w:szCs w:val="13"/>
                <w:color w:val="131E29"/>
              </w:rPr>
              <w:t>—</w:t>
            </w:r>
          </w:p>
        </w:tc>
        <w:tc>
          <w:tcPr>
            <w:tcW w:w="280" w:type="dxa"/>
            <w:vAlign w:val="bottom"/>
            <w:shd w:val="clear" w:color="auto" w:fill="D2DCE5"/>
          </w:tcPr>
          <w:p>
            <w:pPr>
              <w:spacing w:after="0"/>
              <w:rPr>
                <w:sz w:val="17"/>
                <w:szCs w:val="17"/>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412</w:t>
            </w: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92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343</w:t>
            </w:r>
          </w:p>
        </w:tc>
      </w:tr>
      <w:tr>
        <w:trPr>
          <w:trHeight w:val="183"/>
        </w:trPr>
        <w:tc>
          <w:tcPr>
            <w:tcW w:w="7020" w:type="dxa"/>
            <w:vAlign w:val="bottom"/>
            <w:gridSpan w:val="2"/>
          </w:tcPr>
          <w:p>
            <w:pPr>
              <w:ind w:left="400"/>
              <w:spacing w:after="0"/>
              <w:rPr>
                <w:sz w:val="20"/>
                <w:szCs w:val="20"/>
                <w:color w:val="auto"/>
              </w:rPr>
            </w:pPr>
            <w:r>
              <w:rPr>
                <w:rFonts w:ascii="Arial" w:cs="Arial" w:eastAsia="Arial" w:hAnsi="Arial"/>
                <w:sz w:val="13"/>
                <w:szCs w:val="13"/>
                <w:color w:val="131E29"/>
              </w:rPr>
              <w:t>Other long-term liabilities</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131E29"/>
              </w:rPr>
              <w:t>(672)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131E29"/>
              </w:rPr>
              <w:t>(118)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131E29"/>
              </w:rPr>
              <w:t>(66)</w:t>
            </w:r>
          </w:p>
        </w:tc>
      </w:tr>
      <w:tr>
        <w:trPr>
          <w:trHeight w:val="191"/>
        </w:trPr>
        <w:tc>
          <w:tcPr>
            <w:tcW w:w="7020" w:type="dxa"/>
            <w:vAlign w:val="bottom"/>
            <w:gridSpan w:val="2"/>
            <w:shd w:val="clear" w:color="auto" w:fill="D2DCE5"/>
          </w:tcPr>
          <w:p>
            <w:pPr>
              <w:ind w:left="400"/>
              <w:spacing w:after="0"/>
              <w:rPr>
                <w:sz w:val="20"/>
                <w:szCs w:val="20"/>
                <w:color w:val="auto"/>
              </w:rPr>
            </w:pPr>
            <w:r>
              <w:rPr>
                <w:rFonts w:ascii="Arial" w:cs="Arial" w:eastAsia="Arial" w:hAnsi="Arial"/>
                <w:sz w:val="13"/>
                <w:szCs w:val="13"/>
                <w:color w:val="131E29"/>
              </w:rPr>
              <w:t>Operating lease liabilities</w:t>
            </w:r>
          </w:p>
        </w:tc>
        <w:tc>
          <w:tcPr>
            <w:tcW w:w="260" w:type="dxa"/>
            <w:vAlign w:val="bottom"/>
            <w:shd w:val="clear" w:color="auto" w:fill="D2DCE5"/>
          </w:tcPr>
          <w:p>
            <w:pPr>
              <w:spacing w:after="0"/>
              <w:rPr>
                <w:sz w:val="16"/>
                <w:szCs w:val="16"/>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(9,722)</w:t>
            </w:r>
          </w:p>
        </w:tc>
        <w:tc>
          <w:tcPr>
            <w:tcW w:w="8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1020" w:type="dxa"/>
            <w:vAlign w:val="bottom"/>
            <w:gridSpan w:val="2"/>
            <w:shd w:val="clear" w:color="auto" w:fill="D2DCE5"/>
          </w:tcPr>
          <w:p>
            <w:pPr>
              <w:jc w:val="right"/>
              <w:ind w:right="140"/>
              <w:spacing w:after="0"/>
              <w:rPr>
                <w:sz w:val="20"/>
                <w:szCs w:val="20"/>
                <w:color w:val="auto"/>
              </w:rPr>
            </w:pPr>
            <w:r>
              <w:rPr>
                <w:rFonts w:ascii="Arial" w:cs="Arial" w:eastAsia="Arial" w:hAnsi="Arial"/>
                <w:sz w:val="13"/>
                <w:szCs w:val="13"/>
                <w:color w:val="131E29"/>
              </w:rPr>
              <w:t>—</w:t>
            </w:r>
          </w:p>
        </w:tc>
        <w:tc>
          <w:tcPr>
            <w:tcW w:w="280" w:type="dxa"/>
            <w:vAlign w:val="bottom"/>
            <w:shd w:val="clear" w:color="auto" w:fill="D2DCE5"/>
          </w:tcPr>
          <w:p>
            <w:pPr>
              <w:spacing w:after="0"/>
              <w:rPr>
                <w:sz w:val="16"/>
                <w:szCs w:val="16"/>
                <w:color w:val="auto"/>
              </w:rPr>
            </w:pPr>
          </w:p>
        </w:tc>
        <w:tc>
          <w:tcPr>
            <w:tcW w:w="92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w:t>
            </w:r>
          </w:p>
        </w:tc>
      </w:tr>
      <w:tr>
        <w:trPr>
          <w:trHeight w:val="182"/>
        </w:trPr>
        <w:tc>
          <w:tcPr>
            <w:tcW w:w="7020" w:type="dxa"/>
            <w:vAlign w:val="bottom"/>
            <w:tcBorders>
              <w:bottom w:val="single" w:sz="8" w:color="D2DCE5"/>
            </w:tcBorders>
            <w:gridSpan w:val="2"/>
          </w:tcPr>
          <w:p>
            <w:pPr>
              <w:ind w:left="520"/>
              <w:spacing w:after="0"/>
              <w:rPr>
                <w:sz w:val="20"/>
                <w:szCs w:val="20"/>
                <w:color w:val="auto"/>
              </w:rPr>
            </w:pPr>
            <w:r>
              <w:rPr>
                <w:rFonts w:ascii="Arial" w:cs="Arial" w:eastAsia="Arial" w:hAnsi="Arial"/>
                <w:sz w:val="13"/>
                <w:szCs w:val="13"/>
                <w:color w:val="131E29"/>
              </w:rPr>
              <w:t>Net cash provided by operating activities</w:t>
            </w:r>
          </w:p>
        </w:tc>
        <w:tc>
          <w:tcPr>
            <w:tcW w:w="2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131E29"/>
              </w:rPr>
              <w:t>59,883</w:t>
            </w:r>
          </w:p>
        </w:tc>
        <w:tc>
          <w:tcPr>
            <w:tcW w:w="80" w:type="dxa"/>
            <w:vAlign w:val="bottom"/>
            <w:tcBorders>
              <w:bottom w:val="single" w:sz="8" w:color="D2DCE5"/>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131E29"/>
              </w:rPr>
              <w:t>80,375</w:t>
            </w:r>
          </w:p>
        </w:tc>
        <w:tc>
          <w:tcPr>
            <w:tcW w:w="80" w:type="dxa"/>
            <w:vAlign w:val="bottom"/>
            <w:tcBorders>
              <w:bottom w:val="single" w:sz="8" w:color="D2DCE5"/>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131E29"/>
              </w:rPr>
              <w:t>53,549</w:t>
            </w:r>
          </w:p>
        </w:tc>
      </w:tr>
      <w:tr>
        <w:trPr>
          <w:trHeight w:val="179"/>
        </w:trPr>
        <w:tc>
          <w:tcPr>
            <w:tcW w:w="702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Cash flows from investing activities:</w:t>
            </w:r>
          </w:p>
        </w:tc>
        <w:tc>
          <w:tcPr>
            <w:tcW w:w="260" w:type="dxa"/>
            <w:vAlign w:val="bottom"/>
            <w:shd w:val="clear" w:color="auto" w:fill="D2DCE5"/>
          </w:tcPr>
          <w:p>
            <w:pPr>
              <w:spacing w:after="0"/>
              <w:rPr>
                <w:sz w:val="15"/>
                <w:szCs w:val="15"/>
                <w:color w:val="auto"/>
              </w:rPr>
            </w:pPr>
          </w:p>
        </w:tc>
        <w:tc>
          <w:tcPr>
            <w:tcW w:w="9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9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920" w:type="dxa"/>
            <w:vAlign w:val="bottom"/>
            <w:shd w:val="clear" w:color="auto" w:fill="D2DCE5"/>
          </w:tcPr>
          <w:p>
            <w:pPr>
              <w:spacing w:after="0"/>
              <w:rPr>
                <w:sz w:val="15"/>
                <w:szCs w:val="15"/>
                <w:color w:val="auto"/>
              </w:rPr>
            </w:pPr>
          </w:p>
        </w:tc>
      </w:tr>
      <w:tr>
        <w:trPr>
          <w:trHeight w:val="183"/>
        </w:trPr>
        <w:tc>
          <w:tcPr>
            <w:tcW w:w="7020" w:type="dxa"/>
            <w:vAlign w:val="bottom"/>
            <w:gridSpan w:val="2"/>
          </w:tcPr>
          <w:p>
            <w:pPr>
              <w:ind w:left="140"/>
              <w:spacing w:after="0"/>
              <w:rPr>
                <w:sz w:val="20"/>
                <w:szCs w:val="20"/>
                <w:color w:val="auto"/>
              </w:rPr>
            </w:pPr>
            <w:r>
              <w:rPr>
                <w:rFonts w:ascii="Arial" w:cs="Arial" w:eastAsia="Arial" w:hAnsi="Arial"/>
                <w:sz w:val="13"/>
                <w:szCs w:val="13"/>
                <w:color w:val="131E29"/>
              </w:rPr>
              <w:t>Purchases of property and equipment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131E29"/>
              </w:rPr>
              <w:t>(187,880)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131E29"/>
              </w:rPr>
              <w:t>(118,444)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131E29"/>
              </w:rPr>
              <w:t>(40,575)</w:t>
            </w:r>
          </w:p>
        </w:tc>
      </w:tr>
      <w:tr>
        <w:trPr>
          <w:trHeight w:val="199"/>
        </w:trPr>
        <w:tc>
          <w:tcPr>
            <w:tcW w:w="7020" w:type="dxa"/>
            <w:vAlign w:val="bottom"/>
            <w:gridSpan w:val="2"/>
            <w:shd w:val="clear" w:color="auto" w:fill="D2DCE5"/>
          </w:tcPr>
          <w:p>
            <w:pPr>
              <w:ind w:left="140"/>
              <w:spacing w:after="0"/>
              <w:rPr>
                <w:sz w:val="20"/>
                <w:szCs w:val="20"/>
                <w:color w:val="auto"/>
              </w:rPr>
            </w:pPr>
            <w:r>
              <w:rPr>
                <w:rFonts w:ascii="Arial" w:cs="Arial" w:eastAsia="Arial" w:hAnsi="Arial"/>
                <w:sz w:val="13"/>
                <w:szCs w:val="13"/>
                <w:color w:val="131E29"/>
              </w:rPr>
              <w:t>Proceeds from disposal of fixed assets</w:t>
            </w:r>
          </w:p>
        </w:tc>
        <w:tc>
          <w:tcPr>
            <w:tcW w:w="260" w:type="dxa"/>
            <w:vAlign w:val="bottom"/>
            <w:shd w:val="clear" w:color="auto" w:fill="D2DCE5"/>
          </w:tcPr>
          <w:p>
            <w:pPr>
              <w:spacing w:after="0"/>
              <w:rPr>
                <w:sz w:val="17"/>
                <w:szCs w:val="17"/>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1,359</w:t>
            </w: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2,742</w:t>
            </w: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92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99</w:t>
            </w:r>
          </w:p>
        </w:tc>
      </w:tr>
      <w:tr>
        <w:trPr>
          <w:trHeight w:val="183"/>
        </w:trPr>
        <w:tc>
          <w:tcPr>
            <w:tcW w:w="7020" w:type="dxa"/>
            <w:vAlign w:val="bottom"/>
            <w:tcBorders>
              <w:bottom w:val="single" w:sz="8" w:color="D2DCE5"/>
            </w:tcBorders>
            <w:gridSpan w:val="2"/>
          </w:tcPr>
          <w:p>
            <w:pPr>
              <w:ind w:left="140"/>
              <w:spacing w:after="0"/>
              <w:rPr>
                <w:sz w:val="20"/>
                <w:szCs w:val="20"/>
                <w:color w:val="auto"/>
              </w:rPr>
            </w:pPr>
            <w:r>
              <w:rPr>
                <w:rFonts w:ascii="Arial" w:cs="Arial" w:eastAsia="Arial" w:hAnsi="Arial"/>
                <w:sz w:val="13"/>
                <w:szCs w:val="13"/>
                <w:color w:val="131E29"/>
              </w:rPr>
              <w:t>Acquisition of shops from franchisees</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131E29"/>
              </w:rPr>
              <w:t>(6,051)</w:t>
            </w:r>
          </w:p>
        </w:tc>
        <w:tc>
          <w:tcPr>
            <w:tcW w:w="80" w:type="dxa"/>
            <w:vAlign w:val="bottom"/>
            <w:tcBorders>
              <w:bottom w:val="single" w:sz="8" w:color="D2DCE5"/>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131E29"/>
              </w:rPr>
              <w:t>(5,387)</w:t>
            </w:r>
          </w:p>
        </w:tc>
        <w:tc>
          <w:tcPr>
            <w:tcW w:w="80" w:type="dxa"/>
            <w:vAlign w:val="bottom"/>
            <w:tcBorders>
              <w:bottom w:val="single" w:sz="8" w:color="D2DCE5"/>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131E29"/>
              </w:rPr>
              <w:t>(5,094)</w:t>
            </w:r>
          </w:p>
        </w:tc>
      </w:tr>
      <w:tr>
        <w:trPr>
          <w:trHeight w:val="189"/>
        </w:trPr>
        <w:tc>
          <w:tcPr>
            <w:tcW w:w="7020" w:type="dxa"/>
            <w:vAlign w:val="bottom"/>
            <w:gridSpan w:val="2"/>
            <w:shd w:val="clear" w:color="auto" w:fill="D2DCE5"/>
          </w:tcPr>
          <w:p>
            <w:pPr>
              <w:ind w:left="520"/>
              <w:spacing w:after="0"/>
              <w:rPr>
                <w:sz w:val="20"/>
                <w:szCs w:val="20"/>
                <w:color w:val="auto"/>
              </w:rPr>
            </w:pPr>
            <w:r>
              <w:rPr>
                <w:rFonts w:ascii="Arial" w:cs="Arial" w:eastAsia="Arial" w:hAnsi="Arial"/>
                <w:sz w:val="13"/>
                <w:szCs w:val="13"/>
                <w:color w:val="131E29"/>
              </w:rPr>
              <w:t>Net cash used in investing activities</w:t>
            </w:r>
          </w:p>
        </w:tc>
        <w:tc>
          <w:tcPr>
            <w:tcW w:w="260" w:type="dxa"/>
            <w:vAlign w:val="bottom"/>
            <w:tcBorders>
              <w:bottom w:val="single" w:sz="8" w:color="auto"/>
            </w:tcBorders>
            <w:shd w:val="clear" w:color="auto" w:fill="D2DCE5"/>
          </w:tcPr>
          <w:p>
            <w:pPr>
              <w:spacing w:after="0"/>
              <w:rPr>
                <w:sz w:val="16"/>
                <w:szCs w:val="16"/>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(192,572)</w:t>
            </w:r>
          </w:p>
        </w:tc>
        <w:tc>
          <w:tcPr>
            <w:tcW w:w="80" w:type="dxa"/>
            <w:vAlign w:val="bottom"/>
            <w:shd w:val="clear" w:color="auto" w:fill="D2DCE5"/>
          </w:tcPr>
          <w:p>
            <w:pPr>
              <w:spacing w:after="0"/>
              <w:rPr>
                <w:sz w:val="16"/>
                <w:szCs w:val="16"/>
                <w:color w:val="auto"/>
              </w:rPr>
            </w:pPr>
          </w:p>
        </w:tc>
        <w:tc>
          <w:tcPr>
            <w:tcW w:w="280" w:type="dxa"/>
            <w:vAlign w:val="bottom"/>
            <w:tcBorders>
              <w:bottom w:val="single" w:sz="8" w:color="auto"/>
            </w:tcBorders>
            <w:shd w:val="clear" w:color="auto" w:fill="D2DCE5"/>
          </w:tcPr>
          <w:p>
            <w:pPr>
              <w:spacing w:after="0"/>
              <w:rPr>
                <w:sz w:val="16"/>
                <w:szCs w:val="16"/>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(121,089)</w:t>
            </w:r>
          </w:p>
        </w:tc>
        <w:tc>
          <w:tcPr>
            <w:tcW w:w="80" w:type="dxa"/>
            <w:vAlign w:val="bottom"/>
            <w:shd w:val="clear" w:color="auto" w:fill="D2DCE5"/>
          </w:tcPr>
          <w:p>
            <w:pPr>
              <w:spacing w:after="0"/>
              <w:rPr>
                <w:sz w:val="16"/>
                <w:szCs w:val="16"/>
                <w:color w:val="auto"/>
              </w:rPr>
            </w:pPr>
          </w:p>
        </w:tc>
        <w:tc>
          <w:tcPr>
            <w:tcW w:w="280" w:type="dxa"/>
            <w:vAlign w:val="bottom"/>
            <w:tcBorders>
              <w:bottom w:val="single" w:sz="8" w:color="auto"/>
            </w:tcBorders>
            <w:shd w:val="clear" w:color="auto" w:fill="D2DCE5"/>
          </w:tcPr>
          <w:p>
            <w:pPr>
              <w:spacing w:after="0"/>
              <w:rPr>
                <w:sz w:val="16"/>
                <w:szCs w:val="16"/>
                <w:color w:val="auto"/>
              </w:rPr>
            </w:pPr>
          </w:p>
        </w:tc>
        <w:tc>
          <w:tcPr>
            <w:tcW w:w="9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(45,570)</w:t>
            </w:r>
          </w:p>
        </w:tc>
      </w:tr>
      <w:tr>
        <w:trPr>
          <w:trHeight w:val="163"/>
        </w:trPr>
        <w:tc>
          <w:tcPr>
            <w:tcW w:w="7020" w:type="dxa"/>
            <w:vAlign w:val="bottom"/>
            <w:gridSpan w:val="2"/>
          </w:tcPr>
          <w:p>
            <w:pPr>
              <w:ind w:left="20"/>
              <w:spacing w:after="0"/>
              <w:rPr>
                <w:sz w:val="20"/>
                <w:szCs w:val="20"/>
                <w:color w:val="auto"/>
              </w:rPr>
            </w:pPr>
            <w:r>
              <w:rPr>
                <w:rFonts w:ascii="Arial" w:cs="Arial" w:eastAsia="Arial" w:hAnsi="Arial"/>
                <w:sz w:val="13"/>
                <w:szCs w:val="13"/>
                <w:color w:val="131E29"/>
              </w:rPr>
              <w:t>Cash flows from financing activities: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9"/>
        </w:trPr>
        <w:tc>
          <w:tcPr>
            <w:tcW w:w="7020" w:type="dxa"/>
            <w:vAlign w:val="bottom"/>
            <w:gridSpan w:val="2"/>
            <w:shd w:val="clear" w:color="auto" w:fill="D2DCE5"/>
          </w:tcPr>
          <w:p>
            <w:pPr>
              <w:ind w:left="140"/>
              <w:spacing w:after="0"/>
              <w:rPr>
                <w:sz w:val="20"/>
                <w:szCs w:val="20"/>
                <w:color w:val="auto"/>
              </w:rPr>
            </w:pPr>
            <w:r>
              <w:rPr>
                <w:rFonts w:ascii="Arial" w:cs="Arial" w:eastAsia="Arial" w:hAnsi="Arial"/>
                <w:sz w:val="13"/>
                <w:szCs w:val="13"/>
                <w:color w:val="131E29"/>
              </w:rPr>
              <w:t>Proceeds from line of credit</w:t>
            </w:r>
          </w:p>
        </w:tc>
        <w:tc>
          <w:tcPr>
            <w:tcW w:w="260" w:type="dxa"/>
            <w:vAlign w:val="bottom"/>
            <w:shd w:val="clear" w:color="auto" w:fill="D2DCE5"/>
          </w:tcPr>
          <w:p>
            <w:pPr>
              <w:spacing w:after="0"/>
              <w:rPr>
                <w:sz w:val="17"/>
                <w:szCs w:val="17"/>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157,705</w:t>
            </w: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65,000</w:t>
            </w: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92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30,000</w:t>
            </w:r>
          </w:p>
        </w:tc>
      </w:tr>
      <w:tr>
        <w:trPr>
          <w:trHeight w:val="183"/>
        </w:trPr>
        <w:tc>
          <w:tcPr>
            <w:tcW w:w="7020" w:type="dxa"/>
            <w:vAlign w:val="bottom"/>
            <w:gridSpan w:val="2"/>
          </w:tcPr>
          <w:p>
            <w:pPr>
              <w:ind w:left="140"/>
              <w:spacing w:after="0"/>
              <w:rPr>
                <w:sz w:val="20"/>
                <w:szCs w:val="20"/>
                <w:color w:val="auto"/>
              </w:rPr>
            </w:pPr>
            <w:r>
              <w:rPr>
                <w:rFonts w:ascii="Arial" w:cs="Arial" w:eastAsia="Arial" w:hAnsi="Arial"/>
                <w:sz w:val="13"/>
                <w:szCs w:val="13"/>
                <w:color w:val="131E29"/>
              </w:rPr>
              <w:t>Payments on line of credit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131E29"/>
              </w:rPr>
              <w:t>(10,000)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131E29"/>
              </w:rPr>
              <w:t>(15,000)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131E29"/>
              </w:rPr>
              <w:t>(15,000)</w:t>
            </w:r>
          </w:p>
        </w:tc>
      </w:tr>
      <w:tr>
        <w:trPr>
          <w:trHeight w:val="199"/>
        </w:trPr>
        <w:tc>
          <w:tcPr>
            <w:tcW w:w="7020" w:type="dxa"/>
            <w:vAlign w:val="bottom"/>
            <w:gridSpan w:val="2"/>
            <w:shd w:val="clear" w:color="auto" w:fill="D2DCE5"/>
          </w:tcPr>
          <w:p>
            <w:pPr>
              <w:ind w:left="140"/>
              <w:spacing w:after="0"/>
              <w:rPr>
                <w:sz w:val="20"/>
                <w:szCs w:val="20"/>
                <w:color w:val="auto"/>
              </w:rPr>
            </w:pPr>
            <w:r>
              <w:rPr>
                <w:rFonts w:ascii="Arial" w:cs="Arial" w:eastAsia="Arial" w:hAnsi="Arial"/>
                <w:sz w:val="13"/>
                <w:szCs w:val="13"/>
                <w:color w:val="131E29"/>
              </w:rPr>
              <w:t>Payments on finance lease obligations</w:t>
            </w:r>
          </w:p>
        </w:tc>
        <w:tc>
          <w:tcPr>
            <w:tcW w:w="260" w:type="dxa"/>
            <w:vAlign w:val="bottom"/>
            <w:shd w:val="clear" w:color="auto" w:fill="D2DCE5"/>
          </w:tcPr>
          <w:p>
            <w:pPr>
              <w:spacing w:after="0"/>
              <w:rPr>
                <w:sz w:val="17"/>
                <w:szCs w:val="17"/>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(5,838)</w:t>
            </w: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(2,653)</w:t>
            </w: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92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(1,195)</w:t>
            </w:r>
          </w:p>
        </w:tc>
      </w:tr>
      <w:tr>
        <w:trPr>
          <w:trHeight w:val="183"/>
        </w:trPr>
        <w:tc>
          <w:tcPr>
            <w:tcW w:w="7020" w:type="dxa"/>
            <w:vAlign w:val="bottom"/>
            <w:gridSpan w:val="2"/>
          </w:tcPr>
          <w:p>
            <w:pPr>
              <w:ind w:left="140"/>
              <w:spacing w:after="0"/>
              <w:rPr>
                <w:sz w:val="20"/>
                <w:szCs w:val="20"/>
                <w:color w:val="auto"/>
              </w:rPr>
            </w:pPr>
            <w:r>
              <w:rPr>
                <w:rFonts w:ascii="Arial" w:cs="Arial" w:eastAsia="Arial" w:hAnsi="Arial"/>
                <w:sz w:val="13"/>
                <w:szCs w:val="13"/>
                <w:color w:val="131E29"/>
              </w:rPr>
              <w:t>Proceeds from financing lease obligations</w:t>
            </w:r>
          </w:p>
        </w:tc>
        <w:tc>
          <w:tcPr>
            <w:tcW w:w="26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131E29"/>
              </w:rPr>
              <w:t>—</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131E29"/>
              </w:rPr>
              <w:t>1,484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131E29"/>
              </w:rPr>
              <w:t>—</w:t>
            </w:r>
          </w:p>
        </w:tc>
      </w:tr>
      <w:tr>
        <w:trPr>
          <w:trHeight w:val="199"/>
        </w:trPr>
        <w:tc>
          <w:tcPr>
            <w:tcW w:w="7020" w:type="dxa"/>
            <w:vAlign w:val="bottom"/>
            <w:gridSpan w:val="2"/>
            <w:shd w:val="clear" w:color="auto" w:fill="D2DCE5"/>
          </w:tcPr>
          <w:p>
            <w:pPr>
              <w:ind w:left="140"/>
              <w:spacing w:after="0"/>
              <w:rPr>
                <w:sz w:val="20"/>
                <w:szCs w:val="20"/>
                <w:color w:val="auto"/>
              </w:rPr>
            </w:pPr>
            <w:r>
              <w:rPr>
                <w:rFonts w:ascii="Arial" w:cs="Arial" w:eastAsia="Arial" w:hAnsi="Arial"/>
                <w:sz w:val="13"/>
                <w:szCs w:val="13"/>
                <w:color w:val="131E29"/>
              </w:rPr>
              <w:t>Proceeds from long-term debt</w:t>
            </w:r>
          </w:p>
        </w:tc>
        <w:tc>
          <w:tcPr>
            <w:tcW w:w="260" w:type="dxa"/>
            <w:vAlign w:val="bottom"/>
            <w:shd w:val="clear" w:color="auto" w:fill="D2DCE5"/>
          </w:tcPr>
          <w:p>
            <w:pPr>
              <w:spacing w:after="0"/>
              <w:rPr>
                <w:sz w:val="17"/>
                <w:szCs w:val="17"/>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1,375</w:t>
            </w: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200,000</w:t>
            </w: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92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5,250</w:t>
            </w:r>
          </w:p>
        </w:tc>
      </w:tr>
      <w:tr>
        <w:trPr>
          <w:trHeight w:val="183"/>
        </w:trPr>
        <w:tc>
          <w:tcPr>
            <w:tcW w:w="7020" w:type="dxa"/>
            <w:vAlign w:val="bottom"/>
            <w:gridSpan w:val="2"/>
          </w:tcPr>
          <w:p>
            <w:pPr>
              <w:ind w:left="140"/>
              <w:spacing w:after="0"/>
              <w:rPr>
                <w:sz w:val="20"/>
                <w:szCs w:val="20"/>
                <w:color w:val="auto"/>
              </w:rPr>
            </w:pPr>
            <w:r>
              <w:rPr>
                <w:rFonts w:ascii="Arial" w:cs="Arial" w:eastAsia="Arial" w:hAnsi="Arial"/>
                <w:sz w:val="13"/>
                <w:szCs w:val="13"/>
                <w:color w:val="131E29"/>
              </w:rPr>
              <w:t>Payments on long-term debt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131E29"/>
              </w:rPr>
              <w:t>(1,982)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131E29"/>
              </w:rPr>
              <w:t>(227,594)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131E29"/>
              </w:rPr>
              <w:t>(3,228)</w:t>
            </w:r>
          </w:p>
        </w:tc>
      </w:tr>
      <w:tr>
        <w:trPr>
          <w:trHeight w:val="199"/>
        </w:trPr>
        <w:tc>
          <w:tcPr>
            <w:tcW w:w="7020" w:type="dxa"/>
            <w:vAlign w:val="bottom"/>
            <w:gridSpan w:val="2"/>
            <w:shd w:val="clear" w:color="auto" w:fill="D2DCE5"/>
          </w:tcPr>
          <w:p>
            <w:pPr>
              <w:ind w:left="140"/>
              <w:spacing w:after="0"/>
              <w:rPr>
                <w:sz w:val="20"/>
                <w:szCs w:val="20"/>
                <w:color w:val="auto"/>
              </w:rPr>
            </w:pPr>
            <w:r>
              <w:rPr>
                <w:rFonts w:ascii="Arial" w:cs="Arial" w:eastAsia="Arial" w:hAnsi="Arial"/>
                <w:sz w:val="13"/>
                <w:szCs w:val="13"/>
                <w:color w:val="131E29"/>
              </w:rPr>
              <w:t>Payments of debt issuance costs</w:t>
            </w:r>
          </w:p>
        </w:tc>
        <w:tc>
          <w:tcPr>
            <w:tcW w:w="260" w:type="dxa"/>
            <w:vAlign w:val="bottom"/>
            <w:shd w:val="clear" w:color="auto" w:fill="D2DCE5"/>
          </w:tcPr>
          <w:p>
            <w:pPr>
              <w:spacing w:after="0"/>
              <w:rPr>
                <w:sz w:val="17"/>
                <w:szCs w:val="17"/>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(2,749)</w:t>
            </w: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(2,406)</w:t>
            </w: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92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w:t>
            </w:r>
          </w:p>
        </w:tc>
      </w:tr>
      <w:tr>
        <w:trPr>
          <w:trHeight w:val="183"/>
        </w:trPr>
        <w:tc>
          <w:tcPr>
            <w:tcW w:w="7020" w:type="dxa"/>
            <w:vAlign w:val="bottom"/>
            <w:gridSpan w:val="2"/>
          </w:tcPr>
          <w:p>
            <w:pPr>
              <w:ind w:left="140"/>
              <w:spacing w:after="0"/>
              <w:rPr>
                <w:sz w:val="20"/>
                <w:szCs w:val="20"/>
                <w:color w:val="auto"/>
              </w:rPr>
            </w:pPr>
            <w:r>
              <w:rPr>
                <w:rFonts w:ascii="Arial" w:cs="Arial" w:eastAsia="Arial" w:hAnsi="Arial"/>
                <w:sz w:val="13"/>
                <w:szCs w:val="13"/>
                <w:color w:val="131E29"/>
              </w:rPr>
              <w:t>Proceeds from Paycheck Protection Program loan</w:t>
            </w:r>
          </w:p>
        </w:tc>
        <w:tc>
          <w:tcPr>
            <w:tcW w:w="26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131E29"/>
              </w:rPr>
              <w:t>—</w:t>
            </w:r>
          </w:p>
        </w:tc>
        <w:tc>
          <w:tcPr>
            <w:tcW w:w="2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131E29"/>
              </w:rPr>
              <w: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131E29"/>
              </w:rPr>
              <w:t>10,000</w:t>
            </w:r>
          </w:p>
        </w:tc>
      </w:tr>
      <w:tr>
        <w:trPr>
          <w:trHeight w:val="199"/>
        </w:trPr>
        <w:tc>
          <w:tcPr>
            <w:tcW w:w="7020" w:type="dxa"/>
            <w:vAlign w:val="bottom"/>
            <w:gridSpan w:val="2"/>
            <w:shd w:val="clear" w:color="auto" w:fill="D2DCE5"/>
          </w:tcPr>
          <w:p>
            <w:pPr>
              <w:ind w:left="140"/>
              <w:spacing w:after="0"/>
              <w:rPr>
                <w:sz w:val="20"/>
                <w:szCs w:val="20"/>
                <w:color w:val="auto"/>
              </w:rPr>
            </w:pPr>
            <w:r>
              <w:rPr>
                <w:rFonts w:ascii="Arial" w:cs="Arial" w:eastAsia="Arial" w:hAnsi="Arial"/>
                <w:sz w:val="13"/>
                <w:szCs w:val="13"/>
                <w:color w:val="131E29"/>
              </w:rPr>
              <w:t>Payments on Paycheck Protection Program loan</w:t>
            </w:r>
          </w:p>
        </w:tc>
        <w:tc>
          <w:tcPr>
            <w:tcW w:w="260" w:type="dxa"/>
            <w:vAlign w:val="bottom"/>
            <w:shd w:val="clear" w:color="auto" w:fill="D2DCE5"/>
          </w:tcPr>
          <w:p>
            <w:pPr>
              <w:spacing w:after="0"/>
              <w:rPr>
                <w:sz w:val="17"/>
                <w:szCs w:val="17"/>
                <w:color w:val="auto"/>
              </w:rPr>
            </w:pPr>
          </w:p>
        </w:tc>
        <w:tc>
          <w:tcPr>
            <w:tcW w:w="1020" w:type="dxa"/>
            <w:vAlign w:val="bottom"/>
            <w:gridSpan w:val="2"/>
            <w:shd w:val="clear" w:color="auto" w:fill="D2DCE5"/>
          </w:tcPr>
          <w:p>
            <w:pPr>
              <w:jc w:val="right"/>
              <w:ind w:right="140"/>
              <w:spacing w:after="0"/>
              <w:rPr>
                <w:sz w:val="20"/>
                <w:szCs w:val="20"/>
                <w:color w:val="auto"/>
              </w:rPr>
            </w:pPr>
            <w:r>
              <w:rPr>
                <w:rFonts w:ascii="Arial" w:cs="Arial" w:eastAsia="Arial" w:hAnsi="Arial"/>
                <w:sz w:val="13"/>
                <w:szCs w:val="13"/>
                <w:color w:val="131E29"/>
              </w:rPr>
              <w:t>—</w:t>
            </w:r>
          </w:p>
        </w:tc>
        <w:tc>
          <w:tcPr>
            <w:tcW w:w="280" w:type="dxa"/>
            <w:vAlign w:val="bottom"/>
            <w:shd w:val="clear" w:color="auto" w:fill="D2DCE5"/>
          </w:tcPr>
          <w:p>
            <w:pPr>
              <w:spacing w:after="0"/>
              <w:rPr>
                <w:sz w:val="17"/>
                <w:szCs w:val="17"/>
                <w:color w:val="auto"/>
              </w:rPr>
            </w:pPr>
          </w:p>
        </w:tc>
        <w:tc>
          <w:tcPr>
            <w:tcW w:w="1020" w:type="dxa"/>
            <w:vAlign w:val="bottom"/>
            <w:gridSpan w:val="2"/>
            <w:shd w:val="clear" w:color="auto" w:fill="D2DCE5"/>
          </w:tcPr>
          <w:p>
            <w:pPr>
              <w:jc w:val="right"/>
              <w:ind w:right="140"/>
              <w:spacing w:after="0"/>
              <w:rPr>
                <w:sz w:val="20"/>
                <w:szCs w:val="20"/>
                <w:color w:val="auto"/>
              </w:rPr>
            </w:pPr>
            <w:r>
              <w:rPr>
                <w:rFonts w:ascii="Arial" w:cs="Arial" w:eastAsia="Arial" w:hAnsi="Arial"/>
                <w:sz w:val="13"/>
                <w:szCs w:val="13"/>
                <w:color w:val="131E29"/>
              </w:rPr>
              <w:t>—</w:t>
            </w:r>
          </w:p>
        </w:tc>
        <w:tc>
          <w:tcPr>
            <w:tcW w:w="280" w:type="dxa"/>
            <w:vAlign w:val="bottom"/>
            <w:shd w:val="clear" w:color="auto" w:fill="D2DCE5"/>
          </w:tcPr>
          <w:p>
            <w:pPr>
              <w:spacing w:after="0"/>
              <w:rPr>
                <w:sz w:val="17"/>
                <w:szCs w:val="17"/>
                <w:color w:val="auto"/>
              </w:rPr>
            </w:pPr>
          </w:p>
        </w:tc>
        <w:tc>
          <w:tcPr>
            <w:tcW w:w="92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(10,000)</w:t>
            </w:r>
          </w:p>
        </w:tc>
      </w:tr>
      <w:tr>
        <w:trPr>
          <w:trHeight w:val="183"/>
        </w:trPr>
        <w:tc>
          <w:tcPr>
            <w:tcW w:w="7020" w:type="dxa"/>
            <w:vAlign w:val="bottom"/>
            <w:gridSpan w:val="2"/>
          </w:tcPr>
          <w:p>
            <w:pPr>
              <w:ind w:left="140"/>
              <w:spacing w:after="0"/>
              <w:rPr>
                <w:sz w:val="20"/>
                <w:szCs w:val="20"/>
                <w:color w:val="auto"/>
              </w:rPr>
            </w:pPr>
            <w:r>
              <w:rPr>
                <w:rFonts w:ascii="Arial" w:cs="Arial" w:eastAsia="Arial" w:hAnsi="Arial"/>
                <w:sz w:val="13"/>
                <w:szCs w:val="13"/>
                <w:color w:val="131E29"/>
              </w:rPr>
              <w:t>Proceeds from initial public offering, net of offering costs</w:t>
            </w:r>
          </w:p>
        </w:tc>
        <w:tc>
          <w:tcPr>
            <w:tcW w:w="26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131E29"/>
              </w:rPr>
              <w:t>—</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131E29"/>
              </w:rPr>
              <w:t>524,858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131E29"/>
              </w:rPr>
              <w:t>—</w:t>
            </w:r>
          </w:p>
        </w:tc>
      </w:tr>
      <w:tr>
        <w:trPr>
          <w:trHeight w:val="199"/>
        </w:trPr>
        <w:tc>
          <w:tcPr>
            <w:tcW w:w="7020" w:type="dxa"/>
            <w:vAlign w:val="bottom"/>
            <w:gridSpan w:val="2"/>
            <w:shd w:val="clear" w:color="auto" w:fill="D2DCE5"/>
          </w:tcPr>
          <w:p>
            <w:pPr>
              <w:ind w:left="140"/>
              <w:spacing w:after="0"/>
              <w:rPr>
                <w:sz w:val="20"/>
                <w:szCs w:val="20"/>
                <w:color w:val="auto"/>
              </w:rPr>
            </w:pPr>
            <w:r>
              <w:rPr>
                <w:rFonts w:ascii="Arial" w:cs="Arial" w:eastAsia="Arial" w:hAnsi="Arial"/>
                <w:sz w:val="13"/>
                <w:szCs w:val="13"/>
                <w:color w:val="131E29"/>
              </w:rPr>
              <w:t>Distributions paid to members</w:t>
            </w:r>
          </w:p>
        </w:tc>
        <w:tc>
          <w:tcPr>
            <w:tcW w:w="260" w:type="dxa"/>
            <w:vAlign w:val="bottom"/>
            <w:shd w:val="clear" w:color="auto" w:fill="D2DCE5"/>
          </w:tcPr>
          <w:p>
            <w:pPr>
              <w:spacing w:after="0"/>
              <w:rPr>
                <w:sz w:val="17"/>
                <w:szCs w:val="17"/>
                <w:color w:val="auto"/>
              </w:rPr>
            </w:pPr>
          </w:p>
        </w:tc>
        <w:tc>
          <w:tcPr>
            <w:tcW w:w="1020" w:type="dxa"/>
            <w:vAlign w:val="bottom"/>
            <w:gridSpan w:val="2"/>
            <w:shd w:val="clear" w:color="auto" w:fill="D2DCE5"/>
          </w:tcPr>
          <w:p>
            <w:pPr>
              <w:jc w:val="right"/>
              <w:ind w:right="140"/>
              <w:spacing w:after="0"/>
              <w:rPr>
                <w:sz w:val="20"/>
                <w:szCs w:val="20"/>
                <w:color w:val="auto"/>
              </w:rPr>
            </w:pPr>
            <w:r>
              <w:rPr>
                <w:rFonts w:ascii="Arial" w:cs="Arial" w:eastAsia="Arial" w:hAnsi="Arial"/>
                <w:sz w:val="13"/>
                <w:szCs w:val="13"/>
                <w:color w:val="131E29"/>
              </w:rPr>
              <w:t>—</w:t>
            </w:r>
          </w:p>
        </w:tc>
        <w:tc>
          <w:tcPr>
            <w:tcW w:w="280" w:type="dxa"/>
            <w:vAlign w:val="bottom"/>
            <w:shd w:val="clear" w:color="auto" w:fill="D2DCE5"/>
          </w:tcPr>
          <w:p>
            <w:pPr>
              <w:spacing w:after="0"/>
              <w:rPr>
                <w:sz w:val="17"/>
                <w:szCs w:val="17"/>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(213,308)</w:t>
            </w: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92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(7,750)</w:t>
            </w:r>
          </w:p>
        </w:tc>
      </w:tr>
      <w:tr>
        <w:trPr>
          <w:trHeight w:val="183"/>
        </w:trPr>
        <w:tc>
          <w:tcPr>
            <w:tcW w:w="7020" w:type="dxa"/>
            <w:vAlign w:val="bottom"/>
            <w:gridSpan w:val="2"/>
          </w:tcPr>
          <w:p>
            <w:pPr>
              <w:ind w:left="140"/>
              <w:spacing w:after="0"/>
              <w:rPr>
                <w:sz w:val="20"/>
                <w:szCs w:val="20"/>
                <w:color w:val="auto"/>
              </w:rPr>
            </w:pPr>
            <w:r>
              <w:rPr>
                <w:rFonts w:ascii="Arial" w:cs="Arial" w:eastAsia="Arial" w:hAnsi="Arial"/>
                <w:sz w:val="13"/>
                <w:szCs w:val="13"/>
                <w:color w:val="131E29"/>
              </w:rPr>
              <w:t>Payments to repurchase outstanding equity/member units</w:t>
            </w:r>
          </w:p>
        </w:tc>
        <w:tc>
          <w:tcPr>
            <w:tcW w:w="26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131E29"/>
              </w:rPr>
              <w:t>—</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131E29"/>
              </w:rPr>
              <w:t>(287,664)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131E29"/>
              </w:rPr>
              <w:t>—</w:t>
            </w:r>
          </w:p>
        </w:tc>
      </w:tr>
      <w:tr>
        <w:trPr>
          <w:trHeight w:val="199"/>
        </w:trPr>
        <w:tc>
          <w:tcPr>
            <w:tcW w:w="7020" w:type="dxa"/>
            <w:vAlign w:val="bottom"/>
            <w:gridSpan w:val="2"/>
            <w:shd w:val="clear" w:color="auto" w:fill="D2DCE5"/>
          </w:tcPr>
          <w:p>
            <w:pPr>
              <w:ind w:left="140"/>
              <w:spacing w:after="0"/>
              <w:rPr>
                <w:sz w:val="20"/>
                <w:szCs w:val="20"/>
                <w:color w:val="auto"/>
              </w:rPr>
            </w:pPr>
            <w:r>
              <w:rPr>
                <w:rFonts w:ascii="Arial" w:cs="Arial" w:eastAsia="Arial" w:hAnsi="Arial"/>
                <w:sz w:val="13"/>
                <w:szCs w:val="13"/>
                <w:color w:val="131E29"/>
              </w:rPr>
              <w:t>Payments of IPO issuance costs</w:t>
            </w:r>
          </w:p>
        </w:tc>
        <w:tc>
          <w:tcPr>
            <w:tcW w:w="260" w:type="dxa"/>
            <w:vAlign w:val="bottom"/>
            <w:shd w:val="clear" w:color="auto" w:fill="D2DCE5"/>
          </w:tcPr>
          <w:p>
            <w:pPr>
              <w:spacing w:after="0"/>
              <w:rPr>
                <w:sz w:val="17"/>
                <w:szCs w:val="17"/>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(250)</w:t>
            </w: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(3,804)</w:t>
            </w: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92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w:t>
            </w:r>
          </w:p>
        </w:tc>
      </w:tr>
      <w:tr>
        <w:trPr>
          <w:trHeight w:val="183"/>
        </w:trPr>
        <w:tc>
          <w:tcPr>
            <w:tcW w:w="7020" w:type="dxa"/>
            <w:vAlign w:val="bottom"/>
            <w:tcBorders>
              <w:bottom w:val="single" w:sz="8" w:color="D2DCE5"/>
            </w:tcBorders>
            <w:gridSpan w:val="2"/>
          </w:tcPr>
          <w:p>
            <w:pPr>
              <w:ind w:left="140"/>
              <w:spacing w:after="0"/>
              <w:rPr>
                <w:sz w:val="20"/>
                <w:szCs w:val="20"/>
                <w:color w:val="auto"/>
              </w:rPr>
            </w:pPr>
            <w:r>
              <w:rPr>
                <w:rFonts w:ascii="Arial" w:cs="Arial" w:eastAsia="Arial" w:hAnsi="Arial"/>
                <w:sz w:val="13"/>
                <w:szCs w:val="13"/>
                <w:color w:val="131E29"/>
              </w:rPr>
              <w:t>Tax withholding payments upon vesting of equity awards</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131E29"/>
              </w:rPr>
              <w:t>(3,900)</w:t>
            </w:r>
          </w:p>
        </w:tc>
        <w:tc>
          <w:tcPr>
            <w:tcW w:w="80" w:type="dxa"/>
            <w:vAlign w:val="bottom"/>
            <w:tcBorders>
              <w:bottom w:val="single" w:sz="8" w:color="D2DCE5"/>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131E29"/>
              </w:rPr>
              <w:t>(11,333)</w:t>
            </w:r>
          </w:p>
        </w:tc>
        <w:tc>
          <w:tcPr>
            <w:tcW w:w="80" w:type="dxa"/>
            <w:vAlign w:val="bottom"/>
            <w:tcBorders>
              <w:bottom w:val="single" w:sz="8" w:color="D2DCE5"/>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131E29"/>
              </w:rPr>
              <w:t>—</w:t>
            </w:r>
          </w:p>
        </w:tc>
      </w:tr>
      <w:tr>
        <w:trPr>
          <w:trHeight w:val="182"/>
        </w:trPr>
        <w:tc>
          <w:tcPr>
            <w:tcW w:w="7020" w:type="dxa"/>
            <w:vAlign w:val="bottom"/>
            <w:gridSpan w:val="2"/>
            <w:shd w:val="clear" w:color="auto" w:fill="D2DCE5"/>
          </w:tcPr>
          <w:p>
            <w:pPr>
              <w:ind w:left="520"/>
              <w:spacing w:after="0"/>
              <w:rPr>
                <w:sz w:val="20"/>
                <w:szCs w:val="20"/>
                <w:color w:val="auto"/>
              </w:rPr>
            </w:pPr>
            <w:r>
              <w:rPr>
                <w:rFonts w:ascii="Arial" w:cs="Arial" w:eastAsia="Arial" w:hAnsi="Arial"/>
                <w:sz w:val="13"/>
                <w:szCs w:val="13"/>
                <w:color w:val="131E29"/>
              </w:rPr>
              <w:t>Net cash provided by financing activities</w:t>
            </w:r>
          </w:p>
        </w:tc>
        <w:tc>
          <w:tcPr>
            <w:tcW w:w="260" w:type="dxa"/>
            <w:vAlign w:val="bottom"/>
            <w:tcBorders>
              <w:bottom w:val="single" w:sz="8" w:color="auto"/>
            </w:tcBorders>
            <w:shd w:val="clear" w:color="auto" w:fill="D2DCE5"/>
          </w:tcPr>
          <w:p>
            <w:pPr>
              <w:spacing w:after="0"/>
              <w:rPr>
                <w:sz w:val="15"/>
                <w:szCs w:val="15"/>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134,361</w:t>
            </w:r>
          </w:p>
        </w:tc>
        <w:tc>
          <w:tcPr>
            <w:tcW w:w="80" w:type="dxa"/>
            <w:vAlign w:val="bottom"/>
            <w:shd w:val="clear" w:color="auto" w:fill="D2DCE5"/>
          </w:tcPr>
          <w:p>
            <w:pPr>
              <w:spacing w:after="0"/>
              <w:rPr>
                <w:sz w:val="15"/>
                <w:szCs w:val="15"/>
                <w:color w:val="auto"/>
              </w:rPr>
            </w:pPr>
          </w:p>
        </w:tc>
        <w:tc>
          <w:tcPr>
            <w:tcW w:w="280" w:type="dxa"/>
            <w:vAlign w:val="bottom"/>
            <w:tcBorders>
              <w:bottom w:val="single" w:sz="8" w:color="auto"/>
            </w:tcBorders>
            <w:shd w:val="clear" w:color="auto" w:fill="D2DCE5"/>
          </w:tcPr>
          <w:p>
            <w:pPr>
              <w:spacing w:after="0"/>
              <w:rPr>
                <w:sz w:val="15"/>
                <w:szCs w:val="15"/>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27,580</w:t>
            </w:r>
          </w:p>
        </w:tc>
        <w:tc>
          <w:tcPr>
            <w:tcW w:w="80" w:type="dxa"/>
            <w:vAlign w:val="bottom"/>
            <w:shd w:val="clear" w:color="auto" w:fill="D2DCE5"/>
          </w:tcPr>
          <w:p>
            <w:pPr>
              <w:spacing w:after="0"/>
              <w:rPr>
                <w:sz w:val="15"/>
                <w:szCs w:val="15"/>
                <w:color w:val="auto"/>
              </w:rPr>
            </w:pPr>
          </w:p>
        </w:tc>
        <w:tc>
          <w:tcPr>
            <w:tcW w:w="280" w:type="dxa"/>
            <w:vAlign w:val="bottom"/>
            <w:tcBorders>
              <w:bottom w:val="single" w:sz="8" w:color="auto"/>
            </w:tcBorders>
            <w:shd w:val="clear" w:color="auto" w:fill="D2DCE5"/>
          </w:tcPr>
          <w:p>
            <w:pPr>
              <w:spacing w:after="0"/>
              <w:rPr>
                <w:sz w:val="15"/>
                <w:szCs w:val="15"/>
                <w:color w:val="auto"/>
              </w:rPr>
            </w:pPr>
          </w:p>
        </w:tc>
        <w:tc>
          <w:tcPr>
            <w:tcW w:w="9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8,077</w:t>
            </w:r>
          </w:p>
        </w:tc>
      </w:tr>
      <w:tr>
        <w:trPr>
          <w:trHeight w:val="182"/>
        </w:trPr>
        <w:tc>
          <w:tcPr>
            <w:tcW w:w="7020" w:type="dxa"/>
            <w:vAlign w:val="bottom"/>
            <w:gridSpan w:val="2"/>
          </w:tcPr>
          <w:p>
            <w:pPr>
              <w:ind w:left="660"/>
              <w:spacing w:after="0"/>
              <w:rPr>
                <w:sz w:val="20"/>
                <w:szCs w:val="20"/>
                <w:color w:val="auto"/>
              </w:rPr>
            </w:pPr>
            <w:r>
              <w:rPr>
                <w:rFonts w:ascii="Arial" w:cs="Arial" w:eastAsia="Arial" w:hAnsi="Arial"/>
                <w:sz w:val="13"/>
                <w:szCs w:val="13"/>
                <w:color w:val="131E29"/>
              </w:rPr>
              <w:t>Net increase (decrease) in cash and cash equivalents</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131E29"/>
              </w:rPr>
              <w:t>1,672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131E29"/>
              </w:rPr>
              <w:t>(13,134)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131E29"/>
              </w:rPr>
              <w:t>16,056</w:t>
            </w:r>
          </w:p>
        </w:tc>
      </w:tr>
      <w:tr>
        <w:trPr>
          <w:trHeight w:val="191"/>
        </w:trPr>
        <w:tc>
          <w:tcPr>
            <w:tcW w:w="702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Cash and cash equivalents, beginning of period</w:t>
            </w:r>
          </w:p>
        </w:tc>
        <w:tc>
          <w:tcPr>
            <w:tcW w:w="260" w:type="dxa"/>
            <w:vAlign w:val="bottom"/>
            <w:tcBorders>
              <w:bottom w:val="single" w:sz="8" w:color="auto"/>
            </w:tcBorders>
            <w:shd w:val="clear" w:color="auto" w:fill="D2DCE5"/>
          </w:tcPr>
          <w:p>
            <w:pPr>
              <w:spacing w:after="0"/>
              <w:rPr>
                <w:sz w:val="16"/>
                <w:szCs w:val="16"/>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18,506</w:t>
            </w:r>
          </w:p>
        </w:tc>
        <w:tc>
          <w:tcPr>
            <w:tcW w:w="80" w:type="dxa"/>
            <w:vAlign w:val="bottom"/>
            <w:shd w:val="clear" w:color="auto" w:fill="D2DCE5"/>
          </w:tcPr>
          <w:p>
            <w:pPr>
              <w:spacing w:after="0"/>
              <w:rPr>
                <w:sz w:val="16"/>
                <w:szCs w:val="16"/>
                <w:color w:val="auto"/>
              </w:rPr>
            </w:pPr>
          </w:p>
        </w:tc>
        <w:tc>
          <w:tcPr>
            <w:tcW w:w="280" w:type="dxa"/>
            <w:vAlign w:val="bottom"/>
            <w:tcBorders>
              <w:bottom w:val="single" w:sz="8" w:color="auto"/>
            </w:tcBorders>
            <w:shd w:val="clear" w:color="auto" w:fill="D2DCE5"/>
          </w:tcPr>
          <w:p>
            <w:pPr>
              <w:spacing w:after="0"/>
              <w:rPr>
                <w:sz w:val="16"/>
                <w:szCs w:val="16"/>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31,640</w:t>
            </w:r>
          </w:p>
        </w:tc>
        <w:tc>
          <w:tcPr>
            <w:tcW w:w="80" w:type="dxa"/>
            <w:vAlign w:val="bottom"/>
            <w:shd w:val="clear" w:color="auto" w:fill="D2DCE5"/>
          </w:tcPr>
          <w:p>
            <w:pPr>
              <w:spacing w:after="0"/>
              <w:rPr>
                <w:sz w:val="16"/>
                <w:szCs w:val="16"/>
                <w:color w:val="auto"/>
              </w:rPr>
            </w:pPr>
          </w:p>
        </w:tc>
        <w:tc>
          <w:tcPr>
            <w:tcW w:w="280" w:type="dxa"/>
            <w:vAlign w:val="bottom"/>
            <w:tcBorders>
              <w:bottom w:val="single" w:sz="8" w:color="auto"/>
            </w:tcBorders>
            <w:shd w:val="clear" w:color="auto" w:fill="D2DCE5"/>
          </w:tcPr>
          <w:p>
            <w:pPr>
              <w:spacing w:after="0"/>
              <w:rPr>
                <w:sz w:val="16"/>
                <w:szCs w:val="16"/>
                <w:color w:val="auto"/>
              </w:rPr>
            </w:pPr>
          </w:p>
        </w:tc>
        <w:tc>
          <w:tcPr>
            <w:tcW w:w="9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15,584</w:t>
            </w:r>
          </w:p>
        </w:tc>
      </w:tr>
      <w:tr>
        <w:trPr>
          <w:trHeight w:val="189"/>
        </w:trPr>
        <w:tc>
          <w:tcPr>
            <w:tcW w:w="7020" w:type="dxa"/>
            <w:vAlign w:val="bottom"/>
            <w:gridSpan w:val="2"/>
          </w:tcPr>
          <w:p>
            <w:pPr>
              <w:ind w:left="20"/>
              <w:spacing w:after="0"/>
              <w:rPr>
                <w:sz w:val="20"/>
                <w:szCs w:val="20"/>
                <w:color w:val="auto"/>
              </w:rPr>
            </w:pPr>
            <w:r>
              <w:rPr>
                <w:rFonts w:ascii="Arial" w:cs="Arial" w:eastAsia="Arial" w:hAnsi="Arial"/>
                <w:sz w:val="13"/>
                <w:szCs w:val="13"/>
                <w:color w:val="131E29"/>
              </w:rPr>
              <w:t>Cash and cash equivalents, end of period</w:t>
            </w: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131E29"/>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131E29"/>
              </w:rPr>
              <w:t>20,178</w:t>
            </w: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131E29"/>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131E29"/>
              </w:rPr>
              <w:t>18,506</w:t>
            </w: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131E29"/>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131E29"/>
              </w:rPr>
              <w:t>31,640</w:t>
            </w:r>
          </w:p>
        </w:tc>
      </w:tr>
      <w:tr>
        <w:trPr>
          <w:trHeight w:val="20"/>
        </w:trPr>
        <w:tc>
          <w:tcPr>
            <w:tcW w:w="6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99" w:name="page100"/>
    <w:bookmarkEnd w:id="99"/>
    <w:p>
      <w:pPr>
        <w:spacing w:after="0"/>
        <w:rPr>
          <w:sz w:val="20"/>
          <w:szCs w:val="20"/>
          <w:color w:val="auto"/>
        </w:rPr>
      </w:pPr>
      <w:r>
        <w:rPr>
          <w:rFonts w:ascii="Arial" w:cs="Arial" w:eastAsia="Arial" w:hAnsi="Arial"/>
          <w:sz w:val="11"/>
          <w:szCs w:val="11"/>
          <w:u w:val="single" w:color="auto"/>
          <w:color w:val="006098"/>
        </w:rPr>
        <w:t>Table of Contents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3"/>
          <w:szCs w:val="13"/>
          <w:color w:val="131E29"/>
        </w:rPr>
        <w:t>Consolidated Statements of Cash Flows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8600"/>
        <w:spacing w:after="0"/>
        <w:rPr>
          <w:sz w:val="20"/>
          <w:szCs w:val="20"/>
          <w:color w:val="auto"/>
        </w:rPr>
      </w:pPr>
      <w:r>
        <w:rPr>
          <w:rFonts w:ascii="Arial" w:cs="Arial" w:eastAsia="Arial" w:hAnsi="Arial"/>
          <w:sz w:val="13"/>
          <w:szCs w:val="13"/>
          <w:b w:val="1"/>
          <w:bCs w:val="1"/>
          <w:color w:val="131E29"/>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4752975</wp:posOffset>
            </wp:positionH>
            <wp:positionV relativeFrom="paragraph">
              <wp:posOffset>22225</wp:posOffset>
            </wp:positionV>
            <wp:extent cx="2411730" cy="69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411730" cy="6985"/>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131E29"/>
              </w:rPr>
              <w:t>2022</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131E29"/>
              </w:rPr>
              <w:t>2021</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131E29"/>
              </w:rPr>
              <w:t>2020</w:t>
            </w:r>
          </w:p>
        </w:tc>
      </w:tr>
      <w:tr>
        <w:trPr>
          <w:trHeight w:val="182"/>
        </w:trPr>
        <w:tc>
          <w:tcPr>
            <w:tcW w:w="7480" w:type="dxa"/>
            <w:vAlign w:val="bottom"/>
            <w:gridSpan w:val="2"/>
          </w:tcPr>
          <w:p>
            <w:pPr>
              <w:ind w:left="20"/>
              <w:spacing w:after="0"/>
              <w:rPr>
                <w:sz w:val="20"/>
                <w:szCs w:val="20"/>
                <w:color w:val="auto"/>
              </w:rPr>
            </w:pPr>
            <w:r>
              <w:rPr>
                <w:rFonts w:ascii="Arial" w:cs="Arial" w:eastAsia="Arial" w:hAnsi="Arial"/>
                <w:sz w:val="13"/>
                <w:szCs w:val="13"/>
                <w:b w:val="1"/>
                <w:bCs w:val="1"/>
                <w:color w:val="131E29"/>
              </w:rPr>
              <w:t>Supplemental disclosure of cash flow information</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99"/>
        </w:trPr>
        <w:tc>
          <w:tcPr>
            <w:tcW w:w="7480" w:type="dxa"/>
            <w:vAlign w:val="bottom"/>
            <w:gridSpan w:val="2"/>
            <w:shd w:val="clear" w:color="auto" w:fill="D2DCE5"/>
          </w:tcPr>
          <w:p>
            <w:pPr>
              <w:ind w:left="140"/>
              <w:spacing w:after="0"/>
              <w:rPr>
                <w:sz w:val="20"/>
                <w:szCs w:val="20"/>
                <w:color w:val="auto"/>
              </w:rPr>
            </w:pPr>
            <w:r>
              <w:rPr>
                <w:rFonts w:ascii="Arial" w:cs="Arial" w:eastAsia="Arial" w:hAnsi="Arial"/>
                <w:sz w:val="13"/>
                <w:szCs w:val="13"/>
                <w:color w:val="131E29"/>
              </w:rPr>
              <w:t>Cash paid for interest</w:t>
            </w:r>
          </w:p>
        </w:tc>
        <w:tc>
          <w:tcPr>
            <w:tcW w:w="280" w:type="dxa"/>
            <w:vAlign w:val="bottom"/>
            <w:shd w:val="clear" w:color="auto" w:fill="D2DCE5"/>
          </w:tcPr>
          <w:p>
            <w:pPr>
              <w:jc w:val="right"/>
              <w:ind w:right="136"/>
              <w:spacing w:after="0"/>
              <w:rPr>
                <w:sz w:val="20"/>
                <w:szCs w:val="20"/>
                <w:color w:val="auto"/>
              </w:rPr>
            </w:pPr>
            <w:r>
              <w:rPr>
                <w:rFonts w:ascii="Arial" w:cs="Arial" w:eastAsia="Arial" w:hAnsi="Arial"/>
                <w:sz w:val="13"/>
                <w:szCs w:val="13"/>
                <w:color w:val="131E29"/>
                <w:w w:val="82"/>
              </w:rPr>
              <w:t>$</w:t>
            </w:r>
          </w:p>
        </w:tc>
        <w:tc>
          <w:tcPr>
            <w:tcW w:w="9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17,613</w:t>
            </w: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jc w:val="right"/>
              <w:ind w:right="136"/>
              <w:spacing w:after="0"/>
              <w:rPr>
                <w:sz w:val="20"/>
                <w:szCs w:val="20"/>
                <w:color w:val="auto"/>
              </w:rPr>
            </w:pPr>
            <w:r>
              <w:rPr>
                <w:rFonts w:ascii="Arial" w:cs="Arial" w:eastAsia="Arial" w:hAnsi="Arial"/>
                <w:sz w:val="13"/>
                <w:szCs w:val="13"/>
                <w:color w:val="131E29"/>
                <w:w w:val="82"/>
              </w:rPr>
              <w:t>$</w:t>
            </w:r>
          </w:p>
        </w:tc>
        <w:tc>
          <w:tcPr>
            <w:tcW w:w="92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7,350</w:t>
            </w:r>
          </w:p>
        </w:tc>
        <w:tc>
          <w:tcPr>
            <w:tcW w:w="100" w:type="dxa"/>
            <w:vAlign w:val="bottom"/>
            <w:shd w:val="clear" w:color="auto" w:fill="D2DCE5"/>
          </w:tcPr>
          <w:p>
            <w:pPr>
              <w:spacing w:after="0"/>
              <w:rPr>
                <w:sz w:val="17"/>
                <w:szCs w:val="17"/>
                <w:color w:val="auto"/>
              </w:rPr>
            </w:pPr>
          </w:p>
        </w:tc>
        <w:tc>
          <w:tcPr>
            <w:tcW w:w="260" w:type="dxa"/>
            <w:vAlign w:val="bottom"/>
            <w:shd w:val="clear" w:color="auto" w:fill="D2DCE5"/>
          </w:tcPr>
          <w:p>
            <w:pPr>
              <w:jc w:val="right"/>
              <w:ind w:right="116"/>
              <w:spacing w:after="0"/>
              <w:rPr>
                <w:sz w:val="20"/>
                <w:szCs w:val="20"/>
                <w:color w:val="auto"/>
              </w:rPr>
            </w:pPr>
            <w:r>
              <w:rPr>
                <w:rFonts w:ascii="Arial" w:cs="Arial" w:eastAsia="Arial" w:hAnsi="Arial"/>
                <w:sz w:val="13"/>
                <w:szCs w:val="13"/>
                <w:color w:val="131E29"/>
                <w:w w:val="82"/>
              </w:rPr>
              <w:t>$</w:t>
            </w:r>
          </w:p>
        </w:tc>
        <w:tc>
          <w:tcPr>
            <w:tcW w:w="9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3,829</w:t>
            </w:r>
          </w:p>
        </w:tc>
      </w:tr>
      <w:tr>
        <w:trPr>
          <w:trHeight w:val="183"/>
        </w:trPr>
        <w:tc>
          <w:tcPr>
            <w:tcW w:w="7480" w:type="dxa"/>
            <w:vAlign w:val="bottom"/>
            <w:gridSpan w:val="2"/>
          </w:tcPr>
          <w:p>
            <w:pPr>
              <w:ind w:left="140"/>
              <w:spacing w:after="0"/>
              <w:rPr>
                <w:sz w:val="20"/>
                <w:szCs w:val="20"/>
                <w:color w:val="auto"/>
              </w:rPr>
            </w:pPr>
            <w:r>
              <w:rPr>
                <w:rFonts w:ascii="Arial" w:cs="Arial" w:eastAsia="Arial" w:hAnsi="Arial"/>
                <w:sz w:val="13"/>
                <w:szCs w:val="13"/>
                <w:color w:val="131E29"/>
              </w:rPr>
              <w:t>Income taxes paid</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131E29"/>
              </w:rPr>
              <w:t>1,316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131E29"/>
              </w:rPr>
              <w:t>886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131E29"/>
              </w:rPr>
              <w:t>338</w:t>
            </w:r>
          </w:p>
        </w:tc>
      </w:tr>
      <w:tr>
        <w:trPr>
          <w:trHeight w:val="199"/>
        </w:trPr>
        <w:tc>
          <w:tcPr>
            <w:tcW w:w="7480" w:type="dxa"/>
            <w:vAlign w:val="bottom"/>
            <w:gridSpan w:val="2"/>
            <w:shd w:val="clear" w:color="auto" w:fill="D2DCE5"/>
          </w:tcPr>
          <w:p>
            <w:pPr>
              <w:ind w:left="20"/>
              <w:spacing w:after="0"/>
              <w:rPr>
                <w:sz w:val="20"/>
                <w:szCs w:val="20"/>
                <w:color w:val="auto"/>
              </w:rPr>
            </w:pPr>
            <w:r>
              <w:rPr>
                <w:rFonts w:ascii="Arial" w:cs="Arial" w:eastAsia="Arial" w:hAnsi="Arial"/>
                <w:sz w:val="13"/>
                <w:szCs w:val="13"/>
                <w:b w:val="1"/>
                <w:bCs w:val="1"/>
                <w:color w:val="131E29"/>
              </w:rPr>
              <w:t>Supplemental disclosure of noncash investing and financing activities</w:t>
            </w:r>
          </w:p>
        </w:tc>
        <w:tc>
          <w:tcPr>
            <w:tcW w:w="280" w:type="dxa"/>
            <w:vAlign w:val="bottom"/>
            <w:shd w:val="clear" w:color="auto" w:fill="D2DCE5"/>
          </w:tcPr>
          <w:p>
            <w:pPr>
              <w:spacing w:after="0"/>
              <w:rPr>
                <w:sz w:val="17"/>
                <w:szCs w:val="17"/>
                <w:color w:val="auto"/>
              </w:rPr>
            </w:pPr>
          </w:p>
        </w:tc>
        <w:tc>
          <w:tcPr>
            <w:tcW w:w="9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92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260" w:type="dxa"/>
            <w:vAlign w:val="bottom"/>
            <w:shd w:val="clear" w:color="auto" w:fill="D2DCE5"/>
          </w:tcPr>
          <w:p>
            <w:pPr>
              <w:spacing w:after="0"/>
              <w:rPr>
                <w:sz w:val="17"/>
                <w:szCs w:val="17"/>
                <w:color w:val="auto"/>
              </w:rPr>
            </w:pPr>
          </w:p>
        </w:tc>
        <w:tc>
          <w:tcPr>
            <w:tcW w:w="940" w:type="dxa"/>
            <w:vAlign w:val="bottom"/>
            <w:shd w:val="clear" w:color="auto" w:fill="D2DCE5"/>
          </w:tcPr>
          <w:p>
            <w:pPr>
              <w:spacing w:after="0"/>
              <w:rPr>
                <w:sz w:val="17"/>
                <w:szCs w:val="17"/>
                <w:color w:val="auto"/>
              </w:rPr>
            </w:pPr>
          </w:p>
        </w:tc>
      </w:tr>
      <w:tr>
        <w:trPr>
          <w:trHeight w:val="183"/>
        </w:trPr>
        <w:tc>
          <w:tcPr>
            <w:tcW w:w="7480" w:type="dxa"/>
            <w:vAlign w:val="bottom"/>
            <w:gridSpan w:val="2"/>
          </w:tcPr>
          <w:p>
            <w:pPr>
              <w:ind w:left="140"/>
              <w:spacing w:after="0"/>
              <w:rPr>
                <w:sz w:val="20"/>
                <w:szCs w:val="20"/>
                <w:color w:val="auto"/>
              </w:rPr>
            </w:pPr>
            <w:r>
              <w:rPr>
                <w:rFonts w:ascii="Arial" w:cs="Arial" w:eastAsia="Arial" w:hAnsi="Arial"/>
                <w:sz w:val="13"/>
                <w:szCs w:val="13"/>
                <w:color w:val="131E29"/>
              </w:rPr>
              <w:t>Additions of property with capital leases</w:t>
            </w:r>
          </w:p>
        </w:tc>
        <w:tc>
          <w:tcPr>
            <w:tcW w:w="2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131E29"/>
              </w:rPr>
              <w: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131E29"/>
              </w:rPr>
              <w:t>35,169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131E29"/>
              </w:rPr>
              <w:t>31,291</w:t>
            </w:r>
          </w:p>
        </w:tc>
      </w:tr>
      <w:tr>
        <w:trPr>
          <w:trHeight w:val="199"/>
        </w:trPr>
        <w:tc>
          <w:tcPr>
            <w:tcW w:w="7480" w:type="dxa"/>
            <w:vAlign w:val="bottom"/>
            <w:gridSpan w:val="2"/>
            <w:shd w:val="clear" w:color="auto" w:fill="D2DCE5"/>
          </w:tcPr>
          <w:p>
            <w:pPr>
              <w:ind w:left="140"/>
              <w:spacing w:after="0"/>
              <w:rPr>
                <w:sz w:val="20"/>
                <w:szCs w:val="20"/>
                <w:color w:val="auto"/>
              </w:rPr>
            </w:pPr>
            <w:r>
              <w:rPr>
                <w:rFonts w:ascii="Arial" w:cs="Arial" w:eastAsia="Arial" w:hAnsi="Arial"/>
                <w:sz w:val="13"/>
                <w:szCs w:val="13"/>
                <w:color w:val="131E29"/>
              </w:rPr>
              <w:t>Additions of property and equipment accrued as of end of period</w:t>
            </w:r>
          </w:p>
        </w:tc>
        <w:tc>
          <w:tcPr>
            <w:tcW w:w="280" w:type="dxa"/>
            <w:vAlign w:val="bottom"/>
            <w:shd w:val="clear" w:color="auto" w:fill="D2DCE5"/>
          </w:tcPr>
          <w:p>
            <w:pPr>
              <w:spacing w:after="0"/>
              <w:rPr>
                <w:sz w:val="17"/>
                <w:szCs w:val="17"/>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6,731</w:t>
            </w: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92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6,452</w:t>
            </w:r>
          </w:p>
        </w:tc>
        <w:tc>
          <w:tcPr>
            <w:tcW w:w="100" w:type="dxa"/>
            <w:vAlign w:val="bottom"/>
            <w:shd w:val="clear" w:color="auto" w:fill="D2DCE5"/>
          </w:tcPr>
          <w:p>
            <w:pPr>
              <w:spacing w:after="0"/>
              <w:rPr>
                <w:sz w:val="17"/>
                <w:szCs w:val="17"/>
                <w:color w:val="auto"/>
              </w:rPr>
            </w:pPr>
          </w:p>
        </w:tc>
        <w:tc>
          <w:tcPr>
            <w:tcW w:w="260" w:type="dxa"/>
            <w:vAlign w:val="bottom"/>
            <w:shd w:val="clear" w:color="auto" w:fill="D2DCE5"/>
          </w:tcPr>
          <w:p>
            <w:pPr>
              <w:spacing w:after="0"/>
              <w:rPr>
                <w:sz w:val="17"/>
                <w:szCs w:val="17"/>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3,518</w:t>
            </w:r>
          </w:p>
        </w:tc>
      </w:tr>
      <w:tr>
        <w:trPr>
          <w:trHeight w:val="183"/>
        </w:trPr>
        <w:tc>
          <w:tcPr>
            <w:tcW w:w="7480" w:type="dxa"/>
            <w:vAlign w:val="bottom"/>
            <w:gridSpan w:val="2"/>
          </w:tcPr>
          <w:p>
            <w:pPr>
              <w:ind w:left="140"/>
              <w:spacing w:after="0"/>
              <w:rPr>
                <w:sz w:val="20"/>
                <w:szCs w:val="20"/>
                <w:color w:val="auto"/>
              </w:rPr>
            </w:pPr>
            <w:r>
              <w:rPr>
                <w:rFonts w:ascii="Arial" w:cs="Arial" w:eastAsia="Arial" w:hAnsi="Arial"/>
                <w:sz w:val="13"/>
                <w:szCs w:val="13"/>
                <w:color w:val="131E29"/>
              </w:rPr>
              <w:t>Deferred offering costs accrued</w:t>
            </w:r>
          </w:p>
        </w:tc>
        <w:tc>
          <w:tcPr>
            <w:tcW w:w="2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131E29"/>
              </w:rPr>
              <w: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131E29"/>
              </w:rPr>
              <w:t>250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131E29"/>
              </w:rPr>
              <w:t>—</w:t>
            </w:r>
          </w:p>
        </w:tc>
      </w:tr>
      <w:tr>
        <w:trPr>
          <w:trHeight w:val="199"/>
        </w:trPr>
        <w:tc>
          <w:tcPr>
            <w:tcW w:w="7480" w:type="dxa"/>
            <w:vAlign w:val="bottom"/>
            <w:gridSpan w:val="2"/>
            <w:shd w:val="clear" w:color="auto" w:fill="D2DCE5"/>
          </w:tcPr>
          <w:p>
            <w:pPr>
              <w:ind w:left="140"/>
              <w:spacing w:after="0"/>
              <w:rPr>
                <w:sz w:val="20"/>
                <w:szCs w:val="20"/>
                <w:color w:val="auto"/>
              </w:rPr>
            </w:pPr>
            <w:r>
              <w:rPr>
                <w:rFonts w:ascii="Arial" w:cs="Arial" w:eastAsia="Arial" w:hAnsi="Arial"/>
                <w:sz w:val="13"/>
                <w:szCs w:val="13"/>
                <w:color w:val="131E29"/>
              </w:rPr>
              <w:t>Transfer between line of credit and term loan facility</w:t>
            </w:r>
          </w:p>
        </w:tc>
        <w:tc>
          <w:tcPr>
            <w:tcW w:w="280" w:type="dxa"/>
            <w:vAlign w:val="bottom"/>
            <w:shd w:val="clear" w:color="auto" w:fill="D2DCE5"/>
          </w:tcPr>
          <w:p>
            <w:pPr>
              <w:spacing w:after="0"/>
              <w:rPr>
                <w:sz w:val="17"/>
                <w:szCs w:val="17"/>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100,000</w:t>
            </w: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1020" w:type="dxa"/>
            <w:vAlign w:val="bottom"/>
            <w:gridSpan w:val="2"/>
            <w:shd w:val="clear" w:color="auto" w:fill="D2DCE5"/>
          </w:tcPr>
          <w:p>
            <w:pPr>
              <w:jc w:val="right"/>
              <w:ind w:right="140"/>
              <w:spacing w:after="0"/>
              <w:rPr>
                <w:sz w:val="20"/>
                <w:szCs w:val="20"/>
                <w:color w:val="auto"/>
              </w:rPr>
            </w:pPr>
            <w:r>
              <w:rPr>
                <w:rFonts w:ascii="Arial" w:cs="Arial" w:eastAsia="Arial" w:hAnsi="Arial"/>
                <w:sz w:val="13"/>
                <w:szCs w:val="13"/>
                <w:color w:val="131E29"/>
              </w:rPr>
              <w:t>—</w:t>
            </w:r>
          </w:p>
        </w:tc>
        <w:tc>
          <w:tcPr>
            <w:tcW w:w="260" w:type="dxa"/>
            <w:vAlign w:val="bottom"/>
            <w:shd w:val="clear" w:color="auto" w:fill="D2DCE5"/>
          </w:tcPr>
          <w:p>
            <w:pPr>
              <w:spacing w:after="0"/>
              <w:rPr>
                <w:sz w:val="17"/>
                <w:szCs w:val="17"/>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100" w:name="page101"/>
    <w:bookmarkEnd w:id="100"/>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560" w:type="dxa"/>
            <w:vAlign w:val="bottom"/>
            <w:gridSpan w:val="2"/>
          </w:tcPr>
          <w:p>
            <w:pPr>
              <w:ind w:left="3980"/>
              <w:spacing w:after="0"/>
              <w:rPr>
                <w:sz w:val="20"/>
                <w:szCs w:val="20"/>
                <w:color w:val="auto"/>
              </w:rPr>
            </w:pPr>
            <w:r>
              <w:rPr>
                <w:rFonts w:ascii="Arial" w:cs="Arial" w:eastAsia="Arial" w:hAnsi="Arial"/>
                <w:sz w:val="14"/>
                <w:szCs w:val="14"/>
                <w:color w:val="131E29"/>
              </w:rPr>
              <w:t>Index for Notes to Consolidated Financial Statements</w:t>
            </w:r>
          </w:p>
        </w:tc>
        <w:tc>
          <w:tcPr>
            <w:tcW w:w="720" w:type="dxa"/>
            <w:vAlign w:val="bottom"/>
          </w:tcPr>
          <w:p>
            <w:pPr>
              <w:spacing w:after="0"/>
              <w:rPr>
                <w:sz w:val="14"/>
                <w:szCs w:val="14"/>
                <w:color w:val="auto"/>
              </w:rPr>
            </w:pPr>
          </w:p>
        </w:tc>
      </w:tr>
      <w:tr>
        <w:trPr>
          <w:trHeight w:val="212"/>
        </w:trPr>
        <w:tc>
          <w:tcPr>
            <w:tcW w:w="10560" w:type="dxa"/>
            <w:vAlign w:val="bottom"/>
            <w:gridSpan w:val="2"/>
          </w:tcPr>
          <w:p>
            <w:pPr>
              <w:ind w:left="20"/>
              <w:spacing w:after="0"/>
              <w:rPr>
                <w:sz w:val="20"/>
                <w:szCs w:val="20"/>
                <w:color w:val="auto"/>
              </w:rPr>
            </w:pPr>
            <w:r>
              <w:rPr>
                <w:rFonts w:ascii="Arial" w:cs="Arial" w:eastAsia="Arial" w:hAnsi="Arial"/>
                <w:sz w:val="14"/>
                <w:szCs w:val="14"/>
                <w:b w:val="1"/>
                <w:bCs w:val="1"/>
                <w:color w:val="131E29"/>
              </w:rPr>
              <w:t>Note</w:t>
            </w:r>
          </w:p>
        </w:tc>
        <w:tc>
          <w:tcPr>
            <w:tcW w:w="720" w:type="dxa"/>
            <w:vAlign w:val="bottom"/>
          </w:tcPr>
          <w:p>
            <w:pPr>
              <w:ind w:left="200"/>
              <w:spacing w:after="0"/>
              <w:rPr>
                <w:sz w:val="20"/>
                <w:szCs w:val="20"/>
                <w:color w:val="auto"/>
              </w:rPr>
            </w:pPr>
            <w:r>
              <w:rPr>
                <w:rFonts w:ascii="Arial" w:cs="Arial" w:eastAsia="Arial" w:hAnsi="Arial"/>
                <w:sz w:val="14"/>
                <w:szCs w:val="14"/>
                <w:b w:val="1"/>
                <w:bCs w:val="1"/>
                <w:color w:val="131E29"/>
              </w:rPr>
              <w:t>Page</w:t>
            </w:r>
          </w:p>
        </w:tc>
      </w:tr>
      <w:tr>
        <w:trPr>
          <w:trHeight w:val="22"/>
        </w:trPr>
        <w:tc>
          <w:tcPr>
            <w:tcW w:w="10480" w:type="dxa"/>
            <w:vAlign w:val="bottom"/>
            <w:tcBorders>
              <w:bottom w:val="single" w:sz="8" w:color="131E29"/>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720" w:type="dxa"/>
            <w:vAlign w:val="bottom"/>
            <w:tcBorders>
              <w:bottom w:val="single" w:sz="8" w:color="131E29"/>
            </w:tcBorders>
          </w:tcPr>
          <w:p>
            <w:pPr>
              <w:spacing w:after="0" w:line="20" w:lineRule="exact"/>
              <w:rPr>
                <w:sz w:val="1"/>
                <w:szCs w:val="1"/>
                <w:color w:val="auto"/>
              </w:rPr>
            </w:pPr>
          </w:p>
        </w:tc>
      </w:tr>
      <w:tr>
        <w:trPr>
          <w:trHeight w:val="183"/>
        </w:trPr>
        <w:tc>
          <w:tcPr>
            <w:tcW w:w="105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NOTE 1 — Organization and Background</w:t>
            </w:r>
          </w:p>
        </w:tc>
        <w:tc>
          <w:tcPr>
            <w:tcW w:w="72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4"/>
                <w:szCs w:val="14"/>
                <w:color w:val="131E29"/>
              </w:rPr>
              <w:t>98</w:t>
            </w:r>
          </w:p>
        </w:tc>
      </w:tr>
      <w:tr>
        <w:trPr>
          <w:trHeight w:val="191"/>
        </w:trPr>
        <w:tc>
          <w:tcPr>
            <w:tcW w:w="10560" w:type="dxa"/>
            <w:vAlign w:val="bottom"/>
            <w:gridSpan w:val="2"/>
          </w:tcPr>
          <w:p>
            <w:pPr>
              <w:ind w:left="20"/>
              <w:spacing w:after="0"/>
              <w:rPr>
                <w:sz w:val="20"/>
                <w:szCs w:val="20"/>
                <w:color w:val="auto"/>
              </w:rPr>
            </w:pPr>
            <w:r>
              <w:rPr>
                <w:rFonts w:ascii="Arial" w:cs="Arial" w:eastAsia="Arial" w:hAnsi="Arial"/>
                <w:sz w:val="14"/>
                <w:szCs w:val="14"/>
                <w:color w:val="131E29"/>
              </w:rPr>
              <w:t>NOTE 2 — Basis of Presentation and Summary of Significant Accounting Policies</w:t>
            </w:r>
          </w:p>
        </w:tc>
        <w:tc>
          <w:tcPr>
            <w:tcW w:w="720" w:type="dxa"/>
            <w:vAlign w:val="bottom"/>
          </w:tcPr>
          <w:p>
            <w:pPr>
              <w:jc w:val="center"/>
              <w:spacing w:after="0"/>
              <w:rPr>
                <w:sz w:val="20"/>
                <w:szCs w:val="20"/>
                <w:color w:val="auto"/>
              </w:rPr>
            </w:pPr>
            <w:r>
              <w:rPr>
                <w:rFonts w:ascii="Arial" w:cs="Arial" w:eastAsia="Arial" w:hAnsi="Arial"/>
                <w:sz w:val="14"/>
                <w:szCs w:val="14"/>
                <w:color w:val="131E29"/>
              </w:rPr>
              <w:t>99</w:t>
            </w:r>
          </w:p>
        </w:tc>
      </w:tr>
      <w:tr>
        <w:trPr>
          <w:trHeight w:val="22"/>
        </w:trPr>
        <w:tc>
          <w:tcPr>
            <w:tcW w:w="10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2"/>
        </w:trPr>
        <w:tc>
          <w:tcPr>
            <w:tcW w:w="105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NOTE 3 — Revenue Recognition</w:t>
            </w:r>
          </w:p>
        </w:tc>
        <w:tc>
          <w:tcPr>
            <w:tcW w:w="72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4"/>
                <w:szCs w:val="14"/>
                <w:color w:val="131E29"/>
              </w:rPr>
              <w:t>111</w:t>
            </w:r>
          </w:p>
        </w:tc>
      </w:tr>
      <w:tr>
        <w:trPr>
          <w:trHeight w:val="191"/>
        </w:trPr>
        <w:tc>
          <w:tcPr>
            <w:tcW w:w="10560" w:type="dxa"/>
            <w:vAlign w:val="bottom"/>
            <w:gridSpan w:val="2"/>
          </w:tcPr>
          <w:p>
            <w:pPr>
              <w:ind w:left="20"/>
              <w:spacing w:after="0"/>
              <w:rPr>
                <w:sz w:val="20"/>
                <w:szCs w:val="20"/>
                <w:color w:val="auto"/>
              </w:rPr>
            </w:pPr>
            <w:r>
              <w:rPr>
                <w:rFonts w:ascii="Arial" w:cs="Arial" w:eastAsia="Arial" w:hAnsi="Arial"/>
                <w:sz w:val="14"/>
                <w:szCs w:val="14"/>
                <w:color w:val="131E29"/>
              </w:rPr>
              <w:t>NOTE 4 — Shop Acquisitions</w:t>
            </w:r>
          </w:p>
        </w:tc>
        <w:tc>
          <w:tcPr>
            <w:tcW w:w="720" w:type="dxa"/>
            <w:vAlign w:val="bottom"/>
          </w:tcPr>
          <w:p>
            <w:pPr>
              <w:jc w:val="center"/>
              <w:spacing w:after="0"/>
              <w:rPr>
                <w:sz w:val="20"/>
                <w:szCs w:val="20"/>
                <w:color w:val="auto"/>
              </w:rPr>
            </w:pPr>
            <w:r>
              <w:rPr>
                <w:rFonts w:ascii="Arial" w:cs="Arial" w:eastAsia="Arial" w:hAnsi="Arial"/>
                <w:sz w:val="14"/>
                <w:szCs w:val="14"/>
                <w:color w:val="131E29"/>
              </w:rPr>
              <w:t>112</w:t>
            </w:r>
          </w:p>
        </w:tc>
      </w:tr>
      <w:tr>
        <w:trPr>
          <w:trHeight w:val="22"/>
        </w:trPr>
        <w:tc>
          <w:tcPr>
            <w:tcW w:w="10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2"/>
        </w:trPr>
        <w:tc>
          <w:tcPr>
            <w:tcW w:w="105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NOTE 5 — Inventories</w:t>
            </w:r>
          </w:p>
        </w:tc>
        <w:tc>
          <w:tcPr>
            <w:tcW w:w="72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4"/>
                <w:szCs w:val="14"/>
                <w:color w:val="131E29"/>
              </w:rPr>
              <w:t>113</w:t>
            </w:r>
          </w:p>
        </w:tc>
      </w:tr>
      <w:tr>
        <w:trPr>
          <w:trHeight w:val="191"/>
        </w:trPr>
        <w:tc>
          <w:tcPr>
            <w:tcW w:w="10560" w:type="dxa"/>
            <w:vAlign w:val="bottom"/>
            <w:gridSpan w:val="2"/>
          </w:tcPr>
          <w:p>
            <w:pPr>
              <w:ind w:left="20"/>
              <w:spacing w:after="0"/>
              <w:rPr>
                <w:sz w:val="20"/>
                <w:szCs w:val="20"/>
                <w:color w:val="auto"/>
              </w:rPr>
            </w:pPr>
            <w:r>
              <w:rPr>
                <w:rFonts w:ascii="Arial" w:cs="Arial" w:eastAsia="Arial" w:hAnsi="Arial"/>
                <w:sz w:val="14"/>
                <w:szCs w:val="14"/>
                <w:color w:val="131E29"/>
              </w:rPr>
              <w:t>NOTE 6 — Property and Equipment</w:t>
            </w:r>
          </w:p>
        </w:tc>
        <w:tc>
          <w:tcPr>
            <w:tcW w:w="720" w:type="dxa"/>
            <w:vAlign w:val="bottom"/>
          </w:tcPr>
          <w:p>
            <w:pPr>
              <w:jc w:val="center"/>
              <w:spacing w:after="0"/>
              <w:rPr>
                <w:sz w:val="20"/>
                <w:szCs w:val="20"/>
                <w:color w:val="auto"/>
              </w:rPr>
            </w:pPr>
            <w:r>
              <w:rPr>
                <w:rFonts w:ascii="Arial" w:cs="Arial" w:eastAsia="Arial" w:hAnsi="Arial"/>
                <w:sz w:val="14"/>
                <w:szCs w:val="14"/>
                <w:color w:val="131E29"/>
              </w:rPr>
              <w:t>114</w:t>
            </w:r>
          </w:p>
        </w:tc>
      </w:tr>
      <w:tr>
        <w:trPr>
          <w:trHeight w:val="22"/>
        </w:trPr>
        <w:tc>
          <w:tcPr>
            <w:tcW w:w="10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2"/>
        </w:trPr>
        <w:tc>
          <w:tcPr>
            <w:tcW w:w="105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NOTE 7 — Intangible Assets and Goodwill</w:t>
            </w:r>
          </w:p>
        </w:tc>
        <w:tc>
          <w:tcPr>
            <w:tcW w:w="72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4"/>
                <w:szCs w:val="14"/>
                <w:color w:val="131E29"/>
              </w:rPr>
              <w:t>114</w:t>
            </w:r>
          </w:p>
        </w:tc>
      </w:tr>
      <w:tr>
        <w:trPr>
          <w:trHeight w:val="191"/>
        </w:trPr>
        <w:tc>
          <w:tcPr>
            <w:tcW w:w="10560" w:type="dxa"/>
            <w:vAlign w:val="bottom"/>
            <w:gridSpan w:val="2"/>
          </w:tcPr>
          <w:p>
            <w:pPr>
              <w:ind w:left="20"/>
              <w:spacing w:after="0"/>
              <w:rPr>
                <w:sz w:val="20"/>
                <w:szCs w:val="20"/>
                <w:color w:val="auto"/>
              </w:rPr>
            </w:pPr>
            <w:r>
              <w:rPr>
                <w:rFonts w:ascii="Arial" w:cs="Arial" w:eastAsia="Arial" w:hAnsi="Arial"/>
                <w:sz w:val="14"/>
                <w:szCs w:val="14"/>
                <w:color w:val="131E29"/>
              </w:rPr>
              <w:t>NOTE 8 — Leases</w:t>
            </w:r>
          </w:p>
        </w:tc>
        <w:tc>
          <w:tcPr>
            <w:tcW w:w="720" w:type="dxa"/>
            <w:vAlign w:val="bottom"/>
          </w:tcPr>
          <w:p>
            <w:pPr>
              <w:jc w:val="center"/>
              <w:spacing w:after="0"/>
              <w:rPr>
                <w:sz w:val="20"/>
                <w:szCs w:val="20"/>
                <w:color w:val="auto"/>
              </w:rPr>
            </w:pPr>
            <w:r>
              <w:rPr>
                <w:rFonts w:ascii="Arial" w:cs="Arial" w:eastAsia="Arial" w:hAnsi="Arial"/>
                <w:sz w:val="14"/>
                <w:szCs w:val="14"/>
                <w:color w:val="131E29"/>
              </w:rPr>
              <w:t>115</w:t>
            </w:r>
          </w:p>
        </w:tc>
      </w:tr>
      <w:tr>
        <w:trPr>
          <w:trHeight w:val="22"/>
        </w:trPr>
        <w:tc>
          <w:tcPr>
            <w:tcW w:w="10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2"/>
        </w:trPr>
        <w:tc>
          <w:tcPr>
            <w:tcW w:w="105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NOTE 9 — Debt</w:t>
            </w:r>
          </w:p>
        </w:tc>
        <w:tc>
          <w:tcPr>
            <w:tcW w:w="72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4"/>
                <w:szCs w:val="14"/>
                <w:color w:val="131E29"/>
              </w:rPr>
              <w:t>120</w:t>
            </w:r>
          </w:p>
        </w:tc>
      </w:tr>
      <w:tr>
        <w:trPr>
          <w:trHeight w:val="191"/>
        </w:trPr>
        <w:tc>
          <w:tcPr>
            <w:tcW w:w="10560" w:type="dxa"/>
            <w:vAlign w:val="bottom"/>
            <w:gridSpan w:val="2"/>
          </w:tcPr>
          <w:p>
            <w:pPr>
              <w:ind w:left="20"/>
              <w:spacing w:after="0"/>
              <w:rPr>
                <w:sz w:val="20"/>
                <w:szCs w:val="20"/>
                <w:color w:val="auto"/>
              </w:rPr>
            </w:pPr>
            <w:r>
              <w:rPr>
                <w:rFonts w:ascii="Arial" w:cs="Arial" w:eastAsia="Arial" w:hAnsi="Arial"/>
                <w:sz w:val="14"/>
                <w:szCs w:val="14"/>
                <w:color w:val="131E29"/>
              </w:rPr>
              <w:t>NOTE 10 — Fair Value Measurements</w:t>
            </w:r>
          </w:p>
        </w:tc>
        <w:tc>
          <w:tcPr>
            <w:tcW w:w="720" w:type="dxa"/>
            <w:vAlign w:val="bottom"/>
          </w:tcPr>
          <w:p>
            <w:pPr>
              <w:jc w:val="center"/>
              <w:spacing w:after="0"/>
              <w:rPr>
                <w:sz w:val="20"/>
                <w:szCs w:val="20"/>
                <w:color w:val="auto"/>
              </w:rPr>
            </w:pPr>
            <w:r>
              <w:rPr>
                <w:rFonts w:ascii="Arial" w:cs="Arial" w:eastAsia="Arial" w:hAnsi="Arial"/>
                <w:sz w:val="14"/>
                <w:szCs w:val="14"/>
                <w:color w:val="131E29"/>
              </w:rPr>
              <w:t>121</w:t>
            </w:r>
          </w:p>
        </w:tc>
      </w:tr>
      <w:tr>
        <w:trPr>
          <w:trHeight w:val="22"/>
        </w:trPr>
        <w:tc>
          <w:tcPr>
            <w:tcW w:w="10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2"/>
        </w:trPr>
        <w:tc>
          <w:tcPr>
            <w:tcW w:w="105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NOTE 11 — Derivative Financial Instruments</w:t>
            </w:r>
          </w:p>
        </w:tc>
        <w:tc>
          <w:tcPr>
            <w:tcW w:w="72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4"/>
                <w:szCs w:val="14"/>
                <w:color w:val="131E29"/>
              </w:rPr>
              <w:t>122</w:t>
            </w:r>
          </w:p>
        </w:tc>
      </w:tr>
      <w:tr>
        <w:trPr>
          <w:trHeight w:val="191"/>
        </w:trPr>
        <w:tc>
          <w:tcPr>
            <w:tcW w:w="10560" w:type="dxa"/>
            <w:vAlign w:val="bottom"/>
            <w:gridSpan w:val="2"/>
          </w:tcPr>
          <w:p>
            <w:pPr>
              <w:ind w:left="20"/>
              <w:spacing w:after="0"/>
              <w:rPr>
                <w:sz w:val="20"/>
                <w:szCs w:val="20"/>
                <w:color w:val="auto"/>
              </w:rPr>
            </w:pPr>
            <w:r>
              <w:rPr>
                <w:rFonts w:ascii="Arial" w:cs="Arial" w:eastAsia="Arial" w:hAnsi="Arial"/>
                <w:sz w:val="14"/>
                <w:szCs w:val="14"/>
                <w:color w:val="131E29"/>
              </w:rPr>
              <w:t>NOTE 12 — Tax Receivable Agreements</w:t>
            </w:r>
          </w:p>
        </w:tc>
        <w:tc>
          <w:tcPr>
            <w:tcW w:w="720" w:type="dxa"/>
            <w:vAlign w:val="bottom"/>
          </w:tcPr>
          <w:p>
            <w:pPr>
              <w:jc w:val="center"/>
              <w:spacing w:after="0"/>
              <w:rPr>
                <w:sz w:val="20"/>
                <w:szCs w:val="20"/>
                <w:color w:val="auto"/>
              </w:rPr>
            </w:pPr>
            <w:r>
              <w:rPr>
                <w:rFonts w:ascii="Arial" w:cs="Arial" w:eastAsia="Arial" w:hAnsi="Arial"/>
                <w:sz w:val="14"/>
                <w:szCs w:val="14"/>
                <w:color w:val="131E29"/>
              </w:rPr>
              <w:t>122</w:t>
            </w:r>
          </w:p>
        </w:tc>
      </w:tr>
      <w:tr>
        <w:trPr>
          <w:trHeight w:val="22"/>
        </w:trPr>
        <w:tc>
          <w:tcPr>
            <w:tcW w:w="10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2"/>
        </w:trPr>
        <w:tc>
          <w:tcPr>
            <w:tcW w:w="105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NOTE 13 — Income Taxes</w:t>
            </w:r>
          </w:p>
        </w:tc>
        <w:tc>
          <w:tcPr>
            <w:tcW w:w="72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4"/>
                <w:szCs w:val="14"/>
                <w:color w:val="131E29"/>
              </w:rPr>
              <w:t>124</w:t>
            </w:r>
          </w:p>
        </w:tc>
      </w:tr>
      <w:tr>
        <w:trPr>
          <w:trHeight w:val="191"/>
        </w:trPr>
        <w:tc>
          <w:tcPr>
            <w:tcW w:w="10560" w:type="dxa"/>
            <w:vAlign w:val="bottom"/>
            <w:gridSpan w:val="2"/>
          </w:tcPr>
          <w:p>
            <w:pPr>
              <w:ind w:left="20"/>
              <w:spacing w:after="0"/>
              <w:rPr>
                <w:sz w:val="20"/>
                <w:szCs w:val="20"/>
                <w:color w:val="auto"/>
              </w:rPr>
            </w:pPr>
            <w:r>
              <w:rPr>
                <w:rFonts w:ascii="Arial" w:cs="Arial" w:eastAsia="Arial" w:hAnsi="Arial"/>
                <w:sz w:val="14"/>
                <w:szCs w:val="14"/>
                <w:color w:val="131E29"/>
              </w:rPr>
              <w:t>NOTE 14 — Equity and Equity-Based Compensation</w:t>
            </w:r>
          </w:p>
        </w:tc>
        <w:tc>
          <w:tcPr>
            <w:tcW w:w="720" w:type="dxa"/>
            <w:vAlign w:val="bottom"/>
          </w:tcPr>
          <w:p>
            <w:pPr>
              <w:jc w:val="center"/>
              <w:spacing w:after="0"/>
              <w:rPr>
                <w:sz w:val="20"/>
                <w:szCs w:val="20"/>
                <w:color w:val="auto"/>
              </w:rPr>
            </w:pPr>
            <w:r>
              <w:rPr>
                <w:rFonts w:ascii="Arial" w:cs="Arial" w:eastAsia="Arial" w:hAnsi="Arial"/>
                <w:sz w:val="14"/>
                <w:szCs w:val="14"/>
                <w:color w:val="131E29"/>
              </w:rPr>
              <w:t>126</w:t>
            </w:r>
          </w:p>
        </w:tc>
      </w:tr>
      <w:tr>
        <w:trPr>
          <w:trHeight w:val="22"/>
        </w:trPr>
        <w:tc>
          <w:tcPr>
            <w:tcW w:w="10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2"/>
        </w:trPr>
        <w:tc>
          <w:tcPr>
            <w:tcW w:w="105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NOTE 15 — Employee Benefit Plans</w:t>
            </w:r>
          </w:p>
        </w:tc>
        <w:tc>
          <w:tcPr>
            <w:tcW w:w="72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4"/>
                <w:szCs w:val="14"/>
                <w:color w:val="131E29"/>
              </w:rPr>
              <w:t>127</w:t>
            </w:r>
          </w:p>
        </w:tc>
      </w:tr>
      <w:tr>
        <w:trPr>
          <w:trHeight w:val="191"/>
        </w:trPr>
        <w:tc>
          <w:tcPr>
            <w:tcW w:w="10560" w:type="dxa"/>
            <w:vAlign w:val="bottom"/>
            <w:gridSpan w:val="2"/>
          </w:tcPr>
          <w:p>
            <w:pPr>
              <w:ind w:left="20"/>
              <w:spacing w:after="0"/>
              <w:rPr>
                <w:sz w:val="20"/>
                <w:szCs w:val="20"/>
                <w:color w:val="auto"/>
              </w:rPr>
            </w:pPr>
            <w:r>
              <w:rPr>
                <w:rFonts w:ascii="Arial" w:cs="Arial" w:eastAsia="Arial" w:hAnsi="Arial"/>
                <w:sz w:val="14"/>
                <w:szCs w:val="14"/>
                <w:color w:val="131E29"/>
              </w:rPr>
              <w:t>NOTE 16 — Non-Controlling Interests</w:t>
            </w:r>
          </w:p>
        </w:tc>
        <w:tc>
          <w:tcPr>
            <w:tcW w:w="720" w:type="dxa"/>
            <w:vAlign w:val="bottom"/>
          </w:tcPr>
          <w:p>
            <w:pPr>
              <w:jc w:val="center"/>
              <w:spacing w:after="0"/>
              <w:rPr>
                <w:sz w:val="20"/>
                <w:szCs w:val="20"/>
                <w:color w:val="auto"/>
              </w:rPr>
            </w:pPr>
            <w:r>
              <w:rPr>
                <w:rFonts w:ascii="Arial" w:cs="Arial" w:eastAsia="Arial" w:hAnsi="Arial"/>
                <w:sz w:val="14"/>
                <w:szCs w:val="14"/>
                <w:color w:val="131E29"/>
              </w:rPr>
              <w:t>128</w:t>
            </w:r>
          </w:p>
        </w:tc>
      </w:tr>
      <w:tr>
        <w:trPr>
          <w:trHeight w:val="22"/>
        </w:trPr>
        <w:tc>
          <w:tcPr>
            <w:tcW w:w="10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2"/>
        </w:trPr>
        <w:tc>
          <w:tcPr>
            <w:tcW w:w="105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NOTE 17 — Loss Per Share</w:t>
            </w:r>
          </w:p>
        </w:tc>
        <w:tc>
          <w:tcPr>
            <w:tcW w:w="72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4"/>
                <w:szCs w:val="14"/>
                <w:color w:val="131E29"/>
              </w:rPr>
              <w:t>129</w:t>
            </w:r>
          </w:p>
        </w:tc>
      </w:tr>
      <w:tr>
        <w:trPr>
          <w:trHeight w:val="191"/>
        </w:trPr>
        <w:tc>
          <w:tcPr>
            <w:tcW w:w="10560" w:type="dxa"/>
            <w:vAlign w:val="bottom"/>
            <w:gridSpan w:val="2"/>
          </w:tcPr>
          <w:p>
            <w:pPr>
              <w:ind w:left="20"/>
              <w:spacing w:after="0"/>
              <w:rPr>
                <w:sz w:val="20"/>
                <w:szCs w:val="20"/>
                <w:color w:val="auto"/>
              </w:rPr>
            </w:pPr>
            <w:r>
              <w:rPr>
                <w:rFonts w:ascii="Arial" w:cs="Arial" w:eastAsia="Arial" w:hAnsi="Arial"/>
                <w:sz w:val="14"/>
                <w:szCs w:val="14"/>
                <w:color w:val="131E29"/>
              </w:rPr>
              <w:t>NOTE 18 — Commitments and Contingencies</w:t>
            </w:r>
          </w:p>
        </w:tc>
        <w:tc>
          <w:tcPr>
            <w:tcW w:w="720" w:type="dxa"/>
            <w:vAlign w:val="bottom"/>
          </w:tcPr>
          <w:p>
            <w:pPr>
              <w:jc w:val="center"/>
              <w:spacing w:after="0"/>
              <w:rPr>
                <w:sz w:val="20"/>
                <w:szCs w:val="20"/>
                <w:color w:val="auto"/>
              </w:rPr>
            </w:pPr>
            <w:r>
              <w:rPr>
                <w:rFonts w:ascii="Arial" w:cs="Arial" w:eastAsia="Arial" w:hAnsi="Arial"/>
                <w:sz w:val="14"/>
                <w:szCs w:val="14"/>
                <w:color w:val="131E29"/>
              </w:rPr>
              <w:t>131</w:t>
            </w:r>
          </w:p>
        </w:tc>
      </w:tr>
      <w:tr>
        <w:trPr>
          <w:trHeight w:val="22"/>
        </w:trPr>
        <w:tc>
          <w:tcPr>
            <w:tcW w:w="10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2"/>
        </w:trPr>
        <w:tc>
          <w:tcPr>
            <w:tcW w:w="105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NOTE 19 — Related Party Transactions</w:t>
            </w:r>
          </w:p>
        </w:tc>
        <w:tc>
          <w:tcPr>
            <w:tcW w:w="72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4"/>
                <w:szCs w:val="14"/>
                <w:color w:val="131E29"/>
              </w:rPr>
              <w:t>132</w:t>
            </w:r>
          </w:p>
        </w:tc>
      </w:tr>
      <w:tr>
        <w:trPr>
          <w:trHeight w:val="191"/>
        </w:trPr>
        <w:tc>
          <w:tcPr>
            <w:tcW w:w="10560" w:type="dxa"/>
            <w:vAlign w:val="bottom"/>
            <w:gridSpan w:val="2"/>
          </w:tcPr>
          <w:p>
            <w:pPr>
              <w:ind w:left="20"/>
              <w:spacing w:after="0"/>
              <w:rPr>
                <w:sz w:val="20"/>
                <w:szCs w:val="20"/>
                <w:color w:val="auto"/>
              </w:rPr>
            </w:pPr>
            <w:r>
              <w:rPr>
                <w:rFonts w:ascii="Arial" w:cs="Arial" w:eastAsia="Arial" w:hAnsi="Arial"/>
                <w:sz w:val="14"/>
                <w:szCs w:val="14"/>
                <w:color w:val="131E29"/>
              </w:rPr>
              <w:t>NOTE 20 — Segment Reporting</w:t>
            </w:r>
          </w:p>
        </w:tc>
        <w:tc>
          <w:tcPr>
            <w:tcW w:w="720" w:type="dxa"/>
            <w:vAlign w:val="bottom"/>
          </w:tcPr>
          <w:p>
            <w:pPr>
              <w:jc w:val="center"/>
              <w:spacing w:after="0"/>
              <w:rPr>
                <w:sz w:val="20"/>
                <w:szCs w:val="20"/>
                <w:color w:val="auto"/>
              </w:rPr>
            </w:pPr>
            <w:r>
              <w:rPr>
                <w:rFonts w:ascii="Arial" w:cs="Arial" w:eastAsia="Arial" w:hAnsi="Arial"/>
                <w:sz w:val="14"/>
                <w:szCs w:val="14"/>
                <w:color w:val="131E29"/>
              </w:rPr>
              <w:t>132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101" w:name="page102"/>
    <w:bookmarkEnd w:id="101"/>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Notes to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1 — Organization and Background</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Business</w:t>
      </w:r>
    </w:p>
    <w:p>
      <w:pPr>
        <w:spacing w:after="0" w:line="15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Dutch Bros is in the business of operating and franchising drive-thru coffee shops as well as the wholesale and distribution of coffee, coffee-related products and accessories. As of December 31, 2022, there were 671 shops in operation in 14 U.S. states, of which 396 were company-operated and 275 were franchised.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Organization</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Dutch Bros Inc. was formed on June 4, 2021 as a Delaware corporation for the purpose of facilitating an IPO and other related transactions in order to carry on the business of Dutch Bros OpCo. The Company is the sole managing member of Dutch Bros OpCo and operates and controls all of the business and affairs of Dutch Bros OpCo. As a result, the Company consolidates the financial results of Dutch Bros OpCo and reports a non-controlling interest representing the economic interest in Dutch Bros OpCo held by the other members of Dutch Bros OpCo. The Company’s fiscal year end is December 31.</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As of December 31, 2022, the Company held 100.0% of the voting interest and 35.4% of the economic interest of Dutch Bros OpCo. The Continuing Members held none of the voting interest and the remaining 64.6% of the economic interest of Dutch Bros OpCo.</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Initial Public Offering</w:t>
      </w:r>
    </w:p>
    <w:p>
      <w:pPr>
        <w:spacing w:after="0" w:line="15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On September 17, 2021, the Company completed its IPO of approximately 24.2 million shares of Class A common stock at a public offering price of $23.00 per share, which included approximately 3.2 million shares issued pursuant to the exercise in full of the underwriters’ option to purchase additional shares. The Company received proceeds of approximately $520.8 million, net of offering costs. The proceeds were used to purchase approximately 10.9 million newly-issued Dutch Bros OpCo Class A common units from Dutch Bros OpCo for approximately $ 234.4 million. The proceeds were also used to purchase approximately 11.7 million Dutch Bros OpCo Class A common units from the Continuing Members for approximately $253.3 million, and approximately 1.6 million shares of Class D common stock from the Pre-IPO Blocker Holders for approximately $34.4 million.</w:t>
      </w: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Reorganization Transactions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131E29"/>
        </w:rPr>
        <w:t>In connection with the IPO, the Company completed the following Reorganization Transactions:</w:t>
      </w:r>
    </w:p>
    <w:p>
      <w:pPr>
        <w:spacing w:after="0" w:line="200" w:lineRule="exact"/>
        <w:rPr>
          <w:sz w:val="20"/>
          <w:szCs w:val="20"/>
          <w:color w:val="auto"/>
        </w:rPr>
      </w:pPr>
    </w:p>
    <w:p>
      <w:pPr>
        <w:jc w:val="both"/>
        <w:ind w:left="260" w:hanging="255"/>
        <w:spacing w:after="0" w:line="259" w:lineRule="auto"/>
        <w:tabs>
          <w:tab w:leader="none" w:pos="256" w:val="left"/>
        </w:tabs>
        <w:numPr>
          <w:ilvl w:val="0"/>
          <w:numId w:val="69"/>
        </w:numPr>
        <w:rPr>
          <w:rFonts w:ascii="Arial" w:cs="Arial" w:eastAsia="Arial" w:hAnsi="Arial"/>
          <w:sz w:val="14"/>
          <w:szCs w:val="14"/>
          <w:color w:val="131E29"/>
        </w:rPr>
      </w:pPr>
      <w:r>
        <w:rPr>
          <w:rFonts w:ascii="Arial" w:cs="Arial" w:eastAsia="Arial" w:hAnsi="Arial"/>
          <w:sz w:val="14"/>
          <w:szCs w:val="14"/>
          <w:color w:val="131E29"/>
        </w:rPr>
        <w:t>Amended and restated the Second Dutch Bros OpCo Agreement to, among other things, effect a recapitalization in which (i) the outstanding Common Units were converted into Dutch Bros OpCo Class A common units paired with an equal number of either Class B voting units or Class C voting units, and (ii) the outstanding Profits Interest (PI) Units were converted into Dutch Bros OpCo Class A common units.</w:t>
      </w:r>
    </w:p>
    <w:p>
      <w:pPr>
        <w:spacing w:after="0" w:line="115" w:lineRule="exact"/>
        <w:rPr>
          <w:rFonts w:ascii="Arial" w:cs="Arial" w:eastAsia="Arial" w:hAnsi="Arial"/>
          <w:sz w:val="14"/>
          <w:szCs w:val="14"/>
          <w:color w:val="131E29"/>
        </w:rPr>
      </w:pPr>
    </w:p>
    <w:p>
      <w:pPr>
        <w:ind w:left="260" w:hanging="255"/>
        <w:spacing w:after="0"/>
        <w:tabs>
          <w:tab w:leader="none" w:pos="260" w:val="left"/>
        </w:tabs>
        <w:numPr>
          <w:ilvl w:val="0"/>
          <w:numId w:val="69"/>
        </w:numPr>
        <w:rPr>
          <w:rFonts w:ascii="Arial" w:cs="Arial" w:eastAsia="Arial" w:hAnsi="Arial"/>
          <w:sz w:val="14"/>
          <w:szCs w:val="14"/>
          <w:color w:val="131E29"/>
        </w:rPr>
      </w:pPr>
      <w:r>
        <w:rPr>
          <w:rFonts w:ascii="Arial" w:cs="Arial" w:eastAsia="Arial" w:hAnsi="Arial"/>
          <w:sz w:val="14"/>
          <w:szCs w:val="14"/>
          <w:color w:val="131E29"/>
        </w:rPr>
        <w:t>Amended and restated the Company’s certificate of incorporation to, among other things, authorize four classes of common stock.</w:t>
      </w:r>
    </w:p>
    <w:p>
      <w:pPr>
        <w:spacing w:after="0" w:line="136" w:lineRule="exact"/>
        <w:rPr>
          <w:rFonts w:ascii="Arial" w:cs="Arial" w:eastAsia="Arial" w:hAnsi="Arial"/>
          <w:sz w:val="14"/>
          <w:szCs w:val="14"/>
          <w:color w:val="131E29"/>
        </w:rPr>
      </w:pPr>
    </w:p>
    <w:p>
      <w:pPr>
        <w:ind w:left="260" w:hanging="255"/>
        <w:spacing w:after="0" w:line="266" w:lineRule="auto"/>
        <w:tabs>
          <w:tab w:leader="none" w:pos="256" w:val="left"/>
        </w:tabs>
        <w:numPr>
          <w:ilvl w:val="0"/>
          <w:numId w:val="69"/>
        </w:numPr>
        <w:rPr>
          <w:rFonts w:ascii="Arial" w:cs="Arial" w:eastAsia="Arial" w:hAnsi="Arial"/>
          <w:sz w:val="14"/>
          <w:szCs w:val="14"/>
          <w:color w:val="131E29"/>
        </w:rPr>
      </w:pPr>
      <w:r>
        <w:rPr>
          <w:rFonts w:ascii="Arial" w:cs="Arial" w:eastAsia="Arial" w:hAnsi="Arial"/>
          <w:sz w:val="14"/>
          <w:szCs w:val="14"/>
          <w:color w:val="131E29"/>
        </w:rPr>
        <w:t>Acquired Dutch Bros OpCo Class A common units and Class C voting units held by certain pre-IPO Dutch Bros OpCo Unitholders in exchange for shares of Class D common stock.</w:t>
      </w:r>
    </w:p>
    <w:p>
      <w:pPr>
        <w:spacing w:after="0" w:line="109" w:lineRule="exact"/>
        <w:rPr>
          <w:rFonts w:ascii="Arial" w:cs="Arial" w:eastAsia="Arial" w:hAnsi="Arial"/>
          <w:sz w:val="14"/>
          <w:szCs w:val="14"/>
          <w:color w:val="131E29"/>
        </w:rPr>
      </w:pPr>
    </w:p>
    <w:p>
      <w:pPr>
        <w:ind w:left="260" w:hanging="255"/>
        <w:spacing w:after="0" w:line="266" w:lineRule="auto"/>
        <w:tabs>
          <w:tab w:leader="none" w:pos="256" w:val="left"/>
        </w:tabs>
        <w:numPr>
          <w:ilvl w:val="0"/>
          <w:numId w:val="69"/>
        </w:numPr>
        <w:rPr>
          <w:rFonts w:ascii="Arial" w:cs="Arial" w:eastAsia="Arial" w:hAnsi="Arial"/>
          <w:sz w:val="14"/>
          <w:szCs w:val="14"/>
          <w:color w:val="131E29"/>
        </w:rPr>
      </w:pPr>
      <w:r>
        <w:rPr>
          <w:rFonts w:ascii="Arial" w:cs="Arial" w:eastAsia="Arial" w:hAnsi="Arial"/>
          <w:sz w:val="14"/>
          <w:szCs w:val="14"/>
          <w:color w:val="131E29"/>
        </w:rPr>
        <w:t>Contribution of Dutch Bros OpCo Class A common units, Class B voting units, and Class C voting units to the Company in exchange for Class A common stock, Class B common stock, and Class C common stock, respectively.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102" w:name="page103"/>
    <w:bookmarkEnd w:id="102"/>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60" w:hanging="255"/>
        <w:spacing w:after="0"/>
        <w:tabs>
          <w:tab w:leader="none" w:pos="260" w:val="left"/>
        </w:tabs>
        <w:numPr>
          <w:ilvl w:val="0"/>
          <w:numId w:val="70"/>
        </w:numPr>
        <w:rPr>
          <w:rFonts w:ascii="Arial" w:cs="Arial" w:eastAsia="Arial" w:hAnsi="Arial"/>
          <w:sz w:val="14"/>
          <w:szCs w:val="14"/>
          <w:color w:val="131E29"/>
        </w:rPr>
      </w:pPr>
      <w:r>
        <w:rPr>
          <w:rFonts w:ascii="Arial" w:cs="Arial" w:eastAsia="Arial" w:hAnsi="Arial"/>
          <w:sz w:val="14"/>
          <w:szCs w:val="14"/>
          <w:color w:val="131E29"/>
        </w:rPr>
        <w:t>The Company’s designation as managing member of the Dutch Bros OpCo.</w:t>
      </w:r>
    </w:p>
    <w:p>
      <w:pPr>
        <w:spacing w:after="0" w:line="136" w:lineRule="exact"/>
        <w:rPr>
          <w:rFonts w:ascii="Arial" w:cs="Arial" w:eastAsia="Arial" w:hAnsi="Arial"/>
          <w:sz w:val="14"/>
          <w:szCs w:val="14"/>
          <w:color w:val="131E29"/>
        </w:rPr>
      </w:pPr>
    </w:p>
    <w:p>
      <w:pPr>
        <w:jc w:val="both"/>
        <w:ind w:left="260" w:hanging="255"/>
        <w:spacing w:after="0" w:line="257" w:lineRule="auto"/>
        <w:tabs>
          <w:tab w:leader="none" w:pos="256" w:val="left"/>
        </w:tabs>
        <w:numPr>
          <w:ilvl w:val="0"/>
          <w:numId w:val="70"/>
        </w:numPr>
        <w:rPr>
          <w:rFonts w:ascii="Arial" w:cs="Arial" w:eastAsia="Arial" w:hAnsi="Arial"/>
          <w:sz w:val="14"/>
          <w:szCs w:val="14"/>
          <w:color w:val="131E29"/>
        </w:rPr>
      </w:pPr>
      <w:r>
        <w:rPr>
          <w:rFonts w:ascii="Arial" w:cs="Arial" w:eastAsia="Arial" w:hAnsi="Arial"/>
          <w:sz w:val="14"/>
          <w:szCs w:val="14"/>
          <w:color w:val="131E29"/>
        </w:rPr>
        <w:t>Entered into a Reorganization Tax Receivable Agreement with the Pre-IPO Blocker Holders and an Exchange Tax Receivable Agreement with the Continuing Members (collectively, the Tax Receivable Agreements or the TRAs), which provide for payment by Dutch Bros PubCo to the Continuing Members and the Pre-IPO Blocker Holders of 85% of the benefits, if any, that Dutch Bros PubCo would be deemed to realize (calculated using certain assumptions) as a result of certain tax attributes and benefits covered by the TRAs. For additional information, see NOTE 12 — Tax Receivable Agreements to the consolidated financial statements.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2 — Basis of Presentation and Summary of Significant Accounting Policies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Financial Statements Presentation</w:t>
      </w:r>
    </w:p>
    <w:p>
      <w:pPr>
        <w:spacing w:after="0" w:line="15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The Company’s consolidated financial statements as of December 31, 2022 and 2021 and for the years ended December 31, 2022, 2021, and 2020 have been prepared in accordance with GAAP and pursuant to the rules and regulations of the SEC.</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Immaterial Correction of Previously Issued Consolidated Financial Statements</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 xml:space="preserve">Subsequent to the issuance of the Company’s 2021 consolidated financial statements, management of the Company identified an error in application of Accounting Standards Codification (ASC) 710, </w:t>
      </w:r>
      <w:r>
        <w:rPr>
          <w:rFonts w:ascii="Arial" w:cs="Arial" w:eastAsia="Arial" w:hAnsi="Arial"/>
          <w:sz w:val="14"/>
          <w:szCs w:val="14"/>
          <w:i w:val="1"/>
          <w:iCs w:val="1"/>
          <w:color w:val="131E29"/>
        </w:rPr>
        <w:t>Compensation-General</w:t>
      </w:r>
      <w:r>
        <w:rPr>
          <w:rFonts w:ascii="Arial" w:cs="Arial" w:eastAsia="Arial" w:hAnsi="Arial"/>
          <w:sz w:val="14"/>
          <w:szCs w:val="14"/>
          <w:color w:val="131E29"/>
        </w:rPr>
        <w:t>, related to accrued sick leave pay. ASC 710-10-25-7 states that an employer is not required to accrue a liability for nonvesting accumulating rights to receive sick pay benefits. Historically, the Company accrued sick leave pay expense for each employee. As unused sick leave pay does not carry forward and is not paid out upon termination, the accrued liability should not have been recorded.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 xml:space="preserve">The Company has evaluated the effects of the corrections detailed in the table below on the previously issued consolidated financial statements, individually and in the aggregate, in accordance with the guidance in ASC 250, </w:t>
      </w:r>
      <w:r>
        <w:rPr>
          <w:rFonts w:ascii="Arial" w:cs="Arial" w:eastAsia="Arial" w:hAnsi="Arial"/>
          <w:sz w:val="14"/>
          <w:szCs w:val="14"/>
          <w:i w:val="1"/>
          <w:iCs w:val="1"/>
          <w:color w:val="131E29"/>
        </w:rPr>
        <w:t>Accounting Changes and Error Corrections.</w:t>
      </w:r>
      <w:r>
        <w:rPr>
          <w:rFonts w:ascii="Arial" w:cs="Arial" w:eastAsia="Arial" w:hAnsi="Arial"/>
          <w:sz w:val="14"/>
          <w:szCs w:val="14"/>
          <w:color w:val="131E29"/>
        </w:rPr>
        <w:t xml:space="preserve"> The Company has concluded such corrections to be immaterial to its previously issued consolidated financial statements.</w:t>
      </w:r>
    </w:p>
    <w:p>
      <w:pPr>
        <w:spacing w:after="0" w:line="11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While management believes the effect of the error is immaterial to the Company’s previously issued consolidated financial statements as of December 31, 2021, and for the years ended December 31, 2021 and 2020, the financial statement line items impacted by this error have been corrected.</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131E29"/>
        </w:rPr>
        <w:t>The tables below reflect the sections of the Company’s consolidated financial statements that were impacted by the immaterial error.</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103" w:name="page104"/>
    <w:bookmarkEnd w:id="103"/>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Consolidated Balance Sheet:</w:t>
      </w:r>
    </w:p>
    <w:p>
      <w:pPr>
        <w:spacing w:after="0" w:line="310" w:lineRule="exact"/>
        <w:rPr>
          <w:sz w:val="20"/>
          <w:szCs w:val="20"/>
          <w:color w:val="auto"/>
        </w:rPr>
      </w:pPr>
    </w:p>
    <w:p>
      <w:pPr>
        <w:ind w:left="20"/>
        <w:spacing w:after="0"/>
        <w:rPr>
          <w:sz w:val="20"/>
          <w:szCs w:val="20"/>
          <w:color w:val="auto"/>
        </w:rPr>
      </w:pPr>
      <w:r>
        <w:rPr>
          <w:rFonts w:ascii="Arial" w:cs="Arial" w:eastAsia="Arial" w:hAnsi="Arial"/>
          <w:sz w:val="11"/>
          <w:szCs w:val="11"/>
          <w:color w:val="131E29"/>
        </w:rPr>
        <w:t>(in thousands)</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Current liabilities:</w:t>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4"/>
          <w:szCs w:val="14"/>
          <w:color w:val="131E29"/>
        </w:rPr>
        <w:t>Accrued liabilities</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4"/>
          <w:szCs w:val="14"/>
          <w:color w:val="131E29"/>
        </w:rPr>
        <w:t>Total current liabilities</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4"/>
          <w:szCs w:val="14"/>
          <w:color w:val="131E29"/>
        </w:rPr>
        <w:t>Total liabilities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Stockholders’ equity:</w:t>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4"/>
          <w:szCs w:val="14"/>
          <w:color w:val="131E29"/>
        </w:rPr>
        <w:t>Additional paid in capital</w:t>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4"/>
          <w:szCs w:val="14"/>
          <w:color w:val="131E29"/>
        </w:rPr>
        <w:t>Accumulated deficit</w:t>
      </w:r>
    </w:p>
    <w:p>
      <w:pPr>
        <w:spacing w:after="0" w:line="62" w:lineRule="exact"/>
        <w:rPr>
          <w:sz w:val="20"/>
          <w:szCs w:val="20"/>
          <w:color w:val="auto"/>
        </w:rPr>
      </w:pPr>
    </w:p>
    <w:p>
      <w:pPr>
        <w:ind w:left="20" w:right="60" w:firstLine="255"/>
        <w:spacing w:after="0" w:line="329" w:lineRule="auto"/>
        <w:rPr>
          <w:sz w:val="20"/>
          <w:szCs w:val="20"/>
          <w:color w:val="auto"/>
        </w:rPr>
      </w:pPr>
      <w:r>
        <w:rPr>
          <w:rFonts w:ascii="Arial" w:cs="Arial" w:eastAsia="Arial" w:hAnsi="Arial"/>
          <w:sz w:val="14"/>
          <w:szCs w:val="14"/>
          <w:color w:val="131E29"/>
        </w:rPr>
        <w:t>Total stockholders’ equity attributable to Dutch Bros Inc. / members’ equity Non-controlling interests</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131E29"/>
        </w:rPr>
        <w:t>Total equity</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Consolidated Statements of Operations:</w:t>
      </w: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1"/>
          <w:szCs w:val="11"/>
          <w:color w:val="131E29"/>
        </w:rPr>
        <w:t>(in thousands)</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Costs and expenses</w:t>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4"/>
          <w:szCs w:val="14"/>
          <w:color w:val="131E29"/>
        </w:rPr>
        <w:t>Cost of sales</w:t>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4"/>
          <w:szCs w:val="14"/>
          <w:color w:val="131E29"/>
        </w:rPr>
        <w:t>Selling, general and administrative</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4"/>
          <w:szCs w:val="14"/>
          <w:color w:val="131E29"/>
        </w:rPr>
        <w:t>Total costs and expenses</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Loss from operations</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Loss before income taxes</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Net loss</w:t>
      </w: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Arial" w:cs="Arial" w:eastAsia="Arial" w:hAnsi="Arial"/>
          <w:sz w:val="11"/>
          <w:szCs w:val="11"/>
          <w:color w:val="131E29"/>
        </w:rPr>
        <w:t>(in thousands)</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Costs and expenses</w:t>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4"/>
          <w:szCs w:val="14"/>
          <w:color w:val="131E29"/>
        </w:rPr>
        <w:t>Cost of sales</w:t>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4"/>
          <w:szCs w:val="14"/>
          <w:color w:val="131E29"/>
        </w:rPr>
        <w:t>Selling, general and administrative</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4"/>
          <w:szCs w:val="14"/>
          <w:color w:val="131E29"/>
        </w:rPr>
        <w:t>Total costs and expenses</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Income from operations</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Income before income taxes</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Net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160"/>
        <w:spacing w:after="0"/>
        <w:rPr>
          <w:sz w:val="20"/>
          <w:szCs w:val="20"/>
          <w:color w:val="auto"/>
        </w:rPr>
      </w:pPr>
      <w:r>
        <w:rPr>
          <w:rFonts w:ascii="Arial" w:cs="Arial" w:eastAsia="Arial" w:hAnsi="Arial"/>
          <w:sz w:val="14"/>
          <w:szCs w:val="14"/>
          <w:b w:val="1"/>
          <w:bCs w:val="1"/>
          <w:color w:val="131E29"/>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3543935" cy="69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543935" cy="698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0" w:type="dxa"/>
            <w:vAlign w:val="bottom"/>
          </w:tcPr>
          <w:p>
            <w:pPr>
              <w:spacing w:after="0"/>
              <w:rPr>
                <w:sz w:val="16"/>
                <w:szCs w:val="16"/>
                <w:color w:val="auto"/>
              </w:rPr>
            </w:pPr>
          </w:p>
        </w:tc>
        <w:tc>
          <w:tcPr>
            <w:tcW w:w="1620" w:type="dxa"/>
            <w:vAlign w:val="bottom"/>
            <w:gridSpan w:val="2"/>
          </w:tcPr>
          <w:p>
            <w:pPr>
              <w:ind w:left="200"/>
              <w:spacing w:after="0"/>
              <w:rPr>
                <w:sz w:val="20"/>
                <w:szCs w:val="20"/>
                <w:color w:val="auto"/>
              </w:rPr>
            </w:pPr>
            <w:r>
              <w:rPr>
                <w:rFonts w:ascii="Arial" w:cs="Arial" w:eastAsia="Arial" w:hAnsi="Arial"/>
                <w:sz w:val="14"/>
                <w:szCs w:val="14"/>
                <w:b w:val="1"/>
                <w:bCs w:val="1"/>
                <w:color w:val="131E29"/>
              </w:rPr>
              <w:t>As Reported</w:t>
            </w:r>
          </w:p>
        </w:tc>
        <w:tc>
          <w:tcPr>
            <w:tcW w:w="280" w:type="dxa"/>
            <w:vAlign w:val="bottom"/>
          </w:tcPr>
          <w:p>
            <w:pPr>
              <w:spacing w:after="0"/>
              <w:rPr>
                <w:sz w:val="16"/>
                <w:szCs w:val="16"/>
                <w:color w:val="auto"/>
              </w:rPr>
            </w:pPr>
          </w:p>
        </w:tc>
        <w:tc>
          <w:tcPr>
            <w:tcW w:w="1600" w:type="dxa"/>
            <w:vAlign w:val="bottom"/>
            <w:gridSpan w:val="2"/>
          </w:tcPr>
          <w:p>
            <w:pPr>
              <w:ind w:left="180"/>
              <w:spacing w:after="0"/>
              <w:rPr>
                <w:sz w:val="20"/>
                <w:szCs w:val="20"/>
                <w:color w:val="auto"/>
              </w:rPr>
            </w:pPr>
            <w:r>
              <w:rPr>
                <w:rFonts w:ascii="Arial" w:cs="Arial" w:eastAsia="Arial" w:hAnsi="Arial"/>
                <w:sz w:val="14"/>
                <w:szCs w:val="14"/>
                <w:b w:val="1"/>
                <w:bCs w:val="1"/>
                <w:color w:val="131E29"/>
              </w:rPr>
              <w:t>Adjustments</w:t>
            </w:r>
          </w:p>
        </w:tc>
        <w:tc>
          <w:tcPr>
            <w:tcW w:w="280" w:type="dxa"/>
            <w:vAlign w:val="bottom"/>
          </w:tcPr>
          <w:p>
            <w:pPr>
              <w:spacing w:after="0"/>
              <w:rPr>
                <w:sz w:val="16"/>
                <w:szCs w:val="16"/>
                <w:color w:val="auto"/>
              </w:rPr>
            </w:pPr>
          </w:p>
        </w:tc>
        <w:tc>
          <w:tcPr>
            <w:tcW w:w="1520" w:type="dxa"/>
            <w:vAlign w:val="bottom"/>
          </w:tcPr>
          <w:p>
            <w:pPr>
              <w:jc w:val="right"/>
              <w:ind w:right="389"/>
              <w:spacing w:after="0"/>
              <w:rPr>
                <w:sz w:val="20"/>
                <w:szCs w:val="20"/>
                <w:color w:val="auto"/>
              </w:rPr>
            </w:pPr>
            <w:r>
              <w:rPr>
                <w:rFonts w:ascii="Arial" w:cs="Arial" w:eastAsia="Arial" w:hAnsi="Arial"/>
                <w:sz w:val="14"/>
                <w:szCs w:val="14"/>
                <w:b w:val="1"/>
                <w:bCs w:val="1"/>
                <w:color w:val="131E29"/>
              </w:rPr>
              <w:t>As Corrected</w:t>
            </w:r>
          </w:p>
        </w:tc>
      </w:tr>
      <w:tr>
        <w:trPr>
          <w:trHeight w:val="22"/>
        </w:trPr>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393"/>
        </w:trPr>
        <w:tc>
          <w:tcPr>
            <w:tcW w:w="280" w:type="dxa"/>
            <w:vAlign w:val="bottom"/>
          </w:tcPr>
          <w:p>
            <w:pPr>
              <w:jc w:val="right"/>
              <w:ind w:right="109"/>
              <w:spacing w:after="0"/>
              <w:rPr>
                <w:sz w:val="20"/>
                <w:szCs w:val="20"/>
                <w:color w:val="auto"/>
              </w:rPr>
            </w:pPr>
            <w:r>
              <w:rPr>
                <w:rFonts w:ascii="Arial" w:cs="Arial" w:eastAsia="Arial" w:hAnsi="Arial"/>
                <w:sz w:val="14"/>
                <w:szCs w:val="14"/>
                <w:color w:val="131E29"/>
              </w:rPr>
              <w:t>$</w:t>
            </w:r>
          </w:p>
        </w:tc>
        <w:tc>
          <w:tcPr>
            <w:tcW w:w="1520" w:type="dxa"/>
            <w:vAlign w:val="bottom"/>
          </w:tcPr>
          <w:p>
            <w:pPr>
              <w:jc w:val="right"/>
              <w:spacing w:after="0"/>
              <w:rPr>
                <w:sz w:val="20"/>
                <w:szCs w:val="20"/>
                <w:color w:val="auto"/>
              </w:rPr>
            </w:pPr>
            <w:r>
              <w:rPr>
                <w:rFonts w:ascii="Arial" w:cs="Arial" w:eastAsia="Arial" w:hAnsi="Arial"/>
                <w:sz w:val="14"/>
                <w:szCs w:val="14"/>
                <w:color w:val="131E29"/>
              </w:rPr>
              <w:t>24,513</w:t>
            </w:r>
          </w:p>
        </w:tc>
        <w:tc>
          <w:tcPr>
            <w:tcW w:w="100" w:type="dxa"/>
            <w:vAlign w:val="bottom"/>
          </w:tcPr>
          <w:p>
            <w:pPr>
              <w:spacing w:after="0"/>
              <w:rPr>
                <w:sz w:val="24"/>
                <w:szCs w:val="24"/>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131E29"/>
                <w:w w:val="76"/>
              </w:rPr>
              <w:t>$</w:t>
            </w:r>
          </w:p>
        </w:tc>
        <w:tc>
          <w:tcPr>
            <w:tcW w:w="1520" w:type="dxa"/>
            <w:vAlign w:val="bottom"/>
          </w:tcPr>
          <w:p>
            <w:pPr>
              <w:jc w:val="right"/>
              <w:spacing w:after="0"/>
              <w:rPr>
                <w:sz w:val="20"/>
                <w:szCs w:val="20"/>
                <w:color w:val="auto"/>
              </w:rPr>
            </w:pPr>
            <w:r>
              <w:rPr>
                <w:rFonts w:ascii="Arial" w:cs="Arial" w:eastAsia="Arial" w:hAnsi="Arial"/>
                <w:sz w:val="14"/>
                <w:szCs w:val="14"/>
                <w:color w:val="131E29"/>
              </w:rPr>
              <w:t>(3,543)</w:t>
            </w:r>
          </w:p>
        </w:tc>
        <w:tc>
          <w:tcPr>
            <w:tcW w:w="80" w:type="dxa"/>
            <w:vAlign w:val="bottom"/>
          </w:tcPr>
          <w:p>
            <w:pPr>
              <w:spacing w:after="0"/>
              <w:rPr>
                <w:sz w:val="24"/>
                <w:szCs w:val="24"/>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131E29"/>
              </w:rPr>
              <w:t>$</w:t>
            </w:r>
          </w:p>
        </w:tc>
        <w:tc>
          <w:tcPr>
            <w:tcW w:w="1520" w:type="dxa"/>
            <w:vAlign w:val="bottom"/>
          </w:tcPr>
          <w:p>
            <w:pPr>
              <w:jc w:val="right"/>
              <w:spacing w:after="0"/>
              <w:rPr>
                <w:sz w:val="20"/>
                <w:szCs w:val="20"/>
                <w:color w:val="auto"/>
              </w:rPr>
            </w:pPr>
            <w:r>
              <w:rPr>
                <w:rFonts w:ascii="Arial" w:cs="Arial" w:eastAsia="Arial" w:hAnsi="Arial"/>
                <w:sz w:val="14"/>
                <w:szCs w:val="14"/>
                <w:color w:val="131E29"/>
              </w:rPr>
              <w:t>20,970</w:t>
            </w:r>
          </w:p>
        </w:tc>
      </w:tr>
      <w:tr>
        <w:trPr>
          <w:trHeight w:val="22"/>
        </w:trPr>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81"/>
        </w:trPr>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142,277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(3,543)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138,734</w:t>
            </w:r>
          </w:p>
        </w:tc>
      </w:tr>
      <w:tr>
        <w:trPr>
          <w:trHeight w:val="22"/>
        </w:trPr>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81"/>
        </w:trPr>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343,514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(3,543)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339,971</w:t>
            </w:r>
          </w:p>
        </w:tc>
      </w:tr>
      <w:tr>
        <w:trPr>
          <w:trHeight w:val="626"/>
        </w:trPr>
        <w:tc>
          <w:tcPr>
            <w:tcW w:w="2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106,410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783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107,193</w:t>
            </w:r>
          </w:p>
        </w:tc>
      </w:tr>
      <w:tr>
        <w:trPr>
          <w:trHeight w:val="212"/>
        </w:trPr>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(12,914)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235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(12,679)</w:t>
            </w:r>
          </w:p>
        </w:tc>
      </w:tr>
      <w:tr>
        <w:trPr>
          <w:trHeight w:val="22"/>
        </w:trPr>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81"/>
        </w:trPr>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93,498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1,018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94,516</w:t>
            </w:r>
          </w:p>
        </w:tc>
      </w:tr>
      <w:tr>
        <w:trPr>
          <w:trHeight w:val="212"/>
        </w:trPr>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116,688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2,525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119,213</w:t>
            </w:r>
          </w:p>
        </w:tc>
      </w:tr>
      <w:tr>
        <w:trPr>
          <w:trHeight w:val="22"/>
        </w:trPr>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81"/>
        </w:trPr>
        <w:tc>
          <w:tcPr>
            <w:tcW w:w="280" w:type="dxa"/>
            <w:vAlign w:val="bottom"/>
          </w:tcPr>
          <w:p>
            <w:pPr>
              <w:jc w:val="right"/>
              <w:ind w:right="109"/>
              <w:spacing w:after="0"/>
              <w:rPr>
                <w:sz w:val="20"/>
                <w:szCs w:val="20"/>
                <w:color w:val="auto"/>
              </w:rPr>
            </w:pPr>
            <w:r>
              <w:rPr>
                <w:rFonts w:ascii="Arial" w:cs="Arial" w:eastAsia="Arial" w:hAnsi="Arial"/>
                <w:sz w:val="14"/>
                <w:szCs w:val="14"/>
                <w:color w:val="131E29"/>
              </w:rPr>
              <w:t>$</w:t>
            </w:r>
          </w:p>
        </w:tc>
        <w:tc>
          <w:tcPr>
            <w:tcW w:w="1520" w:type="dxa"/>
            <w:vAlign w:val="bottom"/>
          </w:tcPr>
          <w:p>
            <w:pPr>
              <w:jc w:val="right"/>
              <w:spacing w:after="0"/>
              <w:rPr>
                <w:sz w:val="20"/>
                <w:szCs w:val="20"/>
                <w:color w:val="auto"/>
              </w:rPr>
            </w:pPr>
            <w:r>
              <w:rPr>
                <w:rFonts w:ascii="Arial" w:cs="Arial" w:eastAsia="Arial" w:hAnsi="Arial"/>
                <w:sz w:val="14"/>
                <w:szCs w:val="14"/>
                <w:color w:val="131E29"/>
              </w:rPr>
              <w:t>210,186</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131E29"/>
                <w:w w:val="76"/>
              </w:rPr>
              <w:t>$</w:t>
            </w:r>
          </w:p>
        </w:tc>
        <w:tc>
          <w:tcPr>
            <w:tcW w:w="1520" w:type="dxa"/>
            <w:vAlign w:val="bottom"/>
          </w:tcPr>
          <w:p>
            <w:pPr>
              <w:jc w:val="right"/>
              <w:spacing w:after="0"/>
              <w:rPr>
                <w:sz w:val="20"/>
                <w:szCs w:val="20"/>
                <w:color w:val="auto"/>
              </w:rPr>
            </w:pPr>
            <w:r>
              <w:rPr>
                <w:rFonts w:ascii="Arial" w:cs="Arial" w:eastAsia="Arial" w:hAnsi="Arial"/>
                <w:sz w:val="14"/>
                <w:szCs w:val="14"/>
                <w:color w:val="131E29"/>
              </w:rPr>
              <w:t>3,543</w:t>
            </w:r>
          </w:p>
        </w:tc>
        <w:tc>
          <w:tcPr>
            <w:tcW w:w="8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131E29"/>
              </w:rPr>
              <w:t>$</w:t>
            </w:r>
          </w:p>
        </w:tc>
        <w:tc>
          <w:tcPr>
            <w:tcW w:w="1520" w:type="dxa"/>
            <w:vAlign w:val="bottom"/>
          </w:tcPr>
          <w:p>
            <w:pPr>
              <w:jc w:val="right"/>
              <w:spacing w:after="0"/>
              <w:rPr>
                <w:sz w:val="20"/>
                <w:szCs w:val="20"/>
                <w:color w:val="auto"/>
              </w:rPr>
            </w:pPr>
            <w:r>
              <w:rPr>
                <w:rFonts w:ascii="Arial" w:cs="Arial" w:eastAsia="Arial" w:hAnsi="Arial"/>
                <w:sz w:val="14"/>
                <w:szCs w:val="14"/>
                <w:color w:val="131E29"/>
              </w:rPr>
              <w:t>213,729</w:t>
            </w:r>
          </w:p>
        </w:tc>
      </w:tr>
      <w:tr>
        <w:trPr>
          <w:trHeight w:val="22"/>
        </w:trPr>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-1259205</wp:posOffset>
            </wp:positionV>
            <wp:extent cx="7161530" cy="1416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61530" cy="141605"/>
                    </a:xfrm>
                    <a:prstGeom prst="rect">
                      <a:avLst/>
                    </a:prstGeom>
                    <a:noFill/>
                  </pic:spPr>
                </pic:pic>
              </a:graphicData>
            </a:graphic>
          </wp:anchor>
        </w:drawing>
        <w:drawing>
          <wp:anchor simplePos="0" relativeHeight="251657728" behindDoc="1" locked="0" layoutInCell="0" allowOverlap="1">
            <wp:simplePos x="0" y="0"/>
            <wp:positionH relativeFrom="column">
              <wp:posOffset>-3615690</wp:posOffset>
            </wp:positionH>
            <wp:positionV relativeFrom="paragraph">
              <wp:posOffset>-975995</wp:posOffset>
            </wp:positionV>
            <wp:extent cx="7161530" cy="12827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-3615690</wp:posOffset>
            </wp:positionH>
            <wp:positionV relativeFrom="paragraph">
              <wp:posOffset>-713740</wp:posOffset>
            </wp:positionV>
            <wp:extent cx="7161530" cy="134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-3615690</wp:posOffset>
            </wp:positionH>
            <wp:positionV relativeFrom="paragraph">
              <wp:posOffset>-443865</wp:posOffset>
            </wp:positionV>
            <wp:extent cx="7161530" cy="1416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61530" cy="141605"/>
                    </a:xfrm>
                    <a:prstGeom prst="rect">
                      <a:avLst/>
                    </a:prstGeom>
                    <a:noFill/>
                  </pic:spPr>
                </pic:pic>
              </a:graphicData>
            </a:graphic>
          </wp:anchor>
        </w:drawing>
        <w:drawing>
          <wp:anchor simplePos="0" relativeHeight="251657728" behindDoc="1" locked="0" layoutInCell="0" allowOverlap="1">
            <wp:simplePos x="0" y="0"/>
            <wp:positionH relativeFrom="column">
              <wp:posOffset>-3615690</wp:posOffset>
            </wp:positionH>
            <wp:positionV relativeFrom="paragraph">
              <wp:posOffset>-167640</wp:posOffset>
            </wp:positionV>
            <wp:extent cx="7161530" cy="154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61530" cy="154940"/>
                    </a:xfrm>
                    <a:prstGeom prst="rect">
                      <a:avLst/>
                    </a:prstGeom>
                    <a:noFill/>
                  </pic:spPr>
                </pic:pic>
              </a:graphicData>
            </a:graphic>
          </wp:anchor>
        </w:drawing>
        <w:drawing>
          <wp:anchor simplePos="0" relativeHeight="251657728" behindDoc="1" locked="0" layoutInCell="0" allowOverlap="1">
            <wp:simplePos x="0" y="0"/>
            <wp:positionH relativeFrom="column">
              <wp:posOffset>-3615690</wp:posOffset>
            </wp:positionH>
            <wp:positionV relativeFrom="paragraph">
              <wp:posOffset>-1535430</wp:posOffset>
            </wp:positionV>
            <wp:extent cx="7161530" cy="1416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131E29"/>
        </w:rPr>
        <w:t>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3543935" cy="69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543935" cy="698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0" w:type="dxa"/>
            <w:vAlign w:val="bottom"/>
          </w:tcPr>
          <w:p>
            <w:pPr>
              <w:spacing w:after="0"/>
              <w:rPr>
                <w:sz w:val="16"/>
                <w:szCs w:val="16"/>
                <w:color w:val="auto"/>
              </w:rPr>
            </w:pPr>
          </w:p>
        </w:tc>
        <w:tc>
          <w:tcPr>
            <w:tcW w:w="1620" w:type="dxa"/>
            <w:vAlign w:val="bottom"/>
            <w:gridSpan w:val="2"/>
          </w:tcPr>
          <w:p>
            <w:pPr>
              <w:ind w:left="200"/>
              <w:spacing w:after="0"/>
              <w:rPr>
                <w:sz w:val="20"/>
                <w:szCs w:val="20"/>
                <w:color w:val="auto"/>
              </w:rPr>
            </w:pPr>
            <w:r>
              <w:rPr>
                <w:rFonts w:ascii="Arial" w:cs="Arial" w:eastAsia="Arial" w:hAnsi="Arial"/>
                <w:sz w:val="14"/>
                <w:szCs w:val="14"/>
                <w:b w:val="1"/>
                <w:bCs w:val="1"/>
                <w:color w:val="131E29"/>
              </w:rPr>
              <w:t>As Reported</w:t>
            </w:r>
          </w:p>
        </w:tc>
        <w:tc>
          <w:tcPr>
            <w:tcW w:w="280" w:type="dxa"/>
            <w:vAlign w:val="bottom"/>
          </w:tcPr>
          <w:p>
            <w:pPr>
              <w:spacing w:after="0"/>
              <w:rPr>
                <w:sz w:val="16"/>
                <w:szCs w:val="16"/>
                <w:color w:val="auto"/>
              </w:rPr>
            </w:pPr>
          </w:p>
        </w:tc>
        <w:tc>
          <w:tcPr>
            <w:tcW w:w="1600" w:type="dxa"/>
            <w:vAlign w:val="bottom"/>
            <w:gridSpan w:val="2"/>
          </w:tcPr>
          <w:p>
            <w:pPr>
              <w:ind w:left="180"/>
              <w:spacing w:after="0"/>
              <w:rPr>
                <w:sz w:val="20"/>
                <w:szCs w:val="20"/>
                <w:color w:val="auto"/>
              </w:rPr>
            </w:pPr>
            <w:r>
              <w:rPr>
                <w:rFonts w:ascii="Arial" w:cs="Arial" w:eastAsia="Arial" w:hAnsi="Arial"/>
                <w:sz w:val="14"/>
                <w:szCs w:val="14"/>
                <w:b w:val="1"/>
                <w:bCs w:val="1"/>
                <w:color w:val="131E29"/>
              </w:rPr>
              <w:t>Adjustments</w:t>
            </w:r>
          </w:p>
        </w:tc>
        <w:tc>
          <w:tcPr>
            <w:tcW w:w="280" w:type="dxa"/>
            <w:vAlign w:val="bottom"/>
          </w:tcPr>
          <w:p>
            <w:pPr>
              <w:spacing w:after="0"/>
              <w:rPr>
                <w:sz w:val="16"/>
                <w:szCs w:val="16"/>
                <w:color w:val="auto"/>
              </w:rPr>
            </w:pPr>
          </w:p>
        </w:tc>
        <w:tc>
          <w:tcPr>
            <w:tcW w:w="1520" w:type="dxa"/>
            <w:vAlign w:val="bottom"/>
          </w:tcPr>
          <w:p>
            <w:pPr>
              <w:ind w:left="180"/>
              <w:spacing w:after="0"/>
              <w:rPr>
                <w:sz w:val="20"/>
                <w:szCs w:val="20"/>
                <w:color w:val="auto"/>
              </w:rPr>
            </w:pPr>
            <w:r>
              <w:rPr>
                <w:rFonts w:ascii="Arial" w:cs="Arial" w:eastAsia="Arial" w:hAnsi="Arial"/>
                <w:sz w:val="14"/>
                <w:szCs w:val="14"/>
                <w:b w:val="1"/>
                <w:bCs w:val="1"/>
                <w:color w:val="131E29"/>
              </w:rPr>
              <w:t>As Corrected</w:t>
            </w:r>
          </w:p>
        </w:tc>
      </w:tr>
      <w:tr>
        <w:trPr>
          <w:trHeight w:val="22"/>
        </w:trPr>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393"/>
        </w:trPr>
        <w:tc>
          <w:tcPr>
            <w:tcW w:w="280" w:type="dxa"/>
            <w:vAlign w:val="bottom"/>
          </w:tcPr>
          <w:p>
            <w:pPr>
              <w:jc w:val="right"/>
              <w:ind w:right="109"/>
              <w:spacing w:after="0"/>
              <w:rPr>
                <w:sz w:val="20"/>
                <w:szCs w:val="20"/>
                <w:color w:val="auto"/>
              </w:rPr>
            </w:pPr>
            <w:r>
              <w:rPr>
                <w:rFonts w:ascii="Arial" w:cs="Arial" w:eastAsia="Arial" w:hAnsi="Arial"/>
                <w:sz w:val="14"/>
                <w:szCs w:val="14"/>
                <w:color w:val="131E29"/>
              </w:rPr>
              <w:t>$</w:t>
            </w:r>
          </w:p>
        </w:tc>
        <w:tc>
          <w:tcPr>
            <w:tcW w:w="1520" w:type="dxa"/>
            <w:vAlign w:val="bottom"/>
          </w:tcPr>
          <w:p>
            <w:pPr>
              <w:jc w:val="center"/>
              <w:ind w:left="829"/>
              <w:spacing w:after="0"/>
              <w:rPr>
                <w:sz w:val="20"/>
                <w:szCs w:val="20"/>
                <w:color w:val="auto"/>
              </w:rPr>
            </w:pPr>
            <w:r>
              <w:rPr>
                <w:rFonts w:ascii="Arial" w:cs="Arial" w:eastAsia="Arial" w:hAnsi="Arial"/>
                <w:sz w:val="14"/>
                <w:szCs w:val="14"/>
                <w:color w:val="131E29"/>
                <w:w w:val="98"/>
              </w:rPr>
              <w:t>346,113</w:t>
            </w:r>
          </w:p>
        </w:tc>
        <w:tc>
          <w:tcPr>
            <w:tcW w:w="100" w:type="dxa"/>
            <w:vAlign w:val="bottom"/>
          </w:tcPr>
          <w:p>
            <w:pPr>
              <w:spacing w:after="0"/>
              <w:rPr>
                <w:sz w:val="24"/>
                <w:szCs w:val="24"/>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131E29"/>
                <w:w w:val="76"/>
              </w:rPr>
              <w:t>$</w:t>
            </w:r>
          </w:p>
        </w:tc>
        <w:tc>
          <w:tcPr>
            <w:tcW w:w="1520" w:type="dxa"/>
            <w:vAlign w:val="bottom"/>
          </w:tcPr>
          <w:p>
            <w:pPr>
              <w:jc w:val="right"/>
              <w:spacing w:after="0"/>
              <w:rPr>
                <w:sz w:val="20"/>
                <w:szCs w:val="20"/>
                <w:color w:val="auto"/>
              </w:rPr>
            </w:pPr>
            <w:r>
              <w:rPr>
                <w:rFonts w:ascii="Arial" w:cs="Arial" w:eastAsia="Arial" w:hAnsi="Arial"/>
                <w:sz w:val="14"/>
                <w:szCs w:val="14"/>
                <w:color w:val="131E29"/>
              </w:rPr>
              <w:t>(1,540)</w:t>
            </w:r>
          </w:p>
        </w:tc>
        <w:tc>
          <w:tcPr>
            <w:tcW w:w="80" w:type="dxa"/>
            <w:vAlign w:val="bottom"/>
          </w:tcPr>
          <w:p>
            <w:pPr>
              <w:spacing w:after="0"/>
              <w:rPr>
                <w:sz w:val="24"/>
                <w:szCs w:val="24"/>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131E29"/>
              </w:rPr>
              <w:t>$</w:t>
            </w:r>
          </w:p>
        </w:tc>
        <w:tc>
          <w:tcPr>
            <w:tcW w:w="1520" w:type="dxa"/>
            <w:vAlign w:val="bottom"/>
          </w:tcPr>
          <w:p>
            <w:pPr>
              <w:jc w:val="center"/>
              <w:ind w:left="829"/>
              <w:spacing w:after="0"/>
              <w:rPr>
                <w:sz w:val="20"/>
                <w:szCs w:val="20"/>
                <w:color w:val="auto"/>
              </w:rPr>
            </w:pPr>
            <w:r>
              <w:rPr>
                <w:rFonts w:ascii="Arial" w:cs="Arial" w:eastAsia="Arial" w:hAnsi="Arial"/>
                <w:sz w:val="14"/>
                <w:szCs w:val="14"/>
                <w:color w:val="131E29"/>
                <w:w w:val="98"/>
              </w:rPr>
              <w:t>344,573</w:t>
            </w:r>
          </w:p>
        </w:tc>
      </w:tr>
      <w:tr>
        <w:trPr>
          <w:trHeight w:val="212"/>
        </w:trPr>
        <w:tc>
          <w:tcPr>
            <w:tcW w:w="280" w:type="dxa"/>
            <w:vAlign w:val="bottom"/>
          </w:tcPr>
          <w:p>
            <w:pPr>
              <w:spacing w:after="0"/>
              <w:rPr>
                <w:sz w:val="18"/>
                <w:szCs w:val="18"/>
                <w:color w:val="auto"/>
              </w:rPr>
            </w:pPr>
          </w:p>
        </w:tc>
        <w:tc>
          <w:tcPr>
            <w:tcW w:w="1520" w:type="dxa"/>
            <w:vAlign w:val="bottom"/>
          </w:tcPr>
          <w:p>
            <w:pPr>
              <w:jc w:val="center"/>
              <w:ind w:left="829"/>
              <w:spacing w:after="0"/>
              <w:rPr>
                <w:sz w:val="20"/>
                <w:szCs w:val="20"/>
                <w:color w:val="auto"/>
              </w:rPr>
            </w:pPr>
            <w:r>
              <w:rPr>
                <w:rFonts w:ascii="Arial" w:cs="Arial" w:eastAsia="Arial" w:hAnsi="Arial"/>
                <w:sz w:val="14"/>
                <w:szCs w:val="14"/>
                <w:color w:val="131E29"/>
                <w:w w:val="98"/>
              </w:rPr>
              <w:t>265,035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(506)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center"/>
              <w:ind w:left="829"/>
              <w:spacing w:after="0"/>
              <w:rPr>
                <w:sz w:val="20"/>
                <w:szCs w:val="20"/>
                <w:color w:val="auto"/>
              </w:rPr>
            </w:pPr>
            <w:r>
              <w:rPr>
                <w:rFonts w:ascii="Arial" w:cs="Arial" w:eastAsia="Arial" w:hAnsi="Arial"/>
                <w:sz w:val="14"/>
                <w:szCs w:val="14"/>
                <w:color w:val="131E29"/>
                <w:w w:val="98"/>
              </w:rPr>
              <w:t>264,529</w:t>
            </w:r>
          </w:p>
        </w:tc>
      </w:tr>
      <w:tr>
        <w:trPr>
          <w:trHeight w:val="22"/>
        </w:trPr>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81"/>
        </w:trPr>
        <w:tc>
          <w:tcPr>
            <w:tcW w:w="280" w:type="dxa"/>
            <w:vAlign w:val="bottom"/>
          </w:tcPr>
          <w:p>
            <w:pPr>
              <w:spacing w:after="0"/>
              <w:rPr>
                <w:sz w:val="15"/>
                <w:szCs w:val="15"/>
                <w:color w:val="auto"/>
              </w:rPr>
            </w:pPr>
          </w:p>
        </w:tc>
        <w:tc>
          <w:tcPr>
            <w:tcW w:w="1520" w:type="dxa"/>
            <w:vAlign w:val="bottom"/>
          </w:tcPr>
          <w:p>
            <w:pPr>
              <w:jc w:val="center"/>
              <w:ind w:left="829"/>
              <w:spacing w:after="0"/>
              <w:rPr>
                <w:sz w:val="20"/>
                <w:szCs w:val="20"/>
                <w:color w:val="auto"/>
              </w:rPr>
            </w:pPr>
            <w:r>
              <w:rPr>
                <w:rFonts w:ascii="Arial" w:cs="Arial" w:eastAsia="Arial" w:hAnsi="Arial"/>
                <w:sz w:val="14"/>
                <w:szCs w:val="14"/>
                <w:color w:val="131E29"/>
                <w:w w:val="98"/>
              </w:rPr>
              <w:t>611,148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(2,046)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center"/>
              <w:ind w:left="829"/>
              <w:spacing w:after="0"/>
              <w:rPr>
                <w:sz w:val="20"/>
                <w:szCs w:val="20"/>
                <w:color w:val="auto"/>
              </w:rPr>
            </w:pPr>
            <w:r>
              <w:rPr>
                <w:rFonts w:ascii="Arial" w:cs="Arial" w:eastAsia="Arial" w:hAnsi="Arial"/>
                <w:sz w:val="14"/>
                <w:szCs w:val="14"/>
                <w:color w:val="131E29"/>
                <w:w w:val="98"/>
              </w:rPr>
              <w:t>609,102</w:t>
            </w:r>
          </w:p>
        </w:tc>
      </w:tr>
      <w:tr>
        <w:trPr>
          <w:trHeight w:val="212"/>
        </w:trPr>
        <w:tc>
          <w:tcPr>
            <w:tcW w:w="280" w:type="dxa"/>
            <w:vAlign w:val="bottom"/>
          </w:tcPr>
          <w:p>
            <w:pPr>
              <w:spacing w:after="0"/>
              <w:rPr>
                <w:sz w:val="18"/>
                <w:szCs w:val="18"/>
                <w:color w:val="auto"/>
              </w:rPr>
            </w:pPr>
          </w:p>
        </w:tc>
        <w:tc>
          <w:tcPr>
            <w:tcW w:w="1520" w:type="dxa"/>
            <w:vAlign w:val="bottom"/>
          </w:tcPr>
          <w:p>
            <w:pPr>
              <w:jc w:val="center"/>
              <w:ind w:left="809"/>
              <w:spacing w:after="0"/>
              <w:rPr>
                <w:sz w:val="20"/>
                <w:szCs w:val="20"/>
                <w:color w:val="auto"/>
              </w:rPr>
            </w:pPr>
            <w:r>
              <w:rPr>
                <w:rFonts w:ascii="Arial" w:cs="Arial" w:eastAsia="Arial" w:hAnsi="Arial"/>
                <w:sz w:val="14"/>
                <w:szCs w:val="14"/>
                <w:color w:val="131E29"/>
              </w:rPr>
              <w:t>(113,272)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2,046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center"/>
              <w:ind w:left="809"/>
              <w:spacing w:after="0"/>
              <w:rPr>
                <w:sz w:val="20"/>
                <w:szCs w:val="20"/>
                <w:color w:val="auto"/>
              </w:rPr>
            </w:pPr>
            <w:r>
              <w:rPr>
                <w:rFonts w:ascii="Arial" w:cs="Arial" w:eastAsia="Arial" w:hAnsi="Arial"/>
                <w:sz w:val="14"/>
                <w:szCs w:val="14"/>
                <w:color w:val="131E29"/>
              </w:rPr>
              <w:t>(111,226)</w:t>
            </w:r>
          </w:p>
        </w:tc>
      </w:tr>
      <w:tr>
        <w:trPr>
          <w:trHeight w:val="212"/>
        </w:trPr>
        <w:tc>
          <w:tcPr>
            <w:tcW w:w="280" w:type="dxa"/>
            <w:vAlign w:val="bottom"/>
          </w:tcPr>
          <w:p>
            <w:pPr>
              <w:spacing w:after="0"/>
              <w:rPr>
                <w:sz w:val="18"/>
                <w:szCs w:val="18"/>
                <w:color w:val="auto"/>
              </w:rPr>
            </w:pPr>
          </w:p>
        </w:tc>
        <w:tc>
          <w:tcPr>
            <w:tcW w:w="1520" w:type="dxa"/>
            <w:vAlign w:val="bottom"/>
          </w:tcPr>
          <w:p>
            <w:pPr>
              <w:jc w:val="center"/>
              <w:ind w:left="809"/>
              <w:spacing w:after="0"/>
              <w:rPr>
                <w:sz w:val="20"/>
                <w:szCs w:val="20"/>
                <w:color w:val="auto"/>
              </w:rPr>
            </w:pPr>
            <w:r>
              <w:rPr>
                <w:rFonts w:ascii="Arial" w:cs="Arial" w:eastAsia="Arial" w:hAnsi="Arial"/>
                <w:sz w:val="14"/>
                <w:szCs w:val="14"/>
                <w:color w:val="131E29"/>
              </w:rPr>
              <w:t>(121,605)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2,046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center"/>
              <w:ind w:left="809"/>
              <w:spacing w:after="0"/>
              <w:rPr>
                <w:sz w:val="20"/>
                <w:szCs w:val="20"/>
                <w:color w:val="auto"/>
              </w:rPr>
            </w:pPr>
            <w:r>
              <w:rPr>
                <w:rFonts w:ascii="Arial" w:cs="Arial" w:eastAsia="Arial" w:hAnsi="Arial"/>
                <w:sz w:val="14"/>
                <w:szCs w:val="14"/>
                <w:color w:val="131E29"/>
              </w:rPr>
              <w:t>(119,559)</w:t>
            </w:r>
          </w:p>
        </w:tc>
      </w:tr>
      <w:tr>
        <w:trPr>
          <w:trHeight w:val="212"/>
        </w:trPr>
        <w:tc>
          <w:tcPr>
            <w:tcW w:w="280" w:type="dxa"/>
            <w:vAlign w:val="bottom"/>
          </w:tcPr>
          <w:p>
            <w:pPr>
              <w:jc w:val="right"/>
              <w:ind w:right="109"/>
              <w:spacing w:after="0"/>
              <w:rPr>
                <w:sz w:val="20"/>
                <w:szCs w:val="20"/>
                <w:color w:val="auto"/>
              </w:rPr>
            </w:pPr>
            <w:r>
              <w:rPr>
                <w:rFonts w:ascii="Arial" w:cs="Arial" w:eastAsia="Arial" w:hAnsi="Arial"/>
                <w:sz w:val="14"/>
                <w:szCs w:val="14"/>
                <w:color w:val="131E29"/>
              </w:rPr>
              <w:t>$</w:t>
            </w:r>
          </w:p>
        </w:tc>
        <w:tc>
          <w:tcPr>
            <w:tcW w:w="1520" w:type="dxa"/>
            <w:vAlign w:val="bottom"/>
          </w:tcPr>
          <w:p>
            <w:pPr>
              <w:jc w:val="center"/>
              <w:ind w:left="809"/>
              <w:spacing w:after="0"/>
              <w:rPr>
                <w:sz w:val="20"/>
                <w:szCs w:val="20"/>
                <w:color w:val="auto"/>
              </w:rPr>
            </w:pPr>
            <w:r>
              <w:rPr>
                <w:rFonts w:ascii="Arial" w:cs="Arial" w:eastAsia="Arial" w:hAnsi="Arial"/>
                <w:sz w:val="14"/>
                <w:szCs w:val="14"/>
                <w:color w:val="131E29"/>
              </w:rPr>
              <w:t>(119,977)</w:t>
            </w:r>
          </w:p>
        </w:tc>
        <w:tc>
          <w:tcPr>
            <w:tcW w:w="100" w:type="dxa"/>
            <w:vAlign w:val="bottom"/>
          </w:tcPr>
          <w:p>
            <w:pPr>
              <w:spacing w:after="0"/>
              <w:rPr>
                <w:sz w:val="18"/>
                <w:szCs w:val="18"/>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131E29"/>
                <w:w w:val="76"/>
              </w:rPr>
              <w:t>$</w:t>
            </w:r>
          </w:p>
        </w:tc>
        <w:tc>
          <w:tcPr>
            <w:tcW w:w="1520" w:type="dxa"/>
            <w:vAlign w:val="bottom"/>
          </w:tcPr>
          <w:p>
            <w:pPr>
              <w:jc w:val="right"/>
              <w:spacing w:after="0"/>
              <w:rPr>
                <w:sz w:val="20"/>
                <w:szCs w:val="20"/>
                <w:color w:val="auto"/>
              </w:rPr>
            </w:pPr>
            <w:r>
              <w:rPr>
                <w:rFonts w:ascii="Arial" w:cs="Arial" w:eastAsia="Arial" w:hAnsi="Arial"/>
                <w:sz w:val="14"/>
                <w:szCs w:val="14"/>
                <w:color w:val="131E29"/>
              </w:rPr>
              <w:t>2,046</w:t>
            </w:r>
          </w:p>
        </w:tc>
        <w:tc>
          <w:tcPr>
            <w:tcW w:w="80" w:type="dxa"/>
            <w:vAlign w:val="bottom"/>
          </w:tcPr>
          <w:p>
            <w:pPr>
              <w:spacing w:after="0"/>
              <w:rPr>
                <w:sz w:val="18"/>
                <w:szCs w:val="18"/>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131E29"/>
              </w:rPr>
              <w:t>$</w:t>
            </w:r>
          </w:p>
        </w:tc>
        <w:tc>
          <w:tcPr>
            <w:tcW w:w="1520" w:type="dxa"/>
            <w:vAlign w:val="bottom"/>
          </w:tcPr>
          <w:p>
            <w:pPr>
              <w:jc w:val="center"/>
              <w:ind w:left="809"/>
              <w:spacing w:after="0"/>
              <w:rPr>
                <w:sz w:val="20"/>
                <w:szCs w:val="20"/>
                <w:color w:val="auto"/>
              </w:rPr>
            </w:pPr>
            <w:r>
              <w:rPr>
                <w:rFonts w:ascii="Arial" w:cs="Arial" w:eastAsia="Arial" w:hAnsi="Arial"/>
                <w:sz w:val="14"/>
                <w:szCs w:val="14"/>
                <w:color w:val="131E29"/>
              </w:rPr>
              <w:t>(117,931)</w:t>
            </w:r>
          </w:p>
        </w:tc>
      </w:tr>
      <w:tr>
        <w:trPr>
          <w:trHeight w:val="22"/>
        </w:trPr>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-706755</wp:posOffset>
            </wp:positionV>
            <wp:extent cx="7161530" cy="1346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-3615690</wp:posOffset>
            </wp:positionH>
            <wp:positionV relativeFrom="paragraph">
              <wp:posOffset>-430530</wp:posOffset>
            </wp:positionV>
            <wp:extent cx="7161530" cy="1346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-3615690</wp:posOffset>
            </wp:positionH>
            <wp:positionV relativeFrom="paragraph">
              <wp:posOffset>-161290</wp:posOffset>
            </wp:positionV>
            <wp:extent cx="7161530" cy="1479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61530" cy="147955"/>
                    </a:xfrm>
                    <a:prstGeom prst="rect">
                      <a:avLst/>
                    </a:prstGeom>
                    <a:noFill/>
                  </pic:spPr>
                </pic:pic>
              </a:graphicData>
            </a:graphic>
          </wp:anchor>
        </w:drawing>
        <w:drawing>
          <wp:anchor simplePos="0" relativeHeight="251657728" behindDoc="1" locked="0" layoutInCell="0" allowOverlap="1">
            <wp:simplePos x="0" y="0"/>
            <wp:positionH relativeFrom="column">
              <wp:posOffset>-3615690</wp:posOffset>
            </wp:positionH>
            <wp:positionV relativeFrom="paragraph">
              <wp:posOffset>-982980</wp:posOffset>
            </wp:positionV>
            <wp:extent cx="7161530" cy="1416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195"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131E29"/>
        </w:rPr>
        <w:t>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3543935" cy="69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543935" cy="698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0" w:type="dxa"/>
            <w:vAlign w:val="bottom"/>
          </w:tcPr>
          <w:p>
            <w:pPr>
              <w:spacing w:after="0"/>
              <w:rPr>
                <w:sz w:val="16"/>
                <w:szCs w:val="16"/>
                <w:color w:val="auto"/>
              </w:rPr>
            </w:pPr>
          </w:p>
        </w:tc>
        <w:tc>
          <w:tcPr>
            <w:tcW w:w="1620" w:type="dxa"/>
            <w:vAlign w:val="bottom"/>
            <w:gridSpan w:val="2"/>
          </w:tcPr>
          <w:p>
            <w:pPr>
              <w:ind w:left="200"/>
              <w:spacing w:after="0"/>
              <w:rPr>
                <w:sz w:val="20"/>
                <w:szCs w:val="20"/>
                <w:color w:val="auto"/>
              </w:rPr>
            </w:pPr>
            <w:r>
              <w:rPr>
                <w:rFonts w:ascii="Arial" w:cs="Arial" w:eastAsia="Arial" w:hAnsi="Arial"/>
                <w:sz w:val="14"/>
                <w:szCs w:val="14"/>
                <w:b w:val="1"/>
                <w:bCs w:val="1"/>
                <w:color w:val="131E29"/>
              </w:rPr>
              <w:t>As Reported</w:t>
            </w:r>
          </w:p>
        </w:tc>
        <w:tc>
          <w:tcPr>
            <w:tcW w:w="280" w:type="dxa"/>
            <w:vAlign w:val="bottom"/>
          </w:tcPr>
          <w:p>
            <w:pPr>
              <w:spacing w:after="0"/>
              <w:rPr>
                <w:sz w:val="16"/>
                <w:szCs w:val="16"/>
                <w:color w:val="auto"/>
              </w:rPr>
            </w:pPr>
          </w:p>
        </w:tc>
        <w:tc>
          <w:tcPr>
            <w:tcW w:w="1600" w:type="dxa"/>
            <w:vAlign w:val="bottom"/>
            <w:gridSpan w:val="2"/>
          </w:tcPr>
          <w:p>
            <w:pPr>
              <w:ind w:left="180"/>
              <w:spacing w:after="0"/>
              <w:rPr>
                <w:sz w:val="20"/>
                <w:szCs w:val="20"/>
                <w:color w:val="auto"/>
              </w:rPr>
            </w:pPr>
            <w:r>
              <w:rPr>
                <w:rFonts w:ascii="Arial" w:cs="Arial" w:eastAsia="Arial" w:hAnsi="Arial"/>
                <w:sz w:val="14"/>
                <w:szCs w:val="14"/>
                <w:b w:val="1"/>
                <w:bCs w:val="1"/>
                <w:color w:val="131E29"/>
              </w:rPr>
              <w:t>Adjustments</w:t>
            </w:r>
          </w:p>
        </w:tc>
        <w:tc>
          <w:tcPr>
            <w:tcW w:w="280" w:type="dxa"/>
            <w:vAlign w:val="bottom"/>
          </w:tcPr>
          <w:p>
            <w:pPr>
              <w:spacing w:after="0"/>
              <w:rPr>
                <w:sz w:val="16"/>
                <w:szCs w:val="16"/>
                <w:color w:val="auto"/>
              </w:rPr>
            </w:pPr>
          </w:p>
        </w:tc>
        <w:tc>
          <w:tcPr>
            <w:tcW w:w="1520" w:type="dxa"/>
            <w:vAlign w:val="bottom"/>
          </w:tcPr>
          <w:p>
            <w:pPr>
              <w:jc w:val="right"/>
              <w:ind w:right="389"/>
              <w:spacing w:after="0"/>
              <w:rPr>
                <w:sz w:val="20"/>
                <w:szCs w:val="20"/>
                <w:color w:val="auto"/>
              </w:rPr>
            </w:pPr>
            <w:r>
              <w:rPr>
                <w:rFonts w:ascii="Arial" w:cs="Arial" w:eastAsia="Arial" w:hAnsi="Arial"/>
                <w:sz w:val="14"/>
                <w:szCs w:val="14"/>
                <w:b w:val="1"/>
                <w:bCs w:val="1"/>
                <w:color w:val="131E29"/>
              </w:rPr>
              <w:t>As Corrected</w:t>
            </w:r>
          </w:p>
        </w:tc>
      </w:tr>
      <w:tr>
        <w:trPr>
          <w:trHeight w:val="22"/>
        </w:trPr>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393"/>
        </w:trPr>
        <w:tc>
          <w:tcPr>
            <w:tcW w:w="280" w:type="dxa"/>
            <w:vAlign w:val="bottom"/>
          </w:tcPr>
          <w:p>
            <w:pPr>
              <w:jc w:val="right"/>
              <w:ind w:right="109"/>
              <w:spacing w:after="0"/>
              <w:rPr>
                <w:sz w:val="20"/>
                <w:szCs w:val="20"/>
                <w:color w:val="auto"/>
              </w:rPr>
            </w:pPr>
            <w:r>
              <w:rPr>
                <w:rFonts w:ascii="Arial" w:cs="Arial" w:eastAsia="Arial" w:hAnsi="Arial"/>
                <w:sz w:val="14"/>
                <w:szCs w:val="14"/>
                <w:color w:val="131E29"/>
              </w:rPr>
              <w:t>$</w:t>
            </w:r>
          </w:p>
        </w:tc>
        <w:tc>
          <w:tcPr>
            <w:tcW w:w="1520" w:type="dxa"/>
            <w:vAlign w:val="bottom"/>
          </w:tcPr>
          <w:p>
            <w:pPr>
              <w:jc w:val="right"/>
              <w:spacing w:after="0"/>
              <w:rPr>
                <w:sz w:val="20"/>
                <w:szCs w:val="20"/>
                <w:color w:val="auto"/>
              </w:rPr>
            </w:pPr>
            <w:r>
              <w:rPr>
                <w:rFonts w:ascii="Arial" w:cs="Arial" w:eastAsia="Arial" w:hAnsi="Arial"/>
                <w:sz w:val="14"/>
                <w:szCs w:val="14"/>
                <w:color w:val="131E29"/>
              </w:rPr>
              <w:t>211,659</w:t>
            </w:r>
          </w:p>
        </w:tc>
        <w:tc>
          <w:tcPr>
            <w:tcW w:w="100" w:type="dxa"/>
            <w:vAlign w:val="bottom"/>
          </w:tcPr>
          <w:p>
            <w:pPr>
              <w:spacing w:after="0"/>
              <w:rPr>
                <w:sz w:val="24"/>
                <w:szCs w:val="24"/>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131E29"/>
                <w:w w:val="76"/>
              </w:rPr>
              <w:t>$</w:t>
            </w:r>
          </w:p>
        </w:tc>
        <w:tc>
          <w:tcPr>
            <w:tcW w:w="1520" w:type="dxa"/>
            <w:vAlign w:val="bottom"/>
          </w:tcPr>
          <w:p>
            <w:pPr>
              <w:jc w:val="center"/>
              <w:ind w:left="1069"/>
              <w:spacing w:after="0"/>
              <w:rPr>
                <w:sz w:val="20"/>
                <w:szCs w:val="20"/>
                <w:color w:val="auto"/>
              </w:rPr>
            </w:pPr>
            <w:r>
              <w:rPr>
                <w:rFonts w:ascii="Arial" w:cs="Arial" w:eastAsia="Arial" w:hAnsi="Arial"/>
                <w:sz w:val="14"/>
                <w:szCs w:val="14"/>
                <w:color w:val="131E29"/>
              </w:rPr>
              <w:t>(181)</w:t>
            </w:r>
          </w:p>
        </w:tc>
        <w:tc>
          <w:tcPr>
            <w:tcW w:w="80" w:type="dxa"/>
            <w:vAlign w:val="bottom"/>
          </w:tcPr>
          <w:p>
            <w:pPr>
              <w:spacing w:after="0"/>
              <w:rPr>
                <w:sz w:val="24"/>
                <w:szCs w:val="24"/>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131E29"/>
              </w:rPr>
              <w:t>$</w:t>
            </w:r>
          </w:p>
        </w:tc>
        <w:tc>
          <w:tcPr>
            <w:tcW w:w="1520" w:type="dxa"/>
            <w:vAlign w:val="bottom"/>
          </w:tcPr>
          <w:p>
            <w:pPr>
              <w:jc w:val="right"/>
              <w:spacing w:after="0"/>
              <w:rPr>
                <w:sz w:val="20"/>
                <w:szCs w:val="20"/>
                <w:color w:val="auto"/>
              </w:rPr>
            </w:pPr>
            <w:r>
              <w:rPr>
                <w:rFonts w:ascii="Arial" w:cs="Arial" w:eastAsia="Arial" w:hAnsi="Arial"/>
                <w:sz w:val="14"/>
                <w:szCs w:val="14"/>
                <w:color w:val="131E29"/>
              </w:rPr>
              <w:t>211,478</w:t>
            </w:r>
          </w:p>
        </w:tc>
      </w:tr>
      <w:tr>
        <w:trPr>
          <w:trHeight w:val="212"/>
        </w:trPr>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105,087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center"/>
              <w:ind w:left="1069"/>
              <w:spacing w:after="0"/>
              <w:rPr>
                <w:sz w:val="20"/>
                <w:szCs w:val="20"/>
                <w:color w:val="auto"/>
              </w:rPr>
            </w:pPr>
            <w:r>
              <w:rPr>
                <w:rFonts w:ascii="Arial" w:cs="Arial" w:eastAsia="Arial" w:hAnsi="Arial"/>
                <w:sz w:val="14"/>
                <w:szCs w:val="14"/>
                <w:color w:val="131E29"/>
              </w:rPr>
              <w:t>(152)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104,935</w:t>
            </w:r>
          </w:p>
        </w:tc>
      </w:tr>
      <w:tr>
        <w:trPr>
          <w:trHeight w:val="22"/>
        </w:trPr>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81"/>
        </w:trPr>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316,746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center"/>
              <w:ind w:left="1069"/>
              <w:spacing w:after="0"/>
              <w:rPr>
                <w:sz w:val="20"/>
                <w:szCs w:val="20"/>
                <w:color w:val="auto"/>
              </w:rPr>
            </w:pPr>
            <w:r>
              <w:rPr>
                <w:rFonts w:ascii="Arial" w:cs="Arial" w:eastAsia="Arial" w:hAnsi="Arial"/>
                <w:sz w:val="14"/>
                <w:szCs w:val="14"/>
                <w:color w:val="131E29"/>
              </w:rPr>
              <w:t>(333)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316,413</w:t>
            </w:r>
          </w:p>
        </w:tc>
      </w:tr>
      <w:tr>
        <w:trPr>
          <w:trHeight w:val="212"/>
        </w:trPr>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10,667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center"/>
              <w:ind w:left="1089"/>
              <w:spacing w:after="0"/>
              <w:rPr>
                <w:sz w:val="20"/>
                <w:szCs w:val="20"/>
                <w:color w:val="auto"/>
              </w:rPr>
            </w:pPr>
            <w:r>
              <w:rPr>
                <w:rFonts w:ascii="Arial" w:cs="Arial" w:eastAsia="Arial" w:hAnsi="Arial"/>
                <w:sz w:val="14"/>
                <w:szCs w:val="14"/>
                <w:color w:val="131E29"/>
              </w:rPr>
              <w:t>333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11,000</w:t>
            </w:r>
          </w:p>
        </w:tc>
      </w:tr>
      <w:tr>
        <w:trPr>
          <w:trHeight w:val="212"/>
        </w:trPr>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6,568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center"/>
              <w:ind w:left="1089"/>
              <w:spacing w:after="0"/>
              <w:rPr>
                <w:sz w:val="20"/>
                <w:szCs w:val="20"/>
                <w:color w:val="auto"/>
              </w:rPr>
            </w:pPr>
            <w:r>
              <w:rPr>
                <w:rFonts w:ascii="Arial" w:cs="Arial" w:eastAsia="Arial" w:hAnsi="Arial"/>
                <w:sz w:val="14"/>
                <w:szCs w:val="14"/>
                <w:color w:val="131E29"/>
              </w:rPr>
              <w:t>333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6,901</w:t>
            </w:r>
          </w:p>
        </w:tc>
      </w:tr>
      <w:tr>
        <w:trPr>
          <w:trHeight w:val="212"/>
        </w:trPr>
        <w:tc>
          <w:tcPr>
            <w:tcW w:w="280" w:type="dxa"/>
            <w:vAlign w:val="bottom"/>
          </w:tcPr>
          <w:p>
            <w:pPr>
              <w:jc w:val="right"/>
              <w:ind w:right="109"/>
              <w:spacing w:after="0"/>
              <w:rPr>
                <w:sz w:val="20"/>
                <w:szCs w:val="20"/>
                <w:color w:val="auto"/>
              </w:rPr>
            </w:pPr>
            <w:r>
              <w:rPr>
                <w:rFonts w:ascii="Arial" w:cs="Arial" w:eastAsia="Arial" w:hAnsi="Arial"/>
                <w:sz w:val="14"/>
                <w:szCs w:val="14"/>
                <w:color w:val="131E29"/>
              </w:rPr>
              <w:t>$</w:t>
            </w:r>
          </w:p>
        </w:tc>
        <w:tc>
          <w:tcPr>
            <w:tcW w:w="1520" w:type="dxa"/>
            <w:vAlign w:val="bottom"/>
          </w:tcPr>
          <w:p>
            <w:pPr>
              <w:jc w:val="right"/>
              <w:spacing w:after="0"/>
              <w:rPr>
                <w:sz w:val="20"/>
                <w:szCs w:val="20"/>
                <w:color w:val="auto"/>
              </w:rPr>
            </w:pPr>
            <w:r>
              <w:rPr>
                <w:rFonts w:ascii="Arial" w:cs="Arial" w:eastAsia="Arial" w:hAnsi="Arial"/>
                <w:sz w:val="14"/>
                <w:szCs w:val="14"/>
                <w:color w:val="131E29"/>
              </w:rPr>
              <w:t>5,725</w:t>
            </w:r>
          </w:p>
        </w:tc>
        <w:tc>
          <w:tcPr>
            <w:tcW w:w="100" w:type="dxa"/>
            <w:vAlign w:val="bottom"/>
          </w:tcPr>
          <w:p>
            <w:pPr>
              <w:spacing w:after="0"/>
              <w:rPr>
                <w:sz w:val="18"/>
                <w:szCs w:val="18"/>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131E29"/>
                <w:w w:val="76"/>
              </w:rPr>
              <w:t>$</w:t>
            </w:r>
          </w:p>
        </w:tc>
        <w:tc>
          <w:tcPr>
            <w:tcW w:w="1520" w:type="dxa"/>
            <w:vAlign w:val="bottom"/>
          </w:tcPr>
          <w:p>
            <w:pPr>
              <w:jc w:val="center"/>
              <w:ind w:left="1089"/>
              <w:spacing w:after="0"/>
              <w:rPr>
                <w:sz w:val="20"/>
                <w:szCs w:val="20"/>
                <w:color w:val="auto"/>
              </w:rPr>
            </w:pPr>
            <w:r>
              <w:rPr>
                <w:rFonts w:ascii="Arial" w:cs="Arial" w:eastAsia="Arial" w:hAnsi="Arial"/>
                <w:sz w:val="14"/>
                <w:szCs w:val="14"/>
                <w:color w:val="131E29"/>
              </w:rPr>
              <w:t>333</w:t>
            </w:r>
          </w:p>
        </w:tc>
        <w:tc>
          <w:tcPr>
            <w:tcW w:w="80" w:type="dxa"/>
            <w:vAlign w:val="bottom"/>
          </w:tcPr>
          <w:p>
            <w:pPr>
              <w:spacing w:after="0"/>
              <w:rPr>
                <w:sz w:val="18"/>
                <w:szCs w:val="18"/>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131E29"/>
              </w:rPr>
              <w:t>$</w:t>
            </w:r>
          </w:p>
        </w:tc>
        <w:tc>
          <w:tcPr>
            <w:tcW w:w="1520" w:type="dxa"/>
            <w:vAlign w:val="bottom"/>
          </w:tcPr>
          <w:p>
            <w:pPr>
              <w:jc w:val="right"/>
              <w:spacing w:after="0"/>
              <w:rPr>
                <w:sz w:val="20"/>
                <w:szCs w:val="20"/>
                <w:color w:val="auto"/>
              </w:rPr>
            </w:pPr>
            <w:r>
              <w:rPr>
                <w:rFonts w:ascii="Arial" w:cs="Arial" w:eastAsia="Arial" w:hAnsi="Arial"/>
                <w:sz w:val="14"/>
                <w:szCs w:val="14"/>
                <w:color w:val="131E29"/>
              </w:rPr>
              <w:t>6,058</w:t>
            </w:r>
          </w:p>
        </w:tc>
      </w:tr>
      <w:tr>
        <w:trPr>
          <w:trHeight w:val="22"/>
        </w:trPr>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-706755</wp:posOffset>
            </wp:positionV>
            <wp:extent cx="7161530" cy="134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-3615690</wp:posOffset>
            </wp:positionH>
            <wp:positionV relativeFrom="paragraph">
              <wp:posOffset>-430530</wp:posOffset>
            </wp:positionV>
            <wp:extent cx="7161530" cy="1346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-3615690</wp:posOffset>
            </wp:positionH>
            <wp:positionV relativeFrom="paragraph">
              <wp:posOffset>-161290</wp:posOffset>
            </wp:positionV>
            <wp:extent cx="7161530" cy="1479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61530" cy="147955"/>
                    </a:xfrm>
                    <a:prstGeom prst="rect">
                      <a:avLst/>
                    </a:prstGeom>
                    <a:noFill/>
                  </pic:spPr>
                </pic:pic>
              </a:graphicData>
            </a:graphic>
          </wp:anchor>
        </w:drawing>
        <w:drawing>
          <wp:anchor simplePos="0" relativeHeight="251657728" behindDoc="1" locked="0" layoutInCell="0" allowOverlap="1">
            <wp:simplePos x="0" y="0"/>
            <wp:positionH relativeFrom="column">
              <wp:posOffset>-3615690</wp:posOffset>
            </wp:positionH>
            <wp:positionV relativeFrom="paragraph">
              <wp:posOffset>-982980</wp:posOffset>
            </wp:positionV>
            <wp:extent cx="7161530" cy="1416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73660</wp:posOffset>
            </wp:positionV>
            <wp:extent cx="7186930"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4980" w:space="720"/>
            <w:col w:w="5580"/>
          </w:cols>
          <w:pgMar w:left="300" w:top="143" w:right="319" w:bottom="1440" w:gutter="0" w:footer="0" w:header="0"/>
        </w:sectPr>
      </w:pPr>
    </w:p>
    <w:bookmarkStart w:id="104" w:name="page105"/>
    <w:bookmarkEnd w:id="104"/>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gridSpan w:val="3"/>
          </w:tcPr>
          <w:p>
            <w:pPr>
              <w:spacing w:after="0"/>
              <w:rPr>
                <w:sz w:val="20"/>
                <w:szCs w:val="20"/>
                <w:color w:val="auto"/>
              </w:rPr>
            </w:pPr>
            <w:r>
              <w:rPr>
                <w:rFonts w:ascii="Arial" w:cs="Arial" w:eastAsia="Arial" w:hAnsi="Arial"/>
                <w:sz w:val="14"/>
                <w:szCs w:val="14"/>
                <w:color w:val="006098"/>
              </w:rPr>
              <w:t>Consolidated Statements of Changes in Stockholders’/Members’ Equity:</w:t>
            </w:r>
          </w:p>
        </w:tc>
        <w:tc>
          <w:tcPr>
            <w:tcW w:w="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51"/>
        </w:trPr>
        <w:tc>
          <w:tcPr>
            <w:tcW w:w="4520" w:type="dxa"/>
            <w:vAlign w:val="bottom"/>
            <w:tcBorders>
              <w:top w:val="single" w:sz="8" w:color="006098"/>
            </w:tcBorders>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80" w:type="dxa"/>
            <w:vAlign w:val="bottom"/>
            <w:gridSpan w:val="6"/>
          </w:tcPr>
          <w:p>
            <w:pPr>
              <w:jc w:val="center"/>
              <w:ind w:left="1189"/>
              <w:spacing w:after="0"/>
              <w:rPr>
                <w:sz w:val="20"/>
                <w:szCs w:val="20"/>
                <w:color w:val="auto"/>
              </w:rPr>
            </w:pPr>
            <w:r>
              <w:rPr>
                <w:rFonts w:ascii="Arial" w:cs="Arial" w:eastAsia="Arial" w:hAnsi="Arial"/>
                <w:sz w:val="14"/>
                <w:szCs w:val="14"/>
                <w:b w:val="1"/>
                <w:bCs w:val="1"/>
                <w:color w:val="131E29"/>
              </w:rPr>
              <w:t>Year Ended December 31, 2021</w:t>
            </w:r>
          </w:p>
        </w:tc>
        <w:tc>
          <w:tcPr>
            <w:tcW w:w="1520" w:type="dxa"/>
            <w:vAlign w:val="bottom"/>
          </w:tcPr>
          <w:p>
            <w:pPr>
              <w:spacing w:after="0"/>
              <w:rPr>
                <w:sz w:val="24"/>
                <w:szCs w:val="24"/>
                <w:color w:val="auto"/>
              </w:rPr>
            </w:pPr>
          </w:p>
        </w:tc>
      </w:tr>
      <w:tr>
        <w:trPr>
          <w:trHeight w:val="22"/>
        </w:trPr>
        <w:tc>
          <w:tcPr>
            <w:tcW w:w="5700" w:type="dxa"/>
            <w:vAlign w:val="bottom"/>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3"/>
        </w:trPr>
        <w:tc>
          <w:tcPr>
            <w:tcW w:w="562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131E29"/>
              </w:rPr>
              <w:t>As Reported</w:t>
            </w:r>
          </w:p>
        </w:tc>
        <w:tc>
          <w:tcPr>
            <w:tcW w:w="100" w:type="dxa"/>
            <w:vAlign w:val="bottom"/>
            <w:tcBorders>
              <w:bottom w:val="single" w:sz="8" w:color="D2DCE5"/>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229"/>
              <w:spacing w:after="0"/>
              <w:rPr>
                <w:sz w:val="20"/>
                <w:szCs w:val="20"/>
                <w:color w:val="auto"/>
              </w:rPr>
            </w:pPr>
            <w:r>
              <w:rPr>
                <w:rFonts w:ascii="Arial" w:cs="Arial" w:eastAsia="Arial" w:hAnsi="Arial"/>
                <w:sz w:val="14"/>
                <w:szCs w:val="14"/>
                <w:b w:val="1"/>
                <w:bCs w:val="1"/>
                <w:color w:val="131E29"/>
              </w:rPr>
              <w:t>Adjustments</w:t>
            </w:r>
          </w:p>
        </w:tc>
        <w:tc>
          <w:tcPr>
            <w:tcW w:w="80" w:type="dxa"/>
            <w:vAlign w:val="bottom"/>
            <w:tcBorders>
              <w:bottom w:val="single" w:sz="8" w:color="D2DCE5"/>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131E29"/>
              </w:rPr>
              <w:t>As Corrected</w:t>
            </w:r>
          </w:p>
        </w:tc>
      </w:tr>
      <w:tr>
        <w:trPr>
          <w:trHeight w:val="192"/>
        </w:trPr>
        <w:tc>
          <w:tcPr>
            <w:tcW w:w="5700" w:type="dxa"/>
            <w:vAlign w:val="bottom"/>
            <w:tcBorders>
              <w:bottom w:val="single" w:sz="8" w:color="D2DCE5"/>
            </w:tcBorders>
            <w:gridSpan w:val="3"/>
            <w:shd w:val="clear" w:color="auto" w:fill="D2DCE5"/>
          </w:tcPr>
          <w:p>
            <w:pPr>
              <w:ind w:left="20"/>
              <w:spacing w:after="0"/>
              <w:rPr>
                <w:sz w:val="20"/>
                <w:szCs w:val="20"/>
                <w:color w:val="auto"/>
              </w:rPr>
            </w:pPr>
            <w:r>
              <w:rPr>
                <w:rFonts w:ascii="Arial" w:cs="Arial" w:eastAsia="Arial" w:hAnsi="Arial"/>
                <w:sz w:val="14"/>
                <w:szCs w:val="14"/>
                <w:b w:val="1"/>
                <w:bCs w:val="1"/>
                <w:i w:val="1"/>
                <w:iCs w:val="1"/>
                <w:color w:val="131E29"/>
              </w:rPr>
              <w:t>Members' Equity</w:t>
            </w:r>
          </w:p>
        </w:tc>
        <w:tc>
          <w:tcPr>
            <w:tcW w:w="280" w:type="dxa"/>
            <w:vAlign w:val="bottom"/>
            <w:tcBorders>
              <w:bottom w:val="single" w:sz="8" w:color="D2DCE5"/>
            </w:tcBorders>
            <w:shd w:val="clear" w:color="auto" w:fill="D2DCE5"/>
          </w:tcPr>
          <w:p>
            <w:pPr>
              <w:spacing w:after="0"/>
              <w:rPr>
                <w:sz w:val="16"/>
                <w:szCs w:val="16"/>
                <w:color w:val="auto"/>
              </w:rPr>
            </w:pPr>
          </w:p>
        </w:tc>
        <w:tc>
          <w:tcPr>
            <w:tcW w:w="152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spacing w:after="0"/>
              <w:rPr>
                <w:sz w:val="16"/>
                <w:szCs w:val="16"/>
                <w:color w:val="auto"/>
              </w:rPr>
            </w:pPr>
          </w:p>
        </w:tc>
        <w:tc>
          <w:tcPr>
            <w:tcW w:w="152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spacing w:after="0"/>
              <w:rPr>
                <w:sz w:val="16"/>
                <w:szCs w:val="16"/>
                <w:color w:val="auto"/>
              </w:rPr>
            </w:pPr>
          </w:p>
        </w:tc>
        <w:tc>
          <w:tcPr>
            <w:tcW w:w="1520" w:type="dxa"/>
            <w:vAlign w:val="bottom"/>
            <w:tcBorders>
              <w:bottom w:val="single" w:sz="8" w:color="D2DCE5"/>
            </w:tcBorders>
            <w:shd w:val="clear" w:color="auto" w:fill="D2DCE5"/>
          </w:tcPr>
          <w:p>
            <w:pPr>
              <w:spacing w:after="0"/>
              <w:rPr>
                <w:sz w:val="16"/>
                <w:szCs w:val="16"/>
                <w:color w:val="auto"/>
              </w:rPr>
            </w:pPr>
          </w:p>
        </w:tc>
      </w:tr>
      <w:tr>
        <w:trPr>
          <w:trHeight w:val="191"/>
        </w:trPr>
        <w:tc>
          <w:tcPr>
            <w:tcW w:w="5700" w:type="dxa"/>
            <w:vAlign w:val="bottom"/>
            <w:gridSpan w:val="3"/>
          </w:tcPr>
          <w:p>
            <w:pPr>
              <w:ind w:left="20"/>
              <w:spacing w:after="0"/>
              <w:rPr>
                <w:sz w:val="20"/>
                <w:szCs w:val="20"/>
                <w:color w:val="auto"/>
              </w:rPr>
            </w:pPr>
            <w:r>
              <w:rPr>
                <w:rFonts w:ascii="Arial" w:cs="Arial" w:eastAsia="Arial" w:hAnsi="Arial"/>
                <w:sz w:val="14"/>
                <w:szCs w:val="14"/>
                <w:color w:val="131E29"/>
              </w:rPr>
              <w:t>Balance, December 31, 2020</w:t>
            </w:r>
          </w:p>
        </w:tc>
        <w:tc>
          <w:tcPr>
            <w:tcW w:w="280" w:type="dxa"/>
            <w:vAlign w:val="bottom"/>
          </w:tcPr>
          <w:p>
            <w:pPr>
              <w:jc w:val="right"/>
              <w:ind w:right="109"/>
              <w:spacing w:after="0"/>
              <w:rPr>
                <w:sz w:val="20"/>
                <w:szCs w:val="20"/>
                <w:color w:val="auto"/>
              </w:rPr>
            </w:pPr>
            <w:r>
              <w:rPr>
                <w:rFonts w:ascii="Arial" w:cs="Arial" w:eastAsia="Arial" w:hAnsi="Arial"/>
                <w:sz w:val="14"/>
                <w:szCs w:val="14"/>
                <w:color w:val="131E29"/>
              </w:rPr>
              <w:t>$</w:t>
            </w:r>
          </w:p>
        </w:tc>
        <w:tc>
          <w:tcPr>
            <w:tcW w:w="1520" w:type="dxa"/>
            <w:vAlign w:val="bottom"/>
          </w:tcPr>
          <w:p>
            <w:pPr>
              <w:jc w:val="right"/>
              <w:spacing w:after="0"/>
              <w:rPr>
                <w:sz w:val="20"/>
                <w:szCs w:val="20"/>
                <w:color w:val="auto"/>
              </w:rPr>
            </w:pPr>
            <w:r>
              <w:rPr>
                <w:rFonts w:ascii="Arial" w:cs="Arial" w:eastAsia="Arial" w:hAnsi="Arial"/>
                <w:sz w:val="14"/>
                <w:szCs w:val="14"/>
                <w:color w:val="131E29"/>
              </w:rPr>
              <w:t>75,990</w:t>
            </w:r>
          </w:p>
        </w:tc>
        <w:tc>
          <w:tcPr>
            <w:tcW w:w="10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131E29"/>
                <w:w w:val="76"/>
              </w:rPr>
              <w:t>$</w:t>
            </w:r>
          </w:p>
        </w:tc>
        <w:tc>
          <w:tcPr>
            <w:tcW w:w="1520" w:type="dxa"/>
            <w:vAlign w:val="bottom"/>
          </w:tcPr>
          <w:p>
            <w:pPr>
              <w:jc w:val="right"/>
              <w:spacing w:after="0"/>
              <w:rPr>
                <w:sz w:val="20"/>
                <w:szCs w:val="20"/>
                <w:color w:val="auto"/>
              </w:rPr>
            </w:pPr>
            <w:r>
              <w:rPr>
                <w:rFonts w:ascii="Arial" w:cs="Arial" w:eastAsia="Arial" w:hAnsi="Arial"/>
                <w:sz w:val="14"/>
                <w:szCs w:val="14"/>
                <w:color w:val="131E29"/>
              </w:rPr>
              <w:t>1,497</w:t>
            </w:r>
          </w:p>
        </w:tc>
        <w:tc>
          <w:tcPr>
            <w:tcW w:w="8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131E29"/>
              </w:rPr>
              <w:t>$</w:t>
            </w:r>
          </w:p>
        </w:tc>
        <w:tc>
          <w:tcPr>
            <w:tcW w:w="1520" w:type="dxa"/>
            <w:vAlign w:val="bottom"/>
          </w:tcPr>
          <w:p>
            <w:pPr>
              <w:jc w:val="right"/>
              <w:spacing w:after="0"/>
              <w:rPr>
                <w:sz w:val="20"/>
                <w:szCs w:val="20"/>
                <w:color w:val="auto"/>
              </w:rPr>
            </w:pPr>
            <w:r>
              <w:rPr>
                <w:rFonts w:ascii="Arial" w:cs="Arial" w:eastAsia="Arial" w:hAnsi="Arial"/>
                <w:sz w:val="14"/>
                <w:szCs w:val="14"/>
                <w:color w:val="131E29"/>
              </w:rPr>
              <w:t>77,487</w:t>
            </w:r>
          </w:p>
        </w:tc>
      </w:tr>
      <w:tr>
        <w:trPr>
          <w:trHeight w:val="22"/>
        </w:trPr>
        <w:tc>
          <w:tcPr>
            <w:tcW w:w="5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2"/>
        </w:trPr>
        <w:tc>
          <w:tcPr>
            <w:tcW w:w="5700" w:type="dxa"/>
            <w:vAlign w:val="bottom"/>
            <w:tcBorders>
              <w:bottom w:val="single" w:sz="8" w:color="D2DCE5"/>
            </w:tcBorders>
            <w:gridSpan w:val="3"/>
            <w:shd w:val="clear" w:color="auto" w:fill="D2DCE5"/>
          </w:tcPr>
          <w:p>
            <w:pPr>
              <w:ind w:left="180"/>
              <w:spacing w:after="0"/>
              <w:rPr>
                <w:sz w:val="20"/>
                <w:szCs w:val="20"/>
                <w:color w:val="auto"/>
              </w:rPr>
            </w:pPr>
            <w:r>
              <w:rPr>
                <w:rFonts w:ascii="Arial" w:cs="Arial" w:eastAsia="Arial" w:hAnsi="Arial"/>
                <w:sz w:val="14"/>
                <w:szCs w:val="14"/>
                <w:color w:val="131E29"/>
              </w:rPr>
              <w:t>Net loss prior to the Reorganization Transactions</w:t>
            </w:r>
          </w:p>
        </w:tc>
        <w:tc>
          <w:tcPr>
            <w:tcW w:w="280" w:type="dxa"/>
            <w:vAlign w:val="bottom"/>
            <w:tcBorders>
              <w:bottom w:val="single" w:sz="8" w:color="D2DCE5"/>
            </w:tcBorders>
            <w:shd w:val="clear" w:color="auto" w:fill="D2DCE5"/>
          </w:tcPr>
          <w:p>
            <w:pPr>
              <w:spacing w:after="0"/>
              <w:rPr>
                <w:sz w:val="16"/>
                <w:szCs w:val="16"/>
                <w:color w:val="auto"/>
              </w:rPr>
            </w:pPr>
          </w:p>
        </w:tc>
        <w:tc>
          <w:tcPr>
            <w:tcW w:w="15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(68,602)</w:t>
            </w:r>
          </w:p>
        </w:tc>
        <w:tc>
          <w:tcPr>
            <w:tcW w:w="10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spacing w:after="0"/>
              <w:rPr>
                <w:sz w:val="16"/>
                <w:szCs w:val="16"/>
                <w:color w:val="auto"/>
              </w:rPr>
            </w:pPr>
          </w:p>
        </w:tc>
        <w:tc>
          <w:tcPr>
            <w:tcW w:w="15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1,228</w:t>
            </w:r>
          </w:p>
        </w:tc>
        <w:tc>
          <w:tcPr>
            <w:tcW w:w="8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spacing w:after="0"/>
              <w:rPr>
                <w:sz w:val="16"/>
                <w:szCs w:val="16"/>
                <w:color w:val="auto"/>
              </w:rPr>
            </w:pPr>
          </w:p>
        </w:tc>
        <w:tc>
          <w:tcPr>
            <w:tcW w:w="15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(67,374)</w:t>
            </w:r>
          </w:p>
        </w:tc>
      </w:tr>
      <w:tr>
        <w:trPr>
          <w:trHeight w:val="190"/>
        </w:trPr>
        <w:tc>
          <w:tcPr>
            <w:tcW w:w="5700" w:type="dxa"/>
            <w:vAlign w:val="bottom"/>
            <w:gridSpan w:val="3"/>
          </w:tcPr>
          <w:p>
            <w:pPr>
              <w:ind w:left="180"/>
              <w:spacing w:after="0"/>
              <w:rPr>
                <w:sz w:val="20"/>
                <w:szCs w:val="20"/>
                <w:color w:val="auto"/>
              </w:rPr>
            </w:pPr>
            <w:r>
              <w:rPr>
                <w:rFonts w:ascii="Arial" w:cs="Arial" w:eastAsia="Arial" w:hAnsi="Arial"/>
                <w:sz w:val="14"/>
                <w:szCs w:val="14"/>
                <w:color w:val="131E29"/>
              </w:rPr>
              <w:t>Effect of the Reorganization Transactions and initial public offering on non-controlling</w:t>
            </w: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70"/>
        </w:trPr>
        <w:tc>
          <w:tcPr>
            <w:tcW w:w="5700" w:type="dxa"/>
            <w:vAlign w:val="bottom"/>
            <w:gridSpan w:val="3"/>
          </w:tcPr>
          <w:p>
            <w:pPr>
              <w:ind w:left="180"/>
              <w:spacing w:after="0"/>
              <w:rPr>
                <w:sz w:val="20"/>
                <w:szCs w:val="20"/>
                <w:color w:val="auto"/>
              </w:rPr>
            </w:pPr>
            <w:r>
              <w:rPr>
                <w:rFonts w:ascii="Arial" w:cs="Arial" w:eastAsia="Arial" w:hAnsi="Arial"/>
                <w:sz w:val="14"/>
                <w:szCs w:val="14"/>
                <w:color w:val="131E29"/>
              </w:rPr>
              <w:t>interests</w:t>
            </w:r>
          </w:p>
        </w:tc>
        <w:tc>
          <w:tcPr>
            <w:tcW w:w="2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50,745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(2,725)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48,020</w:t>
            </w:r>
          </w:p>
        </w:tc>
      </w:tr>
      <w:tr>
        <w:trPr>
          <w:trHeight w:val="22"/>
        </w:trPr>
        <w:tc>
          <w:tcPr>
            <w:tcW w:w="5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70"/>
        </w:trPr>
        <w:tc>
          <w:tcPr>
            <w:tcW w:w="5620" w:type="dxa"/>
            <w:vAlign w:val="bottom"/>
            <w:gridSpan w:val="2"/>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152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152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1520" w:type="dxa"/>
            <w:vAlign w:val="bottom"/>
            <w:shd w:val="clear" w:color="auto" w:fill="D2DCE5"/>
          </w:tcPr>
          <w:p>
            <w:pPr>
              <w:spacing w:after="0"/>
              <w:rPr>
                <w:sz w:val="14"/>
                <w:szCs w:val="14"/>
                <w:color w:val="auto"/>
              </w:rPr>
            </w:pPr>
          </w:p>
        </w:tc>
      </w:tr>
      <w:tr>
        <w:trPr>
          <w:trHeight w:val="191"/>
        </w:trPr>
        <w:tc>
          <w:tcPr>
            <w:tcW w:w="57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131E29"/>
              </w:rPr>
              <w:t>Additional Paid-in-Capital</w:t>
            </w: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2"/>
        </w:trPr>
        <w:tc>
          <w:tcPr>
            <w:tcW w:w="5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0"/>
        </w:trPr>
        <w:tc>
          <w:tcPr>
            <w:tcW w:w="5700" w:type="dxa"/>
            <w:vAlign w:val="bottom"/>
            <w:gridSpan w:val="3"/>
            <w:shd w:val="clear" w:color="auto" w:fill="D2DCE5"/>
          </w:tcPr>
          <w:p>
            <w:pPr>
              <w:ind w:left="180"/>
              <w:spacing w:after="0"/>
              <w:rPr>
                <w:sz w:val="20"/>
                <w:szCs w:val="20"/>
                <w:color w:val="auto"/>
              </w:rPr>
            </w:pPr>
            <w:r>
              <w:rPr>
                <w:rFonts w:ascii="Arial" w:cs="Arial" w:eastAsia="Arial" w:hAnsi="Arial"/>
                <w:sz w:val="14"/>
                <w:szCs w:val="14"/>
                <w:color w:val="131E29"/>
              </w:rPr>
              <w:t>Effect of the Reorganization Transactions and initial public offering on non-controlling</w:t>
            </w:r>
          </w:p>
        </w:tc>
        <w:tc>
          <w:tcPr>
            <w:tcW w:w="280" w:type="dxa"/>
            <w:vAlign w:val="bottom"/>
            <w:shd w:val="clear" w:color="auto" w:fill="D2DCE5"/>
          </w:tcPr>
          <w:p>
            <w:pPr>
              <w:spacing w:after="0"/>
              <w:rPr>
                <w:sz w:val="16"/>
                <w:szCs w:val="16"/>
                <w:color w:val="auto"/>
              </w:rPr>
            </w:pPr>
          </w:p>
        </w:tc>
        <w:tc>
          <w:tcPr>
            <w:tcW w:w="152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152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1520" w:type="dxa"/>
            <w:vAlign w:val="bottom"/>
            <w:shd w:val="clear" w:color="auto" w:fill="D2DCE5"/>
          </w:tcPr>
          <w:p>
            <w:pPr>
              <w:spacing w:after="0"/>
              <w:rPr>
                <w:sz w:val="16"/>
                <w:szCs w:val="16"/>
                <w:color w:val="auto"/>
              </w:rPr>
            </w:pPr>
          </w:p>
        </w:tc>
      </w:tr>
      <w:tr>
        <w:trPr>
          <w:trHeight w:val="172"/>
        </w:trPr>
        <w:tc>
          <w:tcPr>
            <w:tcW w:w="5700" w:type="dxa"/>
            <w:vAlign w:val="bottom"/>
            <w:tcBorders>
              <w:bottom w:val="single" w:sz="8" w:color="D2DCE5"/>
            </w:tcBorders>
            <w:gridSpan w:val="3"/>
            <w:shd w:val="clear" w:color="auto" w:fill="D2DCE5"/>
          </w:tcPr>
          <w:p>
            <w:pPr>
              <w:ind w:left="180"/>
              <w:spacing w:after="0"/>
              <w:rPr>
                <w:sz w:val="20"/>
                <w:szCs w:val="20"/>
                <w:color w:val="auto"/>
              </w:rPr>
            </w:pPr>
            <w:r>
              <w:rPr>
                <w:rFonts w:ascii="Arial" w:cs="Arial" w:eastAsia="Arial" w:hAnsi="Arial"/>
                <w:sz w:val="14"/>
                <w:szCs w:val="14"/>
                <w:color w:val="131E29"/>
              </w:rPr>
              <w:t>interests</w:t>
            </w:r>
          </w:p>
        </w:tc>
        <w:tc>
          <w:tcPr>
            <w:tcW w:w="280" w:type="dxa"/>
            <w:vAlign w:val="bottom"/>
            <w:tcBorders>
              <w:bottom w:val="single" w:sz="8" w:color="D2DCE5"/>
            </w:tcBorders>
            <w:shd w:val="clear" w:color="auto" w:fill="D2DCE5"/>
          </w:tcPr>
          <w:p>
            <w:pPr>
              <w:spacing w:after="0"/>
              <w:rPr>
                <w:sz w:val="14"/>
                <w:szCs w:val="14"/>
                <w:color w:val="auto"/>
              </w:rPr>
            </w:pPr>
          </w:p>
        </w:tc>
        <w:tc>
          <w:tcPr>
            <w:tcW w:w="15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(196,515)</w:t>
            </w:r>
          </w:p>
        </w:tc>
        <w:tc>
          <w:tcPr>
            <w:tcW w:w="100" w:type="dxa"/>
            <w:vAlign w:val="bottom"/>
            <w:tcBorders>
              <w:bottom w:val="single" w:sz="8" w:color="D2DCE5"/>
            </w:tcBorders>
            <w:shd w:val="clear" w:color="auto" w:fill="D2DCE5"/>
          </w:tcPr>
          <w:p>
            <w:pPr>
              <w:spacing w:after="0"/>
              <w:rPr>
                <w:sz w:val="14"/>
                <w:szCs w:val="14"/>
                <w:color w:val="auto"/>
              </w:rPr>
            </w:pPr>
          </w:p>
        </w:tc>
        <w:tc>
          <w:tcPr>
            <w:tcW w:w="280" w:type="dxa"/>
            <w:vAlign w:val="bottom"/>
            <w:tcBorders>
              <w:bottom w:val="single" w:sz="8" w:color="D2DCE5"/>
            </w:tcBorders>
            <w:shd w:val="clear" w:color="auto" w:fill="D2DCE5"/>
          </w:tcPr>
          <w:p>
            <w:pPr>
              <w:spacing w:after="0"/>
              <w:rPr>
                <w:sz w:val="14"/>
                <w:szCs w:val="14"/>
                <w:color w:val="auto"/>
              </w:rPr>
            </w:pPr>
          </w:p>
        </w:tc>
        <w:tc>
          <w:tcPr>
            <w:tcW w:w="15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579</w:t>
            </w:r>
          </w:p>
        </w:tc>
        <w:tc>
          <w:tcPr>
            <w:tcW w:w="80" w:type="dxa"/>
            <w:vAlign w:val="bottom"/>
            <w:tcBorders>
              <w:bottom w:val="single" w:sz="8" w:color="D2DCE5"/>
            </w:tcBorders>
            <w:shd w:val="clear" w:color="auto" w:fill="D2DCE5"/>
          </w:tcPr>
          <w:p>
            <w:pPr>
              <w:spacing w:after="0"/>
              <w:rPr>
                <w:sz w:val="14"/>
                <w:szCs w:val="14"/>
                <w:color w:val="auto"/>
              </w:rPr>
            </w:pPr>
          </w:p>
        </w:tc>
        <w:tc>
          <w:tcPr>
            <w:tcW w:w="280" w:type="dxa"/>
            <w:vAlign w:val="bottom"/>
            <w:tcBorders>
              <w:bottom w:val="single" w:sz="8" w:color="D2DCE5"/>
            </w:tcBorders>
            <w:shd w:val="clear" w:color="auto" w:fill="D2DCE5"/>
          </w:tcPr>
          <w:p>
            <w:pPr>
              <w:spacing w:after="0"/>
              <w:rPr>
                <w:sz w:val="14"/>
                <w:szCs w:val="14"/>
                <w:color w:val="auto"/>
              </w:rPr>
            </w:pPr>
          </w:p>
        </w:tc>
        <w:tc>
          <w:tcPr>
            <w:tcW w:w="15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(195,936)</w:t>
            </w:r>
          </w:p>
        </w:tc>
      </w:tr>
      <w:tr>
        <w:trPr>
          <w:trHeight w:val="191"/>
        </w:trPr>
        <w:tc>
          <w:tcPr>
            <w:tcW w:w="5700" w:type="dxa"/>
            <w:vAlign w:val="bottom"/>
            <w:gridSpan w:val="3"/>
          </w:tcPr>
          <w:p>
            <w:pPr>
              <w:ind w:left="180"/>
              <w:spacing w:after="0"/>
              <w:rPr>
                <w:sz w:val="20"/>
                <w:szCs w:val="20"/>
                <w:color w:val="auto"/>
              </w:rPr>
            </w:pPr>
            <w:r>
              <w:rPr>
                <w:rFonts w:ascii="Arial" w:cs="Arial" w:eastAsia="Arial" w:hAnsi="Arial"/>
                <w:sz w:val="14"/>
                <w:szCs w:val="14"/>
                <w:color w:val="131E29"/>
              </w:rPr>
              <w:t>Purchase of OpCo Units in connection with the initial public offering</w:t>
            </w:r>
          </w:p>
        </w:tc>
        <w:tc>
          <w:tcPr>
            <w:tcW w:w="2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(239,622)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201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(239,421)</w:t>
            </w:r>
          </w:p>
        </w:tc>
      </w:tr>
      <w:tr>
        <w:trPr>
          <w:trHeight w:val="22"/>
        </w:trPr>
        <w:tc>
          <w:tcPr>
            <w:tcW w:w="5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2"/>
        </w:trPr>
        <w:tc>
          <w:tcPr>
            <w:tcW w:w="5700" w:type="dxa"/>
            <w:vAlign w:val="bottom"/>
            <w:tcBorders>
              <w:bottom w:val="single" w:sz="8" w:color="D2DCE5"/>
            </w:tcBorders>
            <w:gridSpan w:val="3"/>
            <w:shd w:val="clear" w:color="auto" w:fill="D2DCE5"/>
          </w:tcPr>
          <w:p>
            <w:pPr>
              <w:ind w:left="180"/>
              <w:spacing w:after="0"/>
              <w:rPr>
                <w:sz w:val="20"/>
                <w:szCs w:val="20"/>
                <w:color w:val="auto"/>
              </w:rPr>
            </w:pPr>
            <w:r>
              <w:rPr>
                <w:rFonts w:ascii="Arial" w:cs="Arial" w:eastAsia="Arial" w:hAnsi="Arial"/>
                <w:sz w:val="14"/>
                <w:szCs w:val="14"/>
                <w:color w:val="131E29"/>
              </w:rPr>
              <w:t>Effect of exchange of Dutch Bros OpCo Class A common units</w:t>
            </w:r>
          </w:p>
        </w:tc>
        <w:tc>
          <w:tcPr>
            <w:tcW w:w="280" w:type="dxa"/>
            <w:vAlign w:val="bottom"/>
            <w:tcBorders>
              <w:bottom w:val="single" w:sz="8" w:color="D2DCE5"/>
            </w:tcBorders>
            <w:shd w:val="clear" w:color="auto" w:fill="D2DCE5"/>
          </w:tcPr>
          <w:p>
            <w:pPr>
              <w:spacing w:after="0"/>
              <w:rPr>
                <w:sz w:val="16"/>
                <w:szCs w:val="16"/>
                <w:color w:val="auto"/>
              </w:rPr>
            </w:pPr>
          </w:p>
        </w:tc>
        <w:tc>
          <w:tcPr>
            <w:tcW w:w="15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285</w:t>
            </w:r>
          </w:p>
        </w:tc>
        <w:tc>
          <w:tcPr>
            <w:tcW w:w="10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spacing w:after="0"/>
              <w:rPr>
                <w:sz w:val="16"/>
                <w:szCs w:val="16"/>
                <w:color w:val="auto"/>
              </w:rPr>
            </w:pPr>
          </w:p>
        </w:tc>
        <w:tc>
          <w:tcPr>
            <w:tcW w:w="15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4</w:t>
            </w:r>
          </w:p>
        </w:tc>
        <w:tc>
          <w:tcPr>
            <w:tcW w:w="8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spacing w:after="0"/>
              <w:rPr>
                <w:sz w:val="16"/>
                <w:szCs w:val="16"/>
                <w:color w:val="auto"/>
              </w:rPr>
            </w:pPr>
          </w:p>
        </w:tc>
        <w:tc>
          <w:tcPr>
            <w:tcW w:w="15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289</w:t>
            </w:r>
          </w:p>
        </w:tc>
      </w:tr>
      <w:tr>
        <w:trPr>
          <w:trHeight w:val="191"/>
        </w:trPr>
        <w:tc>
          <w:tcPr>
            <w:tcW w:w="5700" w:type="dxa"/>
            <w:vAlign w:val="bottom"/>
            <w:gridSpan w:val="3"/>
          </w:tcPr>
          <w:p>
            <w:pPr>
              <w:ind w:left="20"/>
              <w:spacing w:after="0"/>
              <w:rPr>
                <w:sz w:val="20"/>
                <w:szCs w:val="20"/>
                <w:color w:val="auto"/>
              </w:rPr>
            </w:pPr>
            <w:r>
              <w:rPr>
                <w:rFonts w:ascii="Arial" w:cs="Arial" w:eastAsia="Arial" w:hAnsi="Arial"/>
                <w:sz w:val="14"/>
                <w:szCs w:val="14"/>
                <w:color w:val="131E29"/>
              </w:rPr>
              <w:t>Balance, December 31, 2021</w:t>
            </w:r>
          </w:p>
        </w:tc>
        <w:tc>
          <w:tcPr>
            <w:tcW w:w="2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106,409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784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107,193</w:t>
            </w:r>
          </w:p>
        </w:tc>
      </w:tr>
      <w:tr>
        <w:trPr>
          <w:trHeight w:val="22"/>
        </w:trPr>
        <w:tc>
          <w:tcPr>
            <w:tcW w:w="5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70"/>
        </w:trPr>
        <w:tc>
          <w:tcPr>
            <w:tcW w:w="5620" w:type="dxa"/>
            <w:vAlign w:val="bottom"/>
            <w:gridSpan w:val="2"/>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152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152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1520" w:type="dxa"/>
            <w:vAlign w:val="bottom"/>
            <w:shd w:val="clear" w:color="auto" w:fill="D2DCE5"/>
          </w:tcPr>
          <w:p>
            <w:pPr>
              <w:spacing w:after="0"/>
              <w:rPr>
                <w:sz w:val="14"/>
                <w:szCs w:val="14"/>
                <w:color w:val="auto"/>
              </w:rPr>
            </w:pPr>
          </w:p>
        </w:tc>
      </w:tr>
      <w:tr>
        <w:trPr>
          <w:trHeight w:val="191"/>
        </w:trPr>
        <w:tc>
          <w:tcPr>
            <w:tcW w:w="57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131E29"/>
              </w:rPr>
              <w:t>Accumulated Deficit</w:t>
            </w: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2"/>
        </w:trPr>
        <w:tc>
          <w:tcPr>
            <w:tcW w:w="5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2"/>
        </w:trPr>
        <w:tc>
          <w:tcPr>
            <w:tcW w:w="5700" w:type="dxa"/>
            <w:vAlign w:val="bottom"/>
            <w:tcBorders>
              <w:bottom w:val="single" w:sz="8" w:color="D2DCE5"/>
            </w:tcBorders>
            <w:gridSpan w:val="3"/>
            <w:shd w:val="clear" w:color="auto" w:fill="D2DCE5"/>
          </w:tcPr>
          <w:p>
            <w:pPr>
              <w:ind w:left="180"/>
              <w:spacing w:after="0"/>
              <w:rPr>
                <w:sz w:val="20"/>
                <w:szCs w:val="20"/>
                <w:color w:val="auto"/>
              </w:rPr>
            </w:pPr>
            <w:r>
              <w:rPr>
                <w:rFonts w:ascii="Arial" w:cs="Arial" w:eastAsia="Arial" w:hAnsi="Arial"/>
                <w:sz w:val="14"/>
                <w:szCs w:val="14"/>
                <w:color w:val="131E29"/>
              </w:rPr>
              <w:t>Net loss subsequent to the Reorganization Transactions</w:t>
            </w:r>
          </w:p>
        </w:tc>
        <w:tc>
          <w:tcPr>
            <w:tcW w:w="280" w:type="dxa"/>
            <w:vAlign w:val="bottom"/>
            <w:tcBorders>
              <w:bottom w:val="single" w:sz="8" w:color="D2DCE5"/>
            </w:tcBorders>
            <w:shd w:val="clear" w:color="auto" w:fill="D2DCE5"/>
          </w:tcPr>
          <w:p>
            <w:pPr>
              <w:spacing w:after="0"/>
              <w:rPr>
                <w:sz w:val="16"/>
                <w:szCs w:val="16"/>
                <w:color w:val="auto"/>
              </w:rPr>
            </w:pPr>
          </w:p>
        </w:tc>
        <w:tc>
          <w:tcPr>
            <w:tcW w:w="15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(12,914)</w:t>
            </w:r>
          </w:p>
        </w:tc>
        <w:tc>
          <w:tcPr>
            <w:tcW w:w="10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spacing w:after="0"/>
              <w:rPr>
                <w:sz w:val="16"/>
                <w:szCs w:val="16"/>
                <w:color w:val="auto"/>
              </w:rPr>
            </w:pPr>
          </w:p>
        </w:tc>
        <w:tc>
          <w:tcPr>
            <w:tcW w:w="15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235</w:t>
            </w:r>
          </w:p>
        </w:tc>
        <w:tc>
          <w:tcPr>
            <w:tcW w:w="8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spacing w:after="0"/>
              <w:rPr>
                <w:sz w:val="16"/>
                <w:szCs w:val="16"/>
                <w:color w:val="auto"/>
              </w:rPr>
            </w:pPr>
          </w:p>
        </w:tc>
        <w:tc>
          <w:tcPr>
            <w:tcW w:w="15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(12,679)</w:t>
            </w:r>
          </w:p>
        </w:tc>
      </w:tr>
      <w:tr>
        <w:trPr>
          <w:trHeight w:val="191"/>
        </w:trPr>
        <w:tc>
          <w:tcPr>
            <w:tcW w:w="5700" w:type="dxa"/>
            <w:vAlign w:val="bottom"/>
            <w:gridSpan w:val="3"/>
          </w:tcPr>
          <w:p>
            <w:pPr>
              <w:ind w:left="20"/>
              <w:spacing w:after="0"/>
              <w:rPr>
                <w:sz w:val="20"/>
                <w:szCs w:val="20"/>
                <w:color w:val="auto"/>
              </w:rPr>
            </w:pPr>
            <w:r>
              <w:rPr>
                <w:rFonts w:ascii="Arial" w:cs="Arial" w:eastAsia="Arial" w:hAnsi="Arial"/>
                <w:sz w:val="14"/>
                <w:szCs w:val="14"/>
                <w:color w:val="131E29"/>
              </w:rPr>
              <w:t>Balance, December 31, 2021</w:t>
            </w:r>
          </w:p>
        </w:tc>
        <w:tc>
          <w:tcPr>
            <w:tcW w:w="2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(12,914)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235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(12,679)</w:t>
            </w:r>
          </w:p>
        </w:tc>
      </w:tr>
      <w:tr>
        <w:trPr>
          <w:trHeight w:val="22"/>
        </w:trPr>
        <w:tc>
          <w:tcPr>
            <w:tcW w:w="5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70"/>
        </w:trPr>
        <w:tc>
          <w:tcPr>
            <w:tcW w:w="5620" w:type="dxa"/>
            <w:vAlign w:val="bottom"/>
            <w:gridSpan w:val="2"/>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152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152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1520" w:type="dxa"/>
            <w:vAlign w:val="bottom"/>
            <w:shd w:val="clear" w:color="auto" w:fill="D2DCE5"/>
          </w:tcPr>
          <w:p>
            <w:pPr>
              <w:spacing w:after="0"/>
              <w:rPr>
                <w:sz w:val="14"/>
                <w:szCs w:val="14"/>
                <w:color w:val="auto"/>
              </w:rPr>
            </w:pPr>
          </w:p>
        </w:tc>
      </w:tr>
      <w:tr>
        <w:trPr>
          <w:trHeight w:val="191"/>
        </w:trPr>
        <w:tc>
          <w:tcPr>
            <w:tcW w:w="57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131E29"/>
              </w:rPr>
              <w:t>Non-Controlling Interests</w:t>
            </w: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2"/>
        </w:trPr>
        <w:tc>
          <w:tcPr>
            <w:tcW w:w="5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0"/>
        </w:trPr>
        <w:tc>
          <w:tcPr>
            <w:tcW w:w="5700" w:type="dxa"/>
            <w:vAlign w:val="bottom"/>
            <w:gridSpan w:val="3"/>
            <w:shd w:val="clear" w:color="auto" w:fill="D2DCE5"/>
          </w:tcPr>
          <w:p>
            <w:pPr>
              <w:ind w:left="180"/>
              <w:spacing w:after="0"/>
              <w:rPr>
                <w:sz w:val="20"/>
                <w:szCs w:val="20"/>
                <w:color w:val="auto"/>
              </w:rPr>
            </w:pPr>
            <w:r>
              <w:rPr>
                <w:rFonts w:ascii="Arial" w:cs="Arial" w:eastAsia="Arial" w:hAnsi="Arial"/>
                <w:sz w:val="14"/>
                <w:szCs w:val="14"/>
                <w:color w:val="131E29"/>
              </w:rPr>
              <w:t>Effect of the Reorganization Transactions and initial public offering on non-controlling</w:t>
            </w:r>
          </w:p>
        </w:tc>
        <w:tc>
          <w:tcPr>
            <w:tcW w:w="280" w:type="dxa"/>
            <w:vAlign w:val="bottom"/>
            <w:shd w:val="clear" w:color="auto" w:fill="D2DCE5"/>
          </w:tcPr>
          <w:p>
            <w:pPr>
              <w:spacing w:after="0"/>
              <w:rPr>
                <w:sz w:val="16"/>
                <w:szCs w:val="16"/>
                <w:color w:val="auto"/>
              </w:rPr>
            </w:pPr>
          </w:p>
        </w:tc>
        <w:tc>
          <w:tcPr>
            <w:tcW w:w="152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152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1520" w:type="dxa"/>
            <w:vAlign w:val="bottom"/>
            <w:shd w:val="clear" w:color="auto" w:fill="D2DCE5"/>
          </w:tcPr>
          <w:p>
            <w:pPr>
              <w:spacing w:after="0"/>
              <w:rPr>
                <w:sz w:val="16"/>
                <w:szCs w:val="16"/>
                <w:color w:val="auto"/>
              </w:rPr>
            </w:pPr>
          </w:p>
        </w:tc>
      </w:tr>
      <w:tr>
        <w:trPr>
          <w:trHeight w:val="172"/>
        </w:trPr>
        <w:tc>
          <w:tcPr>
            <w:tcW w:w="5700" w:type="dxa"/>
            <w:vAlign w:val="bottom"/>
            <w:tcBorders>
              <w:bottom w:val="single" w:sz="8" w:color="D2DCE5"/>
            </w:tcBorders>
            <w:gridSpan w:val="3"/>
            <w:shd w:val="clear" w:color="auto" w:fill="D2DCE5"/>
          </w:tcPr>
          <w:p>
            <w:pPr>
              <w:ind w:left="180"/>
              <w:spacing w:after="0"/>
              <w:rPr>
                <w:sz w:val="20"/>
                <w:szCs w:val="20"/>
                <w:color w:val="auto"/>
              </w:rPr>
            </w:pPr>
            <w:r>
              <w:rPr>
                <w:rFonts w:ascii="Arial" w:cs="Arial" w:eastAsia="Arial" w:hAnsi="Arial"/>
                <w:sz w:val="14"/>
                <w:szCs w:val="14"/>
                <w:color w:val="131E29"/>
              </w:rPr>
              <w:t>interests</w:t>
            </w:r>
          </w:p>
        </w:tc>
        <w:tc>
          <w:tcPr>
            <w:tcW w:w="280" w:type="dxa"/>
            <w:vAlign w:val="bottom"/>
            <w:tcBorders>
              <w:bottom w:val="single" w:sz="8" w:color="D2DCE5"/>
            </w:tcBorders>
            <w:shd w:val="clear" w:color="auto" w:fill="D2DCE5"/>
          </w:tcPr>
          <w:p>
            <w:pPr>
              <w:spacing w:after="0"/>
              <w:rPr>
                <w:sz w:val="14"/>
                <w:szCs w:val="14"/>
                <w:color w:val="auto"/>
              </w:rPr>
            </w:pPr>
          </w:p>
        </w:tc>
        <w:tc>
          <w:tcPr>
            <w:tcW w:w="15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145,768</w:t>
            </w:r>
          </w:p>
        </w:tc>
        <w:tc>
          <w:tcPr>
            <w:tcW w:w="100" w:type="dxa"/>
            <w:vAlign w:val="bottom"/>
            <w:tcBorders>
              <w:bottom w:val="single" w:sz="8" w:color="D2DCE5"/>
            </w:tcBorders>
            <w:shd w:val="clear" w:color="auto" w:fill="D2DCE5"/>
          </w:tcPr>
          <w:p>
            <w:pPr>
              <w:spacing w:after="0"/>
              <w:rPr>
                <w:sz w:val="14"/>
                <w:szCs w:val="14"/>
                <w:color w:val="auto"/>
              </w:rPr>
            </w:pPr>
          </w:p>
        </w:tc>
        <w:tc>
          <w:tcPr>
            <w:tcW w:w="280" w:type="dxa"/>
            <w:vAlign w:val="bottom"/>
            <w:tcBorders>
              <w:bottom w:val="single" w:sz="8" w:color="D2DCE5"/>
            </w:tcBorders>
            <w:shd w:val="clear" w:color="auto" w:fill="D2DCE5"/>
          </w:tcPr>
          <w:p>
            <w:pPr>
              <w:spacing w:after="0"/>
              <w:rPr>
                <w:sz w:val="14"/>
                <w:szCs w:val="14"/>
                <w:color w:val="auto"/>
              </w:rPr>
            </w:pPr>
          </w:p>
        </w:tc>
        <w:tc>
          <w:tcPr>
            <w:tcW w:w="15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2,146</w:t>
            </w:r>
          </w:p>
        </w:tc>
        <w:tc>
          <w:tcPr>
            <w:tcW w:w="80" w:type="dxa"/>
            <w:vAlign w:val="bottom"/>
            <w:tcBorders>
              <w:bottom w:val="single" w:sz="8" w:color="D2DCE5"/>
            </w:tcBorders>
            <w:shd w:val="clear" w:color="auto" w:fill="D2DCE5"/>
          </w:tcPr>
          <w:p>
            <w:pPr>
              <w:spacing w:after="0"/>
              <w:rPr>
                <w:sz w:val="14"/>
                <w:szCs w:val="14"/>
                <w:color w:val="auto"/>
              </w:rPr>
            </w:pPr>
          </w:p>
        </w:tc>
        <w:tc>
          <w:tcPr>
            <w:tcW w:w="280" w:type="dxa"/>
            <w:vAlign w:val="bottom"/>
            <w:tcBorders>
              <w:bottom w:val="single" w:sz="8" w:color="D2DCE5"/>
            </w:tcBorders>
            <w:shd w:val="clear" w:color="auto" w:fill="D2DCE5"/>
          </w:tcPr>
          <w:p>
            <w:pPr>
              <w:spacing w:after="0"/>
              <w:rPr>
                <w:sz w:val="14"/>
                <w:szCs w:val="14"/>
                <w:color w:val="auto"/>
              </w:rPr>
            </w:pPr>
          </w:p>
        </w:tc>
        <w:tc>
          <w:tcPr>
            <w:tcW w:w="15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147,914</w:t>
            </w:r>
          </w:p>
        </w:tc>
      </w:tr>
      <w:tr>
        <w:trPr>
          <w:trHeight w:val="191"/>
        </w:trPr>
        <w:tc>
          <w:tcPr>
            <w:tcW w:w="5700" w:type="dxa"/>
            <w:vAlign w:val="bottom"/>
            <w:gridSpan w:val="3"/>
          </w:tcPr>
          <w:p>
            <w:pPr>
              <w:ind w:left="180"/>
              <w:spacing w:after="0"/>
              <w:rPr>
                <w:sz w:val="20"/>
                <w:szCs w:val="20"/>
                <w:color w:val="auto"/>
              </w:rPr>
            </w:pPr>
            <w:r>
              <w:rPr>
                <w:rFonts w:ascii="Arial" w:cs="Arial" w:eastAsia="Arial" w:hAnsi="Arial"/>
                <w:sz w:val="14"/>
                <w:szCs w:val="14"/>
                <w:color w:val="131E29"/>
              </w:rPr>
              <w:t>Purchase of OpCo Units in connection with the initial public offering</w:t>
            </w:r>
          </w:p>
        </w:tc>
        <w:tc>
          <w:tcPr>
            <w:tcW w:w="2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(13,648)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(201)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(13,849)</w:t>
            </w:r>
          </w:p>
        </w:tc>
      </w:tr>
      <w:tr>
        <w:trPr>
          <w:trHeight w:val="22"/>
        </w:trPr>
        <w:tc>
          <w:tcPr>
            <w:tcW w:w="5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2"/>
        </w:trPr>
        <w:tc>
          <w:tcPr>
            <w:tcW w:w="5700" w:type="dxa"/>
            <w:vAlign w:val="bottom"/>
            <w:tcBorders>
              <w:bottom w:val="single" w:sz="8" w:color="D2DCE5"/>
            </w:tcBorders>
            <w:gridSpan w:val="3"/>
            <w:shd w:val="clear" w:color="auto" w:fill="D2DCE5"/>
          </w:tcPr>
          <w:p>
            <w:pPr>
              <w:ind w:left="180"/>
              <w:spacing w:after="0"/>
              <w:rPr>
                <w:sz w:val="20"/>
                <w:szCs w:val="20"/>
                <w:color w:val="auto"/>
              </w:rPr>
            </w:pPr>
            <w:r>
              <w:rPr>
                <w:rFonts w:ascii="Arial" w:cs="Arial" w:eastAsia="Arial" w:hAnsi="Arial"/>
                <w:sz w:val="14"/>
                <w:szCs w:val="14"/>
                <w:color w:val="131E29"/>
              </w:rPr>
              <w:t>Net loss subsequent to the Reorganization Transactions</w:t>
            </w:r>
          </w:p>
        </w:tc>
        <w:tc>
          <w:tcPr>
            <w:tcW w:w="280" w:type="dxa"/>
            <w:vAlign w:val="bottom"/>
            <w:tcBorders>
              <w:bottom w:val="single" w:sz="8" w:color="D2DCE5"/>
            </w:tcBorders>
            <w:shd w:val="clear" w:color="auto" w:fill="D2DCE5"/>
          </w:tcPr>
          <w:p>
            <w:pPr>
              <w:spacing w:after="0"/>
              <w:rPr>
                <w:sz w:val="16"/>
                <w:szCs w:val="16"/>
                <w:color w:val="auto"/>
              </w:rPr>
            </w:pPr>
          </w:p>
        </w:tc>
        <w:tc>
          <w:tcPr>
            <w:tcW w:w="15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(38,461)</w:t>
            </w:r>
          </w:p>
        </w:tc>
        <w:tc>
          <w:tcPr>
            <w:tcW w:w="10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spacing w:after="0"/>
              <w:rPr>
                <w:sz w:val="16"/>
                <w:szCs w:val="16"/>
                <w:color w:val="auto"/>
              </w:rPr>
            </w:pPr>
          </w:p>
        </w:tc>
        <w:tc>
          <w:tcPr>
            <w:tcW w:w="15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583</w:t>
            </w:r>
          </w:p>
        </w:tc>
        <w:tc>
          <w:tcPr>
            <w:tcW w:w="8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spacing w:after="0"/>
              <w:rPr>
                <w:sz w:val="16"/>
                <w:szCs w:val="16"/>
                <w:color w:val="auto"/>
              </w:rPr>
            </w:pPr>
          </w:p>
        </w:tc>
        <w:tc>
          <w:tcPr>
            <w:tcW w:w="15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(37,878)</w:t>
            </w:r>
          </w:p>
        </w:tc>
      </w:tr>
      <w:tr>
        <w:trPr>
          <w:trHeight w:val="191"/>
        </w:trPr>
        <w:tc>
          <w:tcPr>
            <w:tcW w:w="5700" w:type="dxa"/>
            <w:vAlign w:val="bottom"/>
            <w:gridSpan w:val="3"/>
          </w:tcPr>
          <w:p>
            <w:pPr>
              <w:ind w:left="180"/>
              <w:spacing w:after="0"/>
              <w:rPr>
                <w:sz w:val="20"/>
                <w:szCs w:val="20"/>
                <w:color w:val="auto"/>
              </w:rPr>
            </w:pPr>
            <w:r>
              <w:rPr>
                <w:rFonts w:ascii="Arial" w:cs="Arial" w:eastAsia="Arial" w:hAnsi="Arial"/>
                <w:sz w:val="14"/>
                <w:szCs w:val="14"/>
                <w:color w:val="131E29"/>
              </w:rPr>
              <w:t>Effect of exchange of Dutch Bros OpCo Class A common units</w:t>
            </w:r>
          </w:p>
        </w:tc>
        <w:tc>
          <w:tcPr>
            <w:tcW w:w="2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(285)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(289)</w:t>
            </w:r>
          </w:p>
        </w:tc>
      </w:tr>
      <w:tr>
        <w:trPr>
          <w:trHeight w:val="22"/>
        </w:trPr>
        <w:tc>
          <w:tcPr>
            <w:tcW w:w="5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2"/>
        </w:trPr>
        <w:tc>
          <w:tcPr>
            <w:tcW w:w="5700" w:type="dxa"/>
            <w:vAlign w:val="bottom"/>
            <w:tcBorders>
              <w:bottom w:val="single" w:sz="8" w:color="D2DCE5"/>
            </w:tcBorders>
            <w:gridSpan w:val="3"/>
            <w:shd w:val="clear" w:color="auto" w:fill="D2DCE5"/>
          </w:tcPr>
          <w:p>
            <w:pPr>
              <w:ind w:left="20"/>
              <w:spacing w:after="0"/>
              <w:rPr>
                <w:sz w:val="20"/>
                <w:szCs w:val="20"/>
                <w:color w:val="auto"/>
              </w:rPr>
            </w:pPr>
            <w:r>
              <w:rPr>
                <w:rFonts w:ascii="Arial" w:cs="Arial" w:eastAsia="Arial" w:hAnsi="Arial"/>
                <w:sz w:val="14"/>
                <w:szCs w:val="14"/>
                <w:color w:val="131E29"/>
              </w:rPr>
              <w:t>Balance, December 31, 2021</w:t>
            </w:r>
          </w:p>
        </w:tc>
        <w:tc>
          <w:tcPr>
            <w:tcW w:w="280" w:type="dxa"/>
            <w:vAlign w:val="bottom"/>
            <w:tcBorders>
              <w:bottom w:val="single" w:sz="8" w:color="D2DCE5"/>
            </w:tcBorders>
            <w:shd w:val="clear" w:color="auto" w:fill="D2DCE5"/>
          </w:tcPr>
          <w:p>
            <w:pPr>
              <w:spacing w:after="0"/>
              <w:rPr>
                <w:sz w:val="16"/>
                <w:szCs w:val="16"/>
                <w:color w:val="auto"/>
              </w:rPr>
            </w:pPr>
          </w:p>
        </w:tc>
        <w:tc>
          <w:tcPr>
            <w:tcW w:w="15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116,689</w:t>
            </w:r>
          </w:p>
        </w:tc>
        <w:tc>
          <w:tcPr>
            <w:tcW w:w="10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spacing w:after="0"/>
              <w:rPr>
                <w:sz w:val="16"/>
                <w:szCs w:val="16"/>
                <w:color w:val="auto"/>
              </w:rPr>
            </w:pPr>
          </w:p>
        </w:tc>
        <w:tc>
          <w:tcPr>
            <w:tcW w:w="15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2,524</w:t>
            </w:r>
          </w:p>
        </w:tc>
        <w:tc>
          <w:tcPr>
            <w:tcW w:w="8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spacing w:after="0"/>
              <w:rPr>
                <w:sz w:val="16"/>
                <w:szCs w:val="16"/>
                <w:color w:val="auto"/>
              </w:rPr>
            </w:pPr>
          </w:p>
        </w:tc>
        <w:tc>
          <w:tcPr>
            <w:tcW w:w="15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119,213</w:t>
            </w:r>
          </w:p>
        </w:tc>
      </w:tr>
      <w:tr>
        <w:trPr>
          <w:trHeight w:val="170"/>
        </w:trPr>
        <w:tc>
          <w:tcPr>
            <w:tcW w:w="562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92"/>
        </w:trPr>
        <w:tc>
          <w:tcPr>
            <w:tcW w:w="5700" w:type="dxa"/>
            <w:vAlign w:val="bottom"/>
            <w:tcBorders>
              <w:bottom w:val="single" w:sz="8" w:color="D2DCE5"/>
            </w:tcBorders>
            <w:gridSpan w:val="3"/>
            <w:shd w:val="clear" w:color="auto" w:fill="D2DCE5"/>
          </w:tcPr>
          <w:p>
            <w:pPr>
              <w:ind w:left="20"/>
              <w:spacing w:after="0"/>
              <w:rPr>
                <w:sz w:val="20"/>
                <w:szCs w:val="20"/>
                <w:color w:val="auto"/>
              </w:rPr>
            </w:pPr>
            <w:r>
              <w:rPr>
                <w:rFonts w:ascii="Arial" w:cs="Arial" w:eastAsia="Arial" w:hAnsi="Arial"/>
                <w:sz w:val="14"/>
                <w:szCs w:val="14"/>
                <w:b w:val="1"/>
                <w:bCs w:val="1"/>
                <w:i w:val="1"/>
                <w:iCs w:val="1"/>
                <w:color w:val="131E29"/>
              </w:rPr>
              <w:t>Total Equity</w:t>
            </w:r>
          </w:p>
        </w:tc>
        <w:tc>
          <w:tcPr>
            <w:tcW w:w="280" w:type="dxa"/>
            <w:vAlign w:val="bottom"/>
            <w:tcBorders>
              <w:bottom w:val="single" w:sz="8" w:color="D2DCE5"/>
            </w:tcBorders>
            <w:shd w:val="clear" w:color="auto" w:fill="D2DCE5"/>
          </w:tcPr>
          <w:p>
            <w:pPr>
              <w:spacing w:after="0"/>
              <w:rPr>
                <w:sz w:val="16"/>
                <w:szCs w:val="16"/>
                <w:color w:val="auto"/>
              </w:rPr>
            </w:pPr>
          </w:p>
        </w:tc>
        <w:tc>
          <w:tcPr>
            <w:tcW w:w="152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spacing w:after="0"/>
              <w:rPr>
                <w:sz w:val="16"/>
                <w:szCs w:val="16"/>
                <w:color w:val="auto"/>
              </w:rPr>
            </w:pPr>
          </w:p>
        </w:tc>
        <w:tc>
          <w:tcPr>
            <w:tcW w:w="152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spacing w:after="0"/>
              <w:rPr>
                <w:sz w:val="16"/>
                <w:szCs w:val="16"/>
                <w:color w:val="auto"/>
              </w:rPr>
            </w:pPr>
          </w:p>
        </w:tc>
        <w:tc>
          <w:tcPr>
            <w:tcW w:w="1520" w:type="dxa"/>
            <w:vAlign w:val="bottom"/>
            <w:tcBorders>
              <w:bottom w:val="single" w:sz="8" w:color="D2DCE5"/>
            </w:tcBorders>
            <w:shd w:val="clear" w:color="auto" w:fill="D2DCE5"/>
          </w:tcPr>
          <w:p>
            <w:pPr>
              <w:spacing w:after="0"/>
              <w:rPr>
                <w:sz w:val="16"/>
                <w:szCs w:val="16"/>
                <w:color w:val="auto"/>
              </w:rPr>
            </w:pPr>
          </w:p>
        </w:tc>
      </w:tr>
      <w:tr>
        <w:trPr>
          <w:trHeight w:val="191"/>
        </w:trPr>
        <w:tc>
          <w:tcPr>
            <w:tcW w:w="5700" w:type="dxa"/>
            <w:vAlign w:val="bottom"/>
            <w:gridSpan w:val="3"/>
          </w:tcPr>
          <w:p>
            <w:pPr>
              <w:ind w:left="20"/>
              <w:spacing w:after="0"/>
              <w:rPr>
                <w:sz w:val="20"/>
                <w:szCs w:val="20"/>
                <w:color w:val="auto"/>
              </w:rPr>
            </w:pPr>
            <w:r>
              <w:rPr>
                <w:rFonts w:ascii="Arial" w:cs="Arial" w:eastAsia="Arial" w:hAnsi="Arial"/>
                <w:sz w:val="14"/>
                <w:szCs w:val="14"/>
                <w:color w:val="131E29"/>
              </w:rPr>
              <w:t>Balance, December 31, 2020</w:t>
            </w:r>
          </w:p>
        </w:tc>
        <w:tc>
          <w:tcPr>
            <w:tcW w:w="2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75,990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1,497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77,487</w:t>
            </w:r>
          </w:p>
        </w:tc>
      </w:tr>
      <w:tr>
        <w:trPr>
          <w:trHeight w:val="22"/>
        </w:trPr>
        <w:tc>
          <w:tcPr>
            <w:tcW w:w="5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2"/>
        </w:trPr>
        <w:tc>
          <w:tcPr>
            <w:tcW w:w="5700" w:type="dxa"/>
            <w:vAlign w:val="bottom"/>
            <w:tcBorders>
              <w:bottom w:val="single" w:sz="8" w:color="D2DCE5"/>
            </w:tcBorders>
            <w:gridSpan w:val="3"/>
            <w:shd w:val="clear" w:color="auto" w:fill="D2DCE5"/>
          </w:tcPr>
          <w:p>
            <w:pPr>
              <w:ind w:left="180"/>
              <w:spacing w:after="0"/>
              <w:rPr>
                <w:sz w:val="20"/>
                <w:szCs w:val="20"/>
                <w:color w:val="auto"/>
              </w:rPr>
            </w:pPr>
            <w:r>
              <w:rPr>
                <w:rFonts w:ascii="Arial" w:cs="Arial" w:eastAsia="Arial" w:hAnsi="Arial"/>
                <w:sz w:val="14"/>
                <w:szCs w:val="14"/>
                <w:color w:val="131E29"/>
              </w:rPr>
              <w:t>Net loss prior to the Reorganization Transactions</w:t>
            </w:r>
          </w:p>
        </w:tc>
        <w:tc>
          <w:tcPr>
            <w:tcW w:w="280" w:type="dxa"/>
            <w:vAlign w:val="bottom"/>
            <w:tcBorders>
              <w:bottom w:val="single" w:sz="8" w:color="D2DCE5"/>
            </w:tcBorders>
            <w:shd w:val="clear" w:color="auto" w:fill="D2DCE5"/>
          </w:tcPr>
          <w:p>
            <w:pPr>
              <w:spacing w:after="0"/>
              <w:rPr>
                <w:sz w:val="16"/>
                <w:szCs w:val="16"/>
                <w:color w:val="auto"/>
              </w:rPr>
            </w:pPr>
          </w:p>
        </w:tc>
        <w:tc>
          <w:tcPr>
            <w:tcW w:w="15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(68,602)</w:t>
            </w:r>
          </w:p>
        </w:tc>
        <w:tc>
          <w:tcPr>
            <w:tcW w:w="10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spacing w:after="0"/>
              <w:rPr>
                <w:sz w:val="16"/>
                <w:szCs w:val="16"/>
                <w:color w:val="auto"/>
              </w:rPr>
            </w:pPr>
          </w:p>
        </w:tc>
        <w:tc>
          <w:tcPr>
            <w:tcW w:w="15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1,228</w:t>
            </w:r>
          </w:p>
        </w:tc>
        <w:tc>
          <w:tcPr>
            <w:tcW w:w="8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spacing w:after="0"/>
              <w:rPr>
                <w:sz w:val="16"/>
                <w:szCs w:val="16"/>
                <w:color w:val="auto"/>
              </w:rPr>
            </w:pPr>
          </w:p>
        </w:tc>
        <w:tc>
          <w:tcPr>
            <w:tcW w:w="15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(67,374)</w:t>
            </w:r>
          </w:p>
        </w:tc>
      </w:tr>
      <w:tr>
        <w:trPr>
          <w:trHeight w:val="191"/>
        </w:trPr>
        <w:tc>
          <w:tcPr>
            <w:tcW w:w="5700" w:type="dxa"/>
            <w:vAlign w:val="bottom"/>
            <w:gridSpan w:val="3"/>
          </w:tcPr>
          <w:p>
            <w:pPr>
              <w:ind w:left="180"/>
              <w:spacing w:after="0"/>
              <w:rPr>
                <w:sz w:val="20"/>
                <w:szCs w:val="20"/>
                <w:color w:val="auto"/>
              </w:rPr>
            </w:pPr>
            <w:r>
              <w:rPr>
                <w:rFonts w:ascii="Arial" w:cs="Arial" w:eastAsia="Arial" w:hAnsi="Arial"/>
                <w:sz w:val="14"/>
                <w:szCs w:val="14"/>
                <w:color w:val="131E29"/>
              </w:rPr>
              <w:t>Net loss subsequent to the Reorganization Transactions</w:t>
            </w:r>
          </w:p>
        </w:tc>
        <w:tc>
          <w:tcPr>
            <w:tcW w:w="2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(51,375)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818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(50,557)</w:t>
            </w:r>
          </w:p>
        </w:tc>
      </w:tr>
      <w:tr>
        <w:trPr>
          <w:trHeight w:val="22"/>
        </w:trPr>
        <w:tc>
          <w:tcPr>
            <w:tcW w:w="5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2"/>
        </w:trPr>
        <w:tc>
          <w:tcPr>
            <w:tcW w:w="5700" w:type="dxa"/>
            <w:vAlign w:val="bottom"/>
            <w:tcBorders>
              <w:bottom w:val="single" w:sz="8" w:color="D2DCE5"/>
            </w:tcBorders>
            <w:gridSpan w:val="3"/>
            <w:shd w:val="clear" w:color="auto" w:fill="D2DCE5"/>
          </w:tcPr>
          <w:p>
            <w:pPr>
              <w:ind w:left="20"/>
              <w:spacing w:after="0"/>
              <w:rPr>
                <w:sz w:val="20"/>
                <w:szCs w:val="20"/>
                <w:color w:val="auto"/>
              </w:rPr>
            </w:pPr>
            <w:r>
              <w:rPr>
                <w:rFonts w:ascii="Arial" w:cs="Arial" w:eastAsia="Arial" w:hAnsi="Arial"/>
                <w:sz w:val="14"/>
                <w:szCs w:val="14"/>
                <w:color w:val="131E29"/>
              </w:rPr>
              <w:t>Balance, December 31, 2021</w:t>
            </w:r>
          </w:p>
        </w:tc>
        <w:tc>
          <w:tcPr>
            <w:tcW w:w="280" w:type="dxa"/>
            <w:vAlign w:val="bottom"/>
            <w:tcBorders>
              <w:bottom w:val="single" w:sz="8" w:color="D2DCE5"/>
            </w:tcBorders>
            <w:shd w:val="clear" w:color="auto" w:fill="D2DCE5"/>
          </w:tcPr>
          <w:p>
            <w:pPr>
              <w:spacing w:after="0"/>
              <w:rPr>
                <w:sz w:val="16"/>
                <w:szCs w:val="16"/>
                <w:color w:val="auto"/>
              </w:rPr>
            </w:pPr>
          </w:p>
        </w:tc>
        <w:tc>
          <w:tcPr>
            <w:tcW w:w="15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210,186</w:t>
            </w:r>
          </w:p>
        </w:tc>
        <w:tc>
          <w:tcPr>
            <w:tcW w:w="10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spacing w:after="0"/>
              <w:rPr>
                <w:sz w:val="16"/>
                <w:szCs w:val="16"/>
                <w:color w:val="auto"/>
              </w:rPr>
            </w:pPr>
          </w:p>
        </w:tc>
        <w:tc>
          <w:tcPr>
            <w:tcW w:w="15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3,543</w:t>
            </w:r>
          </w:p>
        </w:tc>
        <w:tc>
          <w:tcPr>
            <w:tcW w:w="8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spacing w:after="0"/>
              <w:rPr>
                <w:sz w:val="16"/>
                <w:szCs w:val="16"/>
                <w:color w:val="auto"/>
              </w:rPr>
            </w:pPr>
          </w:p>
        </w:tc>
        <w:tc>
          <w:tcPr>
            <w:tcW w:w="15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213,729</w:t>
            </w:r>
          </w:p>
        </w:tc>
      </w:tr>
      <w:tr>
        <w:trPr>
          <w:trHeight w:val="286"/>
        </w:trPr>
        <w:tc>
          <w:tcPr>
            <w:tcW w:w="4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80" w:type="dxa"/>
            <w:vAlign w:val="bottom"/>
            <w:gridSpan w:val="6"/>
          </w:tcPr>
          <w:p>
            <w:pPr>
              <w:jc w:val="center"/>
              <w:ind w:left="1189"/>
              <w:spacing w:after="0"/>
              <w:rPr>
                <w:sz w:val="20"/>
                <w:szCs w:val="20"/>
                <w:color w:val="auto"/>
              </w:rPr>
            </w:pPr>
            <w:r>
              <w:rPr>
                <w:rFonts w:ascii="Arial" w:cs="Arial" w:eastAsia="Arial" w:hAnsi="Arial"/>
                <w:sz w:val="14"/>
                <w:szCs w:val="14"/>
                <w:b w:val="1"/>
                <w:bCs w:val="1"/>
                <w:color w:val="131E29"/>
              </w:rPr>
              <w:t>Year Ended December 31, 2020</w:t>
            </w:r>
          </w:p>
        </w:tc>
        <w:tc>
          <w:tcPr>
            <w:tcW w:w="1520" w:type="dxa"/>
            <w:vAlign w:val="bottom"/>
          </w:tcPr>
          <w:p>
            <w:pPr>
              <w:spacing w:after="0"/>
              <w:rPr>
                <w:sz w:val="24"/>
                <w:szCs w:val="24"/>
                <w:color w:val="auto"/>
              </w:rPr>
            </w:pPr>
          </w:p>
        </w:tc>
      </w:tr>
      <w:tr>
        <w:trPr>
          <w:trHeight w:val="22"/>
        </w:trPr>
        <w:tc>
          <w:tcPr>
            <w:tcW w:w="5700" w:type="dxa"/>
            <w:vAlign w:val="bottom"/>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3"/>
        </w:trPr>
        <w:tc>
          <w:tcPr>
            <w:tcW w:w="562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131E29"/>
              </w:rPr>
              <w:t>As Reported</w:t>
            </w:r>
          </w:p>
        </w:tc>
        <w:tc>
          <w:tcPr>
            <w:tcW w:w="100" w:type="dxa"/>
            <w:vAlign w:val="bottom"/>
            <w:tcBorders>
              <w:bottom w:val="single" w:sz="8" w:color="D2DCE5"/>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229"/>
              <w:spacing w:after="0"/>
              <w:rPr>
                <w:sz w:val="20"/>
                <w:szCs w:val="20"/>
                <w:color w:val="auto"/>
              </w:rPr>
            </w:pPr>
            <w:r>
              <w:rPr>
                <w:rFonts w:ascii="Arial" w:cs="Arial" w:eastAsia="Arial" w:hAnsi="Arial"/>
                <w:sz w:val="14"/>
                <w:szCs w:val="14"/>
                <w:b w:val="1"/>
                <w:bCs w:val="1"/>
                <w:color w:val="131E29"/>
              </w:rPr>
              <w:t>Adjustments</w:t>
            </w:r>
          </w:p>
        </w:tc>
        <w:tc>
          <w:tcPr>
            <w:tcW w:w="80" w:type="dxa"/>
            <w:vAlign w:val="bottom"/>
            <w:tcBorders>
              <w:bottom w:val="single" w:sz="8" w:color="D2DCE5"/>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131E29"/>
              </w:rPr>
              <w:t>As Corrected</w:t>
            </w:r>
          </w:p>
        </w:tc>
      </w:tr>
      <w:tr>
        <w:trPr>
          <w:trHeight w:val="192"/>
        </w:trPr>
        <w:tc>
          <w:tcPr>
            <w:tcW w:w="5700" w:type="dxa"/>
            <w:vAlign w:val="bottom"/>
            <w:tcBorders>
              <w:bottom w:val="single" w:sz="8" w:color="D2DCE5"/>
            </w:tcBorders>
            <w:gridSpan w:val="3"/>
            <w:shd w:val="clear" w:color="auto" w:fill="D2DCE5"/>
          </w:tcPr>
          <w:p>
            <w:pPr>
              <w:ind w:left="20"/>
              <w:spacing w:after="0"/>
              <w:rPr>
                <w:sz w:val="20"/>
                <w:szCs w:val="20"/>
                <w:color w:val="auto"/>
              </w:rPr>
            </w:pPr>
            <w:r>
              <w:rPr>
                <w:rFonts w:ascii="Arial" w:cs="Arial" w:eastAsia="Arial" w:hAnsi="Arial"/>
                <w:sz w:val="14"/>
                <w:szCs w:val="14"/>
                <w:b w:val="1"/>
                <w:bCs w:val="1"/>
                <w:color w:val="131E29"/>
              </w:rPr>
              <w:t>Permanent equity: members’ deficit</w:t>
            </w:r>
          </w:p>
        </w:tc>
        <w:tc>
          <w:tcPr>
            <w:tcW w:w="280" w:type="dxa"/>
            <w:vAlign w:val="bottom"/>
            <w:tcBorders>
              <w:bottom w:val="single" w:sz="8" w:color="D2DCE5"/>
            </w:tcBorders>
            <w:shd w:val="clear" w:color="auto" w:fill="D2DCE5"/>
          </w:tcPr>
          <w:p>
            <w:pPr>
              <w:spacing w:after="0"/>
              <w:rPr>
                <w:sz w:val="16"/>
                <w:szCs w:val="16"/>
                <w:color w:val="auto"/>
              </w:rPr>
            </w:pPr>
          </w:p>
        </w:tc>
        <w:tc>
          <w:tcPr>
            <w:tcW w:w="152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spacing w:after="0"/>
              <w:rPr>
                <w:sz w:val="16"/>
                <w:szCs w:val="16"/>
                <w:color w:val="auto"/>
              </w:rPr>
            </w:pPr>
          </w:p>
        </w:tc>
        <w:tc>
          <w:tcPr>
            <w:tcW w:w="152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spacing w:after="0"/>
              <w:rPr>
                <w:sz w:val="16"/>
                <w:szCs w:val="16"/>
                <w:color w:val="auto"/>
              </w:rPr>
            </w:pPr>
          </w:p>
        </w:tc>
        <w:tc>
          <w:tcPr>
            <w:tcW w:w="1520" w:type="dxa"/>
            <w:vAlign w:val="bottom"/>
            <w:tcBorders>
              <w:bottom w:val="single" w:sz="8" w:color="D2DCE5"/>
            </w:tcBorders>
            <w:shd w:val="clear" w:color="auto" w:fill="D2DCE5"/>
          </w:tcPr>
          <w:p>
            <w:pPr>
              <w:spacing w:after="0"/>
              <w:rPr>
                <w:sz w:val="16"/>
                <w:szCs w:val="16"/>
                <w:color w:val="auto"/>
              </w:rPr>
            </w:pPr>
          </w:p>
        </w:tc>
      </w:tr>
      <w:tr>
        <w:trPr>
          <w:trHeight w:val="191"/>
        </w:trPr>
        <w:tc>
          <w:tcPr>
            <w:tcW w:w="5700" w:type="dxa"/>
            <w:vAlign w:val="bottom"/>
            <w:gridSpan w:val="3"/>
          </w:tcPr>
          <w:p>
            <w:pPr>
              <w:ind w:left="140"/>
              <w:spacing w:after="0"/>
              <w:rPr>
                <w:sz w:val="20"/>
                <w:szCs w:val="20"/>
                <w:color w:val="auto"/>
              </w:rPr>
            </w:pPr>
            <w:r>
              <w:rPr>
                <w:rFonts w:ascii="Arial" w:cs="Arial" w:eastAsia="Arial" w:hAnsi="Arial"/>
                <w:sz w:val="14"/>
                <w:szCs w:val="14"/>
                <w:color w:val="131E29"/>
              </w:rPr>
              <w:t>Balance, December 31, 2019</w:t>
            </w:r>
          </w:p>
        </w:tc>
        <w:tc>
          <w:tcPr>
            <w:tcW w:w="280" w:type="dxa"/>
            <w:vAlign w:val="bottom"/>
          </w:tcPr>
          <w:p>
            <w:pPr>
              <w:jc w:val="right"/>
              <w:ind w:right="109"/>
              <w:spacing w:after="0"/>
              <w:rPr>
                <w:sz w:val="20"/>
                <w:szCs w:val="20"/>
                <w:color w:val="auto"/>
              </w:rPr>
            </w:pPr>
            <w:r>
              <w:rPr>
                <w:rFonts w:ascii="Arial" w:cs="Arial" w:eastAsia="Arial" w:hAnsi="Arial"/>
                <w:sz w:val="14"/>
                <w:szCs w:val="14"/>
                <w:color w:val="131E29"/>
              </w:rPr>
              <w:t>$</w:t>
            </w:r>
          </w:p>
        </w:tc>
        <w:tc>
          <w:tcPr>
            <w:tcW w:w="1520" w:type="dxa"/>
            <w:vAlign w:val="bottom"/>
          </w:tcPr>
          <w:p>
            <w:pPr>
              <w:jc w:val="right"/>
              <w:spacing w:after="0"/>
              <w:rPr>
                <w:sz w:val="20"/>
                <w:szCs w:val="20"/>
                <w:color w:val="auto"/>
              </w:rPr>
            </w:pPr>
            <w:r>
              <w:rPr>
                <w:rFonts w:ascii="Arial" w:cs="Arial" w:eastAsia="Arial" w:hAnsi="Arial"/>
                <w:sz w:val="14"/>
                <w:szCs w:val="14"/>
                <w:color w:val="131E29"/>
              </w:rPr>
              <w:t>(859,706)</w:t>
            </w:r>
          </w:p>
        </w:tc>
        <w:tc>
          <w:tcPr>
            <w:tcW w:w="10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131E29"/>
                <w:w w:val="76"/>
              </w:rPr>
              <w:t>$</w:t>
            </w:r>
          </w:p>
        </w:tc>
        <w:tc>
          <w:tcPr>
            <w:tcW w:w="1520" w:type="dxa"/>
            <w:vAlign w:val="bottom"/>
          </w:tcPr>
          <w:p>
            <w:pPr>
              <w:jc w:val="right"/>
              <w:spacing w:after="0"/>
              <w:rPr>
                <w:sz w:val="20"/>
                <w:szCs w:val="20"/>
                <w:color w:val="auto"/>
              </w:rPr>
            </w:pPr>
            <w:r>
              <w:rPr>
                <w:rFonts w:ascii="Arial" w:cs="Arial" w:eastAsia="Arial" w:hAnsi="Arial"/>
                <w:sz w:val="14"/>
                <w:szCs w:val="14"/>
                <w:color w:val="131E29"/>
              </w:rPr>
              <w:t>1,164</w:t>
            </w:r>
          </w:p>
        </w:tc>
        <w:tc>
          <w:tcPr>
            <w:tcW w:w="8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131E29"/>
              </w:rPr>
              <w:t>$</w:t>
            </w:r>
          </w:p>
        </w:tc>
        <w:tc>
          <w:tcPr>
            <w:tcW w:w="1520" w:type="dxa"/>
            <w:vAlign w:val="bottom"/>
          </w:tcPr>
          <w:p>
            <w:pPr>
              <w:jc w:val="right"/>
              <w:spacing w:after="0"/>
              <w:rPr>
                <w:sz w:val="20"/>
                <w:szCs w:val="20"/>
                <w:color w:val="auto"/>
              </w:rPr>
            </w:pPr>
            <w:r>
              <w:rPr>
                <w:rFonts w:ascii="Arial" w:cs="Arial" w:eastAsia="Arial" w:hAnsi="Arial"/>
                <w:sz w:val="14"/>
                <w:szCs w:val="14"/>
                <w:color w:val="131E29"/>
              </w:rPr>
              <w:t>(858,542)</w:t>
            </w:r>
          </w:p>
        </w:tc>
      </w:tr>
      <w:tr>
        <w:trPr>
          <w:trHeight w:val="22"/>
        </w:trPr>
        <w:tc>
          <w:tcPr>
            <w:tcW w:w="5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12"/>
        </w:trPr>
        <w:tc>
          <w:tcPr>
            <w:tcW w:w="5700" w:type="dxa"/>
            <w:vAlign w:val="bottom"/>
            <w:tcBorders>
              <w:bottom w:val="single" w:sz="8" w:color="D2DCE5"/>
            </w:tcBorders>
            <w:gridSpan w:val="3"/>
            <w:shd w:val="clear" w:color="auto" w:fill="D2DCE5"/>
          </w:tcPr>
          <w:p>
            <w:pPr>
              <w:ind w:left="280"/>
              <w:spacing w:after="0"/>
              <w:rPr>
                <w:sz w:val="20"/>
                <w:szCs w:val="20"/>
                <w:color w:val="auto"/>
              </w:rPr>
            </w:pPr>
            <w:r>
              <w:rPr>
                <w:rFonts w:ascii="Arial" w:cs="Arial" w:eastAsia="Arial" w:hAnsi="Arial"/>
                <w:sz w:val="14"/>
                <w:szCs w:val="14"/>
                <w:color w:val="131E29"/>
              </w:rPr>
              <w:t>Net income</w:t>
            </w:r>
          </w:p>
        </w:tc>
        <w:tc>
          <w:tcPr>
            <w:tcW w:w="280" w:type="dxa"/>
            <w:vAlign w:val="bottom"/>
            <w:tcBorders>
              <w:bottom w:val="single" w:sz="8" w:color="D2DCE5"/>
            </w:tcBorders>
            <w:shd w:val="clear" w:color="auto" w:fill="D2DCE5"/>
          </w:tcPr>
          <w:p>
            <w:pPr>
              <w:spacing w:after="0"/>
              <w:rPr>
                <w:sz w:val="18"/>
                <w:szCs w:val="18"/>
                <w:color w:val="auto"/>
              </w:rPr>
            </w:pPr>
          </w:p>
        </w:tc>
        <w:tc>
          <w:tcPr>
            <w:tcW w:w="15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5,725</w:t>
            </w:r>
          </w:p>
        </w:tc>
        <w:tc>
          <w:tcPr>
            <w:tcW w:w="100" w:type="dxa"/>
            <w:vAlign w:val="bottom"/>
            <w:tcBorders>
              <w:bottom w:val="single" w:sz="8" w:color="D2DCE5"/>
            </w:tcBorders>
            <w:shd w:val="clear" w:color="auto" w:fill="D2DCE5"/>
          </w:tcPr>
          <w:p>
            <w:pPr>
              <w:spacing w:after="0"/>
              <w:rPr>
                <w:sz w:val="18"/>
                <w:szCs w:val="18"/>
                <w:color w:val="auto"/>
              </w:rPr>
            </w:pPr>
          </w:p>
        </w:tc>
        <w:tc>
          <w:tcPr>
            <w:tcW w:w="280" w:type="dxa"/>
            <w:vAlign w:val="bottom"/>
            <w:tcBorders>
              <w:bottom w:val="single" w:sz="8" w:color="D2DCE5"/>
            </w:tcBorders>
            <w:shd w:val="clear" w:color="auto" w:fill="D2DCE5"/>
          </w:tcPr>
          <w:p>
            <w:pPr>
              <w:spacing w:after="0"/>
              <w:rPr>
                <w:sz w:val="18"/>
                <w:szCs w:val="18"/>
                <w:color w:val="auto"/>
              </w:rPr>
            </w:pPr>
          </w:p>
        </w:tc>
        <w:tc>
          <w:tcPr>
            <w:tcW w:w="15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333</w:t>
            </w:r>
          </w:p>
        </w:tc>
        <w:tc>
          <w:tcPr>
            <w:tcW w:w="80" w:type="dxa"/>
            <w:vAlign w:val="bottom"/>
            <w:tcBorders>
              <w:bottom w:val="single" w:sz="8" w:color="D2DCE5"/>
            </w:tcBorders>
            <w:shd w:val="clear" w:color="auto" w:fill="D2DCE5"/>
          </w:tcPr>
          <w:p>
            <w:pPr>
              <w:spacing w:after="0"/>
              <w:rPr>
                <w:sz w:val="18"/>
                <w:szCs w:val="18"/>
                <w:color w:val="auto"/>
              </w:rPr>
            </w:pPr>
          </w:p>
        </w:tc>
        <w:tc>
          <w:tcPr>
            <w:tcW w:w="280" w:type="dxa"/>
            <w:vAlign w:val="bottom"/>
            <w:tcBorders>
              <w:bottom w:val="single" w:sz="8" w:color="D2DCE5"/>
            </w:tcBorders>
            <w:shd w:val="clear" w:color="auto" w:fill="D2DCE5"/>
          </w:tcPr>
          <w:p>
            <w:pPr>
              <w:spacing w:after="0"/>
              <w:rPr>
                <w:sz w:val="18"/>
                <w:szCs w:val="18"/>
                <w:color w:val="auto"/>
              </w:rPr>
            </w:pPr>
          </w:p>
        </w:tc>
        <w:tc>
          <w:tcPr>
            <w:tcW w:w="15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6,058</w:t>
            </w:r>
          </w:p>
        </w:tc>
      </w:tr>
      <w:tr>
        <w:trPr>
          <w:trHeight w:val="203"/>
        </w:trPr>
        <w:tc>
          <w:tcPr>
            <w:tcW w:w="5700" w:type="dxa"/>
            <w:vAlign w:val="bottom"/>
            <w:gridSpan w:val="3"/>
          </w:tcPr>
          <w:p>
            <w:pPr>
              <w:ind w:left="140"/>
              <w:spacing w:after="0"/>
              <w:rPr>
                <w:sz w:val="20"/>
                <w:szCs w:val="20"/>
                <w:color w:val="auto"/>
              </w:rPr>
            </w:pPr>
            <w:r>
              <w:rPr>
                <w:rFonts w:ascii="Arial" w:cs="Arial" w:eastAsia="Arial" w:hAnsi="Arial"/>
                <w:sz w:val="14"/>
                <w:szCs w:val="14"/>
                <w:color w:val="131E29"/>
              </w:rPr>
              <w:t>Balance, December 31, 2020</w:t>
            </w: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131E2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rPr>
              <w:t>(1,459,782)</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131E29"/>
                <w:w w:val="76"/>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rPr>
              <w:t>1,497</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131E2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rPr>
              <w:t>(1,458,285)</w:t>
            </w:r>
          </w:p>
        </w:tc>
      </w:tr>
      <w:tr>
        <w:trPr>
          <w:trHeight w:val="20"/>
        </w:trPr>
        <w:tc>
          <w:tcPr>
            <w:tcW w:w="4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105" w:name="page106"/>
    <w:bookmarkEnd w:id="105"/>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gridSpan w:val="3"/>
          </w:tcPr>
          <w:p>
            <w:pPr>
              <w:spacing w:after="0"/>
              <w:rPr>
                <w:sz w:val="20"/>
                <w:szCs w:val="20"/>
                <w:color w:val="auto"/>
              </w:rPr>
            </w:pPr>
            <w:r>
              <w:rPr>
                <w:rFonts w:ascii="Arial" w:cs="Arial" w:eastAsia="Arial" w:hAnsi="Arial"/>
                <w:sz w:val="14"/>
                <w:szCs w:val="14"/>
                <w:color w:val="006098"/>
              </w:rPr>
              <w:t>Consolidated Statements of Cash Flows:</w:t>
            </w:r>
          </w:p>
        </w:tc>
        <w:tc>
          <w:tcPr>
            <w:tcW w:w="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51"/>
        </w:trPr>
        <w:tc>
          <w:tcPr>
            <w:tcW w:w="2560" w:type="dxa"/>
            <w:vAlign w:val="bottom"/>
            <w:tcBorders>
              <w:top w:val="single" w:sz="8" w:color="006098"/>
            </w:tcBorders>
          </w:tcPr>
          <w:p>
            <w:pPr>
              <w:spacing w:after="0"/>
              <w:rPr>
                <w:sz w:val="24"/>
                <w:szCs w:val="24"/>
                <w:color w:val="auto"/>
              </w:rPr>
            </w:pPr>
          </w:p>
        </w:tc>
        <w:tc>
          <w:tcPr>
            <w:tcW w:w="3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80" w:type="dxa"/>
            <w:vAlign w:val="bottom"/>
            <w:gridSpan w:val="6"/>
          </w:tcPr>
          <w:p>
            <w:pPr>
              <w:jc w:val="center"/>
              <w:ind w:left="1189"/>
              <w:spacing w:after="0"/>
              <w:rPr>
                <w:sz w:val="20"/>
                <w:szCs w:val="20"/>
                <w:color w:val="auto"/>
              </w:rPr>
            </w:pPr>
            <w:r>
              <w:rPr>
                <w:rFonts w:ascii="Arial" w:cs="Arial" w:eastAsia="Arial" w:hAnsi="Arial"/>
                <w:sz w:val="14"/>
                <w:szCs w:val="14"/>
                <w:b w:val="1"/>
                <w:bCs w:val="1"/>
                <w:color w:val="131E29"/>
              </w:rPr>
              <w:t>Year Ended December 31, 2021</w:t>
            </w:r>
          </w:p>
        </w:tc>
        <w:tc>
          <w:tcPr>
            <w:tcW w:w="1520" w:type="dxa"/>
            <w:vAlign w:val="bottom"/>
          </w:tcPr>
          <w:p>
            <w:pPr>
              <w:spacing w:after="0"/>
              <w:rPr>
                <w:sz w:val="24"/>
                <w:szCs w:val="24"/>
                <w:color w:val="auto"/>
              </w:rPr>
            </w:pPr>
          </w:p>
        </w:tc>
      </w:tr>
      <w:tr>
        <w:trPr>
          <w:trHeight w:val="22"/>
        </w:trPr>
        <w:tc>
          <w:tcPr>
            <w:tcW w:w="5700" w:type="dxa"/>
            <w:vAlign w:val="bottom"/>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3"/>
        </w:trPr>
        <w:tc>
          <w:tcPr>
            <w:tcW w:w="562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131E29"/>
              </w:rPr>
              <w:t>As Reported</w:t>
            </w:r>
          </w:p>
        </w:tc>
        <w:tc>
          <w:tcPr>
            <w:tcW w:w="100" w:type="dxa"/>
            <w:vAlign w:val="bottom"/>
            <w:tcBorders>
              <w:bottom w:val="single" w:sz="8" w:color="D2DCE5"/>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229"/>
              <w:spacing w:after="0"/>
              <w:rPr>
                <w:sz w:val="20"/>
                <w:szCs w:val="20"/>
                <w:color w:val="auto"/>
              </w:rPr>
            </w:pPr>
            <w:r>
              <w:rPr>
                <w:rFonts w:ascii="Arial" w:cs="Arial" w:eastAsia="Arial" w:hAnsi="Arial"/>
                <w:sz w:val="14"/>
                <w:szCs w:val="14"/>
                <w:b w:val="1"/>
                <w:bCs w:val="1"/>
                <w:color w:val="131E29"/>
              </w:rPr>
              <w:t>Adjustments</w:t>
            </w:r>
          </w:p>
        </w:tc>
        <w:tc>
          <w:tcPr>
            <w:tcW w:w="80" w:type="dxa"/>
            <w:vAlign w:val="bottom"/>
            <w:tcBorders>
              <w:bottom w:val="single" w:sz="8" w:color="D2DCE5"/>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131E29"/>
              </w:rPr>
              <w:t>As Corrected</w:t>
            </w:r>
          </w:p>
        </w:tc>
      </w:tr>
      <w:tr>
        <w:trPr>
          <w:trHeight w:val="192"/>
        </w:trPr>
        <w:tc>
          <w:tcPr>
            <w:tcW w:w="5700" w:type="dxa"/>
            <w:vAlign w:val="bottom"/>
            <w:tcBorders>
              <w:bottom w:val="single" w:sz="8" w:color="D2DCE5"/>
            </w:tcBorders>
            <w:gridSpan w:val="3"/>
            <w:shd w:val="clear" w:color="auto" w:fill="D2DCE5"/>
          </w:tcPr>
          <w:p>
            <w:pPr>
              <w:ind w:left="20"/>
              <w:spacing w:after="0"/>
              <w:rPr>
                <w:sz w:val="20"/>
                <w:szCs w:val="20"/>
                <w:color w:val="auto"/>
              </w:rPr>
            </w:pPr>
            <w:r>
              <w:rPr>
                <w:rFonts w:ascii="Arial" w:cs="Arial" w:eastAsia="Arial" w:hAnsi="Arial"/>
                <w:sz w:val="14"/>
                <w:szCs w:val="14"/>
                <w:color w:val="131E29"/>
              </w:rPr>
              <w:t>Cash flows from operating activities:</w:t>
            </w:r>
          </w:p>
        </w:tc>
        <w:tc>
          <w:tcPr>
            <w:tcW w:w="280" w:type="dxa"/>
            <w:vAlign w:val="bottom"/>
            <w:tcBorders>
              <w:bottom w:val="single" w:sz="8" w:color="D2DCE5"/>
            </w:tcBorders>
            <w:shd w:val="clear" w:color="auto" w:fill="D2DCE5"/>
          </w:tcPr>
          <w:p>
            <w:pPr>
              <w:spacing w:after="0"/>
              <w:rPr>
                <w:sz w:val="16"/>
                <w:szCs w:val="16"/>
                <w:color w:val="auto"/>
              </w:rPr>
            </w:pPr>
          </w:p>
        </w:tc>
        <w:tc>
          <w:tcPr>
            <w:tcW w:w="152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spacing w:after="0"/>
              <w:rPr>
                <w:sz w:val="16"/>
                <w:szCs w:val="16"/>
                <w:color w:val="auto"/>
              </w:rPr>
            </w:pPr>
          </w:p>
        </w:tc>
        <w:tc>
          <w:tcPr>
            <w:tcW w:w="152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spacing w:after="0"/>
              <w:rPr>
                <w:sz w:val="16"/>
                <w:szCs w:val="16"/>
                <w:color w:val="auto"/>
              </w:rPr>
            </w:pPr>
          </w:p>
        </w:tc>
        <w:tc>
          <w:tcPr>
            <w:tcW w:w="1520" w:type="dxa"/>
            <w:vAlign w:val="bottom"/>
            <w:tcBorders>
              <w:bottom w:val="single" w:sz="8" w:color="D2DCE5"/>
            </w:tcBorders>
            <w:shd w:val="clear" w:color="auto" w:fill="D2DCE5"/>
          </w:tcPr>
          <w:p>
            <w:pPr>
              <w:spacing w:after="0"/>
              <w:rPr>
                <w:sz w:val="16"/>
                <w:szCs w:val="16"/>
                <w:color w:val="auto"/>
              </w:rPr>
            </w:pPr>
          </w:p>
        </w:tc>
      </w:tr>
      <w:tr>
        <w:trPr>
          <w:trHeight w:val="191"/>
        </w:trPr>
        <w:tc>
          <w:tcPr>
            <w:tcW w:w="5700" w:type="dxa"/>
            <w:vAlign w:val="bottom"/>
            <w:gridSpan w:val="3"/>
          </w:tcPr>
          <w:p>
            <w:pPr>
              <w:ind w:left="140"/>
              <w:spacing w:after="0"/>
              <w:rPr>
                <w:sz w:val="20"/>
                <w:szCs w:val="20"/>
                <w:color w:val="auto"/>
              </w:rPr>
            </w:pPr>
            <w:r>
              <w:rPr>
                <w:rFonts w:ascii="Arial" w:cs="Arial" w:eastAsia="Arial" w:hAnsi="Arial"/>
                <w:sz w:val="14"/>
                <w:szCs w:val="14"/>
                <w:color w:val="131E29"/>
              </w:rPr>
              <w:t>Net loss</w:t>
            </w:r>
          </w:p>
        </w:tc>
        <w:tc>
          <w:tcPr>
            <w:tcW w:w="280" w:type="dxa"/>
            <w:vAlign w:val="bottom"/>
          </w:tcPr>
          <w:p>
            <w:pPr>
              <w:jc w:val="right"/>
              <w:ind w:right="109"/>
              <w:spacing w:after="0"/>
              <w:rPr>
                <w:sz w:val="20"/>
                <w:szCs w:val="20"/>
                <w:color w:val="auto"/>
              </w:rPr>
            </w:pPr>
            <w:r>
              <w:rPr>
                <w:rFonts w:ascii="Arial" w:cs="Arial" w:eastAsia="Arial" w:hAnsi="Arial"/>
                <w:sz w:val="14"/>
                <w:szCs w:val="14"/>
                <w:color w:val="131E29"/>
              </w:rPr>
              <w:t>$</w:t>
            </w:r>
          </w:p>
        </w:tc>
        <w:tc>
          <w:tcPr>
            <w:tcW w:w="1520" w:type="dxa"/>
            <w:vAlign w:val="bottom"/>
          </w:tcPr>
          <w:p>
            <w:pPr>
              <w:jc w:val="right"/>
              <w:spacing w:after="0"/>
              <w:rPr>
                <w:sz w:val="20"/>
                <w:szCs w:val="20"/>
                <w:color w:val="auto"/>
              </w:rPr>
            </w:pPr>
            <w:r>
              <w:rPr>
                <w:rFonts w:ascii="Arial" w:cs="Arial" w:eastAsia="Arial" w:hAnsi="Arial"/>
                <w:sz w:val="14"/>
                <w:szCs w:val="14"/>
                <w:color w:val="131E29"/>
              </w:rPr>
              <w:t>(119,977)</w:t>
            </w:r>
          </w:p>
        </w:tc>
        <w:tc>
          <w:tcPr>
            <w:tcW w:w="10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131E29"/>
                <w:w w:val="76"/>
              </w:rPr>
              <w:t>$</w:t>
            </w:r>
          </w:p>
        </w:tc>
        <w:tc>
          <w:tcPr>
            <w:tcW w:w="1520" w:type="dxa"/>
            <w:vAlign w:val="bottom"/>
          </w:tcPr>
          <w:p>
            <w:pPr>
              <w:jc w:val="right"/>
              <w:spacing w:after="0"/>
              <w:rPr>
                <w:sz w:val="20"/>
                <w:szCs w:val="20"/>
                <w:color w:val="auto"/>
              </w:rPr>
            </w:pPr>
            <w:r>
              <w:rPr>
                <w:rFonts w:ascii="Arial" w:cs="Arial" w:eastAsia="Arial" w:hAnsi="Arial"/>
                <w:sz w:val="14"/>
                <w:szCs w:val="14"/>
                <w:color w:val="131E29"/>
              </w:rPr>
              <w:t>2,046</w:t>
            </w:r>
          </w:p>
        </w:tc>
        <w:tc>
          <w:tcPr>
            <w:tcW w:w="8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131E29"/>
              </w:rPr>
              <w:t>$</w:t>
            </w:r>
          </w:p>
        </w:tc>
        <w:tc>
          <w:tcPr>
            <w:tcW w:w="1520" w:type="dxa"/>
            <w:vAlign w:val="bottom"/>
          </w:tcPr>
          <w:p>
            <w:pPr>
              <w:jc w:val="right"/>
              <w:spacing w:after="0"/>
              <w:rPr>
                <w:sz w:val="20"/>
                <w:szCs w:val="20"/>
                <w:color w:val="auto"/>
              </w:rPr>
            </w:pPr>
            <w:r>
              <w:rPr>
                <w:rFonts w:ascii="Arial" w:cs="Arial" w:eastAsia="Arial" w:hAnsi="Arial"/>
                <w:sz w:val="14"/>
                <w:szCs w:val="14"/>
                <w:color w:val="131E29"/>
              </w:rPr>
              <w:t>(117,931)</w:t>
            </w:r>
          </w:p>
        </w:tc>
      </w:tr>
      <w:tr>
        <w:trPr>
          <w:trHeight w:val="22"/>
        </w:trPr>
        <w:tc>
          <w:tcPr>
            <w:tcW w:w="5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2"/>
        </w:trPr>
        <w:tc>
          <w:tcPr>
            <w:tcW w:w="5700" w:type="dxa"/>
            <w:vAlign w:val="bottom"/>
            <w:tcBorders>
              <w:bottom w:val="single" w:sz="8" w:color="D2DCE5"/>
            </w:tcBorders>
            <w:gridSpan w:val="3"/>
            <w:shd w:val="clear" w:color="auto" w:fill="D2DCE5"/>
          </w:tcPr>
          <w:p>
            <w:pPr>
              <w:ind w:left="20"/>
              <w:spacing w:after="0"/>
              <w:rPr>
                <w:sz w:val="20"/>
                <w:szCs w:val="20"/>
                <w:color w:val="auto"/>
              </w:rPr>
            </w:pPr>
            <w:r>
              <w:rPr>
                <w:rFonts w:ascii="Arial" w:cs="Arial" w:eastAsia="Arial" w:hAnsi="Arial"/>
                <w:sz w:val="14"/>
                <w:szCs w:val="14"/>
                <w:color w:val="131E29"/>
              </w:rPr>
              <w:t>Changes in operating assets and liabilities, net of acquisitions:</w:t>
            </w:r>
          </w:p>
        </w:tc>
        <w:tc>
          <w:tcPr>
            <w:tcW w:w="280" w:type="dxa"/>
            <w:vAlign w:val="bottom"/>
            <w:tcBorders>
              <w:bottom w:val="single" w:sz="8" w:color="D2DCE5"/>
            </w:tcBorders>
            <w:shd w:val="clear" w:color="auto" w:fill="D2DCE5"/>
          </w:tcPr>
          <w:p>
            <w:pPr>
              <w:spacing w:after="0"/>
              <w:rPr>
                <w:sz w:val="16"/>
                <w:szCs w:val="16"/>
                <w:color w:val="auto"/>
              </w:rPr>
            </w:pPr>
          </w:p>
        </w:tc>
        <w:tc>
          <w:tcPr>
            <w:tcW w:w="152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spacing w:after="0"/>
              <w:rPr>
                <w:sz w:val="16"/>
                <w:szCs w:val="16"/>
                <w:color w:val="auto"/>
              </w:rPr>
            </w:pPr>
          </w:p>
        </w:tc>
        <w:tc>
          <w:tcPr>
            <w:tcW w:w="152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spacing w:after="0"/>
              <w:rPr>
                <w:sz w:val="16"/>
                <w:szCs w:val="16"/>
                <w:color w:val="auto"/>
              </w:rPr>
            </w:pPr>
          </w:p>
        </w:tc>
        <w:tc>
          <w:tcPr>
            <w:tcW w:w="1520" w:type="dxa"/>
            <w:vAlign w:val="bottom"/>
            <w:tcBorders>
              <w:bottom w:val="single" w:sz="8" w:color="D2DCE5"/>
            </w:tcBorders>
            <w:shd w:val="clear" w:color="auto" w:fill="D2DCE5"/>
          </w:tcPr>
          <w:p>
            <w:pPr>
              <w:spacing w:after="0"/>
              <w:rPr>
                <w:sz w:val="16"/>
                <w:szCs w:val="16"/>
                <w:color w:val="auto"/>
              </w:rPr>
            </w:pPr>
          </w:p>
        </w:tc>
      </w:tr>
      <w:tr>
        <w:trPr>
          <w:trHeight w:val="191"/>
        </w:trPr>
        <w:tc>
          <w:tcPr>
            <w:tcW w:w="5700" w:type="dxa"/>
            <w:vAlign w:val="bottom"/>
            <w:gridSpan w:val="3"/>
          </w:tcPr>
          <w:p>
            <w:pPr>
              <w:ind w:left="140"/>
              <w:spacing w:after="0"/>
              <w:rPr>
                <w:sz w:val="20"/>
                <w:szCs w:val="20"/>
                <w:color w:val="auto"/>
              </w:rPr>
            </w:pPr>
            <w:r>
              <w:rPr>
                <w:rFonts w:ascii="Arial" w:cs="Arial" w:eastAsia="Arial" w:hAnsi="Arial"/>
                <w:sz w:val="14"/>
                <w:szCs w:val="14"/>
                <w:color w:val="131E29"/>
              </w:rPr>
              <w:t>Accrued expenses</w:t>
            </w:r>
          </w:p>
        </w:tc>
        <w:tc>
          <w:tcPr>
            <w:tcW w:w="2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9,973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(2,046)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7,927</w:t>
            </w:r>
          </w:p>
        </w:tc>
      </w:tr>
    </w:tbl>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320" w:type="dxa"/>
            <w:vAlign w:val="bottom"/>
            <w:gridSpan w:val="6"/>
          </w:tcPr>
          <w:p>
            <w:pPr>
              <w:jc w:val="center"/>
              <w:ind w:right="129"/>
              <w:spacing w:after="0"/>
              <w:rPr>
                <w:sz w:val="20"/>
                <w:szCs w:val="20"/>
                <w:color w:val="auto"/>
              </w:rPr>
            </w:pPr>
            <w:r>
              <w:rPr>
                <w:rFonts w:ascii="Arial" w:cs="Arial" w:eastAsia="Arial" w:hAnsi="Arial"/>
                <w:sz w:val="14"/>
                <w:szCs w:val="14"/>
                <w:b w:val="1"/>
                <w:bCs w:val="1"/>
                <w:color w:val="131E29"/>
              </w:rPr>
              <w:t>Year Ended December 31, 2020</w:t>
            </w:r>
          </w:p>
        </w:tc>
        <w:tc>
          <w:tcPr>
            <w:tcW w:w="1520" w:type="dxa"/>
            <w:vAlign w:val="bottom"/>
          </w:tcPr>
          <w:p>
            <w:pPr>
              <w:spacing w:after="0"/>
              <w:rPr>
                <w:sz w:val="16"/>
                <w:szCs w:val="16"/>
                <w:color w:val="auto"/>
              </w:rPr>
            </w:pPr>
          </w:p>
        </w:tc>
      </w:tr>
      <w:tr>
        <w:trPr>
          <w:trHeight w:val="22"/>
        </w:trPr>
        <w:tc>
          <w:tcPr>
            <w:tcW w:w="570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3"/>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131E29"/>
              </w:rPr>
              <w:t>As Reported</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D2DCE5"/>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229"/>
              <w:spacing w:after="0"/>
              <w:rPr>
                <w:sz w:val="20"/>
                <w:szCs w:val="20"/>
                <w:color w:val="auto"/>
              </w:rPr>
            </w:pPr>
            <w:r>
              <w:rPr>
                <w:rFonts w:ascii="Arial" w:cs="Arial" w:eastAsia="Arial" w:hAnsi="Arial"/>
                <w:sz w:val="14"/>
                <w:szCs w:val="14"/>
                <w:b w:val="1"/>
                <w:bCs w:val="1"/>
                <w:color w:val="131E29"/>
              </w:rPr>
              <w:t>Adjustments</w:t>
            </w:r>
          </w:p>
        </w:tc>
        <w:tc>
          <w:tcPr>
            <w:tcW w:w="80" w:type="dxa"/>
            <w:vAlign w:val="bottom"/>
            <w:tcBorders>
              <w:bottom w:val="single" w:sz="8" w:color="D2DCE5"/>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131E29"/>
              </w:rPr>
              <w:t>As Corrected</w:t>
            </w:r>
          </w:p>
        </w:tc>
      </w:tr>
      <w:tr>
        <w:trPr>
          <w:trHeight w:val="192"/>
        </w:trPr>
        <w:tc>
          <w:tcPr>
            <w:tcW w:w="57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Cash flows from operating activities:</w:t>
            </w:r>
          </w:p>
        </w:tc>
        <w:tc>
          <w:tcPr>
            <w:tcW w:w="280" w:type="dxa"/>
            <w:vAlign w:val="bottom"/>
            <w:tcBorders>
              <w:bottom w:val="single" w:sz="8" w:color="D2DCE5"/>
            </w:tcBorders>
            <w:shd w:val="clear" w:color="auto" w:fill="D2DCE5"/>
          </w:tcPr>
          <w:p>
            <w:pPr>
              <w:spacing w:after="0"/>
              <w:rPr>
                <w:sz w:val="16"/>
                <w:szCs w:val="16"/>
                <w:color w:val="auto"/>
              </w:rPr>
            </w:pPr>
          </w:p>
        </w:tc>
        <w:tc>
          <w:tcPr>
            <w:tcW w:w="1460" w:type="dxa"/>
            <w:vAlign w:val="bottom"/>
            <w:tcBorders>
              <w:bottom w:val="single" w:sz="8" w:color="D2DCE5"/>
            </w:tcBorders>
            <w:shd w:val="clear" w:color="auto" w:fill="D2DCE5"/>
          </w:tcPr>
          <w:p>
            <w:pPr>
              <w:spacing w:after="0"/>
              <w:rPr>
                <w:sz w:val="16"/>
                <w:szCs w:val="16"/>
                <w:color w:val="auto"/>
              </w:rPr>
            </w:pPr>
          </w:p>
        </w:tc>
        <w:tc>
          <w:tcPr>
            <w:tcW w:w="6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spacing w:after="0"/>
              <w:rPr>
                <w:sz w:val="16"/>
                <w:szCs w:val="16"/>
                <w:color w:val="auto"/>
              </w:rPr>
            </w:pPr>
          </w:p>
        </w:tc>
        <w:tc>
          <w:tcPr>
            <w:tcW w:w="152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spacing w:after="0"/>
              <w:rPr>
                <w:sz w:val="16"/>
                <w:szCs w:val="16"/>
                <w:color w:val="auto"/>
              </w:rPr>
            </w:pPr>
          </w:p>
        </w:tc>
        <w:tc>
          <w:tcPr>
            <w:tcW w:w="1520" w:type="dxa"/>
            <w:vAlign w:val="bottom"/>
            <w:tcBorders>
              <w:bottom w:val="single" w:sz="8" w:color="D2DCE5"/>
            </w:tcBorders>
            <w:shd w:val="clear" w:color="auto" w:fill="D2DCE5"/>
          </w:tcPr>
          <w:p>
            <w:pPr>
              <w:spacing w:after="0"/>
              <w:rPr>
                <w:sz w:val="16"/>
                <w:szCs w:val="16"/>
                <w:color w:val="auto"/>
              </w:rPr>
            </w:pPr>
          </w:p>
        </w:tc>
      </w:tr>
      <w:tr>
        <w:trPr>
          <w:trHeight w:val="191"/>
        </w:trPr>
        <w:tc>
          <w:tcPr>
            <w:tcW w:w="5700" w:type="dxa"/>
            <w:vAlign w:val="bottom"/>
            <w:gridSpan w:val="2"/>
          </w:tcPr>
          <w:p>
            <w:pPr>
              <w:ind w:left="140"/>
              <w:spacing w:after="0"/>
              <w:rPr>
                <w:sz w:val="20"/>
                <w:szCs w:val="20"/>
                <w:color w:val="auto"/>
              </w:rPr>
            </w:pPr>
            <w:r>
              <w:rPr>
                <w:rFonts w:ascii="Arial" w:cs="Arial" w:eastAsia="Arial" w:hAnsi="Arial"/>
                <w:sz w:val="14"/>
                <w:szCs w:val="14"/>
                <w:color w:val="131E29"/>
              </w:rPr>
              <w:t>Net income</w:t>
            </w:r>
          </w:p>
        </w:tc>
        <w:tc>
          <w:tcPr>
            <w:tcW w:w="280" w:type="dxa"/>
            <w:vAlign w:val="bottom"/>
          </w:tcPr>
          <w:p>
            <w:pPr>
              <w:jc w:val="right"/>
              <w:ind w:right="109"/>
              <w:spacing w:after="0"/>
              <w:rPr>
                <w:sz w:val="20"/>
                <w:szCs w:val="20"/>
                <w:color w:val="auto"/>
              </w:rPr>
            </w:pPr>
            <w:r>
              <w:rPr>
                <w:rFonts w:ascii="Arial" w:cs="Arial" w:eastAsia="Arial" w:hAnsi="Arial"/>
                <w:sz w:val="14"/>
                <w:szCs w:val="14"/>
                <w:color w:val="131E29"/>
              </w:rPr>
              <w:t>$</w:t>
            </w:r>
          </w:p>
        </w:tc>
        <w:tc>
          <w:tcPr>
            <w:tcW w:w="1460" w:type="dxa"/>
            <w:vAlign w:val="bottom"/>
          </w:tcPr>
          <w:p>
            <w:pPr>
              <w:jc w:val="right"/>
              <w:spacing w:after="0"/>
              <w:rPr>
                <w:sz w:val="20"/>
                <w:szCs w:val="20"/>
                <w:color w:val="auto"/>
              </w:rPr>
            </w:pPr>
            <w:r>
              <w:rPr>
                <w:rFonts w:ascii="Arial" w:cs="Arial" w:eastAsia="Arial" w:hAnsi="Arial"/>
                <w:sz w:val="14"/>
                <w:szCs w:val="14"/>
                <w:color w:val="131E29"/>
              </w:rPr>
              <w:t>5,725</w:t>
            </w:r>
          </w:p>
        </w:tc>
        <w:tc>
          <w:tcPr>
            <w:tcW w:w="440" w:type="dxa"/>
            <w:vAlign w:val="bottom"/>
            <w:gridSpan w:val="3"/>
          </w:tcPr>
          <w:p>
            <w:pPr>
              <w:jc w:val="right"/>
              <w:ind w:right="200"/>
              <w:spacing w:after="0"/>
              <w:rPr>
                <w:sz w:val="20"/>
                <w:szCs w:val="20"/>
                <w:color w:val="auto"/>
              </w:rPr>
            </w:pPr>
            <w:r>
              <w:rPr>
                <w:rFonts w:ascii="Arial" w:cs="Arial" w:eastAsia="Arial" w:hAnsi="Arial"/>
                <w:sz w:val="14"/>
                <w:szCs w:val="14"/>
                <w:color w:val="131E29"/>
              </w:rPr>
              <w:t>$</w:t>
            </w:r>
          </w:p>
        </w:tc>
        <w:tc>
          <w:tcPr>
            <w:tcW w:w="1520" w:type="dxa"/>
            <w:vAlign w:val="bottom"/>
          </w:tcPr>
          <w:p>
            <w:pPr>
              <w:jc w:val="right"/>
              <w:spacing w:after="0"/>
              <w:rPr>
                <w:sz w:val="20"/>
                <w:szCs w:val="20"/>
                <w:color w:val="auto"/>
              </w:rPr>
            </w:pPr>
            <w:r>
              <w:rPr>
                <w:rFonts w:ascii="Arial" w:cs="Arial" w:eastAsia="Arial" w:hAnsi="Arial"/>
                <w:sz w:val="14"/>
                <w:szCs w:val="14"/>
                <w:color w:val="131E29"/>
              </w:rPr>
              <w:t>333</w:t>
            </w:r>
          </w:p>
        </w:tc>
        <w:tc>
          <w:tcPr>
            <w:tcW w:w="8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131E29"/>
              </w:rPr>
              <w:t>$</w:t>
            </w:r>
          </w:p>
        </w:tc>
        <w:tc>
          <w:tcPr>
            <w:tcW w:w="1520" w:type="dxa"/>
            <w:vAlign w:val="bottom"/>
          </w:tcPr>
          <w:p>
            <w:pPr>
              <w:jc w:val="right"/>
              <w:spacing w:after="0"/>
              <w:rPr>
                <w:sz w:val="20"/>
                <w:szCs w:val="20"/>
                <w:color w:val="auto"/>
              </w:rPr>
            </w:pPr>
            <w:r>
              <w:rPr>
                <w:rFonts w:ascii="Arial" w:cs="Arial" w:eastAsia="Arial" w:hAnsi="Arial"/>
                <w:sz w:val="14"/>
                <w:szCs w:val="14"/>
                <w:color w:val="131E29"/>
              </w:rPr>
              <w:t>6,058</w:t>
            </w:r>
          </w:p>
        </w:tc>
      </w:tr>
      <w:tr>
        <w:trPr>
          <w:trHeight w:val="22"/>
        </w:trPr>
        <w:tc>
          <w:tcPr>
            <w:tcW w:w="5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2"/>
        </w:trPr>
        <w:tc>
          <w:tcPr>
            <w:tcW w:w="57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Changes in operating assets and liabilities, net of acquisitions:</w:t>
            </w:r>
          </w:p>
        </w:tc>
        <w:tc>
          <w:tcPr>
            <w:tcW w:w="280" w:type="dxa"/>
            <w:vAlign w:val="bottom"/>
            <w:tcBorders>
              <w:bottom w:val="single" w:sz="8" w:color="D2DCE5"/>
            </w:tcBorders>
            <w:shd w:val="clear" w:color="auto" w:fill="D2DCE5"/>
          </w:tcPr>
          <w:p>
            <w:pPr>
              <w:spacing w:after="0"/>
              <w:rPr>
                <w:sz w:val="16"/>
                <w:szCs w:val="16"/>
                <w:color w:val="auto"/>
              </w:rPr>
            </w:pPr>
          </w:p>
        </w:tc>
        <w:tc>
          <w:tcPr>
            <w:tcW w:w="1460" w:type="dxa"/>
            <w:vAlign w:val="bottom"/>
            <w:tcBorders>
              <w:bottom w:val="single" w:sz="8" w:color="D2DCE5"/>
            </w:tcBorders>
            <w:shd w:val="clear" w:color="auto" w:fill="D2DCE5"/>
          </w:tcPr>
          <w:p>
            <w:pPr>
              <w:spacing w:after="0"/>
              <w:rPr>
                <w:sz w:val="16"/>
                <w:szCs w:val="16"/>
                <w:color w:val="auto"/>
              </w:rPr>
            </w:pPr>
          </w:p>
        </w:tc>
        <w:tc>
          <w:tcPr>
            <w:tcW w:w="6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spacing w:after="0"/>
              <w:rPr>
                <w:sz w:val="16"/>
                <w:szCs w:val="16"/>
                <w:color w:val="auto"/>
              </w:rPr>
            </w:pPr>
          </w:p>
        </w:tc>
        <w:tc>
          <w:tcPr>
            <w:tcW w:w="152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spacing w:after="0"/>
              <w:rPr>
                <w:sz w:val="16"/>
                <w:szCs w:val="16"/>
                <w:color w:val="auto"/>
              </w:rPr>
            </w:pPr>
          </w:p>
        </w:tc>
        <w:tc>
          <w:tcPr>
            <w:tcW w:w="1520" w:type="dxa"/>
            <w:vAlign w:val="bottom"/>
            <w:tcBorders>
              <w:bottom w:val="single" w:sz="8" w:color="D2DCE5"/>
            </w:tcBorders>
            <w:shd w:val="clear" w:color="auto" w:fill="D2DCE5"/>
          </w:tcPr>
          <w:p>
            <w:pPr>
              <w:spacing w:after="0"/>
              <w:rPr>
                <w:sz w:val="16"/>
                <w:szCs w:val="16"/>
                <w:color w:val="auto"/>
              </w:rPr>
            </w:pPr>
          </w:p>
        </w:tc>
      </w:tr>
      <w:tr>
        <w:trPr>
          <w:trHeight w:val="191"/>
        </w:trPr>
        <w:tc>
          <w:tcPr>
            <w:tcW w:w="5700" w:type="dxa"/>
            <w:vAlign w:val="bottom"/>
            <w:gridSpan w:val="2"/>
          </w:tcPr>
          <w:p>
            <w:pPr>
              <w:ind w:left="140"/>
              <w:spacing w:after="0"/>
              <w:rPr>
                <w:sz w:val="20"/>
                <w:szCs w:val="20"/>
                <w:color w:val="auto"/>
              </w:rPr>
            </w:pPr>
            <w:r>
              <w:rPr>
                <w:rFonts w:ascii="Arial" w:cs="Arial" w:eastAsia="Arial" w:hAnsi="Arial"/>
                <w:sz w:val="14"/>
                <w:szCs w:val="14"/>
                <w:color w:val="131E29"/>
              </w:rPr>
              <w:t>Accrued expenses</w:t>
            </w:r>
          </w:p>
        </w:tc>
        <w:tc>
          <w:tcPr>
            <w:tcW w:w="2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131E29"/>
              </w:rPr>
              <w:t>2,527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(333)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2,194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106" w:name="page107"/>
    <w:bookmarkEnd w:id="106"/>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Significant Accounting Policies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Principles of Consolidation</w:t>
      </w:r>
    </w:p>
    <w:p>
      <w:pPr>
        <w:spacing w:after="0" w:line="20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The consolidated financial statements include the accounts of the Company and its subsidiaries that it controls due to ownership of a majority voting interest or pursuant to accounting guidance for non-controlling interests. All intercompany transactions and balances have been eliminated in consolidation.</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Use of Estimates</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The presentation of consolidated financial statements in conformity with GAAP requires management to make estimates and assumptions, primarily related to long-lived asset valuation, leases, deferred revenue, tax receivable agreements, income taxes, and equity-based compensation that affect the reported amounts of assets and liabilities and disclosure of contingent assets and liabilities at the date of the consolidated financial statements and the reported amounts of revenues and expenses during the reporting periods. Although management bases its estimates on historical experience and assumptions that are believed to be reasonable under the circumstances, actual results could differ from those estimates.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Reclassifications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131E29"/>
        </w:rPr>
        <w:t>The Company has reclassified certain amounts in prior-period consolidated financial statements to conform to the current period's presentation.</w:t>
      </w:r>
    </w:p>
    <w:p>
      <w:pPr>
        <w:spacing w:after="0" w:line="136" w:lineRule="exact"/>
        <w:rPr>
          <w:sz w:val="20"/>
          <w:szCs w:val="20"/>
          <w:color w:val="auto"/>
        </w:rPr>
      </w:pPr>
    </w:p>
    <w:p>
      <w:pPr>
        <w:ind w:right="1760" w:firstLine="5"/>
        <w:spacing w:after="0" w:line="442" w:lineRule="auto"/>
        <w:tabs>
          <w:tab w:leader="none" w:pos="251" w:val="left"/>
        </w:tabs>
        <w:numPr>
          <w:ilvl w:val="0"/>
          <w:numId w:val="71"/>
        </w:numPr>
        <w:rPr>
          <w:rFonts w:ascii="Arial" w:cs="Arial" w:eastAsia="Arial" w:hAnsi="Arial"/>
          <w:sz w:val="14"/>
          <w:szCs w:val="14"/>
          <w:color w:val="131E29"/>
        </w:rPr>
      </w:pPr>
      <w:r>
        <w:rPr>
          <w:rFonts w:ascii="Arial" w:cs="Arial" w:eastAsia="Arial" w:hAnsi="Arial"/>
          <w:sz w:val="14"/>
          <w:szCs w:val="14"/>
          <w:color w:val="131E29"/>
        </w:rPr>
        <w:t xml:space="preserve">NOTE 5 — Inventories: components of inventory related to our Blue Rebel energy drink have been reclassified from finished goods to raw materials. </w:t>
      </w:r>
      <w:r>
        <w:rPr>
          <w:rFonts w:ascii="Arial" w:cs="Arial" w:eastAsia="Arial" w:hAnsi="Arial"/>
          <w:sz w:val="14"/>
          <w:szCs w:val="14"/>
          <w:u w:val="single" w:color="auto"/>
          <w:color w:val="006098"/>
        </w:rPr>
        <w:t>Cash and Cash Equivalents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Cash and cash equivalents include all short-term highly liquid instruments with original maturities of three months or less at the time of purchase, as well as credit card receivables for sales to customers in company-operated shops that generally settle within two to five business days. The Company’s cash accounts are maintained at various high credit quality financial institutions and may exceed federally insured limits. The Company has not experienced any losses in such accounts.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Fair Value Measurements</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The Company applies fair value accounting for all financial assets and liabilities and non-financial assets and liabilities that are recognized or disclosed at fair value in the consolidated financial statements on a recurring basis. The Company categorizes assets and liabilities, based on the priority of the inputs to the valuation technique, into a three-level fair value hierarchy as set forth below. The three levels of the hierarchy are defined as follows: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006098"/>
        </w:rPr>
        <w:t xml:space="preserve">Level 1 </w:t>
      </w:r>
      <w:r>
        <w:rPr>
          <w:rFonts w:ascii="Arial" w:cs="Arial" w:eastAsia="Arial" w:hAnsi="Arial"/>
          <w:sz w:val="14"/>
          <w:szCs w:val="14"/>
          <w:color w:val="131E29"/>
        </w:rPr>
        <w:t>– Unadjusted quoted prices in active markets for identical assets or liabilities.</w:t>
      </w:r>
    </w:p>
    <w:p>
      <w:pPr>
        <w:spacing w:after="0" w:line="136" w:lineRule="exact"/>
        <w:rPr>
          <w:sz w:val="20"/>
          <w:szCs w:val="20"/>
          <w:color w:val="auto"/>
        </w:rPr>
      </w:pPr>
    </w:p>
    <w:p>
      <w:pPr>
        <w:jc w:val="both"/>
        <w:ind w:left="260" w:hanging="254"/>
        <w:spacing w:after="0" w:line="266" w:lineRule="auto"/>
        <w:rPr>
          <w:sz w:val="20"/>
          <w:szCs w:val="20"/>
          <w:color w:val="auto"/>
        </w:rPr>
      </w:pPr>
      <w:r>
        <w:rPr>
          <w:rFonts w:ascii="Arial" w:cs="Arial" w:eastAsia="Arial" w:hAnsi="Arial"/>
          <w:sz w:val="14"/>
          <w:szCs w:val="14"/>
          <w:color w:val="006098"/>
        </w:rPr>
        <w:t xml:space="preserve">Level 2 </w:t>
      </w:r>
      <w:r>
        <w:rPr>
          <w:rFonts w:ascii="Arial" w:cs="Arial" w:eastAsia="Arial" w:hAnsi="Arial"/>
          <w:sz w:val="14"/>
          <w:szCs w:val="14"/>
          <w:color w:val="131E29"/>
        </w:rPr>
        <w:t>– Observable inputs other than quoted prices in active markets for identical assets or liabilities, quoted prices for identical assets or liabilities in inactive markets, or other</w:t>
      </w:r>
      <w:r>
        <w:rPr>
          <w:rFonts w:ascii="Arial" w:cs="Arial" w:eastAsia="Arial" w:hAnsi="Arial"/>
          <w:sz w:val="14"/>
          <w:szCs w:val="14"/>
          <w:color w:val="006098"/>
        </w:rPr>
        <w:t xml:space="preserve"> </w:t>
      </w:r>
      <w:r>
        <w:rPr>
          <w:rFonts w:ascii="Arial" w:cs="Arial" w:eastAsia="Arial" w:hAnsi="Arial"/>
          <w:sz w:val="14"/>
          <w:szCs w:val="14"/>
          <w:color w:val="131E29"/>
        </w:rPr>
        <w:t>inputs that are observable or can be corroborated by observable market data for substantially the full term of the assets or liabilities.</w:t>
      </w:r>
    </w:p>
    <w:p>
      <w:pPr>
        <w:spacing w:after="0" w:line="110" w:lineRule="exact"/>
        <w:rPr>
          <w:sz w:val="20"/>
          <w:szCs w:val="20"/>
          <w:color w:val="auto"/>
        </w:rPr>
      </w:pPr>
    </w:p>
    <w:p>
      <w:pPr>
        <w:jc w:val="both"/>
        <w:ind w:left="260" w:hanging="254"/>
        <w:spacing w:after="0" w:line="266" w:lineRule="auto"/>
        <w:rPr>
          <w:sz w:val="20"/>
          <w:szCs w:val="20"/>
          <w:color w:val="auto"/>
        </w:rPr>
      </w:pPr>
      <w:r>
        <w:rPr>
          <w:rFonts w:ascii="Arial" w:cs="Arial" w:eastAsia="Arial" w:hAnsi="Arial"/>
          <w:sz w:val="14"/>
          <w:szCs w:val="14"/>
          <w:color w:val="006098"/>
        </w:rPr>
        <w:t xml:space="preserve">Level 3 </w:t>
      </w:r>
      <w:r>
        <w:rPr>
          <w:rFonts w:ascii="Arial" w:cs="Arial" w:eastAsia="Arial" w:hAnsi="Arial"/>
          <w:sz w:val="14"/>
          <w:szCs w:val="14"/>
          <w:color w:val="131E29"/>
        </w:rPr>
        <w:t>– Inputs that are both unobservable and significant to the overall fair value measurements reflecting an entity's estimates of assumptions that market participants would use</w:t>
      </w:r>
      <w:r>
        <w:rPr>
          <w:rFonts w:ascii="Arial" w:cs="Arial" w:eastAsia="Arial" w:hAnsi="Arial"/>
          <w:sz w:val="14"/>
          <w:szCs w:val="14"/>
          <w:color w:val="006098"/>
        </w:rPr>
        <w:t xml:space="preserve"> </w:t>
      </w:r>
      <w:r>
        <w:rPr>
          <w:rFonts w:ascii="Arial" w:cs="Arial" w:eastAsia="Arial" w:hAnsi="Arial"/>
          <w:sz w:val="14"/>
          <w:szCs w:val="14"/>
          <w:color w:val="131E29"/>
        </w:rPr>
        <w:t>in pricing the asset or liability.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107" w:name="page108"/>
    <w:bookmarkEnd w:id="107"/>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The Company’s consolidated balance sheets include cash and cash equivalents, accounts receivable, prepaid expenses and other current assets, accounts payable, accrued expenses and other current liabilities, for which the carrying amounts approximate fair value due to their short-term maturity. The fair value of the Company’s variable-rate credit facilities approximate their carrying amounts as the Company’s cost of borrowing is variable and approximates current market prices, which is considered Level 2 in the fair value hierarchy.</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Derivative Instruments</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The Company manages exposure to fluctuations in interest rates within its consolidated financial statements according to a hedging policy. Under this policy, the Company may engage in interest rate swap agreements to hedge interest rate risk. A swap agreement is a contract between two parties to exchange cash flows based on specified underlying notional amounts, assets and/or indices. The Company does not enter into derivative instruments for speculative purposes.</w:t>
      </w:r>
    </w:p>
    <w:p>
      <w:pPr>
        <w:spacing w:after="0" w:line="11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By using swap instruments, the Company is exposed to potential credit risk. Credit risk is the failure of the counterparty to perform under the terms of the derivative contract. The Company minimizes this credit risk by entering into transactions with carefully selected, credit-worthy counterparties.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i w:val="1"/>
          <w:iCs w:val="1"/>
          <w:color w:val="006098"/>
        </w:rPr>
        <w:t>Cash Flow Hedges</w:t>
      </w:r>
    </w:p>
    <w:p>
      <w:pPr>
        <w:spacing w:after="0" w:line="2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Cash flow hedges related to anticipated transactions are designated and documented at the inception of each hedge. Cash flows from hedging transactions are classified in the same categories as the cash flows from the respective hedged items.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For derivative instruments that are designated and qualify as a cash flow hedge, the derivative's gain or loss is reported as a component of other comprehensive income (OCI) and recorded in accumulated other comprehensive income (AOCI) on the Company’s consolidated balance sheets. The gain or loss is subsequently reclassified into net earnings when the hedged exposure affects net earnings, in the same line item as the underlying hedged item on the Company’s consolidated statements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131E29"/>
        </w:rPr>
        <w:t>The Company discontinues hedge accounting when:</w:t>
      </w:r>
    </w:p>
    <w:p>
      <w:pPr>
        <w:spacing w:after="0" w:line="136" w:lineRule="exact"/>
        <w:rPr>
          <w:sz w:val="20"/>
          <w:szCs w:val="20"/>
          <w:color w:val="auto"/>
        </w:rPr>
      </w:pPr>
    </w:p>
    <w:p>
      <w:pPr>
        <w:ind w:left="260" w:hanging="255"/>
        <w:spacing w:after="0"/>
        <w:tabs>
          <w:tab w:leader="none" w:pos="260" w:val="left"/>
        </w:tabs>
        <w:numPr>
          <w:ilvl w:val="0"/>
          <w:numId w:val="72"/>
        </w:numPr>
        <w:rPr>
          <w:rFonts w:ascii="Arial" w:cs="Arial" w:eastAsia="Arial" w:hAnsi="Arial"/>
          <w:sz w:val="14"/>
          <w:szCs w:val="14"/>
          <w:color w:val="131E29"/>
        </w:rPr>
      </w:pPr>
      <w:r>
        <w:rPr>
          <w:rFonts w:ascii="Arial" w:cs="Arial" w:eastAsia="Arial" w:hAnsi="Arial"/>
          <w:sz w:val="14"/>
          <w:szCs w:val="14"/>
          <w:color w:val="131E29"/>
        </w:rPr>
        <w:t>it determines that the cash flow derivative is no longer effective in offsetting changes in the cash flows of a hedged item;</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72"/>
        </w:numPr>
        <w:rPr>
          <w:rFonts w:ascii="Arial" w:cs="Arial" w:eastAsia="Arial" w:hAnsi="Arial"/>
          <w:sz w:val="14"/>
          <w:szCs w:val="14"/>
          <w:color w:val="131E29"/>
        </w:rPr>
      </w:pPr>
      <w:r>
        <w:rPr>
          <w:rFonts w:ascii="Arial" w:cs="Arial" w:eastAsia="Arial" w:hAnsi="Arial"/>
          <w:sz w:val="14"/>
          <w:szCs w:val="14"/>
          <w:color w:val="131E29"/>
        </w:rPr>
        <w:t>the derivative expires or is sold, terminated or exercised;</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72"/>
        </w:numPr>
        <w:rPr>
          <w:rFonts w:ascii="Arial" w:cs="Arial" w:eastAsia="Arial" w:hAnsi="Arial"/>
          <w:sz w:val="14"/>
          <w:szCs w:val="14"/>
          <w:color w:val="131E29"/>
        </w:rPr>
      </w:pPr>
      <w:r>
        <w:rPr>
          <w:rFonts w:ascii="Arial" w:cs="Arial" w:eastAsia="Arial" w:hAnsi="Arial"/>
          <w:sz w:val="14"/>
          <w:szCs w:val="14"/>
          <w:color w:val="131E29"/>
        </w:rPr>
        <w:t>it is no longer probable that the forecasted transaction will occur; or</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72"/>
        </w:numPr>
        <w:rPr>
          <w:rFonts w:ascii="Arial" w:cs="Arial" w:eastAsia="Arial" w:hAnsi="Arial"/>
          <w:sz w:val="14"/>
          <w:szCs w:val="14"/>
          <w:color w:val="131E29"/>
        </w:rPr>
      </w:pPr>
      <w:r>
        <w:rPr>
          <w:rFonts w:ascii="Arial" w:cs="Arial" w:eastAsia="Arial" w:hAnsi="Arial"/>
          <w:sz w:val="14"/>
          <w:szCs w:val="14"/>
          <w:color w:val="131E29"/>
        </w:rPr>
        <w:t>management determines that designation of the derivatives as a hedge instrument is no longer appropriate.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131E29"/>
        </w:rPr>
        <w:t>Refer to NOTE 11 — Derivative Financial Instruments for further discussion of the Company’s derivative instruments.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Accounts Receivable</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Accounts receivable, net of allowance for doubtful accounts, consist primarily of royalty revenues, outstanding balances for sales of roasted coffee beans, other retail-related supplies to franchisees, and vendor rebates. The allowance for doubtful accounts is estimated based on the Company’s historical losses, review of specific accounts, existing economic conditions in the industry, and the financial stability of its customers. Accounts receivable are charged off against the allowance for doubtful accounts when they are determined by management to be uncollectible. The Company had no allowance for doubtful accounts at December 31, 2022 and 2021.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108" w:name="page109"/>
    <w:bookmarkEnd w:id="108"/>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Inventories</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Inventories, net consist primarily of roasted and unroasted coffee beans, Blue Rebel, accessories, and other retail related supplies. Inventories are stated at the lower of cost or net realizable value, with cost being determined by the standard cost method which approximates actual cost on a first-in, first-out basis. The Company records product returns as they are received, and obsolete and slow-moving inventory when identified, as these types of transactions have generally been immaterial to the Company’s historical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Property and Equipment</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Property and equipment, net are stated at historical cost less accumulated depreciation. Expenditures for maintenance, repairs, and routine replacements are charged to expense as incurred. Expenditures for major repairs and improvements that extend the useful lives of property and equipment are capitalized. When property or equipment is sold or otherwise disposed of, the asset and related accumulated depreciation are removed from the balance sheet and any gain or loss is included in income (loss) from operations in the accompany consolidated statements of operations. Depreciation is computed on a straight-line basis over the following useful lives: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years, except for aircraft)</w:t>
            </w:r>
          </w:p>
        </w:tc>
        <w:tc>
          <w:tcPr>
            <w:tcW w:w="80" w:type="dxa"/>
            <w:vAlign w:val="bottom"/>
            <w:tcBorders>
              <w:bottom w:val="single" w:sz="8" w:color="D2DCE5"/>
            </w:tcBorders>
          </w:tcPr>
          <w:p>
            <w:pPr>
              <w:spacing w:after="0"/>
              <w:rPr>
                <w:sz w:val="17"/>
                <w:szCs w:val="17"/>
                <w:color w:val="auto"/>
              </w:rPr>
            </w:pPr>
          </w:p>
        </w:tc>
        <w:tc>
          <w:tcPr>
            <w:tcW w:w="2580" w:type="dxa"/>
            <w:vAlign w:val="bottom"/>
            <w:tcBorders>
              <w:bottom w:val="single" w:sz="8" w:color="auto"/>
            </w:tcBorders>
            <w:gridSpan w:val="2"/>
          </w:tcPr>
          <w:p>
            <w:pPr>
              <w:jc w:val="right"/>
              <w:ind w:right="1049"/>
              <w:spacing w:after="0"/>
              <w:rPr>
                <w:sz w:val="20"/>
                <w:szCs w:val="20"/>
                <w:color w:val="auto"/>
              </w:rPr>
            </w:pPr>
            <w:r>
              <w:rPr>
                <w:rFonts w:ascii="Arial" w:cs="Arial" w:eastAsia="Arial" w:hAnsi="Arial"/>
                <w:sz w:val="14"/>
                <w:szCs w:val="14"/>
                <w:b w:val="1"/>
                <w:bCs w:val="1"/>
                <w:color w:val="131E29"/>
              </w:rPr>
              <w:t>Estimated Useful Life</w:t>
            </w:r>
          </w:p>
        </w:tc>
      </w:tr>
      <w:tr>
        <w:trPr>
          <w:trHeight w:val="192"/>
        </w:trPr>
        <w:tc>
          <w:tcPr>
            <w:tcW w:w="87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Software</w:t>
            </w:r>
          </w:p>
        </w:tc>
        <w:tc>
          <w:tcPr>
            <w:tcW w:w="1240" w:type="dxa"/>
            <w:vAlign w:val="bottom"/>
            <w:tcBorders>
              <w:bottom w:val="single" w:sz="8" w:color="D2DCE5"/>
            </w:tcBorders>
            <w:shd w:val="clear" w:color="auto" w:fill="D2DCE5"/>
          </w:tcPr>
          <w:p>
            <w:pPr>
              <w:spacing w:after="0"/>
              <w:rPr>
                <w:sz w:val="16"/>
                <w:szCs w:val="16"/>
                <w:color w:val="auto"/>
              </w:rPr>
            </w:pPr>
          </w:p>
        </w:tc>
        <w:tc>
          <w:tcPr>
            <w:tcW w:w="1340" w:type="dxa"/>
            <w:vAlign w:val="bottom"/>
            <w:tcBorders>
              <w:bottom w:val="single" w:sz="8" w:color="D2DCE5"/>
            </w:tcBorders>
            <w:shd w:val="clear" w:color="auto" w:fill="D2DCE5"/>
          </w:tcPr>
          <w:p>
            <w:pPr>
              <w:jc w:val="right"/>
              <w:ind w:right="1169"/>
              <w:spacing w:after="0"/>
              <w:rPr>
                <w:sz w:val="20"/>
                <w:szCs w:val="20"/>
                <w:color w:val="auto"/>
              </w:rPr>
            </w:pPr>
            <w:r>
              <w:rPr>
                <w:rFonts w:ascii="Arial" w:cs="Arial" w:eastAsia="Arial" w:hAnsi="Arial"/>
                <w:sz w:val="14"/>
                <w:szCs w:val="14"/>
                <w:color w:val="131E29"/>
              </w:rPr>
              <w:t>3</w:t>
            </w:r>
          </w:p>
        </w:tc>
      </w:tr>
      <w:tr>
        <w:trPr>
          <w:trHeight w:val="191"/>
        </w:trPr>
        <w:tc>
          <w:tcPr>
            <w:tcW w:w="8700" w:type="dxa"/>
            <w:vAlign w:val="bottom"/>
            <w:gridSpan w:val="2"/>
          </w:tcPr>
          <w:p>
            <w:pPr>
              <w:ind w:left="20"/>
              <w:spacing w:after="0"/>
              <w:rPr>
                <w:sz w:val="20"/>
                <w:szCs w:val="20"/>
                <w:color w:val="auto"/>
              </w:rPr>
            </w:pPr>
            <w:r>
              <w:rPr>
                <w:rFonts w:ascii="Arial" w:cs="Arial" w:eastAsia="Arial" w:hAnsi="Arial"/>
                <w:sz w:val="14"/>
                <w:szCs w:val="14"/>
                <w:color w:val="131E29"/>
              </w:rPr>
              <w:t>Equipment and fixtures</w:t>
            </w:r>
          </w:p>
        </w:tc>
        <w:tc>
          <w:tcPr>
            <w:tcW w:w="1240" w:type="dxa"/>
            <w:vAlign w:val="bottom"/>
          </w:tcPr>
          <w:p>
            <w:pPr>
              <w:jc w:val="right"/>
              <w:spacing w:after="0"/>
              <w:rPr>
                <w:sz w:val="20"/>
                <w:szCs w:val="20"/>
                <w:color w:val="auto"/>
              </w:rPr>
            </w:pPr>
            <w:r>
              <w:rPr>
                <w:rFonts w:ascii="Arial" w:cs="Arial" w:eastAsia="Arial" w:hAnsi="Arial"/>
                <w:sz w:val="14"/>
                <w:szCs w:val="14"/>
                <w:color w:val="131E29"/>
              </w:rPr>
              <w:t>3</w:t>
            </w:r>
          </w:p>
        </w:tc>
        <w:tc>
          <w:tcPr>
            <w:tcW w:w="1340" w:type="dxa"/>
            <w:vAlign w:val="bottom"/>
          </w:tcPr>
          <w:p>
            <w:pPr>
              <w:jc w:val="right"/>
              <w:ind w:right="1069"/>
              <w:spacing w:after="0"/>
              <w:rPr>
                <w:sz w:val="20"/>
                <w:szCs w:val="20"/>
                <w:color w:val="auto"/>
              </w:rPr>
            </w:pPr>
            <w:r>
              <w:rPr>
                <w:rFonts w:ascii="Arial" w:cs="Arial" w:eastAsia="Arial" w:hAnsi="Arial"/>
                <w:sz w:val="14"/>
                <w:szCs w:val="14"/>
                <w:color w:val="131E29"/>
              </w:rPr>
              <w:t>- 7</w:t>
            </w:r>
          </w:p>
        </w:tc>
      </w:tr>
      <w:tr>
        <w:trPr>
          <w:trHeight w:val="22"/>
        </w:trPr>
        <w:tc>
          <w:tcPr>
            <w:tcW w:w="8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r>
      <w:tr>
        <w:trPr>
          <w:trHeight w:val="212"/>
        </w:trPr>
        <w:tc>
          <w:tcPr>
            <w:tcW w:w="87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Leasehold improvements</w:t>
            </w:r>
          </w:p>
        </w:tc>
        <w:tc>
          <w:tcPr>
            <w:tcW w:w="2580" w:type="dxa"/>
            <w:vAlign w:val="bottom"/>
            <w:gridSpan w:val="2"/>
            <w:shd w:val="clear" w:color="auto" w:fill="D2DCE5"/>
          </w:tcPr>
          <w:p>
            <w:pPr>
              <w:jc w:val="right"/>
              <w:ind w:right="989"/>
              <w:spacing w:after="0"/>
              <w:rPr>
                <w:sz w:val="20"/>
                <w:szCs w:val="20"/>
                <w:color w:val="auto"/>
              </w:rPr>
            </w:pPr>
            <w:r>
              <w:rPr>
                <w:rFonts w:ascii="Arial" w:cs="Arial" w:eastAsia="Arial" w:hAnsi="Arial"/>
                <w:sz w:val="14"/>
                <w:szCs w:val="14"/>
                <w:color w:val="131E29"/>
              </w:rPr>
              <w:t xml:space="preserve">5 - 15 </w:t>
            </w:r>
            <w:r>
              <w:rPr>
                <w:rFonts w:ascii="Arial" w:cs="Arial" w:eastAsia="Arial" w:hAnsi="Arial"/>
                <w:sz w:val="18"/>
                <w:szCs w:val="18"/>
                <w:color w:val="131E29"/>
                <w:vertAlign w:val="superscript"/>
              </w:rPr>
              <w:t>1</w:t>
            </w:r>
          </w:p>
        </w:tc>
      </w:tr>
      <w:tr>
        <w:trPr>
          <w:trHeight w:val="191"/>
        </w:trPr>
        <w:tc>
          <w:tcPr>
            <w:tcW w:w="8700" w:type="dxa"/>
            <w:vAlign w:val="bottom"/>
            <w:gridSpan w:val="2"/>
          </w:tcPr>
          <w:p>
            <w:pPr>
              <w:ind w:left="20"/>
              <w:spacing w:after="0"/>
              <w:rPr>
                <w:sz w:val="20"/>
                <w:szCs w:val="20"/>
                <w:color w:val="auto"/>
              </w:rPr>
            </w:pPr>
            <w:r>
              <w:rPr>
                <w:rFonts w:ascii="Arial" w:cs="Arial" w:eastAsia="Arial" w:hAnsi="Arial"/>
                <w:sz w:val="14"/>
                <w:szCs w:val="14"/>
                <w:color w:val="131E29"/>
              </w:rPr>
              <w:t>Buildings</w:t>
            </w:r>
          </w:p>
        </w:tc>
        <w:tc>
          <w:tcPr>
            <w:tcW w:w="1240" w:type="dxa"/>
            <w:vAlign w:val="bottom"/>
          </w:tcPr>
          <w:p>
            <w:pPr>
              <w:jc w:val="right"/>
              <w:spacing w:after="0"/>
              <w:rPr>
                <w:sz w:val="20"/>
                <w:szCs w:val="20"/>
                <w:color w:val="auto"/>
              </w:rPr>
            </w:pPr>
            <w:r>
              <w:rPr>
                <w:rFonts w:ascii="Arial" w:cs="Arial" w:eastAsia="Arial" w:hAnsi="Arial"/>
                <w:sz w:val="14"/>
                <w:szCs w:val="14"/>
                <w:color w:val="131E29"/>
              </w:rPr>
              <w:t>10</w:t>
            </w:r>
          </w:p>
        </w:tc>
        <w:tc>
          <w:tcPr>
            <w:tcW w:w="1340" w:type="dxa"/>
            <w:vAlign w:val="bottom"/>
          </w:tcPr>
          <w:p>
            <w:pPr>
              <w:jc w:val="right"/>
              <w:ind w:right="989"/>
              <w:spacing w:after="0"/>
              <w:rPr>
                <w:sz w:val="20"/>
                <w:szCs w:val="20"/>
                <w:color w:val="auto"/>
              </w:rPr>
            </w:pPr>
            <w:r>
              <w:rPr>
                <w:rFonts w:ascii="Arial" w:cs="Arial" w:eastAsia="Arial" w:hAnsi="Arial"/>
                <w:sz w:val="14"/>
                <w:szCs w:val="14"/>
                <w:color w:val="131E29"/>
              </w:rPr>
              <w:t>- 20</w:t>
            </w:r>
          </w:p>
        </w:tc>
      </w:tr>
      <w:tr>
        <w:trPr>
          <w:trHeight w:val="265"/>
        </w:trPr>
        <w:tc>
          <w:tcPr>
            <w:tcW w:w="8620" w:type="dxa"/>
            <w:vAlign w:val="bottom"/>
          </w:tcPr>
          <w:p>
            <w:pPr>
              <w:spacing w:after="0"/>
              <w:rPr>
                <w:sz w:val="20"/>
                <w:szCs w:val="20"/>
                <w:color w:val="auto"/>
              </w:rPr>
            </w:pPr>
            <w:r>
              <w:rPr>
                <w:rFonts w:ascii="Arial" w:cs="Arial" w:eastAsia="Arial" w:hAnsi="Arial"/>
                <w:sz w:val="14"/>
                <w:szCs w:val="14"/>
                <w:color w:val="131E29"/>
              </w:rPr>
              <w:t>_________________</w:t>
            </w:r>
          </w:p>
        </w:tc>
        <w:tc>
          <w:tcPr>
            <w:tcW w:w="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340" w:type="dxa"/>
            <w:vAlign w:val="bottom"/>
          </w:tcPr>
          <w:p>
            <w:pPr>
              <w:spacing w:after="0"/>
              <w:rPr>
                <w:sz w:val="23"/>
                <w:szCs w:val="23"/>
                <w:color w:val="auto"/>
              </w:rPr>
            </w:pPr>
          </w:p>
        </w:tc>
      </w:tr>
    </w:tbl>
    <w:p>
      <w:pPr>
        <w:spacing w:after="0" w:line="53" w:lineRule="exact"/>
        <w:rPr>
          <w:sz w:val="20"/>
          <w:szCs w:val="20"/>
          <w:color w:val="auto"/>
        </w:rPr>
      </w:pPr>
    </w:p>
    <w:p>
      <w:pPr>
        <w:ind w:left="180" w:hanging="175"/>
        <w:spacing w:after="0"/>
        <w:tabs>
          <w:tab w:leader="none" w:pos="180" w:val="left"/>
        </w:tabs>
        <w:numPr>
          <w:ilvl w:val="0"/>
          <w:numId w:val="73"/>
        </w:numPr>
        <w:rPr>
          <w:rFonts w:ascii="Arial" w:cs="Arial" w:eastAsia="Arial" w:hAnsi="Arial"/>
          <w:sz w:val="15"/>
          <w:szCs w:val="15"/>
          <w:color w:val="131E29"/>
          <w:vertAlign w:val="superscript"/>
        </w:rPr>
      </w:pPr>
      <w:r>
        <w:rPr>
          <w:rFonts w:ascii="Arial" w:cs="Arial" w:eastAsia="Arial" w:hAnsi="Arial"/>
          <w:sz w:val="11"/>
          <w:szCs w:val="11"/>
          <w:color w:val="131E29"/>
        </w:rPr>
        <w:t>Lesser of lease term or useful life</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The Company capitalizes costs associated with the acquisition or development of major software for internal use and amortizes the assets over the expected life of the software, generally 3 years. The Company only capitalizes subsequent additions, modifications, or upgrades to internal-use software to the extent that such changes allow the software to perform a task it previously did not perform. The Company expenses software maintenance and training costs as incurred.</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Leases</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131E29"/>
        </w:rPr>
        <w:t xml:space="preserve">The Company adopted ASC Topic 842 (ASC 842), </w:t>
      </w:r>
      <w:r>
        <w:rPr>
          <w:rFonts w:ascii="Arial" w:cs="Arial" w:eastAsia="Arial" w:hAnsi="Arial"/>
          <w:sz w:val="14"/>
          <w:szCs w:val="14"/>
          <w:i w:val="1"/>
          <w:iCs w:val="1"/>
          <w:color w:val="131E29"/>
        </w:rPr>
        <w:t>Leases</w:t>
      </w:r>
      <w:r>
        <w:rPr>
          <w:rFonts w:ascii="Arial" w:cs="Arial" w:eastAsia="Arial" w:hAnsi="Arial"/>
          <w:sz w:val="14"/>
          <w:szCs w:val="14"/>
          <w:color w:val="131E29"/>
        </w:rPr>
        <w:t>, as amended, with an effective date of January 1, 2022. Details of the adoption and the Company’s accounting policies related to leases are provided in NOTE 8 — Leases to the consolidated financial statements.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i w:val="1"/>
          <w:iCs w:val="1"/>
          <w:color w:val="006098"/>
        </w:rPr>
        <w:t>Sale and Leaseback Transactions</w:t>
      </w:r>
    </w:p>
    <w:p>
      <w:pPr>
        <w:spacing w:after="0" w:line="2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The Company has sale and leaseback transactions that do not qualify for sale-leaseback accounting because of deemed continuing involvement by the Company, which results in the transaction being recorded under the financing method. For additional information, see NOTE 8 — Leases and NOTE 9 — Debt to the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Business Combinations</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The Company accounts for the acquisition of reacquired franchises from franchisees using the acquisition method of accounting for business combinations. The Company allocates the purchase price paid for assets acquired and liabilities assumed in connection with an acquisition based on the Company’s estimated fair value at the time of acquisition. This allocation involves a number of assumptions, estimates, and judgments in determining the fair value of the following:</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109" w:name="page110"/>
    <w:bookmarkEnd w:id="109"/>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60" w:hanging="255"/>
        <w:spacing w:after="0" w:line="266" w:lineRule="auto"/>
        <w:tabs>
          <w:tab w:leader="none" w:pos="256" w:val="left"/>
        </w:tabs>
        <w:numPr>
          <w:ilvl w:val="0"/>
          <w:numId w:val="74"/>
        </w:numPr>
        <w:rPr>
          <w:rFonts w:ascii="Arial" w:cs="Arial" w:eastAsia="Arial" w:hAnsi="Arial"/>
          <w:sz w:val="14"/>
          <w:szCs w:val="14"/>
          <w:color w:val="131E29"/>
        </w:rPr>
      </w:pPr>
      <w:r>
        <w:rPr>
          <w:rFonts w:ascii="Arial" w:cs="Arial" w:eastAsia="Arial" w:hAnsi="Arial"/>
          <w:sz w:val="14"/>
          <w:szCs w:val="14"/>
          <w:color w:val="131E29"/>
        </w:rPr>
        <w:t>Intangible assets, including the valuation methodology, estimations of future cash flows, discount rates, market segment growth rates, assumed market share, as well as estimated useful life of intangible assets;</w:t>
      </w:r>
    </w:p>
    <w:p>
      <w:pPr>
        <w:spacing w:after="0" w:line="109" w:lineRule="exact"/>
        <w:rPr>
          <w:rFonts w:ascii="Arial" w:cs="Arial" w:eastAsia="Arial" w:hAnsi="Arial"/>
          <w:sz w:val="14"/>
          <w:szCs w:val="14"/>
          <w:color w:val="131E29"/>
        </w:rPr>
      </w:pPr>
    </w:p>
    <w:p>
      <w:pPr>
        <w:ind w:left="260" w:hanging="255"/>
        <w:spacing w:after="0"/>
        <w:tabs>
          <w:tab w:leader="none" w:pos="260" w:val="left"/>
        </w:tabs>
        <w:numPr>
          <w:ilvl w:val="0"/>
          <w:numId w:val="74"/>
        </w:numPr>
        <w:rPr>
          <w:rFonts w:ascii="Arial" w:cs="Arial" w:eastAsia="Arial" w:hAnsi="Arial"/>
          <w:sz w:val="14"/>
          <w:szCs w:val="14"/>
          <w:color w:val="131E29"/>
        </w:rPr>
      </w:pPr>
      <w:r>
        <w:rPr>
          <w:rFonts w:ascii="Arial" w:cs="Arial" w:eastAsia="Arial" w:hAnsi="Arial"/>
          <w:sz w:val="14"/>
          <w:szCs w:val="14"/>
          <w:color w:val="131E29"/>
        </w:rPr>
        <w:t>Deferred tax assets and liabilities, uncertain tax positions, and tax-related valuation allowances, which are initially estimated as of the acquisition date;</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74"/>
        </w:numPr>
        <w:rPr>
          <w:rFonts w:ascii="Arial" w:cs="Arial" w:eastAsia="Arial" w:hAnsi="Arial"/>
          <w:sz w:val="14"/>
          <w:szCs w:val="14"/>
          <w:color w:val="131E29"/>
        </w:rPr>
      </w:pPr>
      <w:r>
        <w:rPr>
          <w:rFonts w:ascii="Arial" w:cs="Arial" w:eastAsia="Arial" w:hAnsi="Arial"/>
          <w:sz w:val="14"/>
          <w:szCs w:val="14"/>
          <w:color w:val="131E29"/>
        </w:rPr>
        <w:t>Inventory; property and equipment; pre-existing liabilities or legal claims; deferred revenue; and contingent consideration, each as may be applicable; and</w:t>
      </w:r>
    </w:p>
    <w:p>
      <w:pPr>
        <w:spacing w:after="0" w:line="136" w:lineRule="exact"/>
        <w:rPr>
          <w:rFonts w:ascii="Arial" w:cs="Arial" w:eastAsia="Arial" w:hAnsi="Arial"/>
          <w:sz w:val="14"/>
          <w:szCs w:val="14"/>
          <w:color w:val="131E29"/>
        </w:rPr>
      </w:pPr>
    </w:p>
    <w:p>
      <w:pPr>
        <w:ind w:left="260" w:hanging="255"/>
        <w:spacing w:after="0" w:line="266" w:lineRule="auto"/>
        <w:tabs>
          <w:tab w:leader="none" w:pos="256" w:val="left"/>
        </w:tabs>
        <w:numPr>
          <w:ilvl w:val="0"/>
          <w:numId w:val="74"/>
        </w:numPr>
        <w:rPr>
          <w:rFonts w:ascii="Arial" w:cs="Arial" w:eastAsia="Arial" w:hAnsi="Arial"/>
          <w:sz w:val="14"/>
          <w:szCs w:val="14"/>
          <w:color w:val="131E29"/>
        </w:rPr>
      </w:pPr>
      <w:r>
        <w:rPr>
          <w:rFonts w:ascii="Arial" w:cs="Arial" w:eastAsia="Arial" w:hAnsi="Arial"/>
          <w:sz w:val="14"/>
          <w:szCs w:val="14"/>
          <w:color w:val="131E29"/>
        </w:rPr>
        <w:t>Goodwill as measured as the excess of consideration transferred over the net of the acquisition date fair values of the assets acquired and the liabilities assumed. All goodwill is allocated to the company-operated shops reportable segment.</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Goodwill</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The Company reviews the recoverability of goodwill on a reporting unit basis at least annually, as of the end of the Company’s third fiscal quarter, and whenever events or changes in circumstances indicate that the carrying amount may not be recoverable. The annual impairment test includes an option to perform a qualitative assessment of whether it is more likely than not that a reporting unit’s fair value is less than its carrying value; the qualitative test may be performed prior to, or as an alternative to, performing a quantitative goodwill impairment test. If, after assessing the totality of events or circumstances, the Company determines that it is more likely than not that the fair value of a reporting unit is less than its carrying value, then the Company is required to perform the quantitative goodwill impairment test. Otherwise, no further analysis is required. The Company performed annual qualitative impairment assessments for the years ended December 31, 2022, 2021, and 2020, and no impairment charges were recognized.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Impairment of Long-Lived Assets</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Long-lived assets are reviewed for impairment whenever events or changes in circumstances indicate that the carrying amount of an asset or asset group may not be recoverable. The Company’s assessment of recoverability of property and equipment and finite-lived intangible assets is performed at the component level, which is generally an individual shop, and requires judgment and an estimate of future undiscounted shop-generated cash flows. Estimates of fair values are based on the best information available and require the use of estimates, judgments, and projections. The Company tests for recoverability by comparing the carrying value of the asset (asset group) to the undiscounted cash flows. If the carrying value is not recoverable, the Company would recognize an impairment loss if the carrying value of the asset (asset group) exceeds the fair value. The Company performed an annual qualitative assessment, which indicates no changes in circumstances or triggering events for impairment.</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Revenue Recognition</w:t>
      </w:r>
    </w:p>
    <w:p>
      <w:pPr>
        <w:spacing w:after="0" w:line="136"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 xml:space="preserve">Consolidated revenues are recognized net of any discounts, returns, allowances and sales incentives in accordance with Accounting Standard Codification (ASC) Topic 606, </w:t>
      </w:r>
      <w:r>
        <w:rPr>
          <w:rFonts w:ascii="Arial" w:cs="Arial" w:eastAsia="Arial" w:hAnsi="Arial"/>
          <w:sz w:val="14"/>
          <w:szCs w:val="14"/>
          <w:i w:val="1"/>
          <w:iCs w:val="1"/>
          <w:color w:val="131E29"/>
        </w:rPr>
        <w:t>Revenue from Contracts with Customers</w:t>
      </w:r>
      <w:r>
        <w:rPr>
          <w:rFonts w:ascii="Arial" w:cs="Arial" w:eastAsia="Arial" w:hAnsi="Arial"/>
          <w:sz w:val="14"/>
          <w:szCs w:val="14"/>
          <w:color w:val="131E29"/>
        </w:rPr>
        <w:t>.</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i w:val="1"/>
          <w:iCs w:val="1"/>
          <w:color w:val="006098"/>
        </w:rPr>
        <w:t>Company-operated Shops Revenue</w:t>
      </w:r>
    </w:p>
    <w:p>
      <w:pPr>
        <w:spacing w:after="0" w:line="2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Retail sales from company-operated shops and through online channels are recognized at the point in time when the products are sold to the customers. The Company reports revenues net of sales taxes collected from customers and remitted to government taxing authorities.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i w:val="1"/>
          <w:iCs w:val="1"/>
          <w:color w:val="006098"/>
        </w:rPr>
        <w:t>Dutch Rewards Loyalty Program</w:t>
      </w:r>
    </w:p>
    <w:p>
      <w:pPr>
        <w:spacing w:after="0" w:line="2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In February 2021, the Company transitioned from a stamp-based card loyalty program to a digital loyalty program (Dutch Rewards). Accessible through a mobile app, Dutch Rewards provides the following key opportunities for customers: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110" w:name="page111"/>
    <w:bookmarkEnd w:id="110"/>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60" w:hanging="255"/>
        <w:spacing w:after="0"/>
        <w:tabs>
          <w:tab w:leader="none" w:pos="260" w:val="left"/>
        </w:tabs>
        <w:numPr>
          <w:ilvl w:val="0"/>
          <w:numId w:val="75"/>
        </w:numPr>
        <w:rPr>
          <w:rFonts w:ascii="Arial" w:cs="Arial" w:eastAsia="Arial" w:hAnsi="Arial"/>
          <w:sz w:val="14"/>
          <w:szCs w:val="14"/>
          <w:color w:val="131E29"/>
        </w:rPr>
      </w:pPr>
      <w:r>
        <w:rPr>
          <w:rFonts w:ascii="Arial" w:cs="Arial" w:eastAsia="Arial" w:hAnsi="Arial"/>
          <w:sz w:val="14"/>
          <w:szCs w:val="14"/>
          <w:color w:val="131E29"/>
        </w:rPr>
        <w:t>Collect points based on purchases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75"/>
        </w:numPr>
        <w:rPr>
          <w:rFonts w:ascii="Arial" w:cs="Arial" w:eastAsia="Arial" w:hAnsi="Arial"/>
          <w:sz w:val="14"/>
          <w:szCs w:val="14"/>
          <w:color w:val="131E29"/>
        </w:rPr>
      </w:pPr>
      <w:r>
        <w:rPr>
          <w:rFonts w:ascii="Arial" w:cs="Arial" w:eastAsia="Arial" w:hAnsi="Arial"/>
          <w:sz w:val="14"/>
          <w:szCs w:val="14"/>
          <w:color w:val="131E29"/>
        </w:rPr>
        <w:t>Convert points to rewards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75"/>
        </w:numPr>
        <w:rPr>
          <w:rFonts w:ascii="Arial" w:cs="Arial" w:eastAsia="Arial" w:hAnsi="Arial"/>
          <w:sz w:val="14"/>
          <w:szCs w:val="14"/>
          <w:color w:val="131E29"/>
        </w:rPr>
      </w:pPr>
      <w:r>
        <w:rPr>
          <w:rFonts w:ascii="Arial" w:cs="Arial" w:eastAsia="Arial" w:hAnsi="Arial"/>
          <w:sz w:val="14"/>
          <w:szCs w:val="14"/>
          <w:color w:val="131E29"/>
        </w:rPr>
        <w:t>Rewards can be redeemed for free drinks</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75"/>
        </w:numPr>
        <w:rPr>
          <w:rFonts w:ascii="Arial" w:cs="Arial" w:eastAsia="Arial" w:hAnsi="Arial"/>
          <w:sz w:val="14"/>
          <w:szCs w:val="14"/>
          <w:color w:val="131E29"/>
        </w:rPr>
      </w:pPr>
      <w:r>
        <w:rPr>
          <w:rFonts w:ascii="Arial" w:cs="Arial" w:eastAsia="Arial" w:hAnsi="Arial"/>
          <w:sz w:val="14"/>
          <w:szCs w:val="14"/>
          <w:color w:val="131E29"/>
        </w:rPr>
        <w:t>Receive birthday awards</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Points collected prior to January 1, 2022, if not redeemed for rewards, expired on December 31, 2022. Points collected on or after January 1, 2022, if not redeemed for rewards within 180 days, will automatically expire and be removed from the customers’ accounts. Rewards are earned by redeeming points. Rewards that are not used within six months of issuance will automatically expire and be removed from the customer’s accounts. Separately, birthday awards automatically expire and are removed from the customers’ accounts after eight to 30 days, depending on the specific award.</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The Company defers revenue based on the estimated value of beverages for which the reward is expected to be redeemed, net of estimated unredeemed points, rewards, and awards.</w:t>
      </w:r>
    </w:p>
    <w:p>
      <w:pPr>
        <w:spacing w:after="0" w:line="11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The Company will evaluate Dutch Rewards points breakage on a quarterly basis. The Company completed its initial breakage assessment as of December 31, 2022, which resulted in revenue recognized of $7.4 million, including $4.9 million for points collected prior to January 1, 2022 that expired on December 31, 2022.</w:t>
      </w:r>
    </w:p>
    <w:p>
      <w:pPr>
        <w:spacing w:after="0" w:line="11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Birthday awards have been a key part of the program since its inception. Although no breakage accounting entries were booked for birthday awards until December 31, 2022, based on the short duration of the birthday awards, any estimated breakage prior to December 31, 2022 would have been immaterial.</w:t>
      </w:r>
    </w:p>
    <w:p>
      <w:pPr>
        <w:spacing w:after="0" w:line="11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Customers typically use rewards converted from points very promptly. Although no breakage accounting entries were recognized until December 31, 2022 for rewards converted from points, based on the short duration of the rewards converted from points, any estimated breakage prior to December 31, 2022 would have been immaterial.</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i w:val="1"/>
          <w:iCs w:val="1"/>
          <w:color w:val="006098"/>
        </w:rPr>
        <w:t>Gift Card Program</w:t>
      </w:r>
    </w:p>
    <w:p>
      <w:pPr>
        <w:spacing w:after="0" w:line="2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The Company also operates a gift card program and maintains a contract liability for gift cards sold, recognizing revenue from gift cards when a gift card is redeemed. Gift cards do not have an expiration date or a service fee causing a decrement to the customer balance. Based on historical redemptions rates, which are determined by historical redemption patterns, a portion of gift cards is not expected to be redeemed and will be recognized as breakage over time in proportion to gift card redemptions. The Company’s breakage income is not material.</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i w:val="1"/>
          <w:iCs w:val="1"/>
          <w:color w:val="006098"/>
        </w:rPr>
        <w:t>Franchising Revenue</w:t>
      </w:r>
    </w:p>
    <w:p>
      <w:pPr>
        <w:spacing w:after="0" w:line="2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Franchise royalties are computed as a percentage of net franchise sales in most cases, and as a flat monthly fee in other cases. The royalty fee is charged for continuing support of franchisees for training, marketing, and operations services provided by the Company. These services are highly interrelated and so are not individually distinct performance obligations. As a result, these are accounted as a single performance obligation. Revenue from franchise royalties is recognized on a monthly basis.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The Company receives marketing fees from franchisees which are used to promote the Dutch Bros brand. Contributions are based on a percentage of monthly shop sales. Marketing fees are billed monthly. Marketing fees are recognized as revenue and included in franchising and other revenues, while expenditures are included in selling, general and administrative expenses, in the consolidated statements of operations. Expenditures of the funds collected as marketing fees include payments to third parties, personnel expenses, and allocated costs. At each reporting date, to the extent receipts exceed related marketing expenditures on a cumulative basis, the excess fees collected are recorded in accrued expenses in the consolidated balance sheets. As of December 31, 2022 and 2021, there were no excess marketing fees recorded in accrued liabilities as cumulative expenditures exceeded contributions.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111" w:name="page112"/>
    <w:bookmarkEnd w:id="111"/>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Revenue from initial franchise fees (franchise fees) are recognized ratably over the term of the franchise agreement, which is generally ten years. Consideration received in advance of performing all significant services is included in initial franchise deposits and recorded as a contract liability. Deferred franchise fees for shops expected to open within a year and one year of amortization of the initial franchise fees are recorded as a contract liability and classified as a current liability.</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131E29"/>
        </w:rPr>
        <w:t>Other franchising revenue, including coffee bean sales, Dutch Bros. Blue Rebel beverage sales, accessories and other sales, are recognized on the date of delivery, net of returns.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i w:val="1"/>
          <w:iCs w:val="1"/>
          <w:color w:val="006098"/>
        </w:rPr>
        <w:t>Other Revenue</w:t>
      </w:r>
    </w:p>
    <w:p>
      <w:pPr>
        <w:spacing w:after="0" w:line="2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Other revenue includes retail coffee and other food and beverage sales, recognized at the date of sale, net of returns, as well as sales of products through the Company website, recognized at the point in time of shipment to customers, net of returns.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i w:val="1"/>
          <w:iCs w:val="1"/>
          <w:color w:val="006098"/>
        </w:rPr>
        <w:t>Deferred Revenue</w:t>
      </w:r>
    </w:p>
    <w:p>
      <w:pPr>
        <w:spacing w:after="0" w:line="2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Deferred revenue primarily consists of the unredeemed gift card liability and unredeemed points/rewards from our Dutch Rewards loyalty program, as discussed above. Deferred revenue also includes bean and beverage sales to distributors where the performance obligation has not yet been satisfied as control has not transferred to the customer.</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Shop Pre-opening Expenses</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Pre-opening expenses incurred with the opening of new company-operated shops are expensed as incurred. These costs include rent expense, wages, benefits, travel and lodging for the training and opening management teams, and beverage and other shop operating expenses incurred prior to a shop opening for business and are included in cost of sales on the consolidated statements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Vendor Rebates</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The Company has entered into food and beverage supply agreements with certain major vendors. Pursuant to the terms of these arrangements, rebates are provided to the Company from the vendors based upon the dollar value of purchases for company-operated shops and franchised shops. These rebates are recognized as earned throughout the year and are recorded as accounts receivable and a reduction to cost of sales in the consolidated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Advertising Expense</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Advertising costs are expensed as they are incurred. Most franchise shops contribute to an advertising fund that the Company manages on behalf of the shops. Under the Company’s standard franchise agreement, the contributions received must be spent on marketing, creative efforts, media support, or other related purposes specified in the agreement. The expenditures are primarily amounts paid to third parties but may also include personnel expenses and allocated costs. Advertising expense was as follows for the periods presented: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300" w:type="dxa"/>
            <w:vAlign w:val="bottom"/>
            <w:gridSpan w:val="6"/>
          </w:tcPr>
          <w:p>
            <w:pPr>
              <w:jc w:val="center"/>
              <w:ind w:left="109"/>
              <w:spacing w:after="0"/>
              <w:rPr>
                <w:sz w:val="20"/>
                <w:szCs w:val="20"/>
                <w:color w:val="auto"/>
              </w:rPr>
            </w:pPr>
            <w:r>
              <w:rPr>
                <w:rFonts w:ascii="Arial" w:cs="Arial" w:eastAsia="Arial" w:hAnsi="Arial"/>
                <w:sz w:val="14"/>
                <w:szCs w:val="14"/>
                <w:b w:val="1"/>
                <w:bCs w:val="1"/>
                <w:color w:val="131E29"/>
                <w:w w:val="99"/>
              </w:rPr>
              <w:t>Year Ended December 31,</w:t>
            </w:r>
          </w:p>
        </w:tc>
        <w:tc>
          <w:tcPr>
            <w:tcW w:w="1000" w:type="dxa"/>
            <w:vAlign w:val="bottom"/>
          </w:tcPr>
          <w:p>
            <w:pPr>
              <w:spacing w:after="0"/>
              <w:rPr>
                <w:sz w:val="16"/>
                <w:szCs w:val="16"/>
                <w:color w:val="auto"/>
              </w:rPr>
            </w:pPr>
          </w:p>
        </w:tc>
      </w:tr>
      <w:tr>
        <w:trPr>
          <w:trHeight w:val="22"/>
        </w:trPr>
        <w:tc>
          <w:tcPr>
            <w:tcW w:w="7160" w:type="dxa"/>
            <w:vAlign w:val="bottom"/>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3"/>
        </w:trPr>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131E29"/>
              </w:rPr>
              <w:t>2022</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D2DCE5"/>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2021</w:t>
            </w:r>
          </w:p>
        </w:tc>
        <w:tc>
          <w:tcPr>
            <w:tcW w:w="80" w:type="dxa"/>
            <w:vAlign w:val="bottom"/>
            <w:tcBorders>
              <w:bottom w:val="single" w:sz="8" w:color="D2DCE5"/>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2020</w:t>
            </w:r>
          </w:p>
        </w:tc>
      </w:tr>
      <w:tr>
        <w:trPr>
          <w:trHeight w:val="237"/>
        </w:trPr>
        <w:tc>
          <w:tcPr>
            <w:tcW w:w="71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Advertising expense</w:t>
            </w:r>
          </w:p>
        </w:tc>
        <w:tc>
          <w:tcPr>
            <w:tcW w:w="820" w:type="dxa"/>
            <w:vAlign w:val="bottom"/>
            <w:tcBorders>
              <w:bottom w:val="single" w:sz="8" w:color="auto"/>
            </w:tcBorders>
            <w:shd w:val="clear" w:color="auto" w:fill="D2DCE5"/>
          </w:tcPr>
          <w:p>
            <w:pPr>
              <w:jc w:val="right"/>
              <w:ind w:right="649"/>
              <w:spacing w:after="0"/>
              <w:rPr>
                <w:sz w:val="20"/>
                <w:szCs w:val="20"/>
                <w:color w:val="auto"/>
              </w:rPr>
            </w:pPr>
            <w:r>
              <w:rPr>
                <w:rFonts w:ascii="Arial" w:cs="Arial" w:eastAsia="Arial" w:hAnsi="Arial"/>
                <w:sz w:val="14"/>
                <w:szCs w:val="14"/>
                <w:color w:val="131E29"/>
              </w:rPr>
              <w:t>$</w:t>
            </w:r>
          </w:p>
        </w:tc>
        <w:tc>
          <w:tcPr>
            <w:tcW w:w="5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w w:val="97"/>
              </w:rPr>
              <w:t>32,327</w:t>
            </w:r>
          </w:p>
        </w:tc>
        <w:tc>
          <w:tcPr>
            <w:tcW w:w="80" w:type="dxa"/>
            <w:vAlign w:val="bottom"/>
            <w:tcBorders>
              <w:bottom w:val="single" w:sz="8" w:color="D2DCE5"/>
            </w:tcBorders>
            <w:shd w:val="clear" w:color="auto" w:fill="D2DCE5"/>
          </w:tcPr>
          <w:p>
            <w:pPr>
              <w:spacing w:after="0"/>
              <w:rPr>
                <w:sz w:val="20"/>
                <w:szCs w:val="20"/>
                <w:color w:val="auto"/>
              </w:rPr>
            </w:pPr>
          </w:p>
        </w:tc>
        <w:tc>
          <w:tcPr>
            <w:tcW w:w="300" w:type="dxa"/>
            <w:vAlign w:val="bottom"/>
            <w:tcBorders>
              <w:bottom w:val="single" w:sz="8" w:color="auto"/>
            </w:tcBorders>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30,652</w:t>
            </w:r>
          </w:p>
        </w:tc>
        <w:tc>
          <w:tcPr>
            <w:tcW w:w="80" w:type="dxa"/>
            <w:vAlign w:val="bottom"/>
            <w:tcBorders>
              <w:bottom w:val="single" w:sz="8" w:color="D2DCE5"/>
            </w:tcBorders>
            <w:shd w:val="clear" w:color="auto" w:fill="D2DCE5"/>
          </w:tcPr>
          <w:p>
            <w:pPr>
              <w:spacing w:after="0"/>
              <w:rPr>
                <w:sz w:val="20"/>
                <w:szCs w:val="20"/>
                <w:color w:val="auto"/>
              </w:rPr>
            </w:pPr>
          </w:p>
        </w:tc>
        <w:tc>
          <w:tcPr>
            <w:tcW w:w="320" w:type="dxa"/>
            <w:vAlign w:val="bottom"/>
            <w:tcBorders>
              <w:bottom w:val="single" w:sz="8" w:color="auto"/>
            </w:tcBorders>
            <w:shd w:val="clear" w:color="auto" w:fill="D2DCE5"/>
          </w:tcPr>
          <w:p>
            <w:pPr>
              <w:jc w:val="right"/>
              <w:ind w:right="149"/>
              <w:spacing w:after="0"/>
              <w:rPr>
                <w:sz w:val="20"/>
                <w:szCs w:val="20"/>
                <w:color w:val="auto"/>
              </w:rPr>
            </w:pPr>
            <w:r>
              <w:rPr>
                <w:rFonts w:ascii="Arial" w:cs="Arial" w:eastAsia="Arial" w:hAnsi="Arial"/>
                <w:sz w:val="14"/>
                <w:szCs w:val="14"/>
                <w:color w:val="131E29"/>
              </w:rPr>
              <w:t>$</w:t>
            </w:r>
          </w:p>
        </w:tc>
        <w:tc>
          <w:tcPr>
            <w:tcW w:w="10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18,047</w:t>
            </w:r>
          </w:p>
        </w:tc>
      </w:tr>
      <w:tr>
        <w:trPr>
          <w:trHeight w:val="20"/>
        </w:trPr>
        <w:tc>
          <w:tcPr>
            <w:tcW w:w="708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820" w:type="dxa"/>
            <w:vAlign w:val="bottom"/>
            <w:tcBorders>
              <w:top w:val="single" w:sz="8" w:color="D2DCE5"/>
              <w:bottom w:val="single" w:sz="8" w:color="auto"/>
            </w:tcBorders>
          </w:tcPr>
          <w:p>
            <w:pPr>
              <w:spacing w:after="0" w:line="20" w:lineRule="exact"/>
              <w:rPr>
                <w:sz w:val="1"/>
                <w:szCs w:val="1"/>
                <w:color w:val="auto"/>
              </w:rPr>
            </w:pPr>
          </w:p>
        </w:tc>
        <w:tc>
          <w:tcPr>
            <w:tcW w:w="50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20" w:type="dxa"/>
            <w:vAlign w:val="bottom"/>
            <w:tcBorders>
              <w:top w:val="single" w:sz="8" w:color="D2DCE5"/>
              <w:bottom w:val="single" w:sz="8" w:color="auto"/>
            </w:tcBorders>
          </w:tcPr>
          <w:p>
            <w:pPr>
              <w:spacing w:after="0" w:line="20" w:lineRule="exact"/>
              <w:rPr>
                <w:sz w:val="1"/>
                <w:szCs w:val="1"/>
                <w:color w:val="auto"/>
              </w:rPr>
            </w:pPr>
          </w:p>
        </w:tc>
        <w:tc>
          <w:tcPr>
            <w:tcW w:w="1000" w:type="dxa"/>
            <w:vAlign w:val="bottom"/>
            <w:tcBorders>
              <w:top w:val="single" w:sz="8" w:color="D2DCE5"/>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Equity-based Compensation</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The Company has granted time-based restricted stock awards (RSAs) to certain officers and employees in connection with the Reorganization Transactions and the IPO, and restricted stock units (RSUs) to directors and certain employees. The RSAs and RSUs are accounted for as equity-classified awards, and are granted at the fair value of the underlying Class A common stock of Dutch Bros Inc. as of the grant date and vest over the requisite service period.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112" w:name="page113"/>
    <w:bookmarkEnd w:id="112"/>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The cost of the RSAs and RSUs is recognized as expense over the grantee’s requisite service period, and forfeitures are accounted for as they occur. The Company has not granted performance-based awards under its current equity incentive plan.</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Income Taxes</w:t>
      </w:r>
    </w:p>
    <w:p>
      <w:pPr>
        <w:spacing w:after="0" w:line="136"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The Company is a corporation and sole managing member of Dutch Bros OpCo which is treated as a partnership for tax purposes. In addition to the Company and Dutch Bros OpCo, Dutch Bros OpCo is the sole member of other single member Dutch Bros OpCo entities disregarded for Federal tax purposes, and one subsidiary organized as a C-Corporation.</w:t>
      </w:r>
    </w:p>
    <w:p>
      <w:pPr>
        <w:spacing w:after="0" w:line="34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For Dutch Bros OpCo, taxable income and the resulting liabilities are allocated among the owners of the entities and reported on the tax filings for those owners. The Company records income tax provision, deferred tax assets, and deferred tax liabilities only for the items for which the Company is responsible for making payments directly to the relevant tax authority.</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Deferred income taxes reflect the net tax effects of temporary differences between the financial reporting and tax basis of assets and liabilities and are measured using the enacted tax rates and laws expected to be in effect when such differences are expected to reverse. Such temporary differences are reflected as deferred income tax assets and deferred tax liabilities on the consolidated balance sheets. A deferred tax asset is recognized if it is more likely than not that a tax benefit will be realized.</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In assessing the realizability of deferred tax assets, management considers whether it is more likely than not that some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The Company is required to identify, evaluate and measure all uncertain tax positions taken or to be taken on tax returns and to record liabilities for the amount of these positions that may not be sustained, or may only partially be sustained, upon examination by the relevant taxing authorities. Although the Company believes that its estimates and judgments were reasonable, actual results may differ from these estimates. Some or all of these judgments are subject to review by the taxing authorities.</w:t>
      </w:r>
    </w:p>
    <w:p>
      <w:pPr>
        <w:spacing w:after="0" w:line="11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The Company recognizes the tax benefit from entity level uncertain tax positions if it is more likely than not that the tax position will be sustained on examination by the tax authorities, based on technical merits of the position. The tax benefit is measured based on the largest benefit that has a greater than 50% likelihood of being realized upon ultimate settlement.</w:t>
      </w: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Earnings (Loss) Per Share</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Basic earnings (loss) per share of Class A and Class D common stock is computed by dividing net income (loss) attributable to Dutch Bros Inc. by the weighted-average number of shares of Class A and Class D common stock outstanding during the period. Diluted earnings (loss) per share of Class A and Class D common stock is computed by dividing net income (loss) attributable to Dutch Bros Inc., adjusted for the assumed exchange of all potentially dilutive instruments for Class A common stock, by the weighted-average number of shares of Class A and Class D common stock outstanding, adjusted to give effect to potentially dilutive elements. Share counts used in the diluted earnings (loss) per share calculations are adjusted for the deemed repurchases provided for in the treasury stock method for restricted stock awards and restricted stock units, and under the if-converted method for the outstanding convertible Class B and Class C common stock, if dilutive.</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The basic and diluted earnings (loss) per share calculations for the year ended December 31, 2021 represent the post-IPO period from September 14, 2021 to December 31, 2021 only.</w:t>
      </w:r>
    </w:p>
    <w:p>
      <w:pPr>
        <w:spacing w:after="0" w:line="11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Prior to the IPO, the Dutch Bros OpCo membership structure included common units, redeemable common units, and PI units. The Company analyzed the calculation of earnings (loss) per unit for periods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113" w:name="page114"/>
    <w:bookmarkEnd w:id="113"/>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prior to the IPO and determined that it resulted in values that would not be meaningful to the users of these consolidated financial statements. Therefore, earnings (loss) per unit information has not been presented for the year ended December 31, 2020.</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Recently Issued Accounting Standards</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 xml:space="preserve">In December 2022, the Financial Accounting Standards Board (FASB) issued Accounting Standards Update (ASU) No. 2022-06, </w:t>
      </w:r>
      <w:r>
        <w:rPr>
          <w:rFonts w:ascii="Arial" w:cs="Arial" w:eastAsia="Arial" w:hAnsi="Arial"/>
          <w:sz w:val="14"/>
          <w:szCs w:val="14"/>
          <w:i w:val="1"/>
          <w:iCs w:val="1"/>
          <w:color w:val="131E29"/>
        </w:rPr>
        <w:t>Reference Rate Reform (Topic 848): Deferral of the</w:t>
      </w:r>
      <w:r>
        <w:rPr>
          <w:rFonts w:ascii="Arial" w:cs="Arial" w:eastAsia="Arial" w:hAnsi="Arial"/>
          <w:sz w:val="14"/>
          <w:szCs w:val="14"/>
          <w:color w:val="131E29"/>
        </w:rPr>
        <w:t xml:space="preserve"> </w:t>
      </w:r>
      <w:r>
        <w:rPr>
          <w:rFonts w:ascii="Arial" w:cs="Arial" w:eastAsia="Arial" w:hAnsi="Arial"/>
          <w:sz w:val="14"/>
          <w:szCs w:val="14"/>
          <w:i w:val="1"/>
          <w:iCs w:val="1"/>
          <w:color w:val="131E29"/>
        </w:rPr>
        <w:t>Sunset Date of Topic 848</w:t>
      </w:r>
      <w:r>
        <w:rPr>
          <w:rFonts w:ascii="Arial" w:cs="Arial" w:eastAsia="Arial" w:hAnsi="Arial"/>
          <w:sz w:val="14"/>
          <w:szCs w:val="14"/>
          <w:color w:val="131E29"/>
        </w:rPr>
        <w:t>. The amendments in this update extend the transition relief period for reference rate reform from December 31, 2022 to December 31, 2024. The</w:t>
      </w:r>
      <w:r>
        <w:rPr>
          <w:rFonts w:ascii="Arial" w:cs="Arial" w:eastAsia="Arial" w:hAnsi="Arial"/>
          <w:sz w:val="14"/>
          <w:szCs w:val="14"/>
          <w:i w:val="1"/>
          <w:iCs w:val="1"/>
          <w:color w:val="131E29"/>
        </w:rPr>
        <w:t xml:space="preserve"> </w:t>
      </w:r>
      <w:r>
        <w:rPr>
          <w:rFonts w:ascii="Arial" w:cs="Arial" w:eastAsia="Arial" w:hAnsi="Arial"/>
          <w:sz w:val="14"/>
          <w:szCs w:val="14"/>
          <w:color w:val="131E29"/>
        </w:rPr>
        <w:t>amendments in ASU 2022-06 apply to all entities, subject to meeting certain criteria, that have contracts, hedging relationships, and other transactions that reference LIBOR or another reference rate expected to be discontinued because of reference rate reform. ASU 2022-06 was effective upon issuance. The new standard has had no material impact on the Company's consolidated financial statements.</w:t>
      </w:r>
    </w:p>
    <w:p>
      <w:pPr>
        <w:spacing w:after="0" w:line="101"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 xml:space="preserve">In October 2021, the FASB issued ASU No. 2021-08, </w:t>
      </w:r>
      <w:r>
        <w:rPr>
          <w:rFonts w:ascii="Arial" w:cs="Arial" w:eastAsia="Arial" w:hAnsi="Arial"/>
          <w:sz w:val="14"/>
          <w:szCs w:val="14"/>
          <w:i w:val="1"/>
          <w:iCs w:val="1"/>
          <w:color w:val="131E29"/>
        </w:rPr>
        <w:t>Business Combinations (Topic 805): Accounting for Contract Assets and Contract Liabilities from Contracts with Customers</w:t>
      </w:r>
      <w:r>
        <w:rPr>
          <w:rFonts w:ascii="Arial" w:cs="Arial" w:eastAsia="Arial" w:hAnsi="Arial"/>
          <w:sz w:val="14"/>
          <w:szCs w:val="14"/>
          <w:color w:val="131E29"/>
        </w:rPr>
        <w:t>. The amendments in this update provide specific guidance to address diversity in practice related to (1) recognition of an acquired contract liability, and (2) payment terms and their effect on subsequent revenue recognized by the acquirer. The amendments in ASU 2021-08 are applied on a prospective basis, and are effective for fiscal years beginning after December 15, 2022, including interim periods within those fiscal years. Early adoption is permitted. The Company does not expect this standard to have a material impact on its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Recently Adopted Accounting Standards</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 xml:space="preserve">In June 2016, the FASB issued ASU No. 2016-13, </w:t>
      </w:r>
      <w:r>
        <w:rPr>
          <w:rFonts w:ascii="Arial" w:cs="Arial" w:eastAsia="Arial" w:hAnsi="Arial"/>
          <w:sz w:val="14"/>
          <w:szCs w:val="14"/>
          <w:i w:val="1"/>
          <w:iCs w:val="1"/>
          <w:color w:val="131E29"/>
        </w:rPr>
        <w:t>Financial Instruments—Credit Losses (Topic 326)</w:t>
      </w:r>
      <w:r>
        <w:rPr>
          <w:rFonts w:ascii="Arial" w:cs="Arial" w:eastAsia="Arial" w:hAnsi="Arial"/>
          <w:sz w:val="14"/>
          <w:szCs w:val="14"/>
          <w:color w:val="131E29"/>
        </w:rPr>
        <w:t xml:space="preserve">: </w:t>
      </w:r>
      <w:r>
        <w:rPr>
          <w:rFonts w:ascii="Arial" w:cs="Arial" w:eastAsia="Arial" w:hAnsi="Arial"/>
          <w:sz w:val="14"/>
          <w:szCs w:val="14"/>
          <w:i w:val="1"/>
          <w:iCs w:val="1"/>
          <w:color w:val="131E29"/>
        </w:rPr>
        <w:t>Measurement of Credit Losses on Financial Instruments</w:t>
      </w:r>
      <w:r>
        <w:rPr>
          <w:rFonts w:ascii="Arial" w:cs="Arial" w:eastAsia="Arial" w:hAnsi="Arial"/>
          <w:sz w:val="14"/>
          <w:szCs w:val="14"/>
          <w:color w:val="131E29"/>
        </w:rPr>
        <w:t>. ASU 2016-13, as amended, replaces the incurred loss impairment methodology in current GAAP with a methodology that reflects expected credit losses and requires consideration of a broader range of reasonable and supportable information to inform credit loss estimates. For accounts receivable and other financial instruments, the Company will be required to use a forward-looking expected loss model rather than the incurred loss model for recognizing credit losses which reflects losses that are probable. Application of the amendments is through a cumulative-effect adjustment to retained earnings as of the effective date. ASU 2016-13, as amended, is effective for fiscal years beginning after December 15, 2022. The Company has completed its evaluation and adoption of ASU 2016-13, as amended, and as of January 1, 2022 had no material impact on its consolidated financial statements.</w:t>
      </w:r>
    </w:p>
    <w:p>
      <w:pPr>
        <w:spacing w:after="0" w:line="103"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131E29"/>
        </w:rPr>
        <w:t xml:space="preserve">In February 2016, the FASB issued ASU No. 2016-02, </w:t>
      </w:r>
      <w:r>
        <w:rPr>
          <w:rFonts w:ascii="Arial" w:cs="Arial" w:eastAsia="Arial" w:hAnsi="Arial"/>
          <w:sz w:val="14"/>
          <w:szCs w:val="14"/>
          <w:i w:val="1"/>
          <w:iCs w:val="1"/>
          <w:color w:val="131E29"/>
        </w:rPr>
        <w:t>Leases (Topic 842</w:t>
      </w:r>
      <w:r>
        <w:rPr>
          <w:rFonts w:ascii="Arial" w:cs="Arial" w:eastAsia="Arial" w:hAnsi="Arial"/>
          <w:sz w:val="14"/>
          <w:szCs w:val="14"/>
          <w:color w:val="131E29"/>
        </w:rPr>
        <w:t>). The pronouncement requires lessees to recognize a liability for lease obligations, which represent the discounted obligation to make future lease payments, and a corresponding right-of-use asset on the balance sheet, as well as new disclosure requirements. The Company adopted Topic 842 effective January 1, 2022 using the modified transition approach. For additional information, refer to NOTE 8 —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114" w:name="page115"/>
    <w:bookmarkEnd w:id="114"/>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3 — Revenue Recognition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Revenue</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131E29"/>
        </w:rPr>
        <w:t>The following table disaggregates revenue by major component: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20" w:type="dxa"/>
            <w:vAlign w:val="bottom"/>
            <w:gridSpan w:val="6"/>
          </w:tcPr>
          <w:p>
            <w:pPr>
              <w:jc w:val="right"/>
              <w:ind w:right="129"/>
              <w:spacing w:after="0"/>
              <w:rPr>
                <w:sz w:val="20"/>
                <w:szCs w:val="20"/>
                <w:color w:val="auto"/>
              </w:rPr>
            </w:pPr>
            <w:r>
              <w:rPr>
                <w:rFonts w:ascii="Arial" w:cs="Arial" w:eastAsia="Arial" w:hAnsi="Arial"/>
                <w:sz w:val="14"/>
                <w:szCs w:val="14"/>
                <w:b w:val="1"/>
                <w:bCs w:val="1"/>
                <w:color w:val="131E29"/>
              </w:rPr>
              <w:t>Year Ended December 31,</w:t>
            </w:r>
          </w:p>
        </w:tc>
        <w:tc>
          <w:tcPr>
            <w:tcW w:w="1000" w:type="dxa"/>
            <w:vAlign w:val="bottom"/>
          </w:tcPr>
          <w:p>
            <w:pPr>
              <w:spacing w:after="0"/>
              <w:rPr>
                <w:sz w:val="16"/>
                <w:szCs w:val="16"/>
                <w:color w:val="auto"/>
              </w:rPr>
            </w:pPr>
          </w:p>
        </w:tc>
      </w:tr>
      <w:tr>
        <w:trPr>
          <w:trHeight w:val="22"/>
        </w:trPr>
        <w:tc>
          <w:tcPr>
            <w:tcW w:w="716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3"/>
        </w:trPr>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2022</w:t>
            </w:r>
          </w:p>
        </w:tc>
        <w:tc>
          <w:tcPr>
            <w:tcW w:w="80" w:type="dxa"/>
            <w:vAlign w:val="bottom"/>
            <w:tcBorders>
              <w:bottom w:val="single" w:sz="8" w:color="D2DCE5"/>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2021</w:t>
            </w:r>
          </w:p>
        </w:tc>
        <w:tc>
          <w:tcPr>
            <w:tcW w:w="80" w:type="dxa"/>
            <w:vAlign w:val="bottom"/>
            <w:tcBorders>
              <w:bottom w:val="single" w:sz="8" w:color="D2DCE5"/>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2020</w:t>
            </w:r>
          </w:p>
        </w:tc>
      </w:tr>
      <w:tr>
        <w:trPr>
          <w:trHeight w:val="192"/>
        </w:trPr>
        <w:tc>
          <w:tcPr>
            <w:tcW w:w="71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Company-operated shops</w:t>
            </w:r>
          </w:p>
        </w:tc>
        <w:tc>
          <w:tcPr>
            <w:tcW w:w="300" w:type="dxa"/>
            <w:vAlign w:val="bottom"/>
            <w:tcBorders>
              <w:bottom w:val="single" w:sz="8" w:color="D2DCE5"/>
            </w:tcBorders>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639,710</w:t>
            </w: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403,746</w:t>
            </w:r>
          </w:p>
        </w:tc>
        <w:tc>
          <w:tcPr>
            <w:tcW w:w="80" w:type="dxa"/>
            <w:vAlign w:val="bottom"/>
            <w:tcBorders>
              <w:bottom w:val="single" w:sz="8" w:color="D2DCE5"/>
            </w:tcBorders>
            <w:shd w:val="clear" w:color="auto" w:fill="D2DCE5"/>
          </w:tcPr>
          <w:p>
            <w:pPr>
              <w:spacing w:after="0"/>
              <w:rPr>
                <w:sz w:val="16"/>
                <w:szCs w:val="16"/>
                <w:color w:val="auto"/>
              </w:rPr>
            </w:pPr>
          </w:p>
        </w:tc>
        <w:tc>
          <w:tcPr>
            <w:tcW w:w="320" w:type="dxa"/>
            <w:vAlign w:val="bottom"/>
            <w:tcBorders>
              <w:bottom w:val="single" w:sz="8" w:color="D2DCE5"/>
            </w:tcBorders>
            <w:shd w:val="clear" w:color="auto" w:fill="D2DCE5"/>
          </w:tcPr>
          <w:p>
            <w:pPr>
              <w:jc w:val="right"/>
              <w:ind w:right="149"/>
              <w:spacing w:after="0"/>
              <w:rPr>
                <w:sz w:val="20"/>
                <w:szCs w:val="20"/>
                <w:color w:val="auto"/>
              </w:rPr>
            </w:pPr>
            <w:r>
              <w:rPr>
                <w:rFonts w:ascii="Arial" w:cs="Arial" w:eastAsia="Arial" w:hAnsi="Arial"/>
                <w:sz w:val="14"/>
                <w:szCs w:val="14"/>
                <w:color w:val="131E29"/>
              </w:rPr>
              <w:t>$</w:t>
            </w:r>
          </w:p>
        </w:tc>
        <w:tc>
          <w:tcPr>
            <w:tcW w:w="10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244,514</w:t>
            </w:r>
          </w:p>
        </w:tc>
      </w:tr>
      <w:tr>
        <w:trPr>
          <w:trHeight w:val="191"/>
        </w:trPr>
        <w:tc>
          <w:tcPr>
            <w:tcW w:w="7160" w:type="dxa"/>
            <w:vAlign w:val="bottom"/>
            <w:gridSpan w:val="2"/>
          </w:tcPr>
          <w:p>
            <w:pPr>
              <w:ind w:left="20"/>
              <w:spacing w:after="0"/>
              <w:rPr>
                <w:sz w:val="20"/>
                <w:szCs w:val="20"/>
                <w:color w:val="auto"/>
              </w:rPr>
            </w:pPr>
            <w:r>
              <w:rPr>
                <w:rFonts w:ascii="Arial" w:cs="Arial" w:eastAsia="Arial" w:hAnsi="Arial"/>
                <w:sz w:val="14"/>
                <w:szCs w:val="14"/>
                <w:color w:val="131E29"/>
              </w:rPr>
              <w:t>Franchising</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93,756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87,465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131E29"/>
              </w:rPr>
              <w:t>77,625</w:t>
            </w:r>
          </w:p>
        </w:tc>
      </w:tr>
      <w:tr>
        <w:trPr>
          <w:trHeight w:val="22"/>
        </w:trPr>
        <w:tc>
          <w:tcPr>
            <w:tcW w:w="7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2"/>
        </w:trPr>
        <w:tc>
          <w:tcPr>
            <w:tcW w:w="71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Other</w:t>
            </w:r>
          </w:p>
        </w:tc>
        <w:tc>
          <w:tcPr>
            <w:tcW w:w="300" w:type="dxa"/>
            <w:vAlign w:val="bottom"/>
            <w:tcBorders>
              <w:bottom w:val="single" w:sz="8" w:color="D2DCE5"/>
            </w:tcBorders>
            <w:shd w:val="clear" w:color="auto" w:fill="D2DCE5"/>
          </w:tcPr>
          <w:p>
            <w:pPr>
              <w:spacing w:after="0"/>
              <w:rPr>
                <w:sz w:val="18"/>
                <w:szCs w:val="18"/>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5,546</w:t>
            </w:r>
          </w:p>
        </w:tc>
        <w:tc>
          <w:tcPr>
            <w:tcW w:w="80" w:type="dxa"/>
            <w:vAlign w:val="bottom"/>
            <w:tcBorders>
              <w:bottom w:val="single" w:sz="8" w:color="D2DCE5"/>
            </w:tcBorders>
            <w:shd w:val="clear" w:color="auto" w:fill="D2DCE5"/>
          </w:tcPr>
          <w:p>
            <w:pPr>
              <w:spacing w:after="0"/>
              <w:rPr>
                <w:sz w:val="18"/>
                <w:szCs w:val="18"/>
                <w:color w:val="auto"/>
              </w:rPr>
            </w:pPr>
          </w:p>
        </w:tc>
        <w:tc>
          <w:tcPr>
            <w:tcW w:w="300" w:type="dxa"/>
            <w:vAlign w:val="bottom"/>
            <w:tcBorders>
              <w:bottom w:val="single" w:sz="8" w:color="D2DCE5"/>
            </w:tcBorders>
            <w:shd w:val="clear" w:color="auto" w:fill="D2DCE5"/>
          </w:tcPr>
          <w:p>
            <w:pPr>
              <w:spacing w:after="0"/>
              <w:rPr>
                <w:sz w:val="18"/>
                <w:szCs w:val="18"/>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6,665</w:t>
            </w:r>
          </w:p>
        </w:tc>
        <w:tc>
          <w:tcPr>
            <w:tcW w:w="80" w:type="dxa"/>
            <w:vAlign w:val="bottom"/>
            <w:tcBorders>
              <w:bottom w:val="single" w:sz="8" w:color="D2DCE5"/>
            </w:tcBorders>
            <w:shd w:val="clear" w:color="auto" w:fill="D2DCE5"/>
          </w:tcPr>
          <w:p>
            <w:pPr>
              <w:spacing w:after="0"/>
              <w:rPr>
                <w:sz w:val="18"/>
                <w:szCs w:val="18"/>
                <w:color w:val="auto"/>
              </w:rPr>
            </w:pPr>
          </w:p>
        </w:tc>
        <w:tc>
          <w:tcPr>
            <w:tcW w:w="320" w:type="dxa"/>
            <w:vAlign w:val="bottom"/>
            <w:tcBorders>
              <w:bottom w:val="single" w:sz="8" w:color="D2DCE5"/>
            </w:tcBorders>
            <w:shd w:val="clear" w:color="auto" w:fill="D2DCE5"/>
          </w:tcPr>
          <w:p>
            <w:pPr>
              <w:spacing w:after="0"/>
              <w:rPr>
                <w:sz w:val="18"/>
                <w:szCs w:val="18"/>
                <w:color w:val="auto"/>
              </w:rPr>
            </w:pPr>
          </w:p>
        </w:tc>
        <w:tc>
          <w:tcPr>
            <w:tcW w:w="10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5,274</w:t>
            </w:r>
          </w:p>
        </w:tc>
      </w:tr>
      <w:tr>
        <w:trPr>
          <w:trHeight w:val="203"/>
        </w:trPr>
        <w:tc>
          <w:tcPr>
            <w:tcW w:w="7160" w:type="dxa"/>
            <w:vAlign w:val="bottom"/>
            <w:gridSpan w:val="2"/>
          </w:tcPr>
          <w:p>
            <w:pPr>
              <w:ind w:left="100"/>
              <w:spacing w:after="0"/>
              <w:rPr>
                <w:sz w:val="20"/>
                <w:szCs w:val="20"/>
                <w:color w:val="auto"/>
              </w:rPr>
            </w:pPr>
            <w:r>
              <w:rPr>
                <w:rFonts w:ascii="Arial" w:cs="Arial" w:eastAsia="Arial" w:hAnsi="Arial"/>
                <w:sz w:val="14"/>
                <w:szCs w:val="14"/>
                <w:color w:val="131E29"/>
              </w:rPr>
              <w:t>Total revenues</w:t>
            </w: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rPr>
              <w:t>739,012</w:t>
            </w: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rPr>
              <w:t>497,876</w:t>
            </w: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color w:val="131E2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rPr>
              <w:t>327,413</w:t>
            </w:r>
          </w:p>
        </w:tc>
      </w:tr>
      <w:tr>
        <w:trPr>
          <w:trHeight w:val="20"/>
        </w:trPr>
        <w:tc>
          <w:tcPr>
            <w:tcW w:w="7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Deferred Revenue</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131E29"/>
        </w:rPr>
        <w:t>Deferred revenue activity related to the Company’s loyalty and gift card programs was as follows:</w:t>
      </w:r>
    </w:p>
    <w:p>
      <w:pPr>
        <w:spacing w:after="0" w:line="161"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131E29"/>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5116830</wp:posOffset>
            </wp:positionH>
            <wp:positionV relativeFrom="paragraph">
              <wp:posOffset>31115</wp:posOffset>
            </wp:positionV>
            <wp:extent cx="2047875" cy="69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047875" cy="698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131E29"/>
              </w:rPr>
              <w:t>2022</w:t>
            </w:r>
          </w:p>
        </w:tc>
        <w:tc>
          <w:tcPr>
            <w:tcW w:w="10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131E29"/>
              </w:rPr>
              <w:t>2021</w:t>
            </w:r>
          </w:p>
        </w:tc>
      </w:tr>
      <w:tr>
        <w:trPr>
          <w:trHeight w:val="192"/>
        </w:trPr>
        <w:tc>
          <w:tcPr>
            <w:tcW w:w="80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Balance, December 31</w:t>
            </w:r>
          </w:p>
        </w:tc>
        <w:tc>
          <w:tcPr>
            <w:tcW w:w="360" w:type="dxa"/>
            <w:vAlign w:val="bottom"/>
            <w:tcBorders>
              <w:bottom w:val="single" w:sz="8" w:color="D2DCE5"/>
            </w:tcBorders>
            <w:shd w:val="clear" w:color="auto" w:fill="D2DCE5"/>
          </w:tcPr>
          <w:p>
            <w:pPr>
              <w:jc w:val="right"/>
              <w:ind w:right="189"/>
              <w:spacing w:after="0"/>
              <w:rPr>
                <w:sz w:val="20"/>
                <w:szCs w:val="20"/>
                <w:color w:val="auto"/>
              </w:rPr>
            </w:pPr>
            <w:r>
              <w:rPr>
                <w:rFonts w:ascii="Arial" w:cs="Arial" w:eastAsia="Arial" w:hAnsi="Arial"/>
                <w:sz w:val="14"/>
                <w:szCs w:val="14"/>
                <w:color w:val="131E29"/>
              </w:rPr>
              <w:t>$</w:t>
            </w:r>
          </w:p>
        </w:tc>
        <w:tc>
          <w:tcPr>
            <w:tcW w:w="12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22,765</w:t>
            </w:r>
          </w:p>
        </w:tc>
        <w:tc>
          <w:tcPr>
            <w:tcW w:w="100" w:type="dxa"/>
            <w:vAlign w:val="bottom"/>
            <w:tcBorders>
              <w:bottom w:val="single" w:sz="8" w:color="D2DCE5"/>
            </w:tcBorders>
            <w:shd w:val="clear" w:color="auto" w:fill="D2DCE5"/>
          </w:tcPr>
          <w:p>
            <w:pPr>
              <w:spacing w:after="0"/>
              <w:rPr>
                <w:sz w:val="16"/>
                <w:szCs w:val="16"/>
                <w:color w:val="auto"/>
              </w:rPr>
            </w:pPr>
          </w:p>
        </w:tc>
        <w:tc>
          <w:tcPr>
            <w:tcW w:w="360" w:type="dxa"/>
            <w:vAlign w:val="bottom"/>
            <w:tcBorders>
              <w:bottom w:val="single" w:sz="8" w:color="D2DCE5"/>
            </w:tcBorders>
            <w:shd w:val="clear" w:color="auto" w:fill="D2DCE5"/>
          </w:tcPr>
          <w:p>
            <w:pPr>
              <w:jc w:val="right"/>
              <w:ind w:right="209"/>
              <w:spacing w:after="0"/>
              <w:rPr>
                <w:sz w:val="20"/>
                <w:szCs w:val="20"/>
                <w:color w:val="auto"/>
              </w:rPr>
            </w:pPr>
            <w:r>
              <w:rPr>
                <w:rFonts w:ascii="Arial" w:cs="Arial" w:eastAsia="Arial" w:hAnsi="Arial"/>
                <w:sz w:val="14"/>
                <w:szCs w:val="14"/>
                <w:color w:val="131E29"/>
                <w:w w:val="76"/>
              </w:rPr>
              <w:t>$</w:t>
            </w:r>
          </w:p>
        </w:tc>
        <w:tc>
          <w:tcPr>
            <w:tcW w:w="12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10,576</w:t>
            </w:r>
          </w:p>
        </w:tc>
      </w:tr>
      <w:tr>
        <w:trPr>
          <w:trHeight w:val="191"/>
        </w:trPr>
        <w:tc>
          <w:tcPr>
            <w:tcW w:w="8060" w:type="dxa"/>
            <w:vAlign w:val="bottom"/>
            <w:gridSpan w:val="2"/>
          </w:tcPr>
          <w:p>
            <w:pPr>
              <w:ind w:left="20"/>
              <w:spacing w:after="0"/>
              <w:rPr>
                <w:sz w:val="20"/>
                <w:szCs w:val="20"/>
                <w:color w:val="auto"/>
              </w:rPr>
            </w:pPr>
            <w:r>
              <w:rPr>
                <w:rFonts w:ascii="Arial" w:cs="Arial" w:eastAsia="Arial" w:hAnsi="Arial"/>
                <w:sz w:val="14"/>
                <w:szCs w:val="14"/>
                <w:color w:val="131E29"/>
              </w:rPr>
              <w:t>Revenue deferred - gift card activations, loyalty app loads, and loyalty points and rewards earned</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131E29"/>
              </w:rPr>
              <w:t>261,909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131E29"/>
              </w:rPr>
              <w:t>161,134</w:t>
            </w:r>
          </w:p>
        </w:tc>
      </w:tr>
      <w:tr>
        <w:trPr>
          <w:trHeight w:val="22"/>
        </w:trPr>
        <w:tc>
          <w:tcPr>
            <w:tcW w:w="7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2"/>
        </w:trPr>
        <w:tc>
          <w:tcPr>
            <w:tcW w:w="80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Revenue recognized - gift card, loyalty app, and loyalty rewards redemptions, and breakage</w:t>
            </w:r>
          </w:p>
        </w:tc>
        <w:tc>
          <w:tcPr>
            <w:tcW w:w="360" w:type="dxa"/>
            <w:vAlign w:val="bottom"/>
            <w:tcBorders>
              <w:bottom w:val="single" w:sz="8" w:color="D2DCE5"/>
            </w:tcBorders>
            <w:shd w:val="clear" w:color="auto" w:fill="D2DCE5"/>
          </w:tcPr>
          <w:p>
            <w:pPr>
              <w:spacing w:after="0"/>
              <w:rPr>
                <w:sz w:val="18"/>
                <w:szCs w:val="18"/>
                <w:color w:val="auto"/>
              </w:rPr>
            </w:pPr>
          </w:p>
        </w:tc>
        <w:tc>
          <w:tcPr>
            <w:tcW w:w="12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(257,770)</w:t>
            </w:r>
          </w:p>
        </w:tc>
        <w:tc>
          <w:tcPr>
            <w:tcW w:w="100" w:type="dxa"/>
            <w:vAlign w:val="bottom"/>
            <w:tcBorders>
              <w:bottom w:val="single" w:sz="8" w:color="D2DCE5"/>
            </w:tcBorders>
            <w:shd w:val="clear" w:color="auto" w:fill="D2DCE5"/>
          </w:tcPr>
          <w:p>
            <w:pPr>
              <w:spacing w:after="0"/>
              <w:rPr>
                <w:sz w:val="18"/>
                <w:szCs w:val="18"/>
                <w:color w:val="auto"/>
              </w:rPr>
            </w:pPr>
          </w:p>
        </w:tc>
        <w:tc>
          <w:tcPr>
            <w:tcW w:w="360" w:type="dxa"/>
            <w:vAlign w:val="bottom"/>
            <w:tcBorders>
              <w:bottom w:val="single" w:sz="8" w:color="D2DCE5"/>
            </w:tcBorders>
            <w:shd w:val="clear" w:color="auto" w:fill="D2DCE5"/>
          </w:tcPr>
          <w:p>
            <w:pPr>
              <w:spacing w:after="0"/>
              <w:rPr>
                <w:sz w:val="18"/>
                <w:szCs w:val="18"/>
                <w:color w:val="auto"/>
              </w:rPr>
            </w:pPr>
          </w:p>
        </w:tc>
        <w:tc>
          <w:tcPr>
            <w:tcW w:w="12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(148,945)</w:t>
            </w:r>
          </w:p>
        </w:tc>
      </w:tr>
      <w:tr>
        <w:trPr>
          <w:trHeight w:val="181"/>
        </w:trPr>
        <w:tc>
          <w:tcPr>
            <w:tcW w:w="8060" w:type="dxa"/>
            <w:vAlign w:val="bottom"/>
            <w:gridSpan w:val="2"/>
          </w:tcPr>
          <w:p>
            <w:pPr>
              <w:ind w:left="20"/>
              <w:spacing w:after="0"/>
              <w:rPr>
                <w:sz w:val="20"/>
                <w:szCs w:val="20"/>
                <w:color w:val="auto"/>
              </w:rPr>
            </w:pPr>
            <w:r>
              <w:rPr>
                <w:rFonts w:ascii="Arial" w:cs="Arial" w:eastAsia="Arial" w:hAnsi="Arial"/>
                <w:sz w:val="14"/>
                <w:szCs w:val="14"/>
                <w:b w:val="1"/>
                <w:bCs w:val="1"/>
                <w:color w:val="131E29"/>
              </w:rPr>
              <w:t>Balance, December 31</w:t>
            </w: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26,904</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22,765</w:t>
            </w:r>
          </w:p>
        </w:tc>
      </w:tr>
      <w:tr>
        <w:trPr>
          <w:trHeight w:val="22"/>
        </w:trPr>
        <w:tc>
          <w:tcPr>
            <w:tcW w:w="7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2"/>
        </w:trPr>
        <w:tc>
          <w:tcPr>
            <w:tcW w:w="80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Less: current portion</w:t>
            </w:r>
          </w:p>
        </w:tc>
        <w:tc>
          <w:tcPr>
            <w:tcW w:w="360" w:type="dxa"/>
            <w:vAlign w:val="bottom"/>
            <w:tcBorders>
              <w:bottom w:val="single" w:sz="8" w:color="D2DCE5"/>
            </w:tcBorders>
            <w:shd w:val="clear" w:color="auto" w:fill="D2DCE5"/>
          </w:tcPr>
          <w:p>
            <w:pPr>
              <w:spacing w:after="0"/>
              <w:rPr>
                <w:sz w:val="18"/>
                <w:szCs w:val="18"/>
                <w:color w:val="auto"/>
              </w:rPr>
            </w:pPr>
          </w:p>
        </w:tc>
        <w:tc>
          <w:tcPr>
            <w:tcW w:w="12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(22,748)</w:t>
            </w:r>
          </w:p>
        </w:tc>
        <w:tc>
          <w:tcPr>
            <w:tcW w:w="100" w:type="dxa"/>
            <w:vAlign w:val="bottom"/>
            <w:tcBorders>
              <w:bottom w:val="single" w:sz="8" w:color="D2DCE5"/>
            </w:tcBorders>
            <w:shd w:val="clear" w:color="auto" w:fill="D2DCE5"/>
          </w:tcPr>
          <w:p>
            <w:pPr>
              <w:spacing w:after="0"/>
              <w:rPr>
                <w:sz w:val="18"/>
                <w:szCs w:val="18"/>
                <w:color w:val="auto"/>
              </w:rPr>
            </w:pPr>
          </w:p>
        </w:tc>
        <w:tc>
          <w:tcPr>
            <w:tcW w:w="360" w:type="dxa"/>
            <w:vAlign w:val="bottom"/>
            <w:tcBorders>
              <w:bottom w:val="single" w:sz="8" w:color="D2DCE5"/>
            </w:tcBorders>
            <w:shd w:val="clear" w:color="auto" w:fill="D2DCE5"/>
          </w:tcPr>
          <w:p>
            <w:pPr>
              <w:spacing w:after="0"/>
              <w:rPr>
                <w:sz w:val="18"/>
                <w:szCs w:val="18"/>
                <w:color w:val="auto"/>
              </w:rPr>
            </w:pPr>
          </w:p>
        </w:tc>
        <w:tc>
          <w:tcPr>
            <w:tcW w:w="12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(19,843)</w:t>
            </w:r>
          </w:p>
        </w:tc>
      </w:tr>
      <w:tr>
        <w:trPr>
          <w:trHeight w:val="203"/>
        </w:trPr>
        <w:tc>
          <w:tcPr>
            <w:tcW w:w="8060" w:type="dxa"/>
            <w:vAlign w:val="bottom"/>
            <w:gridSpan w:val="2"/>
          </w:tcPr>
          <w:p>
            <w:pPr>
              <w:ind w:left="100"/>
              <w:spacing w:after="0"/>
              <w:rPr>
                <w:sz w:val="20"/>
                <w:szCs w:val="20"/>
                <w:color w:val="auto"/>
              </w:rPr>
            </w:pPr>
            <w:r>
              <w:rPr>
                <w:rFonts w:ascii="Arial" w:cs="Arial" w:eastAsia="Arial" w:hAnsi="Arial"/>
                <w:sz w:val="14"/>
                <w:szCs w:val="14"/>
                <w:color w:val="131E29"/>
              </w:rPr>
              <w:t>Deferred revenue, net of current portion, gift card and loyalty programs</w:t>
            </w:r>
          </w:p>
        </w:tc>
        <w:tc>
          <w:tcPr>
            <w:tcW w:w="36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4"/>
                <w:szCs w:val="14"/>
                <w:color w:val="131E2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rPr>
              <w:t>4,156</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4"/>
                <w:szCs w:val="14"/>
                <w:color w:val="131E29"/>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rPr>
              <w:t>2,922</w:t>
            </w:r>
          </w:p>
        </w:tc>
      </w:tr>
      <w:tr>
        <w:trPr>
          <w:trHeight w:val="20"/>
        </w:trPr>
        <w:tc>
          <w:tcPr>
            <w:tcW w:w="7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Revenue recognized related to loyalty points collected that was included in deferred revenue as of the end of the previous year was $9.2 million for the year ended December 31, 2022. See NOTE 2 — Basis of Presentation and Summary of Significant Accounting Policies for further details.</w:t>
      </w:r>
    </w:p>
    <w:p>
      <w:pPr>
        <w:spacing w:after="0" w:line="11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Revenue recognized related to gift card redemptions that was included in deferred revenue as of the end of the previous years was $4.0 million and $3.8 million for the year ended December 31, 2022 and 2021, respectively. These amounts exclude cash loads and transactions for the Company’s loyalty rewards program.</w:t>
      </w:r>
    </w:p>
    <w:p>
      <w:pPr>
        <w:spacing w:after="0" w:line="11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Deferred revenue also includes sales to distributors where the performance obligation has not been satisfied and control has not been transferred to the customer as of the reporting date, as well as initial unearned franchise fees from franchise partners. These deferred revenues reported in the Company’s consolidated balance sheets were as follows: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7"/>
                <w:szCs w:val="17"/>
                <w:color w:val="auto"/>
              </w:rPr>
            </w:pPr>
          </w:p>
        </w:tc>
        <w:tc>
          <w:tcPr>
            <w:tcW w:w="160" w:type="dxa"/>
            <w:vAlign w:val="bottom"/>
            <w:tcBorders>
              <w:bottom w:val="single" w:sz="8" w:color="131E29"/>
            </w:tcBorders>
          </w:tcPr>
          <w:p>
            <w:pPr>
              <w:spacing w:after="0"/>
              <w:rPr>
                <w:sz w:val="17"/>
                <w:szCs w:val="17"/>
                <w:color w:val="auto"/>
              </w:rPr>
            </w:pPr>
          </w:p>
        </w:tc>
        <w:tc>
          <w:tcPr>
            <w:tcW w:w="1560" w:type="dxa"/>
            <w:vAlign w:val="bottom"/>
            <w:tcBorders>
              <w:bottom w:val="single" w:sz="8" w:color="131E29"/>
            </w:tcBorders>
          </w:tcPr>
          <w:p>
            <w:pPr>
              <w:ind w:left="60"/>
              <w:spacing w:after="0"/>
              <w:rPr>
                <w:sz w:val="20"/>
                <w:szCs w:val="20"/>
                <w:color w:val="auto"/>
              </w:rPr>
            </w:pPr>
            <w:r>
              <w:rPr>
                <w:rFonts w:ascii="Arial" w:cs="Arial" w:eastAsia="Arial" w:hAnsi="Arial"/>
                <w:sz w:val="14"/>
                <w:szCs w:val="14"/>
                <w:b w:val="1"/>
                <w:bCs w:val="1"/>
                <w:color w:val="131E29"/>
              </w:rPr>
              <w:t>December 31, 2022</w:t>
            </w:r>
          </w:p>
        </w:tc>
        <w:tc>
          <w:tcPr>
            <w:tcW w:w="80" w:type="dxa"/>
            <w:vAlign w:val="bottom"/>
            <w:tcBorders>
              <w:bottom w:val="single" w:sz="8" w:color="D2DCE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131E29"/>
              </w:rPr>
              <w:t>December 31, 2021</w:t>
            </w:r>
          </w:p>
        </w:tc>
      </w:tr>
      <w:tr>
        <w:trPr>
          <w:trHeight w:val="192"/>
        </w:trPr>
        <w:tc>
          <w:tcPr>
            <w:tcW w:w="77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Outstanding performance obligations</w:t>
            </w:r>
          </w:p>
        </w:tc>
        <w:tc>
          <w:tcPr>
            <w:tcW w:w="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560" w:type="dxa"/>
            <w:vAlign w:val="bottom"/>
            <w:tcBorders>
              <w:bottom w:val="single" w:sz="8" w:color="D2DCE5"/>
            </w:tcBorders>
            <w:shd w:val="clear" w:color="auto" w:fill="D2DCE5"/>
          </w:tcPr>
          <w:p>
            <w:pPr>
              <w:jc w:val="center"/>
              <w:ind w:left="1009"/>
              <w:spacing w:after="0"/>
              <w:rPr>
                <w:sz w:val="20"/>
                <w:szCs w:val="20"/>
                <w:color w:val="auto"/>
              </w:rPr>
            </w:pPr>
            <w:r>
              <w:rPr>
                <w:rFonts w:ascii="Arial" w:cs="Arial" w:eastAsia="Arial" w:hAnsi="Arial"/>
                <w:sz w:val="14"/>
                <w:szCs w:val="14"/>
                <w:color w:val="131E29"/>
              </w:rPr>
              <w:t>2,152</w:t>
            </w:r>
          </w:p>
        </w:tc>
        <w:tc>
          <w:tcPr>
            <w:tcW w:w="80" w:type="dxa"/>
            <w:vAlign w:val="bottom"/>
            <w:tcBorders>
              <w:bottom w:val="single" w:sz="8" w:color="D2DCE5"/>
            </w:tcBorders>
            <w:shd w:val="clear" w:color="auto" w:fill="D2DCE5"/>
          </w:tcPr>
          <w:p>
            <w:pPr>
              <w:spacing w:after="0"/>
              <w:rPr>
                <w:sz w:val="16"/>
                <w:szCs w:val="16"/>
                <w:color w:val="auto"/>
              </w:rPr>
            </w:pPr>
          </w:p>
        </w:tc>
        <w:tc>
          <w:tcPr>
            <w:tcW w:w="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540" w:type="dxa"/>
            <w:vAlign w:val="bottom"/>
            <w:tcBorders>
              <w:bottom w:val="single" w:sz="8" w:color="D2DCE5"/>
            </w:tcBorders>
            <w:shd w:val="clear" w:color="auto" w:fill="D2DCE5"/>
          </w:tcPr>
          <w:p>
            <w:pPr>
              <w:jc w:val="center"/>
              <w:ind w:left="989"/>
              <w:spacing w:after="0"/>
              <w:rPr>
                <w:sz w:val="20"/>
                <w:szCs w:val="20"/>
                <w:color w:val="auto"/>
              </w:rPr>
            </w:pPr>
            <w:r>
              <w:rPr>
                <w:rFonts w:ascii="Arial" w:cs="Arial" w:eastAsia="Arial" w:hAnsi="Arial"/>
                <w:sz w:val="14"/>
                <w:szCs w:val="14"/>
                <w:color w:val="131E29"/>
              </w:rPr>
              <w:t>2,512</w:t>
            </w:r>
          </w:p>
        </w:tc>
      </w:tr>
      <w:tr>
        <w:trPr>
          <w:trHeight w:val="191"/>
        </w:trPr>
        <w:tc>
          <w:tcPr>
            <w:tcW w:w="7780" w:type="dxa"/>
            <w:vAlign w:val="bottom"/>
            <w:gridSpan w:val="2"/>
          </w:tcPr>
          <w:p>
            <w:pPr>
              <w:ind w:left="20"/>
              <w:spacing w:after="0"/>
              <w:rPr>
                <w:sz w:val="20"/>
                <w:szCs w:val="20"/>
                <w:color w:val="auto"/>
              </w:rPr>
            </w:pPr>
            <w:r>
              <w:rPr>
                <w:rFonts w:ascii="Arial" w:cs="Arial" w:eastAsia="Arial" w:hAnsi="Arial"/>
                <w:sz w:val="14"/>
                <w:szCs w:val="14"/>
                <w:color w:val="131E29"/>
              </w:rPr>
              <w:t>Initial unearned franchise fees from franchise partners</w:t>
            </w:r>
          </w:p>
        </w:tc>
        <w:tc>
          <w:tcPr>
            <w:tcW w:w="160" w:type="dxa"/>
            <w:vAlign w:val="bottom"/>
          </w:tcPr>
          <w:p>
            <w:pPr>
              <w:spacing w:after="0"/>
              <w:rPr>
                <w:sz w:val="16"/>
                <w:szCs w:val="16"/>
                <w:color w:val="auto"/>
              </w:rPr>
            </w:pPr>
          </w:p>
        </w:tc>
        <w:tc>
          <w:tcPr>
            <w:tcW w:w="1560" w:type="dxa"/>
            <w:vAlign w:val="bottom"/>
          </w:tcPr>
          <w:p>
            <w:pPr>
              <w:jc w:val="center"/>
              <w:ind w:left="1009"/>
              <w:spacing w:after="0"/>
              <w:rPr>
                <w:sz w:val="20"/>
                <w:szCs w:val="20"/>
                <w:color w:val="auto"/>
              </w:rPr>
            </w:pPr>
            <w:r>
              <w:rPr>
                <w:rFonts w:ascii="Arial" w:cs="Arial" w:eastAsia="Arial" w:hAnsi="Arial"/>
                <w:sz w:val="14"/>
                <w:szCs w:val="14"/>
                <w:color w:val="131E29"/>
              </w:rPr>
              <w:t>2,398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center"/>
              <w:ind w:left="989"/>
              <w:spacing w:after="0"/>
              <w:rPr>
                <w:sz w:val="20"/>
                <w:szCs w:val="20"/>
                <w:color w:val="auto"/>
              </w:rPr>
            </w:pPr>
            <w:r>
              <w:rPr>
                <w:rFonts w:ascii="Arial" w:cs="Arial" w:eastAsia="Arial" w:hAnsi="Arial"/>
                <w:sz w:val="14"/>
                <w:szCs w:val="14"/>
                <w:color w:val="131E29"/>
              </w:rPr>
              <w:t>2,560</w:t>
            </w:r>
          </w:p>
        </w:tc>
      </w:tr>
      <w:tr>
        <w:trPr>
          <w:trHeight w:val="22"/>
        </w:trPr>
        <w:tc>
          <w:tcPr>
            <w:tcW w:w="770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83"/>
        </w:trPr>
        <w:tc>
          <w:tcPr>
            <w:tcW w:w="778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Total deferred revenue, excluding gift card and loyalty programs</w:t>
            </w:r>
          </w:p>
        </w:tc>
        <w:tc>
          <w:tcPr>
            <w:tcW w:w="160" w:type="dxa"/>
            <w:vAlign w:val="bottom"/>
            <w:tcBorders>
              <w:bottom w:val="single" w:sz="8" w:color="D2DCE5"/>
            </w:tcBorders>
            <w:shd w:val="clear" w:color="auto" w:fill="D2DCE5"/>
          </w:tcPr>
          <w:p>
            <w:pPr>
              <w:spacing w:after="0"/>
              <w:rPr>
                <w:sz w:val="15"/>
                <w:szCs w:val="15"/>
                <w:color w:val="auto"/>
              </w:rPr>
            </w:pPr>
          </w:p>
        </w:tc>
        <w:tc>
          <w:tcPr>
            <w:tcW w:w="1560" w:type="dxa"/>
            <w:vAlign w:val="bottom"/>
            <w:tcBorders>
              <w:bottom w:val="single" w:sz="8" w:color="D2DCE5"/>
            </w:tcBorders>
            <w:shd w:val="clear" w:color="auto" w:fill="D2DCE5"/>
          </w:tcPr>
          <w:p>
            <w:pPr>
              <w:jc w:val="center"/>
              <w:ind w:left="1009"/>
              <w:spacing w:after="0"/>
              <w:rPr>
                <w:sz w:val="20"/>
                <w:szCs w:val="20"/>
                <w:color w:val="auto"/>
              </w:rPr>
            </w:pPr>
            <w:r>
              <w:rPr>
                <w:rFonts w:ascii="Arial" w:cs="Arial" w:eastAsia="Arial" w:hAnsi="Arial"/>
                <w:sz w:val="14"/>
                <w:szCs w:val="14"/>
                <w:color w:val="131E29"/>
              </w:rPr>
              <w:t>4,550</w:t>
            </w:r>
          </w:p>
        </w:tc>
        <w:tc>
          <w:tcPr>
            <w:tcW w:w="80" w:type="dxa"/>
            <w:vAlign w:val="bottom"/>
            <w:tcBorders>
              <w:bottom w:val="single" w:sz="8" w:color="D2DCE5"/>
            </w:tcBorders>
            <w:shd w:val="clear" w:color="auto" w:fill="D2DCE5"/>
          </w:tcPr>
          <w:p>
            <w:pPr>
              <w:spacing w:after="0"/>
              <w:rPr>
                <w:sz w:val="15"/>
                <w:szCs w:val="15"/>
                <w:color w:val="auto"/>
              </w:rPr>
            </w:pPr>
          </w:p>
        </w:tc>
        <w:tc>
          <w:tcPr>
            <w:tcW w:w="160" w:type="dxa"/>
            <w:vAlign w:val="bottom"/>
            <w:tcBorders>
              <w:bottom w:val="single" w:sz="8" w:color="D2DCE5"/>
            </w:tcBorders>
            <w:shd w:val="clear" w:color="auto" w:fill="D2DCE5"/>
          </w:tcPr>
          <w:p>
            <w:pPr>
              <w:spacing w:after="0"/>
              <w:rPr>
                <w:sz w:val="15"/>
                <w:szCs w:val="15"/>
                <w:color w:val="auto"/>
              </w:rPr>
            </w:pPr>
          </w:p>
        </w:tc>
        <w:tc>
          <w:tcPr>
            <w:tcW w:w="1540" w:type="dxa"/>
            <w:vAlign w:val="bottom"/>
            <w:tcBorders>
              <w:bottom w:val="single" w:sz="8" w:color="D2DCE5"/>
            </w:tcBorders>
            <w:shd w:val="clear" w:color="auto" w:fill="D2DCE5"/>
          </w:tcPr>
          <w:p>
            <w:pPr>
              <w:jc w:val="center"/>
              <w:ind w:left="989"/>
              <w:spacing w:after="0"/>
              <w:rPr>
                <w:sz w:val="20"/>
                <w:szCs w:val="20"/>
                <w:color w:val="auto"/>
              </w:rPr>
            </w:pPr>
            <w:r>
              <w:rPr>
                <w:rFonts w:ascii="Arial" w:cs="Arial" w:eastAsia="Arial" w:hAnsi="Arial"/>
                <w:sz w:val="14"/>
                <w:szCs w:val="14"/>
                <w:color w:val="131E29"/>
              </w:rPr>
              <w:t>5,072</w:t>
            </w:r>
          </w:p>
        </w:tc>
      </w:tr>
      <w:tr>
        <w:trPr>
          <w:trHeight w:val="191"/>
        </w:trPr>
        <w:tc>
          <w:tcPr>
            <w:tcW w:w="7780" w:type="dxa"/>
            <w:vAlign w:val="bottom"/>
            <w:gridSpan w:val="2"/>
          </w:tcPr>
          <w:p>
            <w:pPr>
              <w:ind w:left="20"/>
              <w:spacing w:after="0"/>
              <w:rPr>
                <w:sz w:val="20"/>
                <w:szCs w:val="20"/>
                <w:color w:val="auto"/>
              </w:rPr>
            </w:pPr>
            <w:r>
              <w:rPr>
                <w:rFonts w:ascii="Arial" w:cs="Arial" w:eastAsia="Arial" w:hAnsi="Arial"/>
                <w:sz w:val="14"/>
                <w:szCs w:val="14"/>
                <w:color w:val="131E29"/>
              </w:rPr>
              <w:t>Less: current portion</w:t>
            </w:r>
          </w:p>
        </w:tc>
        <w:tc>
          <w:tcPr>
            <w:tcW w:w="160" w:type="dxa"/>
            <w:vAlign w:val="bottom"/>
          </w:tcPr>
          <w:p>
            <w:pPr>
              <w:spacing w:after="0"/>
              <w:rPr>
                <w:sz w:val="16"/>
                <w:szCs w:val="16"/>
                <w:color w:val="auto"/>
              </w:rPr>
            </w:pPr>
          </w:p>
        </w:tc>
        <w:tc>
          <w:tcPr>
            <w:tcW w:w="1560" w:type="dxa"/>
            <w:vAlign w:val="bottom"/>
          </w:tcPr>
          <w:p>
            <w:pPr>
              <w:jc w:val="center"/>
              <w:ind w:left="1009"/>
              <w:spacing w:after="0"/>
              <w:rPr>
                <w:sz w:val="20"/>
                <w:szCs w:val="20"/>
                <w:color w:val="auto"/>
              </w:rPr>
            </w:pPr>
            <w:r>
              <w:rPr>
                <w:rFonts w:ascii="Arial" w:cs="Arial" w:eastAsia="Arial" w:hAnsi="Arial"/>
                <w:sz w:val="14"/>
                <w:szCs w:val="14"/>
                <w:color w:val="131E29"/>
                <w:w w:val="99"/>
              </w:rPr>
              <w:t>(2,587)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center"/>
              <w:ind w:left="989"/>
              <w:spacing w:after="0"/>
              <w:rPr>
                <w:sz w:val="20"/>
                <w:szCs w:val="20"/>
                <w:color w:val="auto"/>
              </w:rPr>
            </w:pPr>
            <w:r>
              <w:rPr>
                <w:rFonts w:ascii="Arial" w:cs="Arial" w:eastAsia="Arial" w:hAnsi="Arial"/>
                <w:sz w:val="14"/>
                <w:szCs w:val="14"/>
                <w:color w:val="131E29"/>
                <w:w w:val="99"/>
              </w:rPr>
              <w:t>(2,964)</w:t>
            </w:r>
          </w:p>
        </w:tc>
      </w:tr>
      <w:tr>
        <w:trPr>
          <w:trHeight w:val="22"/>
        </w:trPr>
        <w:tc>
          <w:tcPr>
            <w:tcW w:w="770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28"/>
        </w:trPr>
        <w:tc>
          <w:tcPr>
            <w:tcW w:w="778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Deferred revenue, net of current portion, excluding gift card and loyalty programs</w:t>
            </w:r>
          </w:p>
        </w:tc>
        <w:tc>
          <w:tcPr>
            <w:tcW w:w="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560" w:type="dxa"/>
            <w:vAlign w:val="bottom"/>
            <w:tcBorders>
              <w:bottom w:val="single" w:sz="8" w:color="auto"/>
            </w:tcBorders>
            <w:shd w:val="clear" w:color="auto" w:fill="D2DCE5"/>
          </w:tcPr>
          <w:p>
            <w:pPr>
              <w:jc w:val="center"/>
              <w:ind w:left="1009"/>
              <w:spacing w:after="0"/>
              <w:rPr>
                <w:sz w:val="20"/>
                <w:szCs w:val="20"/>
                <w:color w:val="auto"/>
              </w:rPr>
            </w:pPr>
            <w:r>
              <w:rPr>
                <w:rFonts w:ascii="Arial" w:cs="Arial" w:eastAsia="Arial" w:hAnsi="Arial"/>
                <w:sz w:val="14"/>
                <w:szCs w:val="14"/>
                <w:color w:val="131E29"/>
              </w:rPr>
              <w:t>1,963</w:t>
            </w:r>
          </w:p>
        </w:tc>
        <w:tc>
          <w:tcPr>
            <w:tcW w:w="80" w:type="dxa"/>
            <w:vAlign w:val="bottom"/>
            <w:tcBorders>
              <w:bottom w:val="single" w:sz="8" w:color="D2DCE5"/>
            </w:tcBorders>
            <w:shd w:val="clear" w:color="auto" w:fill="D2DCE5"/>
          </w:tcPr>
          <w:p>
            <w:pPr>
              <w:spacing w:after="0"/>
              <w:rPr>
                <w:sz w:val="19"/>
                <w:szCs w:val="19"/>
                <w:color w:val="auto"/>
              </w:rPr>
            </w:pPr>
          </w:p>
        </w:tc>
        <w:tc>
          <w:tcPr>
            <w:tcW w:w="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540" w:type="dxa"/>
            <w:vAlign w:val="bottom"/>
            <w:tcBorders>
              <w:bottom w:val="single" w:sz="8" w:color="auto"/>
            </w:tcBorders>
            <w:shd w:val="clear" w:color="auto" w:fill="D2DCE5"/>
          </w:tcPr>
          <w:p>
            <w:pPr>
              <w:jc w:val="center"/>
              <w:ind w:left="989"/>
              <w:spacing w:after="0"/>
              <w:rPr>
                <w:sz w:val="20"/>
                <w:szCs w:val="20"/>
                <w:color w:val="auto"/>
              </w:rPr>
            </w:pPr>
            <w:r>
              <w:rPr>
                <w:rFonts w:ascii="Arial" w:cs="Arial" w:eastAsia="Arial" w:hAnsi="Arial"/>
                <w:sz w:val="14"/>
                <w:szCs w:val="14"/>
                <w:color w:val="131E29"/>
              </w:rPr>
              <w:t>2,108</w:t>
            </w:r>
          </w:p>
        </w:tc>
      </w:tr>
      <w:tr>
        <w:trPr>
          <w:trHeight w:val="20"/>
        </w:trPr>
        <w:tc>
          <w:tcPr>
            <w:tcW w:w="770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D2DCE5"/>
              <w:bottom w:val="single" w:sz="8" w:color="auto"/>
            </w:tcBorders>
          </w:tcPr>
          <w:p>
            <w:pPr>
              <w:spacing w:after="0" w:line="20" w:lineRule="exact"/>
              <w:rPr>
                <w:sz w:val="1"/>
                <w:szCs w:val="1"/>
                <w:color w:val="auto"/>
              </w:rPr>
            </w:pPr>
          </w:p>
        </w:tc>
        <w:tc>
          <w:tcPr>
            <w:tcW w:w="15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D2DCE5"/>
              <w:bottom w:val="single" w:sz="8" w:color="auto"/>
            </w:tcBorders>
          </w:tcPr>
          <w:p>
            <w:pPr>
              <w:spacing w:after="0" w:line="20" w:lineRule="exact"/>
              <w:rPr>
                <w:sz w:val="1"/>
                <w:szCs w:val="1"/>
                <w:color w:val="auto"/>
              </w:rPr>
            </w:pPr>
          </w:p>
        </w:tc>
        <w:tc>
          <w:tcPr>
            <w:tcW w:w="1540" w:type="dxa"/>
            <w:vAlign w:val="bottom"/>
            <w:tcBorders>
              <w:top w:val="single" w:sz="8" w:color="D2DC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115" w:name="page116"/>
    <w:bookmarkEnd w:id="115"/>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131E29"/>
        </w:rPr>
        <w:t>Revenue recognized from initial unearned franchise fees was as follows for the periods presented: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0" w:type="dxa"/>
            <w:vAlign w:val="bottom"/>
            <w:gridSpan w:val="6"/>
          </w:tcPr>
          <w:p>
            <w:pPr>
              <w:jc w:val="center"/>
              <w:ind w:left="9"/>
              <w:spacing w:after="0"/>
              <w:rPr>
                <w:sz w:val="20"/>
                <w:szCs w:val="20"/>
                <w:color w:val="auto"/>
              </w:rPr>
            </w:pPr>
            <w:r>
              <w:rPr>
                <w:rFonts w:ascii="Arial" w:cs="Arial" w:eastAsia="Arial" w:hAnsi="Arial"/>
                <w:sz w:val="14"/>
                <w:szCs w:val="14"/>
                <w:b w:val="1"/>
                <w:bCs w:val="1"/>
                <w:color w:val="131E29"/>
                <w:w w:val="99"/>
              </w:rPr>
              <w:t>Year Ended December 31,</w:t>
            </w:r>
          </w:p>
        </w:tc>
        <w:tc>
          <w:tcPr>
            <w:tcW w:w="1000" w:type="dxa"/>
            <w:vAlign w:val="bottom"/>
          </w:tcPr>
          <w:p>
            <w:pPr>
              <w:spacing w:after="0"/>
              <w:rPr>
                <w:sz w:val="16"/>
                <w:szCs w:val="16"/>
                <w:color w:val="auto"/>
              </w:rPr>
            </w:pPr>
          </w:p>
        </w:tc>
      </w:tr>
      <w:tr>
        <w:trPr>
          <w:trHeight w:val="22"/>
        </w:trPr>
        <w:tc>
          <w:tcPr>
            <w:tcW w:w="7160" w:type="dxa"/>
            <w:vAlign w:val="bottom"/>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3"/>
        </w:trPr>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6"/>
                <w:szCs w:val="16"/>
                <w:color w:val="auto"/>
              </w:rPr>
            </w:pPr>
          </w:p>
        </w:tc>
        <w:tc>
          <w:tcPr>
            <w:tcW w:w="9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131E29"/>
              </w:rPr>
              <w:t>2022</w:t>
            </w: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D2DCE5"/>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2021</w:t>
            </w:r>
          </w:p>
        </w:tc>
        <w:tc>
          <w:tcPr>
            <w:tcW w:w="80" w:type="dxa"/>
            <w:vAlign w:val="bottom"/>
            <w:tcBorders>
              <w:bottom w:val="single" w:sz="8" w:color="D2DCE5"/>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2020</w:t>
            </w:r>
          </w:p>
        </w:tc>
      </w:tr>
      <w:tr>
        <w:trPr>
          <w:trHeight w:val="237"/>
        </w:trPr>
        <w:tc>
          <w:tcPr>
            <w:tcW w:w="71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Earned franchise fees</w:t>
            </w:r>
          </w:p>
        </w:tc>
        <w:tc>
          <w:tcPr>
            <w:tcW w:w="920" w:type="dxa"/>
            <w:vAlign w:val="bottom"/>
            <w:tcBorders>
              <w:bottom w:val="single" w:sz="8" w:color="auto"/>
            </w:tcBorders>
            <w:shd w:val="clear" w:color="auto" w:fill="D2DCE5"/>
          </w:tcPr>
          <w:p>
            <w:pPr>
              <w:jc w:val="right"/>
              <w:ind w:right="749"/>
              <w:spacing w:after="0"/>
              <w:rPr>
                <w:sz w:val="20"/>
                <w:szCs w:val="20"/>
                <w:color w:val="auto"/>
              </w:rPr>
            </w:pPr>
            <w:r>
              <w:rPr>
                <w:rFonts w:ascii="Arial" w:cs="Arial" w:eastAsia="Arial" w:hAnsi="Arial"/>
                <w:sz w:val="14"/>
                <w:szCs w:val="14"/>
                <w:color w:val="131E29"/>
              </w:rPr>
              <w:t>$</w:t>
            </w:r>
          </w:p>
        </w:tc>
        <w:tc>
          <w:tcPr>
            <w:tcW w:w="4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507</w:t>
            </w:r>
          </w:p>
        </w:tc>
        <w:tc>
          <w:tcPr>
            <w:tcW w:w="80" w:type="dxa"/>
            <w:vAlign w:val="bottom"/>
            <w:tcBorders>
              <w:bottom w:val="single" w:sz="8" w:color="D2DCE5"/>
            </w:tcBorders>
            <w:shd w:val="clear" w:color="auto" w:fill="D2DCE5"/>
          </w:tcPr>
          <w:p>
            <w:pPr>
              <w:spacing w:after="0"/>
              <w:rPr>
                <w:sz w:val="20"/>
                <w:szCs w:val="20"/>
                <w:color w:val="auto"/>
              </w:rPr>
            </w:pPr>
          </w:p>
        </w:tc>
        <w:tc>
          <w:tcPr>
            <w:tcW w:w="300" w:type="dxa"/>
            <w:vAlign w:val="bottom"/>
            <w:tcBorders>
              <w:bottom w:val="single" w:sz="8" w:color="auto"/>
            </w:tcBorders>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630</w:t>
            </w:r>
          </w:p>
        </w:tc>
        <w:tc>
          <w:tcPr>
            <w:tcW w:w="80" w:type="dxa"/>
            <w:vAlign w:val="bottom"/>
            <w:tcBorders>
              <w:bottom w:val="single" w:sz="8" w:color="D2DCE5"/>
            </w:tcBorders>
            <w:shd w:val="clear" w:color="auto" w:fill="D2DCE5"/>
          </w:tcPr>
          <w:p>
            <w:pPr>
              <w:spacing w:after="0"/>
              <w:rPr>
                <w:sz w:val="20"/>
                <w:szCs w:val="20"/>
                <w:color w:val="auto"/>
              </w:rPr>
            </w:pPr>
          </w:p>
        </w:tc>
        <w:tc>
          <w:tcPr>
            <w:tcW w:w="320" w:type="dxa"/>
            <w:vAlign w:val="bottom"/>
            <w:tcBorders>
              <w:bottom w:val="single" w:sz="8" w:color="auto"/>
            </w:tcBorders>
            <w:shd w:val="clear" w:color="auto" w:fill="D2DCE5"/>
          </w:tcPr>
          <w:p>
            <w:pPr>
              <w:jc w:val="right"/>
              <w:ind w:right="149"/>
              <w:spacing w:after="0"/>
              <w:rPr>
                <w:sz w:val="20"/>
                <w:szCs w:val="20"/>
                <w:color w:val="auto"/>
              </w:rPr>
            </w:pPr>
            <w:r>
              <w:rPr>
                <w:rFonts w:ascii="Arial" w:cs="Arial" w:eastAsia="Arial" w:hAnsi="Arial"/>
                <w:sz w:val="14"/>
                <w:szCs w:val="14"/>
                <w:color w:val="131E29"/>
              </w:rPr>
              <w:t>$</w:t>
            </w:r>
          </w:p>
        </w:tc>
        <w:tc>
          <w:tcPr>
            <w:tcW w:w="10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496</w:t>
            </w:r>
          </w:p>
        </w:tc>
      </w:tr>
      <w:tr>
        <w:trPr>
          <w:trHeight w:val="20"/>
        </w:trPr>
        <w:tc>
          <w:tcPr>
            <w:tcW w:w="708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920" w:type="dxa"/>
            <w:vAlign w:val="bottom"/>
            <w:tcBorders>
              <w:top w:val="single" w:sz="8" w:color="D2DCE5"/>
              <w:bottom w:val="single" w:sz="8" w:color="auto"/>
            </w:tcBorders>
          </w:tcPr>
          <w:p>
            <w:pPr>
              <w:spacing w:after="0" w:line="20" w:lineRule="exact"/>
              <w:rPr>
                <w:sz w:val="1"/>
                <w:szCs w:val="1"/>
                <w:color w:val="auto"/>
              </w:rPr>
            </w:pPr>
          </w:p>
        </w:tc>
        <w:tc>
          <w:tcPr>
            <w:tcW w:w="40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20" w:type="dxa"/>
            <w:vAlign w:val="bottom"/>
            <w:tcBorders>
              <w:top w:val="single" w:sz="8" w:color="D2DCE5"/>
              <w:bottom w:val="single" w:sz="8" w:color="auto"/>
            </w:tcBorders>
          </w:tcPr>
          <w:p>
            <w:pPr>
              <w:spacing w:after="0" w:line="20" w:lineRule="exact"/>
              <w:rPr>
                <w:sz w:val="1"/>
                <w:szCs w:val="1"/>
                <w:color w:val="auto"/>
              </w:rPr>
            </w:pPr>
          </w:p>
        </w:tc>
        <w:tc>
          <w:tcPr>
            <w:tcW w:w="1000" w:type="dxa"/>
            <w:vAlign w:val="bottom"/>
            <w:tcBorders>
              <w:top w:val="single" w:sz="8" w:color="D2DCE5"/>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Revenue recognized from earned franchise fees that was included in unearned revenue at the beginning of the year was $0.5 million and $0.6 million for the years ended December 31, 2022 and 2021,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131E29"/>
        </w:rPr>
        <w:t>Future amortization of initial unearned franchise fees as of December 31, 2022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9720" w:type="dxa"/>
            <w:vAlign w:val="bottom"/>
            <w:gridSpan w:val="2"/>
          </w:tcPr>
          <w:p>
            <w:pPr>
              <w:ind w:left="20"/>
              <w:spacing w:after="0"/>
              <w:rPr>
                <w:sz w:val="20"/>
                <w:szCs w:val="20"/>
                <w:color w:val="auto"/>
              </w:rPr>
            </w:pPr>
            <w:r>
              <w:rPr>
                <w:rFonts w:ascii="Arial" w:cs="Arial" w:eastAsia="Arial" w:hAnsi="Arial"/>
                <w:sz w:val="11"/>
                <w:szCs w:val="11"/>
                <w:color w:val="131E29"/>
              </w:rPr>
              <w:t>(in thousands)</w:t>
            </w: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92"/>
        </w:trPr>
        <w:tc>
          <w:tcPr>
            <w:tcW w:w="9620" w:type="dxa"/>
            <w:vAlign w:val="bottom"/>
            <w:tcBorders>
              <w:top w:val="single" w:sz="8" w:color="auto"/>
              <w:bottom w:val="single" w:sz="8" w:color="D2DCE5"/>
            </w:tcBorders>
            <w:shd w:val="clear" w:color="auto" w:fill="D2DCE5"/>
          </w:tcPr>
          <w:p>
            <w:pPr>
              <w:ind w:left="20"/>
              <w:spacing w:after="0"/>
              <w:rPr>
                <w:sz w:val="20"/>
                <w:szCs w:val="20"/>
                <w:color w:val="auto"/>
              </w:rPr>
            </w:pPr>
            <w:r>
              <w:rPr>
                <w:rFonts w:ascii="Arial" w:cs="Arial" w:eastAsia="Arial" w:hAnsi="Arial"/>
                <w:sz w:val="14"/>
                <w:szCs w:val="14"/>
                <w:color w:val="131E29"/>
              </w:rPr>
              <w:t>2023</w:t>
            </w:r>
          </w:p>
        </w:tc>
        <w:tc>
          <w:tcPr>
            <w:tcW w:w="100" w:type="dxa"/>
            <w:vAlign w:val="bottom"/>
            <w:tcBorders>
              <w:top w:val="single" w:sz="8" w:color="D2DCE5"/>
              <w:bottom w:val="single" w:sz="8" w:color="D2DCE5"/>
            </w:tcBorders>
            <w:shd w:val="clear" w:color="auto" w:fill="D2DCE5"/>
          </w:tcPr>
          <w:p>
            <w:pPr>
              <w:spacing w:after="0"/>
              <w:rPr>
                <w:sz w:val="16"/>
                <w:szCs w:val="16"/>
                <w:color w:val="auto"/>
              </w:rPr>
            </w:pPr>
          </w:p>
        </w:tc>
        <w:tc>
          <w:tcPr>
            <w:tcW w:w="620" w:type="dxa"/>
            <w:vAlign w:val="bottom"/>
            <w:tcBorders>
              <w:top w:val="single" w:sz="8" w:color="auto"/>
              <w:bottom w:val="single" w:sz="8" w:color="D2DCE5"/>
            </w:tcBorders>
            <w:shd w:val="clear" w:color="auto" w:fill="D2DCE5"/>
          </w:tcPr>
          <w:p>
            <w:pPr>
              <w:jc w:val="right"/>
              <w:ind w:right="469"/>
              <w:spacing w:after="0"/>
              <w:rPr>
                <w:sz w:val="20"/>
                <w:szCs w:val="20"/>
                <w:color w:val="auto"/>
              </w:rPr>
            </w:pPr>
            <w:r>
              <w:rPr>
                <w:rFonts w:ascii="Arial" w:cs="Arial" w:eastAsia="Arial" w:hAnsi="Arial"/>
                <w:sz w:val="14"/>
                <w:szCs w:val="14"/>
                <w:color w:val="131E29"/>
                <w:w w:val="76"/>
              </w:rPr>
              <w:t>$</w:t>
            </w:r>
          </w:p>
        </w:tc>
        <w:tc>
          <w:tcPr>
            <w:tcW w:w="940" w:type="dxa"/>
            <w:vAlign w:val="bottom"/>
            <w:tcBorders>
              <w:top w:val="single" w:sz="8" w:color="auto"/>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434</w:t>
            </w:r>
          </w:p>
        </w:tc>
      </w:tr>
      <w:tr>
        <w:trPr>
          <w:trHeight w:val="191"/>
        </w:trPr>
        <w:tc>
          <w:tcPr>
            <w:tcW w:w="9620" w:type="dxa"/>
            <w:vAlign w:val="bottom"/>
          </w:tcPr>
          <w:p>
            <w:pPr>
              <w:ind w:left="20"/>
              <w:spacing w:after="0"/>
              <w:rPr>
                <w:sz w:val="20"/>
                <w:szCs w:val="20"/>
                <w:color w:val="auto"/>
              </w:rPr>
            </w:pPr>
            <w:r>
              <w:rPr>
                <w:rFonts w:ascii="Arial" w:cs="Arial" w:eastAsia="Arial" w:hAnsi="Arial"/>
                <w:sz w:val="14"/>
                <w:szCs w:val="14"/>
                <w:color w:val="131E29"/>
              </w:rPr>
              <w:t>2024</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131E29"/>
              </w:rPr>
              <w:t>376</w:t>
            </w:r>
          </w:p>
        </w:tc>
      </w:tr>
      <w:tr>
        <w:trPr>
          <w:trHeight w:val="22"/>
        </w:trPr>
        <w:tc>
          <w:tcPr>
            <w:tcW w:w="9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962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4"/>
                <w:szCs w:val="14"/>
                <w:color w:val="131E29"/>
              </w:rPr>
              <w:t>2025</w:t>
            </w:r>
          </w:p>
        </w:tc>
        <w:tc>
          <w:tcPr>
            <w:tcW w:w="100" w:type="dxa"/>
            <w:vAlign w:val="bottom"/>
            <w:tcBorders>
              <w:bottom w:val="single" w:sz="8" w:color="D2DCE5"/>
            </w:tcBorders>
            <w:shd w:val="clear" w:color="auto" w:fill="D2DCE5"/>
          </w:tcPr>
          <w:p>
            <w:pPr>
              <w:spacing w:after="0"/>
              <w:rPr>
                <w:sz w:val="16"/>
                <w:szCs w:val="16"/>
                <w:color w:val="auto"/>
              </w:rPr>
            </w:pPr>
          </w:p>
        </w:tc>
        <w:tc>
          <w:tcPr>
            <w:tcW w:w="620" w:type="dxa"/>
            <w:vAlign w:val="bottom"/>
            <w:tcBorders>
              <w:bottom w:val="single" w:sz="8" w:color="D2DCE5"/>
            </w:tcBorders>
            <w:shd w:val="clear" w:color="auto" w:fill="D2DCE5"/>
          </w:tcPr>
          <w:p>
            <w:pPr>
              <w:spacing w:after="0"/>
              <w:rPr>
                <w:sz w:val="16"/>
                <w:szCs w:val="16"/>
                <w:color w:val="auto"/>
              </w:rPr>
            </w:pPr>
          </w:p>
        </w:tc>
        <w:tc>
          <w:tcPr>
            <w:tcW w:w="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322</w:t>
            </w:r>
          </w:p>
        </w:tc>
      </w:tr>
      <w:tr>
        <w:trPr>
          <w:trHeight w:val="191"/>
        </w:trPr>
        <w:tc>
          <w:tcPr>
            <w:tcW w:w="9620" w:type="dxa"/>
            <w:vAlign w:val="bottom"/>
          </w:tcPr>
          <w:p>
            <w:pPr>
              <w:ind w:left="20"/>
              <w:spacing w:after="0"/>
              <w:rPr>
                <w:sz w:val="20"/>
                <w:szCs w:val="20"/>
                <w:color w:val="auto"/>
              </w:rPr>
            </w:pPr>
            <w:r>
              <w:rPr>
                <w:rFonts w:ascii="Arial" w:cs="Arial" w:eastAsia="Arial" w:hAnsi="Arial"/>
                <w:sz w:val="14"/>
                <w:szCs w:val="14"/>
                <w:color w:val="131E29"/>
              </w:rPr>
              <w:t>2026</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131E29"/>
              </w:rPr>
              <w:t>280</w:t>
            </w:r>
          </w:p>
        </w:tc>
      </w:tr>
      <w:tr>
        <w:trPr>
          <w:trHeight w:val="22"/>
        </w:trPr>
        <w:tc>
          <w:tcPr>
            <w:tcW w:w="9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962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4"/>
                <w:szCs w:val="14"/>
                <w:color w:val="131E29"/>
              </w:rPr>
              <w:t>2027</w:t>
            </w:r>
          </w:p>
        </w:tc>
        <w:tc>
          <w:tcPr>
            <w:tcW w:w="100" w:type="dxa"/>
            <w:vAlign w:val="bottom"/>
            <w:tcBorders>
              <w:bottom w:val="single" w:sz="8" w:color="D2DCE5"/>
            </w:tcBorders>
            <w:shd w:val="clear" w:color="auto" w:fill="D2DCE5"/>
          </w:tcPr>
          <w:p>
            <w:pPr>
              <w:spacing w:after="0"/>
              <w:rPr>
                <w:sz w:val="16"/>
                <w:szCs w:val="16"/>
                <w:color w:val="auto"/>
              </w:rPr>
            </w:pPr>
          </w:p>
        </w:tc>
        <w:tc>
          <w:tcPr>
            <w:tcW w:w="620" w:type="dxa"/>
            <w:vAlign w:val="bottom"/>
            <w:tcBorders>
              <w:bottom w:val="single" w:sz="8" w:color="D2DCE5"/>
            </w:tcBorders>
            <w:shd w:val="clear" w:color="auto" w:fill="D2DCE5"/>
          </w:tcPr>
          <w:p>
            <w:pPr>
              <w:spacing w:after="0"/>
              <w:rPr>
                <w:sz w:val="16"/>
                <w:szCs w:val="16"/>
                <w:color w:val="auto"/>
              </w:rPr>
            </w:pPr>
          </w:p>
        </w:tc>
        <w:tc>
          <w:tcPr>
            <w:tcW w:w="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235</w:t>
            </w:r>
          </w:p>
        </w:tc>
      </w:tr>
      <w:tr>
        <w:trPr>
          <w:trHeight w:val="191"/>
        </w:trPr>
        <w:tc>
          <w:tcPr>
            <w:tcW w:w="9720" w:type="dxa"/>
            <w:vAlign w:val="bottom"/>
            <w:gridSpan w:val="2"/>
          </w:tcPr>
          <w:p>
            <w:pPr>
              <w:ind w:left="20"/>
              <w:spacing w:after="0"/>
              <w:rPr>
                <w:sz w:val="20"/>
                <w:szCs w:val="20"/>
                <w:color w:val="auto"/>
              </w:rPr>
            </w:pPr>
            <w:r>
              <w:rPr>
                <w:rFonts w:ascii="Arial" w:cs="Arial" w:eastAsia="Arial" w:hAnsi="Arial"/>
                <w:sz w:val="14"/>
                <w:szCs w:val="14"/>
                <w:color w:val="131E29"/>
              </w:rPr>
              <w:t>Thereafter</w:t>
            </w:r>
          </w:p>
        </w:tc>
        <w:tc>
          <w:tcPr>
            <w:tcW w:w="6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131E29"/>
              </w:rPr>
              <w:t>751</w:t>
            </w:r>
          </w:p>
        </w:tc>
      </w:tr>
      <w:tr>
        <w:trPr>
          <w:trHeight w:val="22"/>
        </w:trPr>
        <w:tc>
          <w:tcPr>
            <w:tcW w:w="9620" w:type="dxa"/>
            <w:vAlign w:val="bottom"/>
            <w:tcBorders>
              <w:bottom w:val="single" w:sz="8" w:color="D2DCE5"/>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8"/>
        </w:trPr>
        <w:tc>
          <w:tcPr>
            <w:tcW w:w="97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Total</w:t>
            </w:r>
          </w:p>
        </w:tc>
        <w:tc>
          <w:tcPr>
            <w:tcW w:w="620" w:type="dxa"/>
            <w:vAlign w:val="bottom"/>
            <w:tcBorders>
              <w:bottom w:val="single" w:sz="8" w:color="auto"/>
            </w:tcBorders>
            <w:shd w:val="clear" w:color="auto" w:fill="D2DCE5"/>
          </w:tcPr>
          <w:p>
            <w:pPr>
              <w:jc w:val="right"/>
              <w:ind w:right="469"/>
              <w:spacing w:after="0"/>
              <w:rPr>
                <w:sz w:val="20"/>
                <w:szCs w:val="20"/>
                <w:color w:val="auto"/>
              </w:rPr>
            </w:pPr>
            <w:r>
              <w:rPr>
                <w:rFonts w:ascii="Arial" w:cs="Arial" w:eastAsia="Arial" w:hAnsi="Arial"/>
                <w:sz w:val="14"/>
                <w:szCs w:val="14"/>
                <w:color w:val="131E29"/>
                <w:w w:val="76"/>
              </w:rPr>
              <w:t>$</w:t>
            </w: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2,398</w:t>
            </w:r>
          </w:p>
        </w:tc>
      </w:tr>
      <w:tr>
        <w:trPr>
          <w:trHeight w:val="20"/>
        </w:trPr>
        <w:tc>
          <w:tcPr>
            <w:tcW w:w="962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620" w:type="dxa"/>
            <w:vAlign w:val="bottom"/>
            <w:tcBorders>
              <w:top w:val="single" w:sz="8" w:color="D2DCE5"/>
              <w:bottom w:val="single" w:sz="8" w:color="auto"/>
            </w:tcBorders>
          </w:tcPr>
          <w:p>
            <w:pPr>
              <w:spacing w:after="0" w:line="20" w:lineRule="exact"/>
              <w:rPr>
                <w:sz w:val="1"/>
                <w:szCs w:val="1"/>
                <w:color w:val="auto"/>
              </w:rPr>
            </w:pPr>
          </w:p>
        </w:tc>
        <w:tc>
          <w:tcPr>
            <w:tcW w:w="940" w:type="dxa"/>
            <w:vAlign w:val="bottom"/>
            <w:tcBorders>
              <w:top w:val="single" w:sz="8" w:color="D2DCE5"/>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4 — Shop Acquisitions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During the year ended December 31, 2022, the Company repurchased the franchise rights and assets of five shops from one franchise partner in California. For the year ended December 31, 2021, the Company repurchased the franchise rights and assets of seven shops from two separate franchise partners in Washington. The following table summarizes the allocations of the purchase prices to the estimated fair values of assets acquired and liabilities assumed. The fair values for the 2022 and 2021 acquisitions are final.</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100" w:type="dxa"/>
            <w:vAlign w:val="bottom"/>
            <w:tcBorders>
              <w:bottom w:val="single" w:sz="8" w:color="D2DCE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131E29"/>
              </w:rPr>
              <w:t>December 31, 2022</w:t>
            </w:r>
          </w:p>
        </w:tc>
        <w:tc>
          <w:tcPr>
            <w:tcW w:w="80" w:type="dxa"/>
            <w:vAlign w:val="bottom"/>
            <w:tcBorders>
              <w:bottom w:val="single" w:sz="8" w:color="D2DCE5"/>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131E29"/>
              </w:rPr>
              <w:t>December 31, 2021</w:t>
            </w:r>
          </w:p>
        </w:tc>
      </w:tr>
      <w:tr>
        <w:trPr>
          <w:trHeight w:val="192"/>
        </w:trPr>
        <w:tc>
          <w:tcPr>
            <w:tcW w:w="76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Acquisition consideration:</w:t>
            </w:r>
          </w:p>
        </w:tc>
        <w:tc>
          <w:tcPr>
            <w:tcW w:w="160" w:type="dxa"/>
            <w:vAlign w:val="bottom"/>
            <w:tcBorders>
              <w:bottom w:val="single" w:sz="8" w:color="D2DCE5"/>
            </w:tcBorders>
            <w:shd w:val="clear" w:color="auto" w:fill="D2DCE5"/>
          </w:tcPr>
          <w:p>
            <w:pPr>
              <w:spacing w:after="0"/>
              <w:rPr>
                <w:sz w:val="16"/>
                <w:szCs w:val="16"/>
                <w:color w:val="auto"/>
              </w:rPr>
            </w:pPr>
          </w:p>
        </w:tc>
        <w:tc>
          <w:tcPr>
            <w:tcW w:w="164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180" w:type="dxa"/>
            <w:vAlign w:val="bottom"/>
            <w:tcBorders>
              <w:bottom w:val="single" w:sz="8" w:color="D2DCE5"/>
            </w:tcBorders>
            <w:shd w:val="clear" w:color="auto" w:fill="D2DCE5"/>
          </w:tcPr>
          <w:p>
            <w:pPr>
              <w:spacing w:after="0"/>
              <w:rPr>
                <w:sz w:val="16"/>
                <w:szCs w:val="16"/>
                <w:color w:val="auto"/>
              </w:rPr>
            </w:pPr>
          </w:p>
        </w:tc>
        <w:tc>
          <w:tcPr>
            <w:tcW w:w="1620" w:type="dxa"/>
            <w:vAlign w:val="bottom"/>
            <w:tcBorders>
              <w:bottom w:val="single" w:sz="8" w:color="D2DCE5"/>
            </w:tcBorders>
            <w:shd w:val="clear" w:color="auto" w:fill="D2DCE5"/>
          </w:tcPr>
          <w:p>
            <w:pPr>
              <w:spacing w:after="0"/>
              <w:rPr>
                <w:sz w:val="16"/>
                <w:szCs w:val="16"/>
                <w:color w:val="auto"/>
              </w:rPr>
            </w:pPr>
          </w:p>
        </w:tc>
      </w:tr>
      <w:tr>
        <w:trPr>
          <w:trHeight w:val="191"/>
        </w:trPr>
        <w:tc>
          <w:tcPr>
            <w:tcW w:w="7600" w:type="dxa"/>
            <w:vAlign w:val="bottom"/>
            <w:gridSpan w:val="2"/>
          </w:tcPr>
          <w:p>
            <w:pPr>
              <w:ind w:left="140"/>
              <w:spacing w:after="0"/>
              <w:rPr>
                <w:sz w:val="20"/>
                <w:szCs w:val="20"/>
                <w:color w:val="auto"/>
              </w:rPr>
            </w:pPr>
            <w:r>
              <w:rPr>
                <w:rFonts w:ascii="Arial" w:cs="Arial" w:eastAsia="Arial" w:hAnsi="Arial"/>
                <w:sz w:val="14"/>
                <w:szCs w:val="14"/>
                <w:color w:val="131E29"/>
              </w:rPr>
              <w:t>Purchase price consideration</w:t>
            </w:r>
          </w:p>
        </w:tc>
        <w:tc>
          <w:tcPr>
            <w:tcW w:w="160" w:type="dxa"/>
            <w:vAlign w:val="bottom"/>
          </w:tcPr>
          <w:p>
            <w:pPr>
              <w:jc w:val="right"/>
              <w:ind w:right="9"/>
              <w:spacing w:after="0"/>
              <w:rPr>
                <w:sz w:val="20"/>
                <w:szCs w:val="20"/>
                <w:color w:val="auto"/>
              </w:rPr>
            </w:pPr>
            <w:r>
              <w:rPr>
                <w:rFonts w:ascii="Arial" w:cs="Arial" w:eastAsia="Arial" w:hAnsi="Arial"/>
                <w:sz w:val="14"/>
                <w:szCs w:val="14"/>
                <w:color w:val="131E29"/>
                <w:w w:val="76"/>
              </w:rPr>
              <w:t>$</w:t>
            </w:r>
          </w:p>
        </w:tc>
        <w:tc>
          <w:tcPr>
            <w:tcW w:w="1640" w:type="dxa"/>
            <w:vAlign w:val="bottom"/>
          </w:tcPr>
          <w:p>
            <w:pPr>
              <w:jc w:val="right"/>
              <w:spacing w:after="0"/>
              <w:rPr>
                <w:sz w:val="20"/>
                <w:szCs w:val="20"/>
                <w:color w:val="auto"/>
              </w:rPr>
            </w:pPr>
            <w:r>
              <w:rPr>
                <w:rFonts w:ascii="Arial" w:cs="Arial" w:eastAsia="Arial" w:hAnsi="Arial"/>
                <w:sz w:val="14"/>
                <w:szCs w:val="14"/>
                <w:color w:val="131E29"/>
              </w:rPr>
              <w:t>6,051</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131E29"/>
              </w:rPr>
              <w:t>$</w:t>
            </w:r>
          </w:p>
        </w:tc>
        <w:tc>
          <w:tcPr>
            <w:tcW w:w="1620" w:type="dxa"/>
            <w:vAlign w:val="bottom"/>
          </w:tcPr>
          <w:p>
            <w:pPr>
              <w:jc w:val="right"/>
              <w:spacing w:after="0"/>
              <w:rPr>
                <w:sz w:val="20"/>
                <w:szCs w:val="20"/>
                <w:color w:val="auto"/>
              </w:rPr>
            </w:pPr>
            <w:r>
              <w:rPr>
                <w:rFonts w:ascii="Arial" w:cs="Arial" w:eastAsia="Arial" w:hAnsi="Arial"/>
                <w:sz w:val="14"/>
                <w:szCs w:val="14"/>
                <w:color w:val="131E29"/>
              </w:rPr>
              <w:t>5,387</w:t>
            </w:r>
          </w:p>
        </w:tc>
      </w:tr>
      <w:tr>
        <w:trPr>
          <w:trHeight w:val="22"/>
        </w:trPr>
        <w:tc>
          <w:tcPr>
            <w:tcW w:w="7500" w:type="dxa"/>
            <w:vAlign w:val="bottom"/>
            <w:tcBorders>
              <w:bottom w:val="single" w:sz="8" w:color="D2DCE5"/>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83"/>
        </w:trPr>
        <w:tc>
          <w:tcPr>
            <w:tcW w:w="760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Equipment and fixtures</w:t>
            </w:r>
          </w:p>
        </w:tc>
        <w:tc>
          <w:tcPr>
            <w:tcW w:w="160" w:type="dxa"/>
            <w:vAlign w:val="bottom"/>
            <w:tcBorders>
              <w:bottom w:val="single" w:sz="8" w:color="D2DCE5"/>
            </w:tcBorders>
            <w:shd w:val="clear" w:color="auto" w:fill="D2DCE5"/>
          </w:tcPr>
          <w:p>
            <w:pPr>
              <w:spacing w:after="0"/>
              <w:rPr>
                <w:sz w:val="15"/>
                <w:szCs w:val="15"/>
                <w:color w:val="auto"/>
              </w:rPr>
            </w:pPr>
          </w:p>
        </w:tc>
        <w:tc>
          <w:tcPr>
            <w:tcW w:w="16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197</w:t>
            </w:r>
          </w:p>
        </w:tc>
        <w:tc>
          <w:tcPr>
            <w:tcW w:w="80" w:type="dxa"/>
            <w:vAlign w:val="bottom"/>
            <w:tcBorders>
              <w:bottom w:val="single" w:sz="8" w:color="D2DCE5"/>
            </w:tcBorders>
            <w:shd w:val="clear" w:color="auto" w:fill="D2DCE5"/>
          </w:tcPr>
          <w:p>
            <w:pPr>
              <w:spacing w:after="0"/>
              <w:rPr>
                <w:sz w:val="15"/>
                <w:szCs w:val="15"/>
                <w:color w:val="auto"/>
              </w:rPr>
            </w:pPr>
          </w:p>
        </w:tc>
        <w:tc>
          <w:tcPr>
            <w:tcW w:w="180" w:type="dxa"/>
            <w:vAlign w:val="bottom"/>
            <w:tcBorders>
              <w:bottom w:val="single" w:sz="8" w:color="D2DCE5"/>
            </w:tcBorders>
            <w:shd w:val="clear" w:color="auto" w:fill="D2DCE5"/>
          </w:tcPr>
          <w:p>
            <w:pPr>
              <w:spacing w:after="0"/>
              <w:rPr>
                <w:sz w:val="15"/>
                <w:szCs w:val="15"/>
                <w:color w:val="auto"/>
              </w:rPr>
            </w:pPr>
          </w:p>
        </w:tc>
        <w:tc>
          <w:tcPr>
            <w:tcW w:w="16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178</w:t>
            </w:r>
          </w:p>
        </w:tc>
      </w:tr>
      <w:tr>
        <w:trPr>
          <w:trHeight w:val="191"/>
        </w:trPr>
        <w:tc>
          <w:tcPr>
            <w:tcW w:w="7600" w:type="dxa"/>
            <w:vAlign w:val="bottom"/>
            <w:gridSpan w:val="2"/>
          </w:tcPr>
          <w:p>
            <w:pPr>
              <w:ind w:left="140"/>
              <w:spacing w:after="0"/>
              <w:rPr>
                <w:sz w:val="20"/>
                <w:szCs w:val="20"/>
                <w:color w:val="auto"/>
              </w:rPr>
            </w:pPr>
            <w:r>
              <w:rPr>
                <w:rFonts w:ascii="Arial" w:cs="Arial" w:eastAsia="Arial" w:hAnsi="Arial"/>
                <w:sz w:val="14"/>
                <w:szCs w:val="14"/>
                <w:color w:val="131E29"/>
              </w:rPr>
              <w:t>Building and leasehold improvements</w:t>
            </w: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1,470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131E29"/>
              </w:rPr>
              <w:t>1,425</w:t>
            </w:r>
          </w:p>
        </w:tc>
      </w:tr>
      <w:tr>
        <w:trPr>
          <w:trHeight w:val="22"/>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2"/>
        </w:trPr>
        <w:tc>
          <w:tcPr>
            <w:tcW w:w="760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Inventories</w:t>
            </w:r>
          </w:p>
        </w:tc>
        <w:tc>
          <w:tcPr>
            <w:tcW w:w="160" w:type="dxa"/>
            <w:vAlign w:val="bottom"/>
            <w:tcBorders>
              <w:bottom w:val="single" w:sz="8" w:color="D2DCE5"/>
            </w:tcBorders>
            <w:shd w:val="clear" w:color="auto" w:fill="D2DCE5"/>
          </w:tcPr>
          <w:p>
            <w:pPr>
              <w:spacing w:after="0"/>
              <w:rPr>
                <w:sz w:val="16"/>
                <w:szCs w:val="16"/>
                <w:color w:val="auto"/>
              </w:rPr>
            </w:pPr>
          </w:p>
        </w:tc>
        <w:tc>
          <w:tcPr>
            <w:tcW w:w="16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67</w:t>
            </w:r>
          </w:p>
        </w:tc>
        <w:tc>
          <w:tcPr>
            <w:tcW w:w="80" w:type="dxa"/>
            <w:vAlign w:val="bottom"/>
            <w:tcBorders>
              <w:bottom w:val="single" w:sz="8" w:color="D2DCE5"/>
            </w:tcBorders>
            <w:shd w:val="clear" w:color="auto" w:fill="D2DCE5"/>
          </w:tcPr>
          <w:p>
            <w:pPr>
              <w:spacing w:after="0"/>
              <w:rPr>
                <w:sz w:val="16"/>
                <w:szCs w:val="16"/>
                <w:color w:val="auto"/>
              </w:rPr>
            </w:pPr>
          </w:p>
        </w:tc>
        <w:tc>
          <w:tcPr>
            <w:tcW w:w="180" w:type="dxa"/>
            <w:vAlign w:val="bottom"/>
            <w:tcBorders>
              <w:bottom w:val="single" w:sz="8" w:color="D2DCE5"/>
            </w:tcBorders>
            <w:shd w:val="clear" w:color="auto" w:fill="D2DCE5"/>
          </w:tcPr>
          <w:p>
            <w:pPr>
              <w:spacing w:after="0"/>
              <w:rPr>
                <w:sz w:val="16"/>
                <w:szCs w:val="16"/>
                <w:color w:val="auto"/>
              </w:rPr>
            </w:pPr>
          </w:p>
        </w:tc>
        <w:tc>
          <w:tcPr>
            <w:tcW w:w="16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97</w:t>
            </w:r>
          </w:p>
        </w:tc>
      </w:tr>
      <w:tr>
        <w:trPr>
          <w:trHeight w:val="191"/>
        </w:trPr>
        <w:tc>
          <w:tcPr>
            <w:tcW w:w="7600" w:type="dxa"/>
            <w:vAlign w:val="bottom"/>
            <w:gridSpan w:val="2"/>
          </w:tcPr>
          <w:p>
            <w:pPr>
              <w:ind w:left="140"/>
              <w:spacing w:after="0"/>
              <w:rPr>
                <w:sz w:val="20"/>
                <w:szCs w:val="20"/>
                <w:color w:val="auto"/>
              </w:rPr>
            </w:pPr>
            <w:r>
              <w:rPr>
                <w:rFonts w:ascii="Arial" w:cs="Arial" w:eastAsia="Arial" w:hAnsi="Arial"/>
                <w:sz w:val="14"/>
                <w:szCs w:val="14"/>
                <w:color w:val="131E29"/>
              </w:rPr>
              <w:t>Other assets</w:t>
            </w: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131E29"/>
              </w:rPr>
              <w:t>23</w:t>
            </w:r>
          </w:p>
        </w:tc>
      </w:tr>
      <w:tr>
        <w:trPr>
          <w:trHeight w:val="22"/>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2"/>
        </w:trPr>
        <w:tc>
          <w:tcPr>
            <w:tcW w:w="760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Operating lease right-of-use assets</w:t>
            </w:r>
          </w:p>
        </w:tc>
        <w:tc>
          <w:tcPr>
            <w:tcW w:w="160" w:type="dxa"/>
            <w:vAlign w:val="bottom"/>
            <w:tcBorders>
              <w:bottom w:val="single" w:sz="8" w:color="D2DCE5"/>
            </w:tcBorders>
            <w:shd w:val="clear" w:color="auto" w:fill="D2DCE5"/>
          </w:tcPr>
          <w:p>
            <w:pPr>
              <w:spacing w:after="0"/>
              <w:rPr>
                <w:sz w:val="16"/>
                <w:szCs w:val="16"/>
                <w:color w:val="auto"/>
              </w:rPr>
            </w:pPr>
          </w:p>
        </w:tc>
        <w:tc>
          <w:tcPr>
            <w:tcW w:w="16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2,327</w:t>
            </w:r>
          </w:p>
        </w:tc>
        <w:tc>
          <w:tcPr>
            <w:tcW w:w="80" w:type="dxa"/>
            <w:vAlign w:val="bottom"/>
            <w:tcBorders>
              <w:bottom w:val="single" w:sz="8" w:color="D2DCE5"/>
            </w:tcBorders>
            <w:shd w:val="clear" w:color="auto" w:fill="D2DCE5"/>
          </w:tcPr>
          <w:p>
            <w:pPr>
              <w:spacing w:after="0"/>
              <w:rPr>
                <w:sz w:val="16"/>
                <w:szCs w:val="16"/>
                <w:color w:val="auto"/>
              </w:rPr>
            </w:pPr>
          </w:p>
        </w:tc>
        <w:tc>
          <w:tcPr>
            <w:tcW w:w="180" w:type="dxa"/>
            <w:vAlign w:val="bottom"/>
            <w:tcBorders>
              <w:bottom w:val="single" w:sz="8" w:color="D2DCE5"/>
            </w:tcBorders>
            <w:shd w:val="clear" w:color="auto" w:fill="D2DCE5"/>
          </w:tcPr>
          <w:p>
            <w:pPr>
              <w:spacing w:after="0"/>
              <w:rPr>
                <w:sz w:val="16"/>
                <w:szCs w:val="16"/>
                <w:color w:val="auto"/>
              </w:rPr>
            </w:pPr>
          </w:p>
        </w:tc>
        <w:tc>
          <w:tcPr>
            <w:tcW w:w="16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r>
      <w:tr>
        <w:trPr>
          <w:trHeight w:val="191"/>
        </w:trPr>
        <w:tc>
          <w:tcPr>
            <w:tcW w:w="7600" w:type="dxa"/>
            <w:vAlign w:val="bottom"/>
            <w:gridSpan w:val="2"/>
          </w:tcPr>
          <w:p>
            <w:pPr>
              <w:ind w:left="140"/>
              <w:spacing w:after="0"/>
              <w:rPr>
                <w:sz w:val="20"/>
                <w:szCs w:val="20"/>
                <w:color w:val="auto"/>
              </w:rPr>
            </w:pPr>
            <w:r>
              <w:rPr>
                <w:rFonts w:ascii="Arial" w:cs="Arial" w:eastAsia="Arial" w:hAnsi="Arial"/>
                <w:sz w:val="14"/>
                <w:szCs w:val="14"/>
                <w:color w:val="131E29"/>
              </w:rPr>
              <w:t>Reacquired franchise rights</w:t>
            </w: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1,735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131E29"/>
              </w:rPr>
              <w:t>3,312</w:t>
            </w:r>
          </w:p>
        </w:tc>
      </w:tr>
      <w:tr>
        <w:trPr>
          <w:trHeight w:val="22"/>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2"/>
        </w:trPr>
        <w:tc>
          <w:tcPr>
            <w:tcW w:w="760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Other liabilities</w:t>
            </w:r>
          </w:p>
        </w:tc>
        <w:tc>
          <w:tcPr>
            <w:tcW w:w="160" w:type="dxa"/>
            <w:vAlign w:val="bottom"/>
            <w:tcBorders>
              <w:bottom w:val="single" w:sz="8" w:color="D2DCE5"/>
            </w:tcBorders>
            <w:shd w:val="clear" w:color="auto" w:fill="D2DCE5"/>
          </w:tcPr>
          <w:p>
            <w:pPr>
              <w:spacing w:after="0"/>
              <w:rPr>
                <w:sz w:val="16"/>
                <w:szCs w:val="16"/>
                <w:color w:val="auto"/>
              </w:rPr>
            </w:pPr>
          </w:p>
        </w:tc>
        <w:tc>
          <w:tcPr>
            <w:tcW w:w="16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(88)</w:t>
            </w:r>
          </w:p>
        </w:tc>
        <w:tc>
          <w:tcPr>
            <w:tcW w:w="80" w:type="dxa"/>
            <w:vAlign w:val="bottom"/>
            <w:tcBorders>
              <w:bottom w:val="single" w:sz="8" w:color="D2DCE5"/>
            </w:tcBorders>
            <w:shd w:val="clear" w:color="auto" w:fill="D2DCE5"/>
          </w:tcPr>
          <w:p>
            <w:pPr>
              <w:spacing w:after="0"/>
              <w:rPr>
                <w:sz w:val="16"/>
                <w:szCs w:val="16"/>
                <w:color w:val="auto"/>
              </w:rPr>
            </w:pPr>
          </w:p>
        </w:tc>
        <w:tc>
          <w:tcPr>
            <w:tcW w:w="180" w:type="dxa"/>
            <w:vAlign w:val="bottom"/>
            <w:tcBorders>
              <w:bottom w:val="single" w:sz="8" w:color="D2DCE5"/>
            </w:tcBorders>
            <w:shd w:val="clear" w:color="auto" w:fill="D2DCE5"/>
          </w:tcPr>
          <w:p>
            <w:pPr>
              <w:spacing w:after="0"/>
              <w:rPr>
                <w:sz w:val="16"/>
                <w:szCs w:val="16"/>
                <w:color w:val="auto"/>
              </w:rPr>
            </w:pPr>
          </w:p>
        </w:tc>
        <w:tc>
          <w:tcPr>
            <w:tcW w:w="16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(95)</w:t>
            </w:r>
          </w:p>
        </w:tc>
      </w:tr>
      <w:tr>
        <w:trPr>
          <w:trHeight w:val="191"/>
        </w:trPr>
        <w:tc>
          <w:tcPr>
            <w:tcW w:w="7600" w:type="dxa"/>
            <w:vAlign w:val="bottom"/>
            <w:gridSpan w:val="2"/>
          </w:tcPr>
          <w:p>
            <w:pPr>
              <w:ind w:left="140"/>
              <w:spacing w:after="0"/>
              <w:rPr>
                <w:sz w:val="20"/>
                <w:szCs w:val="20"/>
                <w:color w:val="auto"/>
              </w:rPr>
            </w:pPr>
            <w:r>
              <w:rPr>
                <w:rFonts w:ascii="Arial" w:cs="Arial" w:eastAsia="Arial" w:hAnsi="Arial"/>
                <w:sz w:val="14"/>
                <w:szCs w:val="14"/>
                <w:color w:val="131E29"/>
              </w:rPr>
              <w:t>Gift card liability</w:t>
            </w: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(250)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131E29"/>
              </w:rPr>
              <w:t>(193)</w:t>
            </w:r>
          </w:p>
        </w:tc>
      </w:tr>
      <w:tr>
        <w:trPr>
          <w:trHeight w:val="22"/>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2"/>
        </w:trPr>
        <w:tc>
          <w:tcPr>
            <w:tcW w:w="760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Operating lease obligations</w:t>
            </w:r>
          </w:p>
        </w:tc>
        <w:tc>
          <w:tcPr>
            <w:tcW w:w="160" w:type="dxa"/>
            <w:vAlign w:val="bottom"/>
            <w:tcBorders>
              <w:bottom w:val="single" w:sz="8" w:color="D2DCE5"/>
            </w:tcBorders>
            <w:shd w:val="clear" w:color="auto" w:fill="D2DCE5"/>
          </w:tcPr>
          <w:p>
            <w:pPr>
              <w:spacing w:after="0"/>
              <w:rPr>
                <w:sz w:val="18"/>
                <w:szCs w:val="18"/>
                <w:color w:val="auto"/>
              </w:rPr>
            </w:pPr>
          </w:p>
        </w:tc>
        <w:tc>
          <w:tcPr>
            <w:tcW w:w="16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(2,327)</w:t>
            </w:r>
          </w:p>
        </w:tc>
        <w:tc>
          <w:tcPr>
            <w:tcW w:w="80" w:type="dxa"/>
            <w:vAlign w:val="bottom"/>
            <w:tcBorders>
              <w:bottom w:val="single" w:sz="8" w:color="D2DCE5"/>
            </w:tcBorders>
            <w:shd w:val="clear" w:color="auto" w:fill="D2DCE5"/>
          </w:tcPr>
          <w:p>
            <w:pPr>
              <w:spacing w:after="0"/>
              <w:rPr>
                <w:sz w:val="18"/>
                <w:szCs w:val="18"/>
                <w:color w:val="auto"/>
              </w:rPr>
            </w:pPr>
          </w:p>
        </w:tc>
        <w:tc>
          <w:tcPr>
            <w:tcW w:w="180" w:type="dxa"/>
            <w:vAlign w:val="bottom"/>
            <w:tcBorders>
              <w:bottom w:val="single" w:sz="8" w:color="D2DCE5"/>
            </w:tcBorders>
            <w:shd w:val="clear" w:color="auto" w:fill="D2DCE5"/>
          </w:tcPr>
          <w:p>
            <w:pPr>
              <w:spacing w:after="0"/>
              <w:rPr>
                <w:sz w:val="18"/>
                <w:szCs w:val="18"/>
                <w:color w:val="auto"/>
              </w:rPr>
            </w:pPr>
          </w:p>
        </w:tc>
        <w:tc>
          <w:tcPr>
            <w:tcW w:w="16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r>
      <w:tr>
        <w:trPr>
          <w:trHeight w:val="181"/>
        </w:trPr>
        <w:tc>
          <w:tcPr>
            <w:tcW w:w="7600" w:type="dxa"/>
            <w:vAlign w:val="bottom"/>
            <w:gridSpan w:val="2"/>
          </w:tcPr>
          <w:p>
            <w:pPr>
              <w:ind w:left="280"/>
              <w:spacing w:after="0"/>
              <w:rPr>
                <w:sz w:val="20"/>
                <w:szCs w:val="20"/>
                <w:color w:val="auto"/>
              </w:rPr>
            </w:pPr>
            <w:r>
              <w:rPr>
                <w:rFonts w:ascii="Arial" w:cs="Arial" w:eastAsia="Arial" w:hAnsi="Arial"/>
                <w:sz w:val="14"/>
                <w:szCs w:val="14"/>
                <w:color w:val="131E29"/>
              </w:rPr>
              <w:t>Net assets acquired</w:t>
            </w:r>
          </w:p>
        </w:tc>
        <w:tc>
          <w:tcPr>
            <w:tcW w:w="16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3,137</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4,747</w:t>
            </w:r>
          </w:p>
        </w:tc>
      </w:tr>
      <w:tr>
        <w:trPr>
          <w:trHeight w:val="22"/>
        </w:trPr>
        <w:tc>
          <w:tcPr>
            <w:tcW w:w="7500" w:type="dxa"/>
            <w:vAlign w:val="bottom"/>
            <w:tcBorders>
              <w:bottom w:val="single" w:sz="8" w:color="D2DCE5"/>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28"/>
        </w:trPr>
        <w:tc>
          <w:tcPr>
            <w:tcW w:w="76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Goodwill</w:t>
            </w:r>
          </w:p>
        </w:tc>
        <w:tc>
          <w:tcPr>
            <w:tcW w:w="160" w:type="dxa"/>
            <w:vAlign w:val="bottom"/>
            <w:tcBorders>
              <w:bottom w:val="single" w:sz="8" w:color="auto"/>
            </w:tcBorders>
            <w:shd w:val="clear" w:color="auto" w:fill="D2DCE5"/>
          </w:tcPr>
          <w:p>
            <w:pPr>
              <w:jc w:val="right"/>
              <w:ind w:right="9"/>
              <w:spacing w:after="0"/>
              <w:rPr>
                <w:sz w:val="20"/>
                <w:szCs w:val="20"/>
                <w:color w:val="auto"/>
              </w:rPr>
            </w:pPr>
            <w:r>
              <w:rPr>
                <w:rFonts w:ascii="Arial" w:cs="Arial" w:eastAsia="Arial" w:hAnsi="Arial"/>
                <w:sz w:val="14"/>
                <w:szCs w:val="14"/>
                <w:color w:val="131E29"/>
                <w:w w:val="76"/>
              </w:rPr>
              <w:t>$</w:t>
            </w:r>
          </w:p>
        </w:tc>
        <w:tc>
          <w:tcPr>
            <w:tcW w:w="16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2,914</w:t>
            </w:r>
          </w:p>
        </w:tc>
        <w:tc>
          <w:tcPr>
            <w:tcW w:w="80" w:type="dxa"/>
            <w:vAlign w:val="bottom"/>
            <w:tcBorders>
              <w:bottom w:val="single" w:sz="8" w:color="D2DCE5"/>
            </w:tcBorders>
            <w:shd w:val="clear" w:color="auto" w:fill="D2DCE5"/>
          </w:tcPr>
          <w:p>
            <w:pPr>
              <w:spacing w:after="0"/>
              <w:rPr>
                <w:sz w:val="19"/>
                <w:szCs w:val="19"/>
                <w:color w:val="auto"/>
              </w:rPr>
            </w:pPr>
          </w:p>
        </w:tc>
        <w:tc>
          <w:tcPr>
            <w:tcW w:w="180" w:type="dxa"/>
            <w:vAlign w:val="bottom"/>
            <w:tcBorders>
              <w:bottom w:val="single" w:sz="8" w:color="auto"/>
            </w:tcBorders>
            <w:shd w:val="clear" w:color="auto" w:fill="D2DCE5"/>
          </w:tcPr>
          <w:p>
            <w:pPr>
              <w:jc w:val="right"/>
              <w:ind w:right="9"/>
              <w:spacing w:after="0"/>
              <w:rPr>
                <w:sz w:val="20"/>
                <w:szCs w:val="20"/>
                <w:color w:val="auto"/>
              </w:rPr>
            </w:pPr>
            <w:r>
              <w:rPr>
                <w:rFonts w:ascii="Arial" w:cs="Arial" w:eastAsia="Arial" w:hAnsi="Arial"/>
                <w:sz w:val="14"/>
                <w:szCs w:val="14"/>
                <w:color w:val="131E29"/>
              </w:rPr>
              <w:t>$</w:t>
            </w:r>
          </w:p>
        </w:tc>
        <w:tc>
          <w:tcPr>
            <w:tcW w:w="16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640</w:t>
            </w:r>
          </w:p>
        </w:tc>
      </w:tr>
      <w:tr>
        <w:trPr>
          <w:trHeight w:val="20"/>
        </w:trPr>
        <w:tc>
          <w:tcPr>
            <w:tcW w:w="750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D2DCE5"/>
              <w:bottom w:val="single" w:sz="8" w:color="auto"/>
            </w:tcBorders>
          </w:tcPr>
          <w:p>
            <w:pPr>
              <w:spacing w:after="0" w:line="20" w:lineRule="exact"/>
              <w:rPr>
                <w:sz w:val="1"/>
                <w:szCs w:val="1"/>
                <w:color w:val="auto"/>
              </w:rPr>
            </w:pPr>
          </w:p>
        </w:tc>
        <w:tc>
          <w:tcPr>
            <w:tcW w:w="164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80" w:type="dxa"/>
            <w:vAlign w:val="bottom"/>
            <w:tcBorders>
              <w:top w:val="single" w:sz="8" w:color="D2DCE5"/>
              <w:bottom w:val="single" w:sz="8" w:color="auto"/>
            </w:tcBorders>
          </w:tcPr>
          <w:p>
            <w:pPr>
              <w:spacing w:after="0" w:line="20" w:lineRule="exact"/>
              <w:rPr>
                <w:sz w:val="1"/>
                <w:szCs w:val="1"/>
                <w:color w:val="auto"/>
              </w:rPr>
            </w:pPr>
          </w:p>
        </w:tc>
        <w:tc>
          <w:tcPr>
            <w:tcW w:w="1620" w:type="dxa"/>
            <w:vAlign w:val="bottom"/>
            <w:tcBorders>
              <w:top w:val="single" w:sz="8" w:color="D2DC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116" w:name="page117"/>
    <w:bookmarkEnd w:id="116"/>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Reacquired franchise rights have weighted-average useful lives of 4.2 and 5.8 years at the time of purchase for the acquisitions made during the years ended December 31, 2022 and 2021, respectively. The excess of the purchase price over the aggregate fair value of net assets acquired was allocated to goodwill and is attributable to the benefits expected as a result of the acquisitions, including sales and growth opportunities, and is expected to be fully deductible for tax purposes. Goodwill is allocated entirely to the Company-operated shops segment.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The fair value measurement of tangible and intangible assets and liabilities as of the acquisition dates is based on significant inputs not observed in the market and thus represents a Level 3 fair value measurement. Fair value measurements for reacquired franchise rights were determined using the income approach. Fair value measurements for property and equipment were determined using the cost approach.</w:t>
      </w:r>
    </w:p>
    <w:p>
      <w:pPr>
        <w:spacing w:after="0" w:line="11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The results of operations for the 2022 acquisitions are included in the Company’s consolidated statements of operations beginning on the dates of acquisition. Revenues of approximately $9.3 million and net income of approximately $1.6 million are included in the Company’s consolidated statements of operations for the year ended December 31, 2022.</w:t>
      </w: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color w:val="131E29"/>
        </w:rPr>
        <w:t>The following table reflects the unaudited pro forma results of the Company and the five shops purchased in 2022 as if the acquisitions had taken place as of January 1, 2021:</w:t>
      </w:r>
    </w:p>
    <w:p>
      <w:pPr>
        <w:spacing w:after="0" w:line="161"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131E29"/>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4982210</wp:posOffset>
            </wp:positionH>
            <wp:positionV relativeFrom="paragraph">
              <wp:posOffset>31115</wp:posOffset>
            </wp:positionV>
            <wp:extent cx="2183130" cy="69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183130" cy="698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7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80" w:type="dxa"/>
            <w:vAlign w:val="bottom"/>
            <w:tcBorders>
              <w:bottom w:val="single" w:sz="8" w:color="D2DCE5"/>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131E29"/>
              </w:rPr>
              <w:t>2022</w:t>
            </w: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b w:val="1"/>
                <w:bCs w:val="1"/>
                <w:color w:val="131E29"/>
              </w:rPr>
              <w:t>2021</w:t>
            </w:r>
          </w:p>
        </w:tc>
      </w:tr>
      <w:tr>
        <w:trPr>
          <w:trHeight w:val="192"/>
        </w:trPr>
        <w:tc>
          <w:tcPr>
            <w:tcW w:w="78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Revenue</w:t>
            </w:r>
          </w:p>
        </w:tc>
        <w:tc>
          <w:tcPr>
            <w:tcW w:w="1060" w:type="dxa"/>
            <w:vAlign w:val="bottom"/>
            <w:tcBorders>
              <w:bottom w:val="single" w:sz="8" w:color="D2DCE5"/>
            </w:tcBorders>
            <w:shd w:val="clear" w:color="auto" w:fill="D2DCE5"/>
          </w:tcPr>
          <w:p>
            <w:pPr>
              <w:jc w:val="right"/>
              <w:ind w:right="889"/>
              <w:spacing w:after="0"/>
              <w:rPr>
                <w:sz w:val="20"/>
                <w:szCs w:val="20"/>
                <w:color w:val="auto"/>
              </w:rPr>
            </w:pPr>
            <w:r>
              <w:rPr>
                <w:rFonts w:ascii="Arial" w:cs="Arial" w:eastAsia="Arial" w:hAnsi="Arial"/>
                <w:sz w:val="14"/>
                <w:szCs w:val="14"/>
                <w:color w:val="131E29"/>
              </w:rPr>
              <w:t>$</w:t>
            </w:r>
          </w:p>
        </w:tc>
        <w:tc>
          <w:tcPr>
            <w:tcW w:w="6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740,964</w:t>
            </w:r>
          </w:p>
        </w:tc>
        <w:tc>
          <w:tcPr>
            <w:tcW w:w="80" w:type="dxa"/>
            <w:vAlign w:val="bottom"/>
            <w:tcBorders>
              <w:bottom w:val="single" w:sz="8" w:color="D2DCE5"/>
            </w:tcBorders>
            <w:shd w:val="clear" w:color="auto" w:fill="D2DCE5"/>
          </w:tcPr>
          <w:p>
            <w:pPr>
              <w:spacing w:after="0"/>
              <w:rPr>
                <w:sz w:val="16"/>
                <w:szCs w:val="16"/>
                <w:color w:val="auto"/>
              </w:rPr>
            </w:pPr>
          </w:p>
        </w:tc>
        <w:tc>
          <w:tcPr>
            <w:tcW w:w="400" w:type="dxa"/>
            <w:vAlign w:val="bottom"/>
            <w:tcBorders>
              <w:bottom w:val="single" w:sz="8" w:color="D2DCE5"/>
            </w:tcBorders>
            <w:shd w:val="clear" w:color="auto" w:fill="D2DCE5"/>
          </w:tcPr>
          <w:p>
            <w:pPr>
              <w:jc w:val="right"/>
              <w:ind w:right="229"/>
              <w:spacing w:after="0"/>
              <w:rPr>
                <w:sz w:val="20"/>
                <w:szCs w:val="20"/>
                <w:color w:val="auto"/>
              </w:rPr>
            </w:pPr>
            <w:r>
              <w:rPr>
                <w:rFonts w:ascii="Arial" w:cs="Arial" w:eastAsia="Arial" w:hAnsi="Arial"/>
                <w:sz w:val="14"/>
                <w:szCs w:val="14"/>
                <w:color w:val="131E29"/>
              </w:rPr>
              <w:t>$</w:t>
            </w:r>
          </w:p>
        </w:tc>
        <w:tc>
          <w:tcPr>
            <w:tcW w:w="12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509,566</w:t>
            </w:r>
          </w:p>
        </w:tc>
      </w:tr>
      <w:tr>
        <w:trPr>
          <w:trHeight w:val="191"/>
        </w:trPr>
        <w:tc>
          <w:tcPr>
            <w:tcW w:w="7840" w:type="dxa"/>
            <w:vAlign w:val="bottom"/>
            <w:gridSpan w:val="2"/>
          </w:tcPr>
          <w:p>
            <w:pPr>
              <w:ind w:left="20"/>
              <w:spacing w:after="0"/>
              <w:rPr>
                <w:sz w:val="20"/>
                <w:szCs w:val="20"/>
                <w:color w:val="auto"/>
              </w:rPr>
            </w:pPr>
            <w:r>
              <w:rPr>
                <w:rFonts w:ascii="Arial" w:cs="Arial" w:eastAsia="Arial" w:hAnsi="Arial"/>
                <w:sz w:val="14"/>
                <w:szCs w:val="14"/>
                <w:color w:val="131E29"/>
              </w:rPr>
              <w:t>Net loss</w:t>
            </w:r>
          </w:p>
        </w:tc>
        <w:tc>
          <w:tcPr>
            <w:tcW w:w="1060" w:type="dxa"/>
            <w:vAlign w:val="bottom"/>
          </w:tcPr>
          <w:p>
            <w:pPr>
              <w:jc w:val="right"/>
              <w:ind w:right="889"/>
              <w:spacing w:after="0"/>
              <w:rPr>
                <w:sz w:val="20"/>
                <w:szCs w:val="20"/>
                <w:color w:val="auto"/>
              </w:rPr>
            </w:pPr>
            <w:r>
              <w:rPr>
                <w:rFonts w:ascii="Arial" w:cs="Arial" w:eastAsia="Arial" w:hAnsi="Arial"/>
                <w:sz w:val="14"/>
                <w:szCs w:val="14"/>
                <w:color w:val="131E29"/>
              </w:rPr>
              <w:t>$</w:t>
            </w:r>
          </w:p>
        </w:tc>
        <w:tc>
          <w:tcPr>
            <w:tcW w:w="620" w:type="dxa"/>
            <w:vAlign w:val="bottom"/>
          </w:tcPr>
          <w:p>
            <w:pPr>
              <w:jc w:val="right"/>
              <w:spacing w:after="0"/>
              <w:rPr>
                <w:sz w:val="20"/>
                <w:szCs w:val="20"/>
                <w:color w:val="auto"/>
              </w:rPr>
            </w:pPr>
            <w:r>
              <w:rPr>
                <w:rFonts w:ascii="Arial" w:cs="Arial" w:eastAsia="Arial" w:hAnsi="Arial"/>
                <w:sz w:val="14"/>
                <w:szCs w:val="14"/>
                <w:color w:val="131E29"/>
              </w:rPr>
              <w:t>(18,875)</w:t>
            </w:r>
          </w:p>
        </w:tc>
        <w:tc>
          <w:tcPr>
            <w:tcW w:w="80" w:type="dxa"/>
            <w:vAlign w:val="bottom"/>
          </w:tcPr>
          <w:p>
            <w:pPr>
              <w:spacing w:after="0"/>
              <w:rPr>
                <w:sz w:val="16"/>
                <w:szCs w:val="16"/>
                <w:color w:val="auto"/>
              </w:rPr>
            </w:pPr>
          </w:p>
        </w:tc>
        <w:tc>
          <w:tcPr>
            <w:tcW w:w="400" w:type="dxa"/>
            <w:vAlign w:val="bottom"/>
          </w:tcPr>
          <w:p>
            <w:pPr>
              <w:jc w:val="right"/>
              <w:ind w:right="229"/>
              <w:spacing w:after="0"/>
              <w:rPr>
                <w:sz w:val="20"/>
                <w:szCs w:val="20"/>
                <w:color w:val="auto"/>
              </w:rPr>
            </w:pPr>
            <w:r>
              <w:rPr>
                <w:rFonts w:ascii="Arial" w:cs="Arial" w:eastAsia="Arial" w:hAnsi="Arial"/>
                <w:sz w:val="14"/>
                <w:szCs w:val="14"/>
                <w:color w:val="131E29"/>
              </w:rPr>
              <w:t>$</w:t>
            </w:r>
          </w:p>
        </w:tc>
        <w:tc>
          <w:tcPr>
            <w:tcW w:w="1280" w:type="dxa"/>
            <w:vAlign w:val="bottom"/>
          </w:tcPr>
          <w:p>
            <w:pPr>
              <w:jc w:val="right"/>
              <w:spacing w:after="0"/>
              <w:rPr>
                <w:sz w:val="20"/>
                <w:szCs w:val="20"/>
                <w:color w:val="auto"/>
              </w:rPr>
            </w:pPr>
            <w:r>
              <w:rPr>
                <w:rFonts w:ascii="Arial" w:cs="Arial" w:eastAsia="Arial" w:hAnsi="Arial"/>
                <w:sz w:val="14"/>
                <w:szCs w:val="14"/>
                <w:color w:val="131E29"/>
              </w:rPr>
              <w:t>(115,923)</w:t>
            </w:r>
          </w:p>
        </w:tc>
      </w:tr>
    </w:tbl>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5 — Inventories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60" w:type="dxa"/>
            <w:vAlign w:val="bottom"/>
            <w:gridSpan w:val="2"/>
          </w:tcPr>
          <w:p>
            <w:pPr>
              <w:spacing w:after="0"/>
              <w:rPr>
                <w:sz w:val="20"/>
                <w:szCs w:val="20"/>
                <w:color w:val="auto"/>
              </w:rPr>
            </w:pPr>
            <w:r>
              <w:rPr>
                <w:rFonts w:ascii="Arial" w:cs="Arial" w:eastAsia="Arial" w:hAnsi="Arial"/>
                <w:sz w:val="14"/>
                <w:szCs w:val="14"/>
                <w:color w:val="131E29"/>
              </w:rPr>
              <w:t>Inventories, net consist of the following:</w:t>
            </w: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24"/>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131E29"/>
              </w:rPr>
              <w:t>December 31, 2022</w:t>
            </w:r>
          </w:p>
        </w:tc>
        <w:tc>
          <w:tcPr>
            <w:tcW w:w="80" w:type="dxa"/>
            <w:vAlign w:val="bottom"/>
            <w:tcBorders>
              <w:bottom w:val="single" w:sz="8" w:color="D2DCE5"/>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131E29"/>
              </w:rPr>
              <w:t>December 31, 2021</w:t>
            </w:r>
          </w:p>
        </w:tc>
      </w:tr>
      <w:tr>
        <w:trPr>
          <w:trHeight w:val="192"/>
        </w:trPr>
        <w:tc>
          <w:tcPr>
            <w:tcW w:w="77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Raw materials</w:t>
            </w:r>
          </w:p>
        </w:tc>
        <w:tc>
          <w:tcPr>
            <w:tcW w:w="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21,335</w:t>
            </w:r>
          </w:p>
        </w:tc>
        <w:tc>
          <w:tcPr>
            <w:tcW w:w="80" w:type="dxa"/>
            <w:vAlign w:val="bottom"/>
            <w:tcBorders>
              <w:bottom w:val="single" w:sz="8" w:color="D2DCE5"/>
            </w:tcBorders>
            <w:shd w:val="clear" w:color="auto" w:fill="D2DCE5"/>
          </w:tcPr>
          <w:p>
            <w:pPr>
              <w:spacing w:after="0"/>
              <w:rPr>
                <w:sz w:val="16"/>
                <w:szCs w:val="16"/>
                <w:color w:val="auto"/>
              </w:rPr>
            </w:pPr>
          </w:p>
        </w:tc>
        <w:tc>
          <w:tcPr>
            <w:tcW w:w="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8,453</w:t>
            </w:r>
          </w:p>
        </w:tc>
      </w:tr>
      <w:tr>
        <w:trPr>
          <w:trHeight w:val="191"/>
        </w:trPr>
        <w:tc>
          <w:tcPr>
            <w:tcW w:w="7760" w:type="dxa"/>
            <w:vAlign w:val="bottom"/>
            <w:gridSpan w:val="2"/>
          </w:tcPr>
          <w:p>
            <w:pPr>
              <w:ind w:left="20"/>
              <w:spacing w:after="0"/>
              <w:rPr>
                <w:sz w:val="20"/>
                <w:szCs w:val="20"/>
                <w:color w:val="auto"/>
              </w:rPr>
            </w:pPr>
            <w:r>
              <w:rPr>
                <w:rFonts w:ascii="Arial" w:cs="Arial" w:eastAsia="Arial" w:hAnsi="Arial"/>
                <w:sz w:val="14"/>
                <w:szCs w:val="14"/>
                <w:color w:val="131E29"/>
              </w:rPr>
              <w:t>Finished goods</w:t>
            </w:r>
          </w:p>
        </w:tc>
        <w:tc>
          <w:tcPr>
            <w:tcW w:w="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131E29"/>
              </w:rPr>
              <w:t>17,894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131E29"/>
              </w:rPr>
              <w:t>14,892</w:t>
            </w:r>
          </w:p>
        </w:tc>
      </w:tr>
      <w:tr>
        <w:trPr>
          <w:trHeight w:val="22"/>
        </w:trPr>
        <w:tc>
          <w:tcPr>
            <w:tcW w:w="768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8"/>
        </w:trPr>
        <w:tc>
          <w:tcPr>
            <w:tcW w:w="7760" w:type="dxa"/>
            <w:vAlign w:val="bottom"/>
            <w:tcBorders>
              <w:bottom w:val="single" w:sz="8" w:color="D2DCE5"/>
            </w:tcBorders>
            <w:gridSpan w:val="2"/>
            <w:shd w:val="clear" w:color="auto" w:fill="D2DCE5"/>
          </w:tcPr>
          <w:p>
            <w:pPr>
              <w:ind w:left="100"/>
              <w:spacing w:after="0"/>
              <w:rPr>
                <w:sz w:val="20"/>
                <w:szCs w:val="20"/>
                <w:color w:val="auto"/>
              </w:rPr>
            </w:pPr>
            <w:r>
              <w:rPr>
                <w:rFonts w:ascii="Arial" w:cs="Arial" w:eastAsia="Arial" w:hAnsi="Arial"/>
                <w:sz w:val="14"/>
                <w:szCs w:val="14"/>
                <w:color w:val="131E29"/>
              </w:rPr>
              <w:t>Total inventories</w:t>
            </w:r>
          </w:p>
        </w:tc>
        <w:tc>
          <w:tcPr>
            <w:tcW w:w="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5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39,229</w:t>
            </w:r>
          </w:p>
        </w:tc>
        <w:tc>
          <w:tcPr>
            <w:tcW w:w="80" w:type="dxa"/>
            <w:vAlign w:val="bottom"/>
            <w:tcBorders>
              <w:bottom w:val="single" w:sz="8" w:color="D2DCE5"/>
            </w:tcBorders>
            <w:shd w:val="clear" w:color="auto" w:fill="D2DCE5"/>
          </w:tcPr>
          <w:p>
            <w:pPr>
              <w:spacing w:after="0"/>
              <w:rPr>
                <w:sz w:val="19"/>
                <w:szCs w:val="19"/>
                <w:color w:val="auto"/>
              </w:rPr>
            </w:pPr>
          </w:p>
        </w:tc>
        <w:tc>
          <w:tcPr>
            <w:tcW w:w="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5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23,345</w:t>
            </w:r>
          </w:p>
        </w:tc>
      </w:tr>
      <w:tr>
        <w:trPr>
          <w:trHeight w:val="20"/>
        </w:trPr>
        <w:tc>
          <w:tcPr>
            <w:tcW w:w="768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D2DCE5"/>
              <w:bottom w:val="single" w:sz="8" w:color="auto"/>
            </w:tcBorders>
          </w:tcPr>
          <w:p>
            <w:pPr>
              <w:spacing w:after="0" w:line="20" w:lineRule="exact"/>
              <w:rPr>
                <w:sz w:val="1"/>
                <w:szCs w:val="1"/>
                <w:color w:val="auto"/>
              </w:rPr>
            </w:pPr>
          </w:p>
        </w:tc>
        <w:tc>
          <w:tcPr>
            <w:tcW w:w="15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D2DCE5"/>
              <w:bottom w:val="single" w:sz="8" w:color="auto"/>
            </w:tcBorders>
          </w:tcPr>
          <w:p>
            <w:pPr>
              <w:spacing w:after="0" w:line="20" w:lineRule="exact"/>
              <w:rPr>
                <w:sz w:val="1"/>
                <w:szCs w:val="1"/>
                <w:color w:val="auto"/>
              </w:rPr>
            </w:pPr>
          </w:p>
        </w:tc>
        <w:tc>
          <w:tcPr>
            <w:tcW w:w="1560" w:type="dxa"/>
            <w:vAlign w:val="bottom"/>
            <w:tcBorders>
              <w:top w:val="single" w:sz="8" w:color="D2DCE5"/>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131E29"/>
        </w:rPr>
        <w:t>As of December 31, 2022 and 2021, reserves for inventories were $0.1 million and $2.1 million, respectively.</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117" w:name="page118"/>
    <w:bookmarkEnd w:id="117"/>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6 — Property and Equipment</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131E29"/>
        </w:rPr>
        <w:t>Property and equipment, net consists of the following:</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880" w:type="dxa"/>
            <w:vAlign w:val="bottom"/>
            <w:vMerge w:val="restart"/>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vMerge w:val="restart"/>
          </w:tcPr>
          <w:p>
            <w:pPr>
              <w:spacing w:after="0"/>
              <w:rPr>
                <w:sz w:val="16"/>
                <w:szCs w:val="16"/>
                <w:color w:val="auto"/>
              </w:rPr>
            </w:pPr>
          </w:p>
        </w:tc>
        <w:tc>
          <w:tcPr>
            <w:tcW w:w="1940" w:type="dxa"/>
            <w:vAlign w:val="bottom"/>
            <w:gridSpan w:val="5"/>
          </w:tcPr>
          <w:p>
            <w:pPr>
              <w:jc w:val="center"/>
              <w:ind w:right="189"/>
              <w:spacing w:after="0"/>
              <w:rPr>
                <w:sz w:val="20"/>
                <w:szCs w:val="20"/>
                <w:color w:val="auto"/>
              </w:rPr>
            </w:pPr>
            <w:r>
              <w:rPr>
                <w:rFonts w:ascii="Arial" w:cs="Arial" w:eastAsia="Arial" w:hAnsi="Arial"/>
                <w:sz w:val="14"/>
                <w:szCs w:val="14"/>
                <w:b w:val="1"/>
                <w:bCs w:val="1"/>
                <w:color w:val="131E29"/>
              </w:rPr>
              <w:t xml:space="preserve">Useful Life </w:t>
            </w:r>
            <w:r>
              <w:rPr>
                <w:rFonts w:ascii="Arial" w:cs="Arial" w:eastAsia="Arial" w:hAnsi="Arial"/>
                <w:sz w:val="11"/>
                <w:szCs w:val="11"/>
                <w:color w:val="131E29"/>
              </w:rPr>
              <w:t>(Years)</w:t>
            </w:r>
          </w:p>
        </w:tc>
        <w:tc>
          <w:tcPr>
            <w:tcW w:w="1560" w:type="dxa"/>
            <w:vAlign w:val="bottom"/>
            <w:vMerge w:val="restart"/>
          </w:tcPr>
          <w:p>
            <w:pPr>
              <w:jc w:val="right"/>
              <w:ind w:right="149"/>
              <w:spacing w:after="0"/>
              <w:rPr>
                <w:sz w:val="20"/>
                <w:szCs w:val="20"/>
                <w:color w:val="auto"/>
              </w:rPr>
            </w:pPr>
            <w:r>
              <w:rPr>
                <w:rFonts w:ascii="Arial" w:cs="Arial" w:eastAsia="Arial" w:hAnsi="Arial"/>
                <w:sz w:val="14"/>
                <w:szCs w:val="14"/>
                <w:b w:val="1"/>
                <w:bCs w:val="1"/>
                <w:color w:val="131E29"/>
              </w:rPr>
              <w:t>December 31, 2022</w:t>
            </w:r>
          </w:p>
        </w:tc>
        <w:tc>
          <w:tcPr>
            <w:tcW w:w="8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vMerge w:val="restart"/>
          </w:tcPr>
          <w:p>
            <w:pPr>
              <w:jc w:val="right"/>
              <w:ind w:right="149"/>
              <w:spacing w:after="0"/>
              <w:rPr>
                <w:sz w:val="20"/>
                <w:szCs w:val="20"/>
                <w:color w:val="auto"/>
              </w:rPr>
            </w:pPr>
            <w:r>
              <w:rPr>
                <w:rFonts w:ascii="Arial" w:cs="Arial" w:eastAsia="Arial" w:hAnsi="Arial"/>
                <w:sz w:val="14"/>
                <w:szCs w:val="14"/>
                <w:b w:val="1"/>
                <w:bCs w:val="1"/>
                <w:color w:val="131E29"/>
              </w:rPr>
              <w:t>December 31, 2021</w:t>
            </w:r>
          </w:p>
        </w:tc>
        <w:tc>
          <w:tcPr>
            <w:tcW w:w="0" w:type="dxa"/>
            <w:vAlign w:val="bottom"/>
          </w:tcPr>
          <w:p>
            <w:pPr>
              <w:spacing w:after="0"/>
              <w:rPr>
                <w:sz w:val="1"/>
                <w:szCs w:val="1"/>
                <w:color w:val="auto"/>
              </w:rPr>
            </w:pPr>
          </w:p>
        </w:tc>
      </w:tr>
      <w:tr>
        <w:trPr>
          <w:trHeight w:val="140"/>
        </w:trPr>
        <w:tc>
          <w:tcPr>
            <w:tcW w:w="58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D2DCE5"/>
            </w:tcBorders>
            <w:vMerge w:val="continue"/>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D2DCE5"/>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D2DCE5"/>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9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Software</w:t>
            </w:r>
          </w:p>
        </w:tc>
        <w:tc>
          <w:tcPr>
            <w:tcW w:w="580" w:type="dxa"/>
            <w:vAlign w:val="bottom"/>
            <w:tcBorders>
              <w:bottom w:val="single" w:sz="8" w:color="D2DCE5"/>
            </w:tcBorders>
            <w:shd w:val="clear" w:color="auto" w:fill="D2DCE5"/>
          </w:tcPr>
          <w:p>
            <w:pPr>
              <w:spacing w:after="0"/>
              <w:rPr>
                <w:sz w:val="16"/>
                <w:szCs w:val="16"/>
                <w:color w:val="auto"/>
              </w:rPr>
            </w:pPr>
          </w:p>
        </w:tc>
        <w:tc>
          <w:tcPr>
            <w:tcW w:w="52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4"/>
                <w:szCs w:val="14"/>
                <w:color w:val="131E29"/>
              </w:rPr>
              <w:t>3</w:t>
            </w:r>
          </w:p>
        </w:tc>
        <w:tc>
          <w:tcPr>
            <w:tcW w:w="840" w:type="dxa"/>
            <w:vAlign w:val="bottom"/>
            <w:tcBorders>
              <w:bottom w:val="single" w:sz="8" w:color="D2DCE5"/>
            </w:tcBorders>
            <w:gridSpan w:val="3"/>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7,430</w:t>
            </w:r>
          </w:p>
        </w:tc>
        <w:tc>
          <w:tcPr>
            <w:tcW w:w="80" w:type="dxa"/>
            <w:vAlign w:val="bottom"/>
            <w:tcBorders>
              <w:bottom w:val="single" w:sz="8" w:color="D2DCE5"/>
            </w:tcBorders>
            <w:shd w:val="clear" w:color="auto" w:fill="D2DCE5"/>
          </w:tcPr>
          <w:p>
            <w:pPr>
              <w:spacing w:after="0"/>
              <w:rPr>
                <w:sz w:val="16"/>
                <w:szCs w:val="16"/>
                <w:color w:val="auto"/>
              </w:rPr>
            </w:pPr>
          </w:p>
        </w:tc>
        <w:tc>
          <w:tcPr>
            <w:tcW w:w="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7,132</w:t>
            </w:r>
          </w:p>
        </w:tc>
        <w:tc>
          <w:tcPr>
            <w:tcW w:w="0" w:type="dxa"/>
            <w:vAlign w:val="bottom"/>
          </w:tcPr>
          <w:p>
            <w:pPr>
              <w:spacing w:after="0"/>
              <w:rPr>
                <w:sz w:val="1"/>
                <w:szCs w:val="1"/>
                <w:color w:val="auto"/>
              </w:rPr>
            </w:pPr>
          </w:p>
        </w:tc>
      </w:tr>
      <w:tr>
        <w:trPr>
          <w:trHeight w:val="191"/>
        </w:trPr>
        <w:tc>
          <w:tcPr>
            <w:tcW w:w="5960" w:type="dxa"/>
            <w:vAlign w:val="bottom"/>
            <w:gridSpan w:val="2"/>
          </w:tcPr>
          <w:p>
            <w:pPr>
              <w:ind w:left="20"/>
              <w:spacing w:after="0"/>
              <w:rPr>
                <w:sz w:val="20"/>
                <w:szCs w:val="20"/>
                <w:color w:val="auto"/>
              </w:rPr>
            </w:pPr>
            <w:r>
              <w:rPr>
                <w:rFonts w:ascii="Arial" w:cs="Arial" w:eastAsia="Arial" w:hAnsi="Arial"/>
                <w:sz w:val="14"/>
                <w:szCs w:val="14"/>
                <w:color w:val="131E29"/>
              </w:rPr>
              <w:t>Equipment and fixtures</w:t>
            </w:r>
          </w:p>
        </w:tc>
        <w:tc>
          <w:tcPr>
            <w:tcW w:w="580" w:type="dxa"/>
            <w:vAlign w:val="bottom"/>
          </w:tcPr>
          <w:p>
            <w:pPr>
              <w:jc w:val="center"/>
              <w:ind w:left="69"/>
              <w:spacing w:after="0"/>
              <w:rPr>
                <w:sz w:val="20"/>
                <w:szCs w:val="20"/>
                <w:color w:val="auto"/>
              </w:rPr>
            </w:pPr>
            <w:r>
              <w:rPr>
                <w:rFonts w:ascii="Arial" w:cs="Arial" w:eastAsia="Arial" w:hAnsi="Arial"/>
                <w:sz w:val="14"/>
                <w:szCs w:val="14"/>
                <w:color w:val="131E29"/>
              </w:rPr>
              <w:t>3</w:t>
            </w:r>
          </w:p>
        </w:tc>
        <w:tc>
          <w:tcPr>
            <w:tcW w:w="520" w:type="dxa"/>
            <w:vAlign w:val="bottom"/>
          </w:tcPr>
          <w:p>
            <w:pPr>
              <w:jc w:val="center"/>
              <w:spacing w:after="0"/>
              <w:rPr>
                <w:sz w:val="20"/>
                <w:szCs w:val="20"/>
                <w:color w:val="auto"/>
              </w:rPr>
            </w:pPr>
            <w:r>
              <w:rPr>
                <w:rFonts w:ascii="Arial" w:cs="Arial" w:eastAsia="Arial" w:hAnsi="Arial"/>
                <w:sz w:val="8"/>
                <w:szCs w:val="8"/>
                <w:color w:val="131E29"/>
                <w:w w:val="99"/>
              </w:rPr>
              <w:t>—</w:t>
            </w:r>
          </w:p>
        </w:tc>
        <w:tc>
          <w:tcPr>
            <w:tcW w:w="600" w:type="dxa"/>
            <w:vAlign w:val="bottom"/>
          </w:tcPr>
          <w:p>
            <w:pPr>
              <w:jc w:val="center"/>
              <w:ind w:right="49"/>
              <w:spacing w:after="0"/>
              <w:rPr>
                <w:sz w:val="20"/>
                <w:szCs w:val="20"/>
                <w:color w:val="auto"/>
              </w:rPr>
            </w:pPr>
            <w:r>
              <w:rPr>
                <w:rFonts w:ascii="Arial" w:cs="Arial" w:eastAsia="Arial" w:hAnsi="Arial"/>
                <w:sz w:val="14"/>
                <w:szCs w:val="14"/>
                <w:color w:val="131E29"/>
              </w:rPr>
              <w:t>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131E29"/>
              </w:rPr>
              <w:t>93,908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131E29"/>
              </w:rPr>
              <w:t>57,952</w:t>
            </w:r>
          </w:p>
        </w:tc>
        <w:tc>
          <w:tcPr>
            <w:tcW w:w="0" w:type="dxa"/>
            <w:vAlign w:val="bottom"/>
          </w:tcPr>
          <w:p>
            <w:pPr>
              <w:spacing w:after="0"/>
              <w:rPr>
                <w:sz w:val="1"/>
                <w:szCs w:val="1"/>
                <w:color w:val="auto"/>
              </w:rPr>
            </w:pPr>
          </w:p>
        </w:tc>
      </w:tr>
      <w:tr>
        <w:trPr>
          <w:trHeight w:val="22"/>
        </w:trPr>
        <w:tc>
          <w:tcPr>
            <w:tcW w:w="5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9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Leasehold improvements</w:t>
            </w:r>
          </w:p>
        </w:tc>
        <w:tc>
          <w:tcPr>
            <w:tcW w:w="580" w:type="dxa"/>
            <w:vAlign w:val="bottom"/>
            <w:tcBorders>
              <w:bottom w:val="single" w:sz="8" w:color="D2DCE5"/>
            </w:tcBorders>
            <w:shd w:val="clear" w:color="auto" w:fill="D2DCE5"/>
          </w:tcPr>
          <w:p>
            <w:pPr>
              <w:jc w:val="center"/>
              <w:ind w:left="69"/>
              <w:spacing w:after="0"/>
              <w:rPr>
                <w:sz w:val="20"/>
                <w:szCs w:val="20"/>
                <w:color w:val="auto"/>
              </w:rPr>
            </w:pPr>
            <w:r>
              <w:rPr>
                <w:rFonts w:ascii="Arial" w:cs="Arial" w:eastAsia="Arial" w:hAnsi="Arial"/>
                <w:sz w:val="14"/>
                <w:szCs w:val="14"/>
                <w:color w:val="131E29"/>
              </w:rPr>
              <w:t>5</w:t>
            </w:r>
          </w:p>
        </w:tc>
        <w:tc>
          <w:tcPr>
            <w:tcW w:w="52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8"/>
                <w:szCs w:val="8"/>
                <w:color w:val="131E29"/>
                <w:w w:val="99"/>
              </w:rPr>
              <w:t>—</w:t>
            </w:r>
          </w:p>
        </w:tc>
        <w:tc>
          <w:tcPr>
            <w:tcW w:w="600" w:type="dxa"/>
            <w:vAlign w:val="bottom"/>
            <w:tcBorders>
              <w:bottom w:val="single" w:sz="8" w:color="D2DCE5"/>
            </w:tcBorders>
            <w:shd w:val="clear" w:color="auto" w:fill="D2DCE5"/>
          </w:tcPr>
          <w:p>
            <w:pPr>
              <w:jc w:val="center"/>
              <w:ind w:right="49"/>
              <w:spacing w:after="0"/>
              <w:rPr>
                <w:sz w:val="20"/>
                <w:szCs w:val="20"/>
                <w:color w:val="auto"/>
              </w:rPr>
            </w:pPr>
            <w:r>
              <w:rPr>
                <w:rFonts w:ascii="Arial" w:cs="Arial" w:eastAsia="Arial" w:hAnsi="Arial"/>
                <w:sz w:val="14"/>
                <w:szCs w:val="14"/>
                <w:color w:val="131E29"/>
              </w:rPr>
              <w:t>15</w:t>
            </w:r>
          </w:p>
        </w:tc>
        <w:tc>
          <w:tcPr>
            <w:tcW w:w="80" w:type="dxa"/>
            <w:vAlign w:val="bottom"/>
            <w:tcBorders>
              <w:bottom w:val="single" w:sz="8" w:color="D2DCE5"/>
            </w:tcBorders>
            <w:shd w:val="clear" w:color="auto" w:fill="D2DCE5"/>
          </w:tcPr>
          <w:p>
            <w:pPr>
              <w:spacing w:after="0"/>
              <w:rPr>
                <w:sz w:val="16"/>
                <w:szCs w:val="16"/>
                <w:color w:val="auto"/>
              </w:rPr>
            </w:pPr>
          </w:p>
        </w:tc>
        <w:tc>
          <w:tcPr>
            <w:tcW w:w="160" w:type="dxa"/>
            <w:vAlign w:val="bottom"/>
            <w:tcBorders>
              <w:bottom w:val="single" w:sz="8" w:color="D2DCE5"/>
            </w:tcBorders>
            <w:shd w:val="clear" w:color="auto" w:fill="D2DCE5"/>
          </w:tcPr>
          <w:p>
            <w:pPr>
              <w:spacing w:after="0"/>
              <w:rPr>
                <w:sz w:val="16"/>
                <w:szCs w:val="16"/>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29,985</w:t>
            </w:r>
          </w:p>
        </w:tc>
        <w:tc>
          <w:tcPr>
            <w:tcW w:w="80" w:type="dxa"/>
            <w:vAlign w:val="bottom"/>
            <w:tcBorders>
              <w:bottom w:val="single" w:sz="8" w:color="D2DCE5"/>
            </w:tcBorders>
            <w:shd w:val="clear" w:color="auto" w:fill="D2DCE5"/>
          </w:tcPr>
          <w:p>
            <w:pPr>
              <w:spacing w:after="0"/>
              <w:rPr>
                <w:sz w:val="16"/>
                <w:szCs w:val="16"/>
                <w:color w:val="auto"/>
              </w:rPr>
            </w:pPr>
          </w:p>
        </w:tc>
        <w:tc>
          <w:tcPr>
            <w:tcW w:w="160" w:type="dxa"/>
            <w:vAlign w:val="bottom"/>
            <w:tcBorders>
              <w:bottom w:val="single" w:sz="8" w:color="D2DCE5"/>
            </w:tcBorders>
            <w:shd w:val="clear" w:color="auto" w:fill="D2DCE5"/>
          </w:tcPr>
          <w:p>
            <w:pPr>
              <w:spacing w:after="0"/>
              <w:rPr>
                <w:sz w:val="16"/>
                <w:szCs w:val="16"/>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20,744</w:t>
            </w:r>
          </w:p>
        </w:tc>
        <w:tc>
          <w:tcPr>
            <w:tcW w:w="0" w:type="dxa"/>
            <w:vAlign w:val="bottom"/>
          </w:tcPr>
          <w:p>
            <w:pPr>
              <w:spacing w:after="0"/>
              <w:rPr>
                <w:sz w:val="1"/>
                <w:szCs w:val="1"/>
                <w:color w:val="auto"/>
              </w:rPr>
            </w:pPr>
          </w:p>
        </w:tc>
      </w:tr>
      <w:tr>
        <w:trPr>
          <w:trHeight w:val="191"/>
        </w:trPr>
        <w:tc>
          <w:tcPr>
            <w:tcW w:w="5960" w:type="dxa"/>
            <w:vAlign w:val="bottom"/>
            <w:gridSpan w:val="2"/>
          </w:tcPr>
          <w:p>
            <w:pPr>
              <w:ind w:left="20"/>
              <w:spacing w:after="0"/>
              <w:rPr>
                <w:sz w:val="20"/>
                <w:szCs w:val="20"/>
                <w:color w:val="auto"/>
              </w:rPr>
            </w:pPr>
            <w:r>
              <w:rPr>
                <w:rFonts w:ascii="Arial" w:cs="Arial" w:eastAsia="Arial" w:hAnsi="Arial"/>
                <w:sz w:val="14"/>
                <w:szCs w:val="14"/>
                <w:color w:val="131E29"/>
              </w:rPr>
              <w:t>Buildings</w:t>
            </w:r>
          </w:p>
        </w:tc>
        <w:tc>
          <w:tcPr>
            <w:tcW w:w="580" w:type="dxa"/>
            <w:vAlign w:val="bottom"/>
          </w:tcPr>
          <w:p>
            <w:pPr>
              <w:jc w:val="center"/>
              <w:ind w:left="69"/>
              <w:spacing w:after="0"/>
              <w:rPr>
                <w:sz w:val="20"/>
                <w:szCs w:val="20"/>
                <w:color w:val="auto"/>
              </w:rPr>
            </w:pPr>
            <w:r>
              <w:rPr>
                <w:rFonts w:ascii="Arial" w:cs="Arial" w:eastAsia="Arial" w:hAnsi="Arial"/>
                <w:sz w:val="14"/>
                <w:szCs w:val="14"/>
                <w:color w:val="131E29"/>
              </w:rPr>
              <w:t>10</w:t>
            </w:r>
          </w:p>
        </w:tc>
        <w:tc>
          <w:tcPr>
            <w:tcW w:w="520" w:type="dxa"/>
            <w:vAlign w:val="bottom"/>
          </w:tcPr>
          <w:p>
            <w:pPr>
              <w:jc w:val="center"/>
              <w:spacing w:after="0"/>
              <w:rPr>
                <w:sz w:val="20"/>
                <w:szCs w:val="20"/>
                <w:color w:val="auto"/>
              </w:rPr>
            </w:pPr>
            <w:r>
              <w:rPr>
                <w:rFonts w:ascii="Arial" w:cs="Arial" w:eastAsia="Arial" w:hAnsi="Arial"/>
                <w:sz w:val="8"/>
                <w:szCs w:val="8"/>
                <w:color w:val="131E29"/>
                <w:w w:val="99"/>
              </w:rPr>
              <w:t>—</w:t>
            </w:r>
          </w:p>
        </w:tc>
        <w:tc>
          <w:tcPr>
            <w:tcW w:w="600" w:type="dxa"/>
            <w:vAlign w:val="bottom"/>
          </w:tcPr>
          <w:p>
            <w:pPr>
              <w:jc w:val="center"/>
              <w:ind w:right="49"/>
              <w:spacing w:after="0"/>
              <w:rPr>
                <w:sz w:val="20"/>
                <w:szCs w:val="20"/>
                <w:color w:val="auto"/>
              </w:rPr>
            </w:pPr>
            <w:r>
              <w:rPr>
                <w:rFonts w:ascii="Arial" w:cs="Arial" w:eastAsia="Arial" w:hAnsi="Arial"/>
                <w:sz w:val="14"/>
                <w:szCs w:val="14"/>
                <w:color w:val="131E29"/>
              </w:rPr>
              <w:t>20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131E29"/>
              </w:rPr>
              <w:t>158,250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131E29"/>
              </w:rPr>
              <w:t>168,395</w:t>
            </w:r>
          </w:p>
        </w:tc>
        <w:tc>
          <w:tcPr>
            <w:tcW w:w="0" w:type="dxa"/>
            <w:vAlign w:val="bottom"/>
          </w:tcPr>
          <w:p>
            <w:pPr>
              <w:spacing w:after="0"/>
              <w:rPr>
                <w:sz w:val="1"/>
                <w:szCs w:val="1"/>
                <w:color w:val="auto"/>
              </w:rPr>
            </w:pPr>
          </w:p>
        </w:tc>
      </w:tr>
      <w:tr>
        <w:trPr>
          <w:trHeight w:val="22"/>
        </w:trPr>
        <w:tc>
          <w:tcPr>
            <w:tcW w:w="5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9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Land</w:t>
            </w:r>
          </w:p>
        </w:tc>
        <w:tc>
          <w:tcPr>
            <w:tcW w:w="580" w:type="dxa"/>
            <w:vAlign w:val="bottom"/>
            <w:tcBorders>
              <w:bottom w:val="single" w:sz="8" w:color="D2DCE5"/>
            </w:tcBorders>
            <w:shd w:val="clear" w:color="auto" w:fill="D2DCE5"/>
          </w:tcPr>
          <w:p>
            <w:pPr>
              <w:spacing w:after="0"/>
              <w:rPr>
                <w:sz w:val="16"/>
                <w:szCs w:val="16"/>
                <w:color w:val="auto"/>
              </w:rPr>
            </w:pPr>
          </w:p>
        </w:tc>
        <w:tc>
          <w:tcPr>
            <w:tcW w:w="52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4"/>
                <w:szCs w:val="14"/>
                <w:color w:val="131E29"/>
              </w:rPr>
              <w:t>N/A</w:t>
            </w:r>
          </w:p>
        </w:tc>
        <w:tc>
          <w:tcPr>
            <w:tcW w:w="60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160" w:type="dxa"/>
            <w:vAlign w:val="bottom"/>
            <w:tcBorders>
              <w:bottom w:val="single" w:sz="8" w:color="D2DCE5"/>
            </w:tcBorders>
            <w:shd w:val="clear" w:color="auto" w:fill="D2DCE5"/>
          </w:tcPr>
          <w:p>
            <w:pPr>
              <w:spacing w:after="0"/>
              <w:rPr>
                <w:sz w:val="16"/>
                <w:szCs w:val="16"/>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7,956</w:t>
            </w:r>
          </w:p>
        </w:tc>
        <w:tc>
          <w:tcPr>
            <w:tcW w:w="80" w:type="dxa"/>
            <w:vAlign w:val="bottom"/>
            <w:tcBorders>
              <w:bottom w:val="single" w:sz="8" w:color="D2DCE5"/>
            </w:tcBorders>
            <w:shd w:val="clear" w:color="auto" w:fill="D2DCE5"/>
          </w:tcPr>
          <w:p>
            <w:pPr>
              <w:spacing w:after="0"/>
              <w:rPr>
                <w:sz w:val="16"/>
                <w:szCs w:val="16"/>
                <w:color w:val="auto"/>
              </w:rPr>
            </w:pPr>
          </w:p>
        </w:tc>
        <w:tc>
          <w:tcPr>
            <w:tcW w:w="160" w:type="dxa"/>
            <w:vAlign w:val="bottom"/>
            <w:tcBorders>
              <w:bottom w:val="single" w:sz="8" w:color="D2DCE5"/>
            </w:tcBorders>
            <w:shd w:val="clear" w:color="auto" w:fill="D2DCE5"/>
          </w:tcPr>
          <w:p>
            <w:pPr>
              <w:spacing w:after="0"/>
              <w:rPr>
                <w:sz w:val="16"/>
                <w:szCs w:val="16"/>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5,242</w:t>
            </w:r>
          </w:p>
        </w:tc>
        <w:tc>
          <w:tcPr>
            <w:tcW w:w="0" w:type="dxa"/>
            <w:vAlign w:val="bottom"/>
          </w:tcPr>
          <w:p>
            <w:pPr>
              <w:spacing w:after="0"/>
              <w:rPr>
                <w:sz w:val="1"/>
                <w:szCs w:val="1"/>
                <w:color w:val="auto"/>
              </w:rPr>
            </w:pPr>
          </w:p>
        </w:tc>
      </w:tr>
      <w:tr>
        <w:trPr>
          <w:trHeight w:val="212"/>
        </w:trPr>
        <w:tc>
          <w:tcPr>
            <w:tcW w:w="5960" w:type="dxa"/>
            <w:vAlign w:val="bottom"/>
            <w:gridSpan w:val="2"/>
          </w:tcPr>
          <w:p>
            <w:pPr>
              <w:ind w:left="20"/>
              <w:spacing w:after="0"/>
              <w:rPr>
                <w:sz w:val="20"/>
                <w:szCs w:val="20"/>
                <w:color w:val="auto"/>
              </w:rPr>
            </w:pPr>
            <w:r>
              <w:rPr>
                <w:rFonts w:ascii="Arial" w:cs="Arial" w:eastAsia="Arial" w:hAnsi="Arial"/>
                <w:sz w:val="14"/>
                <w:szCs w:val="14"/>
                <w:color w:val="131E29"/>
              </w:rPr>
              <w:t xml:space="preserve">Aircraft </w:t>
            </w:r>
            <w:r>
              <w:rPr>
                <w:rFonts w:ascii="Arial" w:cs="Arial" w:eastAsia="Arial" w:hAnsi="Arial"/>
                <w:sz w:val="18"/>
                <w:szCs w:val="18"/>
                <w:color w:val="131E29"/>
                <w:vertAlign w:val="superscript"/>
              </w:rPr>
              <w:t>1</w:t>
            </w:r>
          </w:p>
        </w:tc>
        <w:tc>
          <w:tcPr>
            <w:tcW w:w="58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4"/>
                <w:szCs w:val="14"/>
                <w:color w:val="131E29"/>
              </w:rPr>
              <w:t>N/A</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131E29"/>
              </w:rPr>
              <w:t>9,195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131E29"/>
              </w:rPr>
              <w:t>9,531</w:t>
            </w:r>
          </w:p>
        </w:tc>
        <w:tc>
          <w:tcPr>
            <w:tcW w:w="0" w:type="dxa"/>
            <w:vAlign w:val="bottom"/>
          </w:tcPr>
          <w:p>
            <w:pPr>
              <w:spacing w:after="0"/>
              <w:rPr>
                <w:sz w:val="1"/>
                <w:szCs w:val="1"/>
                <w:color w:val="auto"/>
              </w:rPr>
            </w:pPr>
          </w:p>
        </w:tc>
      </w:tr>
      <w:tr>
        <w:trPr>
          <w:trHeight w:val="212"/>
        </w:trPr>
        <w:tc>
          <w:tcPr>
            <w:tcW w:w="59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 xml:space="preserve">Construction-in-progress </w:t>
            </w:r>
            <w:r>
              <w:rPr>
                <w:rFonts w:ascii="Arial" w:cs="Arial" w:eastAsia="Arial" w:hAnsi="Arial"/>
                <w:sz w:val="18"/>
                <w:szCs w:val="18"/>
                <w:color w:val="131E29"/>
                <w:vertAlign w:val="superscript"/>
              </w:rPr>
              <w:t>2</w:t>
            </w:r>
          </w:p>
        </w:tc>
        <w:tc>
          <w:tcPr>
            <w:tcW w:w="580" w:type="dxa"/>
            <w:vAlign w:val="bottom"/>
            <w:shd w:val="clear" w:color="auto" w:fill="D2DCE5"/>
          </w:tcPr>
          <w:p>
            <w:pPr>
              <w:spacing w:after="0"/>
              <w:rPr>
                <w:sz w:val="18"/>
                <w:szCs w:val="18"/>
                <w:color w:val="auto"/>
              </w:rPr>
            </w:pPr>
          </w:p>
        </w:tc>
        <w:tc>
          <w:tcPr>
            <w:tcW w:w="52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N/A</w:t>
            </w:r>
          </w:p>
        </w:tc>
        <w:tc>
          <w:tcPr>
            <w:tcW w:w="60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60" w:type="dxa"/>
            <w:vAlign w:val="bottom"/>
            <w:tcBorders>
              <w:bottom w:val="single" w:sz="8" w:color="auto"/>
            </w:tcBorders>
            <w:shd w:val="clear" w:color="auto" w:fill="D2DCE5"/>
          </w:tcPr>
          <w:p>
            <w:pPr>
              <w:spacing w:after="0"/>
              <w:rPr>
                <w:sz w:val="18"/>
                <w:szCs w:val="18"/>
                <w:color w:val="auto"/>
              </w:rPr>
            </w:pPr>
          </w:p>
        </w:tc>
        <w:tc>
          <w:tcPr>
            <w:tcW w:w="15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131,240</w:t>
            </w:r>
          </w:p>
        </w:tc>
        <w:tc>
          <w:tcPr>
            <w:tcW w:w="80" w:type="dxa"/>
            <w:vAlign w:val="bottom"/>
            <w:shd w:val="clear" w:color="auto" w:fill="D2DCE5"/>
          </w:tcPr>
          <w:p>
            <w:pPr>
              <w:spacing w:after="0"/>
              <w:rPr>
                <w:sz w:val="18"/>
                <w:szCs w:val="18"/>
                <w:color w:val="auto"/>
              </w:rPr>
            </w:pPr>
          </w:p>
        </w:tc>
        <w:tc>
          <w:tcPr>
            <w:tcW w:w="160" w:type="dxa"/>
            <w:vAlign w:val="bottom"/>
            <w:tcBorders>
              <w:bottom w:val="single" w:sz="8" w:color="auto"/>
            </w:tcBorders>
            <w:shd w:val="clear" w:color="auto" w:fill="D2DCE5"/>
          </w:tcPr>
          <w:p>
            <w:pPr>
              <w:spacing w:after="0"/>
              <w:rPr>
                <w:sz w:val="18"/>
                <w:szCs w:val="18"/>
                <w:color w:val="auto"/>
              </w:rPr>
            </w:pPr>
          </w:p>
        </w:tc>
        <w:tc>
          <w:tcPr>
            <w:tcW w:w="15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88,050</w:t>
            </w:r>
          </w:p>
        </w:tc>
        <w:tc>
          <w:tcPr>
            <w:tcW w:w="0" w:type="dxa"/>
            <w:vAlign w:val="bottom"/>
          </w:tcPr>
          <w:p>
            <w:pPr>
              <w:spacing w:after="0"/>
              <w:rPr>
                <w:sz w:val="1"/>
                <w:szCs w:val="1"/>
                <w:color w:val="auto"/>
              </w:rPr>
            </w:pPr>
          </w:p>
        </w:tc>
      </w:tr>
      <w:tr>
        <w:trPr>
          <w:trHeight w:val="181"/>
        </w:trPr>
        <w:tc>
          <w:tcPr>
            <w:tcW w:w="5960" w:type="dxa"/>
            <w:vAlign w:val="bottom"/>
            <w:gridSpan w:val="2"/>
          </w:tcPr>
          <w:p>
            <w:pPr>
              <w:ind w:left="20"/>
              <w:spacing w:after="0"/>
              <w:rPr>
                <w:sz w:val="20"/>
                <w:szCs w:val="20"/>
                <w:color w:val="auto"/>
              </w:rPr>
            </w:pPr>
            <w:r>
              <w:rPr>
                <w:rFonts w:ascii="Arial" w:cs="Arial" w:eastAsia="Arial" w:hAnsi="Arial"/>
                <w:sz w:val="14"/>
                <w:szCs w:val="14"/>
                <w:color w:val="131E29"/>
              </w:rPr>
              <w:t>Property and equipment, gross</w:t>
            </w: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131E29"/>
              </w:rPr>
              <w:t>437,964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131E29"/>
              </w:rPr>
              <w:t>357,046</w:t>
            </w:r>
          </w:p>
        </w:tc>
        <w:tc>
          <w:tcPr>
            <w:tcW w:w="0" w:type="dxa"/>
            <w:vAlign w:val="bottom"/>
          </w:tcPr>
          <w:p>
            <w:pPr>
              <w:spacing w:after="0"/>
              <w:rPr>
                <w:sz w:val="1"/>
                <w:szCs w:val="1"/>
                <w:color w:val="auto"/>
              </w:rPr>
            </w:pPr>
          </w:p>
        </w:tc>
      </w:tr>
      <w:tr>
        <w:trPr>
          <w:trHeight w:val="22"/>
        </w:trPr>
        <w:tc>
          <w:tcPr>
            <w:tcW w:w="5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9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Less: accumulated depreciation</w:t>
            </w:r>
          </w:p>
        </w:tc>
        <w:tc>
          <w:tcPr>
            <w:tcW w:w="580" w:type="dxa"/>
            <w:vAlign w:val="bottom"/>
            <w:tcBorders>
              <w:bottom w:val="single" w:sz="8" w:color="D2DCE5"/>
            </w:tcBorders>
            <w:shd w:val="clear" w:color="auto" w:fill="D2DCE5"/>
          </w:tcPr>
          <w:p>
            <w:pPr>
              <w:spacing w:after="0"/>
              <w:rPr>
                <w:sz w:val="18"/>
                <w:szCs w:val="18"/>
                <w:color w:val="auto"/>
              </w:rPr>
            </w:pPr>
          </w:p>
        </w:tc>
        <w:tc>
          <w:tcPr>
            <w:tcW w:w="520" w:type="dxa"/>
            <w:vAlign w:val="bottom"/>
            <w:tcBorders>
              <w:bottom w:val="single" w:sz="8" w:color="D2DCE5"/>
            </w:tcBorders>
            <w:shd w:val="clear" w:color="auto" w:fill="D2DCE5"/>
          </w:tcPr>
          <w:p>
            <w:pPr>
              <w:spacing w:after="0"/>
              <w:rPr>
                <w:sz w:val="18"/>
                <w:szCs w:val="18"/>
                <w:color w:val="auto"/>
              </w:rPr>
            </w:pPr>
          </w:p>
        </w:tc>
        <w:tc>
          <w:tcPr>
            <w:tcW w:w="600" w:type="dxa"/>
            <w:vAlign w:val="bottom"/>
            <w:tcBorders>
              <w:bottom w:val="single" w:sz="8" w:color="D2DCE5"/>
            </w:tcBorders>
            <w:shd w:val="clear" w:color="auto" w:fill="D2DCE5"/>
          </w:tcPr>
          <w:p>
            <w:pPr>
              <w:spacing w:after="0"/>
              <w:rPr>
                <w:sz w:val="18"/>
                <w:szCs w:val="18"/>
                <w:color w:val="auto"/>
              </w:rPr>
            </w:pPr>
          </w:p>
        </w:tc>
        <w:tc>
          <w:tcPr>
            <w:tcW w:w="80" w:type="dxa"/>
            <w:vAlign w:val="bottom"/>
            <w:tcBorders>
              <w:bottom w:val="single" w:sz="8" w:color="D2DCE5"/>
            </w:tcBorders>
            <w:shd w:val="clear" w:color="auto" w:fill="D2DCE5"/>
          </w:tcPr>
          <w:p>
            <w:pPr>
              <w:spacing w:after="0"/>
              <w:rPr>
                <w:sz w:val="18"/>
                <w:szCs w:val="18"/>
                <w:color w:val="auto"/>
              </w:rPr>
            </w:pPr>
          </w:p>
        </w:tc>
        <w:tc>
          <w:tcPr>
            <w:tcW w:w="160" w:type="dxa"/>
            <w:vAlign w:val="bottom"/>
            <w:tcBorders>
              <w:bottom w:val="single" w:sz="8" w:color="D2DCE5"/>
            </w:tcBorders>
            <w:shd w:val="clear" w:color="auto" w:fill="D2DCE5"/>
          </w:tcPr>
          <w:p>
            <w:pPr>
              <w:spacing w:after="0"/>
              <w:rPr>
                <w:sz w:val="18"/>
                <w:szCs w:val="18"/>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(72,496)</w:t>
            </w:r>
          </w:p>
        </w:tc>
        <w:tc>
          <w:tcPr>
            <w:tcW w:w="80" w:type="dxa"/>
            <w:vAlign w:val="bottom"/>
            <w:tcBorders>
              <w:bottom w:val="single" w:sz="8" w:color="D2DCE5"/>
            </w:tcBorders>
            <w:shd w:val="clear" w:color="auto" w:fill="D2DCE5"/>
          </w:tcPr>
          <w:p>
            <w:pPr>
              <w:spacing w:after="0"/>
              <w:rPr>
                <w:sz w:val="18"/>
                <w:szCs w:val="18"/>
                <w:color w:val="auto"/>
              </w:rPr>
            </w:pPr>
          </w:p>
        </w:tc>
        <w:tc>
          <w:tcPr>
            <w:tcW w:w="160" w:type="dxa"/>
            <w:vAlign w:val="bottom"/>
            <w:tcBorders>
              <w:bottom w:val="single" w:sz="8" w:color="D2DCE5"/>
            </w:tcBorders>
            <w:shd w:val="clear" w:color="auto" w:fill="D2DCE5"/>
          </w:tcPr>
          <w:p>
            <w:pPr>
              <w:spacing w:after="0"/>
              <w:rPr>
                <w:sz w:val="18"/>
                <w:szCs w:val="18"/>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(55,048)</w:t>
            </w:r>
          </w:p>
        </w:tc>
        <w:tc>
          <w:tcPr>
            <w:tcW w:w="0" w:type="dxa"/>
            <w:vAlign w:val="bottom"/>
          </w:tcPr>
          <w:p>
            <w:pPr>
              <w:spacing w:after="0"/>
              <w:rPr>
                <w:sz w:val="1"/>
                <w:szCs w:val="1"/>
                <w:color w:val="auto"/>
              </w:rPr>
            </w:pPr>
          </w:p>
        </w:tc>
      </w:tr>
      <w:tr>
        <w:trPr>
          <w:trHeight w:val="202"/>
        </w:trPr>
        <w:tc>
          <w:tcPr>
            <w:tcW w:w="5960" w:type="dxa"/>
            <w:vAlign w:val="bottom"/>
            <w:gridSpan w:val="2"/>
          </w:tcPr>
          <w:p>
            <w:pPr>
              <w:ind w:left="100"/>
              <w:spacing w:after="0"/>
              <w:rPr>
                <w:sz w:val="20"/>
                <w:szCs w:val="20"/>
                <w:color w:val="auto"/>
              </w:rPr>
            </w:pPr>
            <w:r>
              <w:rPr>
                <w:rFonts w:ascii="Arial" w:cs="Arial" w:eastAsia="Arial" w:hAnsi="Arial"/>
                <w:sz w:val="14"/>
                <w:szCs w:val="14"/>
                <w:color w:val="131E29"/>
              </w:rPr>
              <w:t>Property and equipment, net</w:t>
            </w: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gridSpan w:val="2"/>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rPr>
              <w:t>365,468</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rPr>
              <w:t>301,998</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4"/>
                <w:szCs w:val="14"/>
                <w:color w:val="131E29"/>
              </w:rPr>
              <w:t>_______________</w:t>
            </w: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89"/>
        </w:trPr>
        <w:tc>
          <w:tcPr>
            <w:tcW w:w="100" w:type="dxa"/>
            <w:vAlign w:val="bottom"/>
          </w:tcPr>
          <w:p>
            <w:pPr>
              <w:jc w:val="right"/>
              <w:ind w:right="35"/>
              <w:spacing w:after="0"/>
              <w:rPr>
                <w:sz w:val="20"/>
                <w:szCs w:val="20"/>
                <w:color w:val="auto"/>
              </w:rPr>
            </w:pPr>
            <w:r>
              <w:rPr>
                <w:rFonts w:ascii="Arial" w:cs="Arial" w:eastAsia="Arial" w:hAnsi="Arial"/>
                <w:sz w:val="5"/>
                <w:szCs w:val="5"/>
                <w:color w:val="auto"/>
                <w:w w:val="70"/>
              </w:rPr>
              <w:t>1</w:t>
            </w:r>
          </w:p>
        </w:tc>
        <w:tc>
          <w:tcPr>
            <w:tcW w:w="2780" w:type="dxa"/>
            <w:vAlign w:val="bottom"/>
            <w:vMerge w:val="restart"/>
          </w:tcPr>
          <w:p>
            <w:pPr>
              <w:ind w:left="60"/>
              <w:spacing w:after="0"/>
              <w:rPr>
                <w:sz w:val="20"/>
                <w:szCs w:val="20"/>
                <w:color w:val="auto"/>
              </w:rPr>
            </w:pPr>
            <w:r>
              <w:rPr>
                <w:rFonts w:ascii="Arial" w:cs="Arial" w:eastAsia="Arial" w:hAnsi="Arial"/>
                <w:sz w:val="11"/>
                <w:szCs w:val="11"/>
                <w:color w:val="auto"/>
              </w:rPr>
              <w:t>Aircraft is depreciated under the consumption method.</w:t>
            </w:r>
          </w:p>
        </w:tc>
        <w:tc>
          <w:tcPr>
            <w:tcW w:w="0" w:type="dxa"/>
            <w:vAlign w:val="bottom"/>
          </w:tcPr>
          <w:p>
            <w:pPr>
              <w:spacing w:after="0"/>
              <w:rPr>
                <w:sz w:val="1"/>
                <w:szCs w:val="1"/>
                <w:color w:val="auto"/>
              </w:rPr>
            </w:pPr>
          </w:p>
        </w:tc>
      </w:tr>
      <w:tr>
        <w:trPr>
          <w:trHeight w:val="54"/>
        </w:trPr>
        <w:tc>
          <w:tcPr>
            <w:tcW w:w="100" w:type="dxa"/>
            <w:vAlign w:val="bottom"/>
          </w:tcPr>
          <w:p>
            <w:pPr>
              <w:spacing w:after="0"/>
              <w:rPr>
                <w:sz w:val="4"/>
                <w:szCs w:val="4"/>
                <w:color w:val="auto"/>
              </w:rPr>
            </w:pPr>
          </w:p>
        </w:tc>
        <w:tc>
          <w:tcPr>
            <w:tcW w:w="2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20" w:hanging="115"/>
        <w:spacing w:after="0"/>
        <w:tabs>
          <w:tab w:leader="none" w:pos="120" w:val="left"/>
        </w:tabs>
        <w:numPr>
          <w:ilvl w:val="0"/>
          <w:numId w:val="76"/>
        </w:numPr>
        <w:rPr>
          <w:rFonts w:ascii="Arial" w:cs="Arial" w:eastAsia="Arial" w:hAnsi="Arial"/>
          <w:sz w:val="15"/>
          <w:szCs w:val="15"/>
          <w:color w:val="131E29"/>
          <w:vertAlign w:val="superscript"/>
        </w:rPr>
      </w:pPr>
      <w:r>
        <w:rPr>
          <w:rFonts w:ascii="Arial" w:cs="Arial" w:eastAsia="Arial" w:hAnsi="Arial"/>
          <w:sz w:val="11"/>
          <w:szCs w:val="11"/>
          <w:color w:val="131E29"/>
        </w:rPr>
        <w:t>Construction-in-progress primarily consists of construction and equipment costs for new and existing shops, as well as our new roasting facility in Texas.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color w:val="131E29"/>
        </w:rPr>
        <w:t>Depreciation expense included in the Company’s consolidated statements of operations was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0" w:type="dxa"/>
            <w:vAlign w:val="bottom"/>
            <w:gridSpan w:val="6"/>
          </w:tcPr>
          <w:p>
            <w:pPr>
              <w:jc w:val="right"/>
              <w:ind w:right="109"/>
              <w:spacing w:after="0"/>
              <w:rPr>
                <w:sz w:val="20"/>
                <w:szCs w:val="20"/>
                <w:color w:val="auto"/>
              </w:rPr>
            </w:pPr>
            <w:r>
              <w:rPr>
                <w:rFonts w:ascii="Arial" w:cs="Arial" w:eastAsia="Arial" w:hAnsi="Arial"/>
                <w:sz w:val="14"/>
                <w:szCs w:val="14"/>
                <w:b w:val="1"/>
                <w:bCs w:val="1"/>
                <w:color w:val="131E29"/>
              </w:rPr>
              <w:t>Year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16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2022</w:t>
            </w:r>
          </w:p>
        </w:tc>
        <w:tc>
          <w:tcPr>
            <w:tcW w:w="80" w:type="dxa"/>
            <w:vAlign w:val="bottom"/>
            <w:tcBorders>
              <w:bottom w:val="single" w:sz="8" w:color="D2DCE5"/>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131E29"/>
              </w:rPr>
              <w:t>2021 ¹</w:t>
            </w:r>
          </w:p>
        </w:tc>
        <w:tc>
          <w:tcPr>
            <w:tcW w:w="80" w:type="dxa"/>
            <w:vAlign w:val="bottom"/>
            <w:tcBorders>
              <w:bottom w:val="single" w:sz="8" w:color="D2DCE5"/>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131E29"/>
              </w:rPr>
              <w:t>2020 ¹</w:t>
            </w:r>
          </w:p>
        </w:tc>
        <w:tc>
          <w:tcPr>
            <w:tcW w:w="0" w:type="dxa"/>
            <w:vAlign w:val="bottom"/>
          </w:tcPr>
          <w:p>
            <w:pPr>
              <w:spacing w:after="0"/>
              <w:rPr>
                <w:sz w:val="1"/>
                <w:szCs w:val="1"/>
                <w:color w:val="auto"/>
              </w:rPr>
            </w:pPr>
          </w:p>
        </w:tc>
      </w:tr>
      <w:tr>
        <w:trPr>
          <w:trHeight w:val="192"/>
        </w:trPr>
        <w:tc>
          <w:tcPr>
            <w:tcW w:w="71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Cost of sales</w:t>
            </w:r>
          </w:p>
        </w:tc>
        <w:tc>
          <w:tcPr>
            <w:tcW w:w="300" w:type="dxa"/>
            <w:vAlign w:val="bottom"/>
            <w:tcBorders>
              <w:bottom w:val="single" w:sz="8" w:color="D2DCE5"/>
            </w:tcBorders>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26,261</w:t>
            </w:r>
          </w:p>
        </w:tc>
        <w:tc>
          <w:tcPr>
            <w:tcW w:w="8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jc w:val="right"/>
              <w:ind w:right="109"/>
              <w:spacing w:after="0"/>
              <w:rPr>
                <w:sz w:val="20"/>
                <w:szCs w:val="20"/>
                <w:color w:val="auto"/>
              </w:rPr>
            </w:pPr>
            <w:r>
              <w:rPr>
                <w:rFonts w:ascii="Arial" w:cs="Arial" w:eastAsia="Arial" w:hAnsi="Arial"/>
                <w:sz w:val="14"/>
                <w:szCs w:val="14"/>
                <w:color w:val="131E29"/>
              </w:rPr>
              <w:t>$</w:t>
            </w: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19,023</w:t>
            </w: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11,426</w:t>
            </w:r>
          </w:p>
        </w:tc>
        <w:tc>
          <w:tcPr>
            <w:tcW w:w="0" w:type="dxa"/>
            <w:vAlign w:val="bottom"/>
          </w:tcPr>
          <w:p>
            <w:pPr>
              <w:spacing w:after="0"/>
              <w:rPr>
                <w:sz w:val="1"/>
                <w:szCs w:val="1"/>
                <w:color w:val="auto"/>
              </w:rPr>
            </w:pPr>
          </w:p>
        </w:tc>
      </w:tr>
      <w:tr>
        <w:trPr>
          <w:trHeight w:val="191"/>
        </w:trPr>
        <w:tc>
          <w:tcPr>
            <w:tcW w:w="7160" w:type="dxa"/>
            <w:vAlign w:val="bottom"/>
            <w:gridSpan w:val="2"/>
          </w:tcPr>
          <w:p>
            <w:pPr>
              <w:ind w:left="20"/>
              <w:spacing w:after="0"/>
              <w:rPr>
                <w:sz w:val="20"/>
                <w:szCs w:val="20"/>
                <w:color w:val="auto"/>
              </w:rPr>
            </w:pPr>
            <w:r>
              <w:rPr>
                <w:rFonts w:ascii="Arial" w:cs="Arial" w:eastAsia="Arial" w:hAnsi="Arial"/>
                <w:sz w:val="14"/>
                <w:szCs w:val="14"/>
                <w:color w:val="131E29"/>
              </w:rPr>
              <w:t>Selling, general and administrative expenses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2,705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131E29"/>
              </w:rPr>
              <w:t>2,663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1,451</w:t>
            </w:r>
          </w:p>
        </w:tc>
        <w:tc>
          <w:tcPr>
            <w:tcW w:w="0" w:type="dxa"/>
            <w:vAlign w:val="bottom"/>
          </w:tcPr>
          <w:p>
            <w:pPr>
              <w:spacing w:after="0"/>
              <w:rPr>
                <w:sz w:val="1"/>
                <w:szCs w:val="1"/>
                <w:color w:val="auto"/>
              </w:rPr>
            </w:pPr>
          </w:p>
        </w:tc>
      </w:tr>
      <w:tr>
        <w:trPr>
          <w:trHeight w:val="22"/>
        </w:trPr>
        <w:tc>
          <w:tcPr>
            <w:tcW w:w="708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716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Total depreciation expense</w:t>
            </w:r>
          </w:p>
        </w:tc>
        <w:tc>
          <w:tcPr>
            <w:tcW w:w="300" w:type="dxa"/>
            <w:vAlign w:val="bottom"/>
            <w:tcBorders>
              <w:bottom w:val="single" w:sz="8" w:color="auto"/>
            </w:tcBorders>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28,966</w:t>
            </w:r>
          </w:p>
        </w:tc>
        <w:tc>
          <w:tcPr>
            <w:tcW w:w="80" w:type="dxa"/>
            <w:vAlign w:val="bottom"/>
            <w:tcBorders>
              <w:bottom w:val="single" w:sz="8" w:color="D2DCE5"/>
            </w:tcBorders>
            <w:shd w:val="clear" w:color="auto" w:fill="D2DCE5"/>
          </w:tcPr>
          <w:p>
            <w:pPr>
              <w:spacing w:after="0"/>
              <w:rPr>
                <w:sz w:val="19"/>
                <w:szCs w:val="19"/>
                <w:color w:val="auto"/>
              </w:rPr>
            </w:pPr>
          </w:p>
        </w:tc>
        <w:tc>
          <w:tcPr>
            <w:tcW w:w="280" w:type="dxa"/>
            <w:vAlign w:val="bottom"/>
            <w:tcBorders>
              <w:bottom w:val="single" w:sz="8" w:color="auto"/>
            </w:tcBorders>
            <w:shd w:val="clear" w:color="auto" w:fill="D2DCE5"/>
          </w:tcPr>
          <w:p>
            <w:pPr>
              <w:jc w:val="right"/>
              <w:ind w:right="109"/>
              <w:spacing w:after="0"/>
              <w:rPr>
                <w:sz w:val="20"/>
                <w:szCs w:val="20"/>
                <w:color w:val="auto"/>
              </w:rPr>
            </w:pPr>
            <w:r>
              <w:rPr>
                <w:rFonts w:ascii="Arial" w:cs="Arial" w:eastAsia="Arial" w:hAnsi="Arial"/>
                <w:sz w:val="14"/>
                <w:szCs w:val="14"/>
                <w:color w:val="131E29"/>
              </w:rPr>
              <w:t>$</w:t>
            </w: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21,686</w:t>
            </w:r>
          </w:p>
        </w:tc>
        <w:tc>
          <w:tcPr>
            <w:tcW w:w="80" w:type="dxa"/>
            <w:vAlign w:val="bottom"/>
            <w:tcBorders>
              <w:bottom w:val="single" w:sz="8" w:color="D2DCE5"/>
            </w:tcBorders>
            <w:shd w:val="clear" w:color="auto" w:fill="D2DCE5"/>
          </w:tcPr>
          <w:p>
            <w:pPr>
              <w:spacing w:after="0"/>
              <w:rPr>
                <w:sz w:val="19"/>
                <w:szCs w:val="19"/>
                <w:color w:val="auto"/>
              </w:rPr>
            </w:pPr>
          </w:p>
        </w:tc>
        <w:tc>
          <w:tcPr>
            <w:tcW w:w="300" w:type="dxa"/>
            <w:vAlign w:val="bottom"/>
            <w:tcBorders>
              <w:bottom w:val="single" w:sz="8" w:color="auto"/>
            </w:tcBorders>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12,877</w:t>
            </w:r>
          </w:p>
        </w:tc>
        <w:tc>
          <w:tcPr>
            <w:tcW w:w="0" w:type="dxa"/>
            <w:vAlign w:val="bottom"/>
          </w:tcPr>
          <w:p>
            <w:pPr>
              <w:spacing w:after="0"/>
              <w:rPr>
                <w:sz w:val="1"/>
                <w:szCs w:val="1"/>
                <w:color w:val="auto"/>
              </w:rPr>
            </w:pPr>
          </w:p>
        </w:tc>
      </w:tr>
      <w:tr>
        <w:trPr>
          <w:trHeight w:val="20"/>
        </w:trPr>
        <w:tc>
          <w:tcPr>
            <w:tcW w:w="7080" w:type="dxa"/>
            <w:vAlign w:val="bottom"/>
            <w:tcBorders>
              <w:top w:val="single" w:sz="8" w:color="D2DCE5"/>
              <w:bottom w:val="single" w:sz="8" w:color="D2DCE5"/>
            </w:tcBorders>
            <w:vMerge w:val="restart"/>
          </w:tcPr>
          <w:p>
            <w:pPr>
              <w:spacing w:after="0"/>
              <w:rPr>
                <w:sz w:val="20"/>
                <w:szCs w:val="20"/>
                <w:color w:val="auto"/>
              </w:rPr>
            </w:pPr>
            <w:r>
              <w:rPr>
                <w:rFonts w:ascii="Arial" w:cs="Arial" w:eastAsia="Arial" w:hAnsi="Arial"/>
                <w:sz w:val="14"/>
                <w:szCs w:val="14"/>
                <w:color w:val="131E29"/>
              </w:rPr>
              <w:t>_______________</w:t>
            </w: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D2DCE5"/>
              <w:bottom w:val="single" w:sz="8" w:color="auto"/>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0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80" w:hanging="175"/>
        <w:spacing w:after="0"/>
        <w:tabs>
          <w:tab w:leader="none" w:pos="180" w:val="left"/>
        </w:tabs>
        <w:numPr>
          <w:ilvl w:val="0"/>
          <w:numId w:val="77"/>
        </w:numPr>
        <w:rPr>
          <w:rFonts w:ascii="Arial" w:cs="Arial" w:eastAsia="Arial" w:hAnsi="Arial"/>
          <w:sz w:val="15"/>
          <w:szCs w:val="15"/>
          <w:color w:val="auto"/>
          <w:vertAlign w:val="superscript"/>
        </w:rPr>
      </w:pPr>
      <w:r>
        <w:rPr>
          <w:rFonts w:ascii="Arial" w:cs="Arial" w:eastAsia="Arial" w:hAnsi="Arial"/>
          <w:sz w:val="11"/>
          <w:szCs w:val="11"/>
          <w:color w:val="auto"/>
        </w:rPr>
        <w:t>2021 and 2020 include depreciation for capital leases under ASC 840, however see NOTE 8 — Leases for 2022 amortization related to financing leases under ASC 842.</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131E29"/>
        </w:rPr>
        <w:t>No impairment charges were recognized for the years ended December 31, 2022, 2021, and 2020.</w:t>
      </w:r>
    </w:p>
    <w:p>
      <w:pPr>
        <w:sectPr>
          <w:pgSz w:w="11900" w:h="16838" w:orient="portrait"/>
          <w:cols w:equalWidth="0" w:num="1">
            <w:col w:w="11280"/>
          </w:cols>
          <w:pgMar w:left="300" w:top="143" w:right="319" w:bottom="1440" w:gutter="0" w:footer="0" w:header="0"/>
        </w:sectPr>
      </w:pP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00416B"/>
        </w:rPr>
        <w:t>NOTE 7 — Intangible Assets and Goodwill</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Intangible Assets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131E29"/>
        </w:rPr>
        <w:t>The details of the intangible assets are as follows: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11"/>
          <w:szCs w:val="11"/>
          <w:color w:val="131E29"/>
        </w:rPr>
        <w:t>(in thousands)</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Reacquired franchise rights</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Less: accumulated amortization</w:t>
      </w:r>
    </w:p>
    <w:p>
      <w:pPr>
        <w:spacing w:after="0" w:line="83" w:lineRule="exact"/>
        <w:rPr>
          <w:sz w:val="20"/>
          <w:szCs w:val="20"/>
          <w:color w:val="auto"/>
        </w:rPr>
      </w:pPr>
    </w:p>
    <w:p>
      <w:pPr>
        <w:ind w:left="100"/>
        <w:spacing w:after="0"/>
        <w:rPr>
          <w:sz w:val="20"/>
          <w:szCs w:val="20"/>
          <w:color w:val="auto"/>
        </w:rPr>
      </w:pPr>
      <w:r>
        <w:rPr>
          <w:rFonts w:ascii="Arial" w:cs="Arial" w:eastAsia="Arial" w:hAnsi="Arial"/>
          <w:sz w:val="14"/>
          <w:szCs w:val="14"/>
          <w:color w:val="131E29"/>
        </w:rPr>
        <w:t>Intangibles,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2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131E29"/>
              </w:rPr>
              <w:t>Weighted-average amortization</w:t>
            </w: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88"/>
        </w:trPr>
        <w:tc>
          <w:tcPr>
            <w:tcW w:w="2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131E29"/>
              </w:rPr>
              <w:t xml:space="preserve">period </w:t>
            </w:r>
            <w:r>
              <w:rPr>
                <w:rFonts w:ascii="Arial" w:cs="Arial" w:eastAsia="Arial" w:hAnsi="Arial"/>
                <w:sz w:val="11"/>
                <w:szCs w:val="11"/>
                <w:color w:val="131E29"/>
              </w:rPr>
              <w:t>(in years)</w:t>
            </w:r>
          </w:p>
        </w:tc>
        <w:tc>
          <w:tcPr>
            <w:tcW w:w="160" w:type="dxa"/>
            <w:vAlign w:val="bottom"/>
          </w:tcPr>
          <w:p>
            <w:pPr>
              <w:spacing w:after="0"/>
              <w:rPr>
                <w:sz w:val="16"/>
                <w:szCs w:val="16"/>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131E29"/>
              </w:rPr>
              <w:t>December 31, 2022</w:t>
            </w:r>
          </w:p>
        </w:tc>
        <w:tc>
          <w:tcPr>
            <w:tcW w:w="160" w:type="dxa"/>
            <w:vAlign w:val="bottom"/>
          </w:tcPr>
          <w:p>
            <w:pPr>
              <w:spacing w:after="0"/>
              <w:rPr>
                <w:sz w:val="16"/>
                <w:szCs w:val="16"/>
                <w:color w:val="auto"/>
              </w:rPr>
            </w:pPr>
          </w:p>
        </w:tc>
        <w:tc>
          <w:tcPr>
            <w:tcW w:w="1560" w:type="dxa"/>
            <w:vAlign w:val="bottom"/>
          </w:tcPr>
          <w:p>
            <w:pPr>
              <w:ind w:left="60"/>
              <w:spacing w:after="0"/>
              <w:rPr>
                <w:sz w:val="20"/>
                <w:szCs w:val="20"/>
                <w:color w:val="auto"/>
              </w:rPr>
            </w:pPr>
            <w:r>
              <w:rPr>
                <w:rFonts w:ascii="Arial" w:cs="Arial" w:eastAsia="Arial" w:hAnsi="Arial"/>
                <w:sz w:val="14"/>
                <w:szCs w:val="14"/>
                <w:b w:val="1"/>
                <w:bCs w:val="1"/>
                <w:color w:val="131E29"/>
              </w:rPr>
              <w:t>December 31, 2021</w:t>
            </w:r>
          </w:p>
        </w:tc>
      </w:tr>
      <w:tr>
        <w:trPr>
          <w:trHeight w:val="22"/>
        </w:trPr>
        <w:tc>
          <w:tcPr>
            <w:tcW w:w="2500" w:type="dxa"/>
            <w:vAlign w:val="bottom"/>
            <w:tcBorders>
              <w:bottom w:val="single" w:sz="8" w:color="131E29"/>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131E29"/>
            </w:tcBorders>
          </w:tcPr>
          <w:p>
            <w:pPr>
              <w:spacing w:after="0" w:line="20" w:lineRule="exact"/>
              <w:rPr>
                <w:sz w:val="1"/>
                <w:szCs w:val="1"/>
                <w:color w:val="auto"/>
              </w:rPr>
            </w:pPr>
          </w:p>
        </w:tc>
        <w:tc>
          <w:tcPr>
            <w:tcW w:w="1560" w:type="dxa"/>
            <w:vAlign w:val="bottom"/>
            <w:tcBorders>
              <w:bottom w:val="single" w:sz="8" w:color="131E29"/>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131E29"/>
            </w:tcBorders>
          </w:tcPr>
          <w:p>
            <w:pPr>
              <w:spacing w:after="0" w:line="20" w:lineRule="exact"/>
              <w:rPr>
                <w:sz w:val="1"/>
                <w:szCs w:val="1"/>
                <w:color w:val="auto"/>
              </w:rPr>
            </w:pPr>
          </w:p>
        </w:tc>
        <w:tc>
          <w:tcPr>
            <w:tcW w:w="1560" w:type="dxa"/>
            <w:vAlign w:val="bottom"/>
            <w:tcBorders>
              <w:bottom w:val="single" w:sz="8" w:color="131E29"/>
            </w:tcBorders>
          </w:tcPr>
          <w:p>
            <w:pPr>
              <w:spacing w:after="0" w:line="20" w:lineRule="exact"/>
              <w:rPr>
                <w:sz w:val="1"/>
                <w:szCs w:val="1"/>
                <w:color w:val="auto"/>
              </w:rPr>
            </w:pPr>
          </w:p>
        </w:tc>
      </w:tr>
      <w:tr>
        <w:trPr>
          <w:trHeight w:val="181"/>
        </w:trPr>
        <w:tc>
          <w:tcPr>
            <w:tcW w:w="2500" w:type="dxa"/>
            <w:vAlign w:val="bottom"/>
          </w:tcPr>
          <w:p>
            <w:pPr>
              <w:jc w:val="center"/>
              <w:spacing w:after="0"/>
              <w:rPr>
                <w:sz w:val="20"/>
                <w:szCs w:val="20"/>
                <w:color w:val="auto"/>
              </w:rPr>
            </w:pPr>
            <w:r>
              <w:rPr>
                <w:rFonts w:ascii="Arial" w:cs="Arial" w:eastAsia="Arial" w:hAnsi="Arial"/>
                <w:sz w:val="14"/>
                <w:szCs w:val="14"/>
                <w:color w:val="131E29"/>
              </w:rPr>
              <w:t>3.5</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131E29"/>
              </w:rPr>
              <w:t>$</w:t>
            </w:r>
          </w:p>
        </w:tc>
        <w:tc>
          <w:tcPr>
            <w:tcW w:w="1560" w:type="dxa"/>
            <w:vAlign w:val="bottom"/>
          </w:tcPr>
          <w:p>
            <w:pPr>
              <w:jc w:val="right"/>
              <w:spacing w:after="0"/>
              <w:rPr>
                <w:sz w:val="20"/>
                <w:szCs w:val="20"/>
                <w:color w:val="auto"/>
              </w:rPr>
            </w:pPr>
            <w:r>
              <w:rPr>
                <w:rFonts w:ascii="Arial" w:cs="Arial" w:eastAsia="Arial" w:hAnsi="Arial"/>
                <w:sz w:val="14"/>
                <w:szCs w:val="14"/>
                <w:color w:val="131E29"/>
              </w:rPr>
              <w:t>27,049</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131E29"/>
              </w:rPr>
              <w:t>$</w:t>
            </w:r>
          </w:p>
        </w:tc>
        <w:tc>
          <w:tcPr>
            <w:tcW w:w="1560" w:type="dxa"/>
            <w:vAlign w:val="bottom"/>
          </w:tcPr>
          <w:p>
            <w:pPr>
              <w:jc w:val="center"/>
              <w:ind w:left="949"/>
              <w:spacing w:after="0"/>
              <w:rPr>
                <w:sz w:val="20"/>
                <w:szCs w:val="20"/>
                <w:color w:val="auto"/>
              </w:rPr>
            </w:pPr>
            <w:r>
              <w:rPr>
                <w:rFonts w:ascii="Arial" w:cs="Arial" w:eastAsia="Arial" w:hAnsi="Arial"/>
                <w:sz w:val="14"/>
                <w:szCs w:val="14"/>
                <w:color w:val="131E29"/>
                <w:w w:val="97"/>
              </w:rPr>
              <w:t>25,314</w:t>
            </w:r>
          </w:p>
        </w:tc>
      </w:tr>
      <w:tr>
        <w:trPr>
          <w:trHeight w:val="212"/>
        </w:trPr>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131E29"/>
              </w:rPr>
              <w:t>(18,245)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center"/>
              <w:ind w:left="929"/>
              <w:spacing w:after="0"/>
              <w:rPr>
                <w:sz w:val="20"/>
                <w:szCs w:val="20"/>
                <w:color w:val="auto"/>
              </w:rPr>
            </w:pPr>
            <w:r>
              <w:rPr>
                <w:rFonts w:ascii="Arial" w:cs="Arial" w:eastAsia="Arial" w:hAnsi="Arial"/>
                <w:sz w:val="14"/>
                <w:szCs w:val="14"/>
                <w:color w:val="131E29"/>
                <w:w w:val="99"/>
              </w:rPr>
              <w:t>(14,211)</w:t>
            </w:r>
          </w:p>
        </w:tc>
      </w:tr>
      <w:tr>
        <w:trPr>
          <w:trHeight w:val="22"/>
        </w:trPr>
        <w:tc>
          <w:tcPr>
            <w:tcW w:w="2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81"/>
        </w:trPr>
        <w:tc>
          <w:tcPr>
            <w:tcW w:w="2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131E29"/>
              </w:rPr>
              <w:t>$</w:t>
            </w:r>
          </w:p>
        </w:tc>
        <w:tc>
          <w:tcPr>
            <w:tcW w:w="1560" w:type="dxa"/>
            <w:vAlign w:val="bottom"/>
          </w:tcPr>
          <w:p>
            <w:pPr>
              <w:jc w:val="right"/>
              <w:spacing w:after="0"/>
              <w:rPr>
                <w:sz w:val="20"/>
                <w:szCs w:val="20"/>
                <w:color w:val="auto"/>
              </w:rPr>
            </w:pPr>
            <w:r>
              <w:rPr>
                <w:rFonts w:ascii="Arial" w:cs="Arial" w:eastAsia="Arial" w:hAnsi="Arial"/>
                <w:sz w:val="14"/>
                <w:szCs w:val="14"/>
                <w:color w:val="131E29"/>
              </w:rPr>
              <w:t>8,804</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131E29"/>
              </w:rPr>
              <w:t>$</w:t>
            </w:r>
          </w:p>
        </w:tc>
        <w:tc>
          <w:tcPr>
            <w:tcW w:w="1560" w:type="dxa"/>
            <w:vAlign w:val="bottom"/>
          </w:tcPr>
          <w:p>
            <w:pPr>
              <w:jc w:val="center"/>
              <w:ind w:left="949"/>
              <w:spacing w:after="0"/>
              <w:rPr>
                <w:sz w:val="20"/>
                <w:szCs w:val="20"/>
                <w:color w:val="auto"/>
              </w:rPr>
            </w:pPr>
            <w:r>
              <w:rPr>
                <w:rFonts w:ascii="Arial" w:cs="Arial" w:eastAsia="Arial" w:hAnsi="Arial"/>
                <w:sz w:val="14"/>
                <w:szCs w:val="14"/>
                <w:color w:val="131E29"/>
                <w:w w:val="97"/>
              </w:rPr>
              <w:t>11,103</w:t>
            </w:r>
          </w:p>
        </w:tc>
      </w:tr>
      <w:tr>
        <w:trPr>
          <w:trHeight w:val="22"/>
        </w:trPr>
        <w:tc>
          <w:tcPr>
            <w:tcW w:w="2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0"/>
        </w:trPr>
        <w:tc>
          <w:tcPr>
            <w:tcW w:w="2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-3285490</wp:posOffset>
            </wp:positionH>
            <wp:positionV relativeFrom="paragraph">
              <wp:posOffset>-167640</wp:posOffset>
            </wp:positionV>
            <wp:extent cx="7161530" cy="154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61530" cy="154940"/>
                    </a:xfrm>
                    <a:prstGeom prst="rect">
                      <a:avLst/>
                    </a:prstGeom>
                    <a:noFill/>
                  </pic:spPr>
                </pic:pic>
              </a:graphicData>
            </a:graphic>
          </wp:anchor>
        </w:drawing>
        <w:drawing>
          <wp:anchor simplePos="0" relativeHeight="251657728" behindDoc="1" locked="0" layoutInCell="0" allowOverlap="1">
            <wp:simplePos x="0" y="0"/>
            <wp:positionH relativeFrom="column">
              <wp:posOffset>-3285490</wp:posOffset>
            </wp:positionH>
            <wp:positionV relativeFrom="paragraph">
              <wp:posOffset>-443865</wp:posOffset>
            </wp:positionV>
            <wp:extent cx="7161530" cy="1416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60" w:space="720"/>
            <w:col w:w="6100"/>
          </w:cols>
          <w:pgMar w:left="300" w:top="143"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9420"/>
        <w:spacing w:after="0"/>
        <w:rPr>
          <w:sz w:val="20"/>
          <w:szCs w:val="20"/>
          <w:color w:val="auto"/>
        </w:rPr>
      </w:pPr>
      <w:r>
        <w:rPr>
          <w:sz w:val="1"/>
          <w:szCs w:val="1"/>
          <w:color w:val="auto"/>
        </w:rPr>
        <w:drawing>
          <wp:inline distT="0" distB="0" distL="0" distR="0">
            <wp:extent cx="134620" cy="188595"/>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0"/>
          <w:szCs w:val="10"/>
          <w:color w:val="131E29"/>
        </w:rPr>
        <w:t>Dutch Bros Inc.</w:t>
      </w:r>
      <w:r>
        <w:rPr>
          <w:rFonts w:ascii="Arial" w:cs="Arial" w:eastAsia="Arial" w:hAnsi="Arial"/>
          <w:sz w:val="10"/>
          <w:szCs w:val="10"/>
          <w:b w:val="1"/>
          <w:bCs w:val="1"/>
          <w:color w:val="006098"/>
        </w:rPr>
        <w:t>|</w:t>
      </w:r>
      <w:r>
        <w:rPr>
          <w:rFonts w:ascii="Arial" w:cs="Arial" w:eastAsia="Arial" w:hAnsi="Arial"/>
          <w:sz w:val="10"/>
          <w:szCs w:val="10"/>
          <w:color w:val="131E29"/>
        </w:rPr>
        <w:t xml:space="preserve"> Form 10-K </w:t>
      </w:r>
      <w:r>
        <w:rPr>
          <w:rFonts w:ascii="Arial" w:cs="Arial" w:eastAsia="Arial" w:hAnsi="Arial"/>
          <w:sz w:val="10"/>
          <w:szCs w:val="10"/>
          <w:b w:val="1"/>
          <w:bCs w:val="1"/>
          <w:color w:val="006098"/>
        </w:rPr>
        <w:t>|</w:t>
      </w:r>
      <w:r>
        <w:rPr>
          <w:rFonts w:ascii="Arial" w:cs="Arial" w:eastAsia="Arial" w:hAnsi="Arial"/>
          <w:sz w:val="10"/>
          <w:szCs w:val="10"/>
          <w:color w:val="131E29"/>
        </w:rPr>
        <w:t xml:space="preserve"> </w:t>
      </w:r>
      <w:r>
        <w:rPr>
          <w:rFonts w:ascii="Arial" w:cs="Arial" w:eastAsia="Arial" w:hAnsi="Arial"/>
          <w:sz w:val="10"/>
          <w:szCs w:val="10"/>
          <w:b w:val="1"/>
          <w:bCs w:val="1"/>
          <w:color w:val="D7282F"/>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86930"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type w:val="continuous"/>
        </w:sectPr>
      </w:pPr>
    </w:p>
    <w:bookmarkStart w:id="118" w:name="page119"/>
    <w:bookmarkEnd w:id="118"/>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131E29"/>
        </w:rPr>
        <w:t>Amortization expense included in the Company’s consolidated statements of operations was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20" w:type="dxa"/>
            <w:vAlign w:val="bottom"/>
            <w:gridSpan w:val="8"/>
          </w:tcPr>
          <w:p>
            <w:pPr>
              <w:jc w:val="center"/>
              <w:ind w:left="629"/>
              <w:spacing w:after="0"/>
              <w:rPr>
                <w:sz w:val="20"/>
                <w:szCs w:val="20"/>
                <w:color w:val="auto"/>
              </w:rPr>
            </w:pPr>
            <w:r>
              <w:rPr>
                <w:rFonts w:ascii="Arial" w:cs="Arial" w:eastAsia="Arial" w:hAnsi="Arial"/>
                <w:sz w:val="14"/>
                <w:szCs w:val="14"/>
                <w:b w:val="1"/>
                <w:bCs w:val="1"/>
                <w:color w:val="131E29"/>
                <w:w w:val="99"/>
              </w:rPr>
              <w:t>Year Ended 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16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2022</w:t>
            </w:r>
          </w:p>
        </w:tc>
        <w:tc>
          <w:tcPr>
            <w:tcW w:w="80" w:type="dxa"/>
            <w:vAlign w:val="bottom"/>
            <w:tcBorders>
              <w:bottom w:val="single" w:sz="8" w:color="D2DCE5"/>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131E29"/>
              </w:rPr>
              <w:t>2021</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D2DCE5"/>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2020</w:t>
            </w:r>
          </w:p>
        </w:tc>
        <w:tc>
          <w:tcPr>
            <w:tcW w:w="0" w:type="dxa"/>
            <w:vAlign w:val="bottom"/>
          </w:tcPr>
          <w:p>
            <w:pPr>
              <w:spacing w:after="0"/>
              <w:rPr>
                <w:sz w:val="1"/>
                <w:szCs w:val="1"/>
                <w:color w:val="auto"/>
              </w:rPr>
            </w:pPr>
          </w:p>
        </w:tc>
      </w:tr>
      <w:tr>
        <w:trPr>
          <w:trHeight w:val="237"/>
        </w:trPr>
        <w:tc>
          <w:tcPr>
            <w:tcW w:w="71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Cost of sales</w:t>
            </w:r>
          </w:p>
        </w:tc>
        <w:tc>
          <w:tcPr>
            <w:tcW w:w="300" w:type="dxa"/>
            <w:vAlign w:val="bottom"/>
            <w:tcBorders>
              <w:bottom w:val="single" w:sz="8" w:color="auto"/>
            </w:tcBorders>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4,034</w:t>
            </w:r>
          </w:p>
        </w:tc>
        <w:tc>
          <w:tcPr>
            <w:tcW w:w="80" w:type="dxa"/>
            <w:vAlign w:val="bottom"/>
            <w:tcBorders>
              <w:bottom w:val="single" w:sz="8" w:color="D2DCE5"/>
            </w:tcBorders>
            <w:shd w:val="clear" w:color="auto" w:fill="D2DCE5"/>
          </w:tcPr>
          <w:p>
            <w:pPr>
              <w:spacing w:after="0"/>
              <w:rPr>
                <w:sz w:val="20"/>
                <w:szCs w:val="20"/>
                <w:color w:val="auto"/>
              </w:rPr>
            </w:pPr>
          </w:p>
        </w:tc>
        <w:tc>
          <w:tcPr>
            <w:tcW w:w="300" w:type="dxa"/>
            <w:vAlign w:val="bottom"/>
            <w:tcBorders>
              <w:bottom w:val="single" w:sz="8" w:color="auto"/>
            </w:tcBorders>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auto"/>
            </w:tcBorders>
            <w:gridSpan w:val="3"/>
            <w:shd w:val="clear" w:color="auto" w:fill="D2DCE5"/>
          </w:tcPr>
          <w:p>
            <w:pPr>
              <w:jc w:val="right"/>
              <w:ind w:right="60"/>
              <w:spacing w:after="0"/>
              <w:rPr>
                <w:sz w:val="20"/>
                <w:szCs w:val="20"/>
                <w:color w:val="auto"/>
              </w:rPr>
            </w:pPr>
            <w:r>
              <w:rPr>
                <w:rFonts w:ascii="Arial" w:cs="Arial" w:eastAsia="Arial" w:hAnsi="Arial"/>
                <w:sz w:val="14"/>
                <w:szCs w:val="14"/>
                <w:color w:val="131E29"/>
              </w:rPr>
              <w:t>3,531</w:t>
            </w:r>
          </w:p>
        </w:tc>
        <w:tc>
          <w:tcPr>
            <w:tcW w:w="80" w:type="dxa"/>
            <w:vAlign w:val="bottom"/>
            <w:tcBorders>
              <w:bottom w:val="single" w:sz="8" w:color="D2DCE5"/>
            </w:tcBorders>
            <w:shd w:val="clear" w:color="auto" w:fill="D2DCE5"/>
          </w:tcPr>
          <w:p>
            <w:pPr>
              <w:spacing w:after="0"/>
              <w:rPr>
                <w:sz w:val="20"/>
                <w:szCs w:val="20"/>
                <w:color w:val="auto"/>
              </w:rPr>
            </w:pPr>
          </w:p>
        </w:tc>
        <w:tc>
          <w:tcPr>
            <w:tcW w:w="320" w:type="dxa"/>
            <w:vAlign w:val="bottom"/>
            <w:tcBorders>
              <w:bottom w:val="single" w:sz="8" w:color="auto"/>
            </w:tcBorders>
            <w:shd w:val="clear" w:color="auto" w:fill="D2DCE5"/>
          </w:tcPr>
          <w:p>
            <w:pPr>
              <w:jc w:val="right"/>
              <w:ind w:right="149"/>
              <w:spacing w:after="0"/>
              <w:rPr>
                <w:sz w:val="20"/>
                <w:szCs w:val="20"/>
                <w:color w:val="auto"/>
              </w:rPr>
            </w:pPr>
            <w:r>
              <w:rPr>
                <w:rFonts w:ascii="Arial" w:cs="Arial" w:eastAsia="Arial" w:hAnsi="Arial"/>
                <w:sz w:val="14"/>
                <w:szCs w:val="14"/>
                <w:color w:val="131E29"/>
              </w:rPr>
              <w:t>$</w:t>
            </w:r>
          </w:p>
        </w:tc>
        <w:tc>
          <w:tcPr>
            <w:tcW w:w="10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2,660</w:t>
            </w:r>
          </w:p>
        </w:tc>
        <w:tc>
          <w:tcPr>
            <w:tcW w:w="0" w:type="dxa"/>
            <w:vAlign w:val="bottom"/>
          </w:tcPr>
          <w:p>
            <w:pPr>
              <w:spacing w:after="0"/>
              <w:rPr>
                <w:sz w:val="1"/>
                <w:szCs w:val="1"/>
                <w:color w:val="auto"/>
              </w:rPr>
            </w:pPr>
          </w:p>
        </w:tc>
      </w:tr>
      <w:tr>
        <w:trPr>
          <w:trHeight w:val="20"/>
        </w:trPr>
        <w:tc>
          <w:tcPr>
            <w:tcW w:w="708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76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bottom w:val="single" w:sz="8" w:color="auto"/>
            </w:tcBorders>
          </w:tcPr>
          <w:p>
            <w:pPr>
              <w:spacing w:after="0" w:line="20" w:lineRule="exact"/>
              <w:rPr>
                <w:sz w:val="1"/>
                <w:szCs w:val="1"/>
                <w:color w:val="auto"/>
              </w:rPr>
            </w:pPr>
          </w:p>
        </w:tc>
        <w:tc>
          <w:tcPr>
            <w:tcW w:w="1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20" w:type="dxa"/>
            <w:vAlign w:val="bottom"/>
            <w:tcBorders>
              <w:top w:val="single" w:sz="8" w:color="D2DCE5"/>
              <w:bottom w:val="single" w:sz="8" w:color="auto"/>
            </w:tcBorders>
          </w:tcPr>
          <w:p>
            <w:pPr>
              <w:spacing w:after="0" w:line="20" w:lineRule="exact"/>
              <w:rPr>
                <w:sz w:val="1"/>
                <w:szCs w:val="1"/>
                <w:color w:val="auto"/>
              </w:rPr>
            </w:pPr>
          </w:p>
        </w:tc>
        <w:tc>
          <w:tcPr>
            <w:tcW w:w="100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7460" w:type="dxa"/>
            <w:vAlign w:val="bottom"/>
            <w:gridSpan w:val="3"/>
          </w:tcPr>
          <w:p>
            <w:pPr>
              <w:spacing w:after="0"/>
              <w:rPr>
                <w:sz w:val="20"/>
                <w:szCs w:val="20"/>
                <w:color w:val="auto"/>
              </w:rPr>
            </w:pPr>
            <w:r>
              <w:rPr>
                <w:rFonts w:ascii="Arial" w:cs="Arial" w:eastAsia="Arial" w:hAnsi="Arial"/>
                <w:sz w:val="14"/>
                <w:szCs w:val="14"/>
                <w:color w:val="131E29"/>
              </w:rPr>
              <w:t>The estimated future amortization expense of the reacquired franchise rights as of December 31, 2022 is as follows:</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7160" w:type="dxa"/>
            <w:vAlign w:val="bottom"/>
            <w:tcBorders>
              <w:bottom w:val="single" w:sz="8" w:color="131E29"/>
            </w:tcBorders>
            <w:gridSpan w:val="2"/>
          </w:tcPr>
          <w:p>
            <w:pPr>
              <w:ind w:left="20"/>
              <w:spacing w:after="0"/>
              <w:rPr>
                <w:sz w:val="20"/>
                <w:szCs w:val="20"/>
                <w:color w:val="auto"/>
              </w:rPr>
            </w:pPr>
            <w:r>
              <w:rPr>
                <w:rFonts w:ascii="Arial" w:cs="Arial" w:eastAsia="Arial" w:hAnsi="Arial"/>
                <w:sz w:val="11"/>
                <w:szCs w:val="11"/>
                <w:color w:val="131E29"/>
              </w:rPr>
              <w:t>(in thousands)</w:t>
            </w:r>
          </w:p>
        </w:tc>
        <w:tc>
          <w:tcPr>
            <w:tcW w:w="300" w:type="dxa"/>
            <w:vAlign w:val="bottom"/>
            <w:tcBorders>
              <w:bottom w:val="single" w:sz="8" w:color="131E29"/>
            </w:tcBorders>
          </w:tcPr>
          <w:p>
            <w:pPr>
              <w:spacing w:after="0"/>
              <w:rPr>
                <w:sz w:val="24"/>
                <w:szCs w:val="24"/>
                <w:color w:val="auto"/>
              </w:rPr>
            </w:pPr>
          </w:p>
        </w:tc>
        <w:tc>
          <w:tcPr>
            <w:tcW w:w="1020" w:type="dxa"/>
            <w:vAlign w:val="bottom"/>
            <w:tcBorders>
              <w:bottom w:val="single" w:sz="8" w:color="131E29"/>
            </w:tcBorders>
          </w:tcPr>
          <w:p>
            <w:pPr>
              <w:spacing w:after="0"/>
              <w:rPr>
                <w:sz w:val="24"/>
                <w:szCs w:val="24"/>
                <w:color w:val="auto"/>
              </w:rPr>
            </w:pPr>
          </w:p>
        </w:tc>
        <w:tc>
          <w:tcPr>
            <w:tcW w:w="80" w:type="dxa"/>
            <w:vAlign w:val="bottom"/>
            <w:tcBorders>
              <w:bottom w:val="single" w:sz="8" w:color="131E29"/>
            </w:tcBorders>
          </w:tcPr>
          <w:p>
            <w:pPr>
              <w:spacing w:after="0"/>
              <w:rPr>
                <w:sz w:val="24"/>
                <w:szCs w:val="24"/>
                <w:color w:val="auto"/>
              </w:rPr>
            </w:pPr>
          </w:p>
        </w:tc>
        <w:tc>
          <w:tcPr>
            <w:tcW w:w="300" w:type="dxa"/>
            <w:vAlign w:val="bottom"/>
            <w:tcBorders>
              <w:bottom w:val="single" w:sz="8" w:color="131E29"/>
            </w:tcBorders>
          </w:tcPr>
          <w:p>
            <w:pPr>
              <w:spacing w:after="0"/>
              <w:rPr>
                <w:sz w:val="24"/>
                <w:szCs w:val="24"/>
                <w:color w:val="auto"/>
              </w:rPr>
            </w:pPr>
          </w:p>
        </w:tc>
        <w:tc>
          <w:tcPr>
            <w:tcW w:w="760" w:type="dxa"/>
            <w:vAlign w:val="bottom"/>
            <w:tcBorders>
              <w:bottom w:val="single" w:sz="8" w:color="131E29"/>
            </w:tcBorders>
          </w:tcPr>
          <w:p>
            <w:pPr>
              <w:spacing w:after="0"/>
              <w:rPr>
                <w:sz w:val="24"/>
                <w:szCs w:val="24"/>
                <w:color w:val="auto"/>
              </w:rPr>
            </w:pPr>
          </w:p>
        </w:tc>
        <w:tc>
          <w:tcPr>
            <w:tcW w:w="100" w:type="dxa"/>
            <w:vAlign w:val="bottom"/>
            <w:tcBorders>
              <w:bottom w:val="single" w:sz="8" w:color="D2DCE5"/>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708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4"/>
                <w:szCs w:val="14"/>
                <w:color w:val="131E29"/>
              </w:rPr>
              <w:t>2023</w:t>
            </w: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102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1020" w:type="dxa"/>
            <w:vAlign w:val="bottom"/>
            <w:tcBorders>
              <w:bottom w:val="single" w:sz="8" w:color="D2DCE5"/>
            </w:tcBorders>
            <w:gridSpan w:val="3"/>
            <w:shd w:val="clear" w:color="auto" w:fill="D2DCE5"/>
          </w:tcPr>
          <w:p>
            <w:pPr>
              <w:jc w:val="right"/>
              <w:ind w:right="80"/>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320" w:type="dxa"/>
            <w:vAlign w:val="bottom"/>
            <w:tcBorders>
              <w:bottom w:val="single" w:sz="8" w:color="D2DCE5"/>
            </w:tcBorders>
            <w:shd w:val="clear" w:color="auto" w:fill="D2DCE5"/>
          </w:tcPr>
          <w:p>
            <w:pPr>
              <w:spacing w:after="0"/>
              <w:rPr>
                <w:sz w:val="16"/>
                <w:szCs w:val="16"/>
                <w:color w:val="auto"/>
              </w:rPr>
            </w:pPr>
          </w:p>
        </w:tc>
        <w:tc>
          <w:tcPr>
            <w:tcW w:w="10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3,389</w:t>
            </w:r>
          </w:p>
        </w:tc>
        <w:tc>
          <w:tcPr>
            <w:tcW w:w="0" w:type="dxa"/>
            <w:vAlign w:val="bottom"/>
          </w:tcPr>
          <w:p>
            <w:pPr>
              <w:spacing w:after="0"/>
              <w:rPr>
                <w:sz w:val="1"/>
                <w:szCs w:val="1"/>
                <w:color w:val="auto"/>
              </w:rPr>
            </w:pPr>
          </w:p>
        </w:tc>
      </w:tr>
      <w:tr>
        <w:trPr>
          <w:trHeight w:val="191"/>
        </w:trPr>
        <w:tc>
          <w:tcPr>
            <w:tcW w:w="7080" w:type="dxa"/>
            <w:vAlign w:val="bottom"/>
          </w:tcPr>
          <w:p>
            <w:pPr>
              <w:ind w:left="20"/>
              <w:spacing w:after="0"/>
              <w:rPr>
                <w:sz w:val="20"/>
                <w:szCs w:val="20"/>
                <w:color w:val="auto"/>
              </w:rPr>
            </w:pPr>
            <w:r>
              <w:rPr>
                <w:rFonts w:ascii="Arial" w:cs="Arial" w:eastAsia="Arial" w:hAnsi="Arial"/>
                <w:sz w:val="14"/>
                <w:szCs w:val="14"/>
                <w:color w:val="131E29"/>
              </w:rPr>
              <w:t>2024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131E29"/>
              </w:rPr>
              <w:t>2,469</w:t>
            </w:r>
          </w:p>
        </w:tc>
        <w:tc>
          <w:tcPr>
            <w:tcW w:w="0" w:type="dxa"/>
            <w:vAlign w:val="bottom"/>
          </w:tcPr>
          <w:p>
            <w:pPr>
              <w:spacing w:after="0"/>
              <w:rPr>
                <w:sz w:val="1"/>
                <w:szCs w:val="1"/>
                <w:color w:val="auto"/>
              </w:rPr>
            </w:pPr>
          </w:p>
        </w:tc>
      </w:tr>
      <w:tr>
        <w:trPr>
          <w:trHeight w:val="22"/>
        </w:trPr>
        <w:tc>
          <w:tcPr>
            <w:tcW w:w="7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08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4"/>
                <w:szCs w:val="14"/>
                <w:color w:val="131E29"/>
              </w:rPr>
              <w:t>2025</w:t>
            </w: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102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76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16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320" w:type="dxa"/>
            <w:vAlign w:val="bottom"/>
            <w:tcBorders>
              <w:bottom w:val="single" w:sz="8" w:color="D2DCE5"/>
            </w:tcBorders>
            <w:shd w:val="clear" w:color="auto" w:fill="D2DCE5"/>
          </w:tcPr>
          <w:p>
            <w:pPr>
              <w:spacing w:after="0"/>
              <w:rPr>
                <w:sz w:val="16"/>
                <w:szCs w:val="16"/>
                <w:color w:val="auto"/>
              </w:rPr>
            </w:pPr>
          </w:p>
        </w:tc>
        <w:tc>
          <w:tcPr>
            <w:tcW w:w="10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1,435</w:t>
            </w:r>
          </w:p>
        </w:tc>
        <w:tc>
          <w:tcPr>
            <w:tcW w:w="0" w:type="dxa"/>
            <w:vAlign w:val="bottom"/>
          </w:tcPr>
          <w:p>
            <w:pPr>
              <w:spacing w:after="0"/>
              <w:rPr>
                <w:sz w:val="1"/>
                <w:szCs w:val="1"/>
                <w:color w:val="auto"/>
              </w:rPr>
            </w:pPr>
          </w:p>
        </w:tc>
      </w:tr>
      <w:tr>
        <w:trPr>
          <w:trHeight w:val="191"/>
        </w:trPr>
        <w:tc>
          <w:tcPr>
            <w:tcW w:w="7080" w:type="dxa"/>
            <w:vAlign w:val="bottom"/>
          </w:tcPr>
          <w:p>
            <w:pPr>
              <w:ind w:left="20"/>
              <w:spacing w:after="0"/>
              <w:rPr>
                <w:sz w:val="20"/>
                <w:szCs w:val="20"/>
                <w:color w:val="auto"/>
              </w:rPr>
            </w:pPr>
            <w:r>
              <w:rPr>
                <w:rFonts w:ascii="Arial" w:cs="Arial" w:eastAsia="Arial" w:hAnsi="Arial"/>
                <w:sz w:val="14"/>
                <w:szCs w:val="14"/>
                <w:color w:val="131E29"/>
              </w:rPr>
              <w:t>2026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131E29"/>
              </w:rPr>
              <w:t>681</w:t>
            </w:r>
          </w:p>
        </w:tc>
        <w:tc>
          <w:tcPr>
            <w:tcW w:w="0" w:type="dxa"/>
            <w:vAlign w:val="bottom"/>
          </w:tcPr>
          <w:p>
            <w:pPr>
              <w:spacing w:after="0"/>
              <w:rPr>
                <w:sz w:val="1"/>
                <w:szCs w:val="1"/>
                <w:color w:val="auto"/>
              </w:rPr>
            </w:pPr>
          </w:p>
        </w:tc>
      </w:tr>
      <w:tr>
        <w:trPr>
          <w:trHeight w:val="22"/>
        </w:trPr>
        <w:tc>
          <w:tcPr>
            <w:tcW w:w="7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08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4"/>
                <w:szCs w:val="14"/>
                <w:color w:val="131E29"/>
              </w:rPr>
              <w:t>2027</w:t>
            </w: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102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76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16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320" w:type="dxa"/>
            <w:vAlign w:val="bottom"/>
            <w:tcBorders>
              <w:bottom w:val="single" w:sz="8" w:color="D2DCE5"/>
            </w:tcBorders>
            <w:shd w:val="clear" w:color="auto" w:fill="D2DCE5"/>
          </w:tcPr>
          <w:p>
            <w:pPr>
              <w:spacing w:after="0"/>
              <w:rPr>
                <w:sz w:val="16"/>
                <w:szCs w:val="16"/>
                <w:color w:val="auto"/>
              </w:rPr>
            </w:pPr>
          </w:p>
        </w:tc>
        <w:tc>
          <w:tcPr>
            <w:tcW w:w="10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383</w:t>
            </w:r>
          </w:p>
        </w:tc>
        <w:tc>
          <w:tcPr>
            <w:tcW w:w="0" w:type="dxa"/>
            <w:vAlign w:val="bottom"/>
          </w:tcPr>
          <w:p>
            <w:pPr>
              <w:spacing w:after="0"/>
              <w:rPr>
                <w:sz w:val="1"/>
                <w:szCs w:val="1"/>
                <w:color w:val="auto"/>
              </w:rPr>
            </w:pPr>
          </w:p>
        </w:tc>
      </w:tr>
      <w:tr>
        <w:trPr>
          <w:trHeight w:val="191"/>
        </w:trPr>
        <w:tc>
          <w:tcPr>
            <w:tcW w:w="7160" w:type="dxa"/>
            <w:vAlign w:val="bottom"/>
            <w:gridSpan w:val="2"/>
          </w:tcPr>
          <w:p>
            <w:pPr>
              <w:ind w:left="20"/>
              <w:spacing w:after="0"/>
              <w:rPr>
                <w:sz w:val="20"/>
                <w:szCs w:val="20"/>
                <w:color w:val="auto"/>
              </w:rPr>
            </w:pPr>
            <w:r>
              <w:rPr>
                <w:rFonts w:ascii="Arial" w:cs="Arial" w:eastAsia="Arial" w:hAnsi="Arial"/>
                <w:sz w:val="14"/>
                <w:szCs w:val="14"/>
                <w:color w:val="131E29"/>
              </w:rPr>
              <w:t>Thereafter</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131E29"/>
              </w:rPr>
              <w:t>447</w:t>
            </w:r>
          </w:p>
        </w:tc>
        <w:tc>
          <w:tcPr>
            <w:tcW w:w="0" w:type="dxa"/>
            <w:vAlign w:val="bottom"/>
          </w:tcPr>
          <w:p>
            <w:pPr>
              <w:spacing w:after="0"/>
              <w:rPr>
                <w:sz w:val="1"/>
                <w:szCs w:val="1"/>
                <w:color w:val="auto"/>
              </w:rPr>
            </w:pPr>
          </w:p>
        </w:tc>
      </w:tr>
      <w:tr>
        <w:trPr>
          <w:trHeight w:val="22"/>
        </w:trPr>
        <w:tc>
          <w:tcPr>
            <w:tcW w:w="7160" w:type="dxa"/>
            <w:vAlign w:val="bottom"/>
            <w:tcBorders>
              <w:bottom w:val="single" w:sz="8" w:color="D2DCE5"/>
            </w:tcBorders>
            <w:gridSpan w:val="2"/>
          </w:tcPr>
          <w:p>
            <w:pPr>
              <w:spacing w:after="0" w:line="20" w:lineRule="exact"/>
              <w:rPr>
                <w:sz w:val="1"/>
                <w:szCs w:val="1"/>
                <w:color w:val="auto"/>
              </w:rPr>
            </w:pPr>
          </w:p>
        </w:tc>
        <w:tc>
          <w:tcPr>
            <w:tcW w:w="300" w:type="dxa"/>
            <w:vAlign w:val="bottom"/>
            <w:tcBorders>
              <w:bottom w:val="single" w:sz="8" w:color="D2DCE5"/>
            </w:tcBorders>
          </w:tcPr>
          <w:p>
            <w:pPr>
              <w:spacing w:after="0" w:line="20" w:lineRule="exact"/>
              <w:rPr>
                <w:sz w:val="1"/>
                <w:szCs w:val="1"/>
                <w:color w:val="auto"/>
              </w:rPr>
            </w:pPr>
          </w:p>
        </w:tc>
        <w:tc>
          <w:tcPr>
            <w:tcW w:w="102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D2DCE5"/>
            </w:tcBorders>
          </w:tcPr>
          <w:p>
            <w:pPr>
              <w:spacing w:after="0" w:line="20" w:lineRule="exact"/>
              <w:rPr>
                <w:sz w:val="1"/>
                <w:szCs w:val="1"/>
                <w:color w:val="auto"/>
              </w:rPr>
            </w:pPr>
          </w:p>
        </w:tc>
        <w:tc>
          <w:tcPr>
            <w:tcW w:w="760" w:type="dxa"/>
            <w:vAlign w:val="bottom"/>
            <w:tcBorders>
              <w:bottom w:val="single" w:sz="8" w:color="D2DCE5"/>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160" w:type="dxa"/>
            <w:vAlign w:val="bottom"/>
            <w:tcBorders>
              <w:bottom w:val="single" w:sz="8" w:color="131E29"/>
            </w:tcBorders>
          </w:tcPr>
          <w:p>
            <w:pPr>
              <w:spacing w:after="0" w:line="20" w:lineRule="exact"/>
              <w:rPr>
                <w:sz w:val="1"/>
                <w:szCs w:val="1"/>
                <w:color w:val="auto"/>
              </w:rPr>
            </w:pPr>
          </w:p>
        </w:tc>
        <w:tc>
          <w:tcPr>
            <w:tcW w:w="80" w:type="dxa"/>
            <w:vAlign w:val="bottom"/>
            <w:tcBorders>
              <w:bottom w:val="single" w:sz="8" w:color="131E29"/>
            </w:tcBorders>
          </w:tcPr>
          <w:p>
            <w:pPr>
              <w:spacing w:after="0" w:line="20" w:lineRule="exact"/>
              <w:rPr>
                <w:sz w:val="1"/>
                <w:szCs w:val="1"/>
                <w:color w:val="auto"/>
              </w:rPr>
            </w:pPr>
          </w:p>
        </w:tc>
        <w:tc>
          <w:tcPr>
            <w:tcW w:w="320" w:type="dxa"/>
            <w:vAlign w:val="bottom"/>
            <w:tcBorders>
              <w:bottom w:val="single" w:sz="8" w:color="131E29"/>
            </w:tcBorders>
          </w:tcPr>
          <w:p>
            <w:pPr>
              <w:spacing w:after="0" w:line="20" w:lineRule="exact"/>
              <w:rPr>
                <w:sz w:val="1"/>
                <w:szCs w:val="1"/>
                <w:color w:val="auto"/>
              </w:rPr>
            </w:pPr>
          </w:p>
        </w:tc>
        <w:tc>
          <w:tcPr>
            <w:tcW w:w="1000" w:type="dxa"/>
            <w:vAlign w:val="bottom"/>
            <w:tcBorders>
              <w:bottom w:val="single" w:sz="8" w:color="131E2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160" w:type="dxa"/>
            <w:vAlign w:val="bottom"/>
            <w:gridSpan w:val="2"/>
            <w:shd w:val="clear" w:color="auto" w:fill="D2DCE5"/>
          </w:tcPr>
          <w:p>
            <w:pPr>
              <w:ind w:left="100"/>
              <w:spacing w:after="0"/>
              <w:rPr>
                <w:sz w:val="20"/>
                <w:szCs w:val="20"/>
                <w:color w:val="auto"/>
              </w:rPr>
            </w:pPr>
            <w:r>
              <w:rPr>
                <w:rFonts w:ascii="Arial" w:cs="Arial" w:eastAsia="Arial" w:hAnsi="Arial"/>
                <w:sz w:val="14"/>
                <w:szCs w:val="14"/>
                <w:color w:val="131E29"/>
              </w:rPr>
              <w:t>Total</w:t>
            </w:r>
          </w:p>
        </w:tc>
        <w:tc>
          <w:tcPr>
            <w:tcW w:w="300" w:type="dxa"/>
            <w:vAlign w:val="bottom"/>
            <w:shd w:val="clear" w:color="auto" w:fill="D2DCE5"/>
          </w:tcPr>
          <w:p>
            <w:pPr>
              <w:spacing w:after="0"/>
              <w:rPr>
                <w:sz w:val="19"/>
                <w:szCs w:val="19"/>
                <w:color w:val="auto"/>
              </w:rPr>
            </w:pPr>
          </w:p>
        </w:tc>
        <w:tc>
          <w:tcPr>
            <w:tcW w:w="102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020" w:type="dxa"/>
            <w:vAlign w:val="bottom"/>
            <w:gridSpan w:val="3"/>
            <w:shd w:val="clear" w:color="auto" w:fill="D2DCE5"/>
          </w:tcPr>
          <w:p>
            <w:pPr>
              <w:jc w:val="right"/>
              <w:ind w:right="80"/>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9"/>
                <w:szCs w:val="19"/>
                <w:color w:val="auto"/>
              </w:rPr>
            </w:pPr>
          </w:p>
        </w:tc>
        <w:tc>
          <w:tcPr>
            <w:tcW w:w="320" w:type="dxa"/>
            <w:vAlign w:val="bottom"/>
            <w:shd w:val="clear" w:color="auto" w:fill="D2DCE5"/>
          </w:tcPr>
          <w:p>
            <w:pPr>
              <w:spacing w:after="0"/>
              <w:rPr>
                <w:sz w:val="19"/>
                <w:szCs w:val="19"/>
                <w:color w:val="auto"/>
              </w:rPr>
            </w:pPr>
          </w:p>
        </w:tc>
        <w:tc>
          <w:tcPr>
            <w:tcW w:w="10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8,804</w:t>
            </w:r>
          </w:p>
        </w:tc>
        <w:tc>
          <w:tcPr>
            <w:tcW w:w="0" w:type="dxa"/>
            <w:vAlign w:val="bottom"/>
          </w:tcPr>
          <w:p>
            <w:pPr>
              <w:spacing w:after="0"/>
              <w:rPr>
                <w:sz w:val="1"/>
                <w:szCs w:val="1"/>
                <w:color w:val="auto"/>
              </w:rPr>
            </w:pPr>
          </w:p>
        </w:tc>
      </w:tr>
      <w:tr>
        <w:trPr>
          <w:trHeight w:val="20"/>
        </w:trPr>
        <w:tc>
          <w:tcPr>
            <w:tcW w:w="7160" w:type="dxa"/>
            <w:vAlign w:val="bottom"/>
            <w:tcBorders>
              <w:top w:val="single" w:sz="8" w:color="D2DCE5"/>
              <w:bottom w:val="single" w:sz="8" w:color="D2DCE5"/>
            </w:tcBorders>
            <w:gridSpan w:val="2"/>
            <w:vMerge w:val="restart"/>
          </w:tcPr>
          <w:p>
            <w:pPr>
              <w:spacing w:after="0"/>
              <w:rPr>
                <w:sz w:val="20"/>
                <w:szCs w:val="20"/>
                <w:color w:val="auto"/>
              </w:rPr>
            </w:pPr>
            <w:r>
              <w:rPr>
                <w:rFonts w:ascii="Arial" w:cs="Arial" w:eastAsia="Arial" w:hAnsi="Arial"/>
                <w:sz w:val="14"/>
                <w:szCs w:val="14"/>
                <w:b w:val="1"/>
                <w:bCs w:val="1"/>
                <w:i w:val="1"/>
                <w:iCs w:val="1"/>
                <w:color w:val="006098"/>
              </w:rPr>
              <w:t>Goodwill</w:t>
            </w:r>
          </w:p>
        </w:tc>
        <w:tc>
          <w:tcPr>
            <w:tcW w:w="300" w:type="dxa"/>
            <w:vAlign w:val="bottom"/>
            <w:tcBorders>
              <w:top w:val="single" w:sz="8" w:color="D2DCE5"/>
            </w:tcBorders>
          </w:tcPr>
          <w:p>
            <w:pPr>
              <w:spacing w:after="0" w:line="20" w:lineRule="exact"/>
              <w:rPr>
                <w:sz w:val="1"/>
                <w:szCs w:val="1"/>
                <w:color w:val="auto"/>
              </w:rPr>
            </w:pPr>
          </w:p>
        </w:tc>
        <w:tc>
          <w:tcPr>
            <w:tcW w:w="102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tcBorders>
          </w:tcPr>
          <w:p>
            <w:pPr>
              <w:spacing w:after="0" w:line="20" w:lineRule="exact"/>
              <w:rPr>
                <w:sz w:val="1"/>
                <w:szCs w:val="1"/>
                <w:color w:val="auto"/>
              </w:rPr>
            </w:pPr>
          </w:p>
        </w:tc>
        <w:tc>
          <w:tcPr>
            <w:tcW w:w="7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131E29"/>
              <w:bottom w:val="single" w:sz="8" w:color="131E29"/>
            </w:tcBorders>
          </w:tcPr>
          <w:p>
            <w:pPr>
              <w:spacing w:after="0" w:line="20" w:lineRule="exact"/>
              <w:rPr>
                <w:sz w:val="1"/>
                <w:szCs w:val="1"/>
                <w:color w:val="auto"/>
              </w:rPr>
            </w:pPr>
          </w:p>
        </w:tc>
        <w:tc>
          <w:tcPr>
            <w:tcW w:w="80" w:type="dxa"/>
            <w:vAlign w:val="bottom"/>
            <w:tcBorders>
              <w:top w:val="single" w:sz="8" w:color="131E29"/>
              <w:bottom w:val="single" w:sz="8" w:color="131E29"/>
            </w:tcBorders>
          </w:tcPr>
          <w:p>
            <w:pPr>
              <w:spacing w:after="0" w:line="20" w:lineRule="exact"/>
              <w:rPr>
                <w:sz w:val="1"/>
                <w:szCs w:val="1"/>
                <w:color w:val="auto"/>
              </w:rPr>
            </w:pPr>
          </w:p>
        </w:tc>
        <w:tc>
          <w:tcPr>
            <w:tcW w:w="320" w:type="dxa"/>
            <w:vAlign w:val="bottom"/>
            <w:tcBorders>
              <w:top w:val="single" w:sz="8" w:color="131E29"/>
              <w:bottom w:val="single" w:sz="8" w:color="131E29"/>
            </w:tcBorders>
          </w:tcPr>
          <w:p>
            <w:pPr>
              <w:spacing w:after="0" w:line="20" w:lineRule="exact"/>
              <w:rPr>
                <w:sz w:val="1"/>
                <w:szCs w:val="1"/>
                <w:color w:val="auto"/>
              </w:rPr>
            </w:pPr>
          </w:p>
        </w:tc>
        <w:tc>
          <w:tcPr>
            <w:tcW w:w="1000" w:type="dxa"/>
            <w:vAlign w:val="bottom"/>
            <w:tcBorders>
              <w:top w:val="single" w:sz="8" w:color="131E29"/>
              <w:bottom w:val="single" w:sz="8" w:color="131E2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71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560" w:type="dxa"/>
            <w:vAlign w:val="bottom"/>
            <w:gridSpan w:val="5"/>
          </w:tcPr>
          <w:p>
            <w:pPr>
              <w:spacing w:after="0"/>
              <w:rPr>
                <w:sz w:val="20"/>
                <w:szCs w:val="20"/>
                <w:color w:val="auto"/>
              </w:rPr>
            </w:pPr>
            <w:r>
              <w:rPr>
                <w:rFonts w:ascii="Arial" w:cs="Arial" w:eastAsia="Arial" w:hAnsi="Arial"/>
                <w:sz w:val="14"/>
                <w:szCs w:val="14"/>
                <w:color w:val="131E29"/>
              </w:rPr>
              <w:t>Goodwill is allocated entirely to the Company-operated shops segment. The carrying amount and activity of goodwill was as follows:</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16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131E29"/>
              </w:rPr>
              <w:t>(in thousands)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D2DCE5"/>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71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Balance, December 31, 2020</w:t>
            </w:r>
          </w:p>
        </w:tc>
        <w:tc>
          <w:tcPr>
            <w:tcW w:w="300" w:type="dxa"/>
            <w:vAlign w:val="bottom"/>
            <w:tcBorders>
              <w:bottom w:val="single" w:sz="8" w:color="D2DCE5"/>
            </w:tcBorders>
            <w:shd w:val="clear" w:color="auto" w:fill="D2DCE5"/>
          </w:tcPr>
          <w:p>
            <w:pPr>
              <w:spacing w:after="0"/>
              <w:rPr>
                <w:sz w:val="16"/>
                <w:szCs w:val="16"/>
                <w:color w:val="auto"/>
              </w:rPr>
            </w:pPr>
          </w:p>
        </w:tc>
        <w:tc>
          <w:tcPr>
            <w:tcW w:w="102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1020" w:type="dxa"/>
            <w:vAlign w:val="bottom"/>
            <w:tcBorders>
              <w:bottom w:val="single" w:sz="8" w:color="D2DCE5"/>
            </w:tcBorders>
            <w:gridSpan w:val="3"/>
            <w:shd w:val="clear" w:color="auto" w:fill="D2DCE5"/>
          </w:tcPr>
          <w:p>
            <w:pPr>
              <w:jc w:val="right"/>
              <w:ind w:right="80"/>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320" w:type="dxa"/>
            <w:vAlign w:val="bottom"/>
            <w:tcBorders>
              <w:bottom w:val="single" w:sz="8" w:color="D2DCE5"/>
            </w:tcBorders>
            <w:shd w:val="clear" w:color="auto" w:fill="D2DCE5"/>
          </w:tcPr>
          <w:p>
            <w:pPr>
              <w:spacing w:after="0"/>
              <w:rPr>
                <w:sz w:val="16"/>
                <w:szCs w:val="16"/>
                <w:color w:val="auto"/>
              </w:rPr>
            </w:pPr>
          </w:p>
        </w:tc>
        <w:tc>
          <w:tcPr>
            <w:tcW w:w="10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18,075</w:t>
            </w:r>
          </w:p>
        </w:tc>
        <w:tc>
          <w:tcPr>
            <w:tcW w:w="0" w:type="dxa"/>
            <w:vAlign w:val="bottom"/>
          </w:tcPr>
          <w:p>
            <w:pPr>
              <w:spacing w:after="0"/>
              <w:rPr>
                <w:sz w:val="1"/>
                <w:szCs w:val="1"/>
                <w:color w:val="auto"/>
              </w:rPr>
            </w:pPr>
          </w:p>
        </w:tc>
      </w:tr>
      <w:tr>
        <w:trPr>
          <w:trHeight w:val="191"/>
        </w:trPr>
        <w:tc>
          <w:tcPr>
            <w:tcW w:w="7160" w:type="dxa"/>
            <w:vAlign w:val="bottom"/>
            <w:gridSpan w:val="2"/>
          </w:tcPr>
          <w:p>
            <w:pPr>
              <w:ind w:left="20"/>
              <w:spacing w:after="0"/>
              <w:rPr>
                <w:sz w:val="20"/>
                <w:szCs w:val="20"/>
                <w:color w:val="auto"/>
              </w:rPr>
            </w:pPr>
            <w:r>
              <w:rPr>
                <w:rFonts w:ascii="Arial" w:cs="Arial" w:eastAsia="Arial" w:hAnsi="Arial"/>
                <w:sz w:val="14"/>
                <w:szCs w:val="14"/>
                <w:color w:val="131E29"/>
              </w:rPr>
              <w:t>Business combinations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131E29"/>
              </w:rPr>
              <w:t>640</w:t>
            </w:r>
          </w:p>
        </w:tc>
        <w:tc>
          <w:tcPr>
            <w:tcW w:w="0" w:type="dxa"/>
            <w:vAlign w:val="bottom"/>
          </w:tcPr>
          <w:p>
            <w:pPr>
              <w:spacing w:after="0"/>
              <w:rPr>
                <w:sz w:val="1"/>
                <w:szCs w:val="1"/>
                <w:color w:val="auto"/>
              </w:rPr>
            </w:pPr>
          </w:p>
        </w:tc>
      </w:tr>
      <w:tr>
        <w:trPr>
          <w:trHeight w:val="22"/>
        </w:trPr>
        <w:tc>
          <w:tcPr>
            <w:tcW w:w="7160" w:type="dxa"/>
            <w:vAlign w:val="bottom"/>
            <w:tcBorders>
              <w:bottom w:val="single" w:sz="8" w:color="D2DCE5"/>
            </w:tcBorders>
            <w:gridSpan w:val="2"/>
          </w:tcPr>
          <w:p>
            <w:pPr>
              <w:spacing w:after="0" w:line="20" w:lineRule="exact"/>
              <w:rPr>
                <w:sz w:val="1"/>
                <w:szCs w:val="1"/>
                <w:color w:val="auto"/>
              </w:rPr>
            </w:pPr>
          </w:p>
        </w:tc>
        <w:tc>
          <w:tcPr>
            <w:tcW w:w="300" w:type="dxa"/>
            <w:vAlign w:val="bottom"/>
            <w:tcBorders>
              <w:bottom w:val="single" w:sz="8" w:color="D2DCE5"/>
            </w:tcBorders>
          </w:tcPr>
          <w:p>
            <w:pPr>
              <w:spacing w:after="0" w:line="20" w:lineRule="exact"/>
              <w:rPr>
                <w:sz w:val="1"/>
                <w:szCs w:val="1"/>
                <w:color w:val="auto"/>
              </w:rPr>
            </w:pPr>
          </w:p>
        </w:tc>
        <w:tc>
          <w:tcPr>
            <w:tcW w:w="102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D2DCE5"/>
            </w:tcBorders>
          </w:tcPr>
          <w:p>
            <w:pPr>
              <w:spacing w:after="0" w:line="20" w:lineRule="exact"/>
              <w:rPr>
                <w:sz w:val="1"/>
                <w:szCs w:val="1"/>
                <w:color w:val="auto"/>
              </w:rPr>
            </w:pPr>
          </w:p>
        </w:tc>
        <w:tc>
          <w:tcPr>
            <w:tcW w:w="860" w:type="dxa"/>
            <w:vAlign w:val="bottom"/>
            <w:tcBorders>
              <w:bottom w:val="single" w:sz="8" w:color="D2DCE5"/>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1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Balance, December 31, 2021</w:t>
            </w:r>
          </w:p>
        </w:tc>
        <w:tc>
          <w:tcPr>
            <w:tcW w:w="300" w:type="dxa"/>
            <w:vAlign w:val="bottom"/>
            <w:tcBorders>
              <w:bottom w:val="single" w:sz="8" w:color="D2DCE5"/>
            </w:tcBorders>
            <w:shd w:val="clear" w:color="auto" w:fill="D2DCE5"/>
          </w:tcPr>
          <w:p>
            <w:pPr>
              <w:spacing w:after="0"/>
              <w:rPr>
                <w:sz w:val="15"/>
                <w:szCs w:val="15"/>
                <w:color w:val="auto"/>
              </w:rPr>
            </w:pPr>
          </w:p>
        </w:tc>
        <w:tc>
          <w:tcPr>
            <w:tcW w:w="1020" w:type="dxa"/>
            <w:vAlign w:val="bottom"/>
            <w:tcBorders>
              <w:bottom w:val="single" w:sz="8" w:color="D2DCE5"/>
            </w:tcBorders>
            <w:shd w:val="clear" w:color="auto" w:fill="D2DCE5"/>
          </w:tcPr>
          <w:p>
            <w:pPr>
              <w:spacing w:after="0"/>
              <w:rPr>
                <w:sz w:val="15"/>
                <w:szCs w:val="15"/>
                <w:color w:val="auto"/>
              </w:rPr>
            </w:pPr>
          </w:p>
        </w:tc>
        <w:tc>
          <w:tcPr>
            <w:tcW w:w="80" w:type="dxa"/>
            <w:vAlign w:val="bottom"/>
            <w:tcBorders>
              <w:bottom w:val="single" w:sz="8" w:color="D2DCE5"/>
            </w:tcBorders>
            <w:shd w:val="clear" w:color="auto" w:fill="D2DCE5"/>
          </w:tcPr>
          <w:p>
            <w:pPr>
              <w:spacing w:after="0"/>
              <w:rPr>
                <w:sz w:val="15"/>
                <w:szCs w:val="15"/>
                <w:color w:val="auto"/>
              </w:rPr>
            </w:pPr>
          </w:p>
        </w:tc>
        <w:tc>
          <w:tcPr>
            <w:tcW w:w="300" w:type="dxa"/>
            <w:vAlign w:val="bottom"/>
            <w:tcBorders>
              <w:bottom w:val="single" w:sz="8" w:color="D2DCE5"/>
            </w:tcBorders>
            <w:shd w:val="clear" w:color="auto" w:fill="D2DCE5"/>
          </w:tcPr>
          <w:p>
            <w:pPr>
              <w:spacing w:after="0"/>
              <w:rPr>
                <w:sz w:val="15"/>
                <w:szCs w:val="15"/>
                <w:color w:val="auto"/>
              </w:rPr>
            </w:pPr>
          </w:p>
        </w:tc>
        <w:tc>
          <w:tcPr>
            <w:tcW w:w="1020" w:type="dxa"/>
            <w:vAlign w:val="bottom"/>
            <w:tcBorders>
              <w:bottom w:val="single" w:sz="8" w:color="D2DCE5"/>
            </w:tcBorders>
            <w:gridSpan w:val="3"/>
            <w:shd w:val="clear" w:color="auto" w:fill="D2DCE5"/>
          </w:tcPr>
          <w:p>
            <w:pPr>
              <w:jc w:val="right"/>
              <w:ind w:right="80"/>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5"/>
                <w:szCs w:val="15"/>
                <w:color w:val="auto"/>
              </w:rPr>
            </w:pPr>
          </w:p>
        </w:tc>
        <w:tc>
          <w:tcPr>
            <w:tcW w:w="320" w:type="dxa"/>
            <w:vAlign w:val="bottom"/>
            <w:tcBorders>
              <w:bottom w:val="single" w:sz="8" w:color="D2DCE5"/>
            </w:tcBorders>
            <w:shd w:val="clear" w:color="auto" w:fill="D2DCE5"/>
          </w:tcPr>
          <w:p>
            <w:pPr>
              <w:spacing w:after="0"/>
              <w:rPr>
                <w:sz w:val="15"/>
                <w:szCs w:val="15"/>
                <w:color w:val="auto"/>
              </w:rPr>
            </w:pPr>
          </w:p>
        </w:tc>
        <w:tc>
          <w:tcPr>
            <w:tcW w:w="10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18,715</w:t>
            </w:r>
          </w:p>
        </w:tc>
        <w:tc>
          <w:tcPr>
            <w:tcW w:w="0" w:type="dxa"/>
            <w:vAlign w:val="bottom"/>
          </w:tcPr>
          <w:p>
            <w:pPr>
              <w:spacing w:after="0"/>
              <w:rPr>
                <w:sz w:val="1"/>
                <w:szCs w:val="1"/>
                <w:color w:val="auto"/>
              </w:rPr>
            </w:pPr>
          </w:p>
        </w:tc>
      </w:tr>
      <w:tr>
        <w:trPr>
          <w:trHeight w:val="191"/>
        </w:trPr>
        <w:tc>
          <w:tcPr>
            <w:tcW w:w="7160" w:type="dxa"/>
            <w:vAlign w:val="bottom"/>
            <w:gridSpan w:val="2"/>
          </w:tcPr>
          <w:p>
            <w:pPr>
              <w:ind w:left="20"/>
              <w:spacing w:after="0"/>
              <w:rPr>
                <w:sz w:val="20"/>
                <w:szCs w:val="20"/>
                <w:color w:val="auto"/>
              </w:rPr>
            </w:pPr>
            <w:r>
              <w:rPr>
                <w:rFonts w:ascii="Arial" w:cs="Arial" w:eastAsia="Arial" w:hAnsi="Arial"/>
                <w:sz w:val="14"/>
                <w:szCs w:val="14"/>
                <w:color w:val="131E29"/>
              </w:rPr>
              <w:t>Business combinations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131E29"/>
              </w:rPr>
              <w:t>2,914</w:t>
            </w:r>
          </w:p>
        </w:tc>
        <w:tc>
          <w:tcPr>
            <w:tcW w:w="0" w:type="dxa"/>
            <w:vAlign w:val="bottom"/>
          </w:tcPr>
          <w:p>
            <w:pPr>
              <w:spacing w:after="0"/>
              <w:rPr>
                <w:sz w:val="1"/>
                <w:szCs w:val="1"/>
                <w:color w:val="auto"/>
              </w:rPr>
            </w:pPr>
          </w:p>
        </w:tc>
      </w:tr>
      <w:tr>
        <w:trPr>
          <w:trHeight w:val="22"/>
        </w:trPr>
        <w:tc>
          <w:tcPr>
            <w:tcW w:w="7160" w:type="dxa"/>
            <w:vAlign w:val="bottom"/>
            <w:tcBorders>
              <w:bottom w:val="single" w:sz="8" w:color="D2DCE5"/>
            </w:tcBorders>
            <w:gridSpan w:val="2"/>
          </w:tcPr>
          <w:p>
            <w:pPr>
              <w:spacing w:after="0" w:line="20" w:lineRule="exact"/>
              <w:rPr>
                <w:sz w:val="1"/>
                <w:szCs w:val="1"/>
                <w:color w:val="auto"/>
              </w:rPr>
            </w:pPr>
          </w:p>
        </w:tc>
        <w:tc>
          <w:tcPr>
            <w:tcW w:w="300" w:type="dxa"/>
            <w:vAlign w:val="bottom"/>
            <w:tcBorders>
              <w:bottom w:val="single" w:sz="8" w:color="D2DCE5"/>
            </w:tcBorders>
          </w:tcPr>
          <w:p>
            <w:pPr>
              <w:spacing w:after="0" w:line="20" w:lineRule="exact"/>
              <w:rPr>
                <w:sz w:val="1"/>
                <w:szCs w:val="1"/>
                <w:color w:val="auto"/>
              </w:rPr>
            </w:pPr>
          </w:p>
        </w:tc>
        <w:tc>
          <w:tcPr>
            <w:tcW w:w="102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D2DCE5"/>
            </w:tcBorders>
          </w:tcPr>
          <w:p>
            <w:pPr>
              <w:spacing w:after="0" w:line="20" w:lineRule="exact"/>
              <w:rPr>
                <w:sz w:val="1"/>
                <w:szCs w:val="1"/>
                <w:color w:val="auto"/>
              </w:rPr>
            </w:pPr>
          </w:p>
        </w:tc>
        <w:tc>
          <w:tcPr>
            <w:tcW w:w="860" w:type="dxa"/>
            <w:vAlign w:val="bottom"/>
            <w:tcBorders>
              <w:bottom w:val="single" w:sz="8" w:color="D2DCE5"/>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16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Balance, December 31, 2022</w:t>
            </w:r>
          </w:p>
        </w:tc>
        <w:tc>
          <w:tcPr>
            <w:tcW w:w="300" w:type="dxa"/>
            <w:vAlign w:val="bottom"/>
            <w:shd w:val="clear" w:color="auto" w:fill="D2DCE5"/>
          </w:tcPr>
          <w:p>
            <w:pPr>
              <w:spacing w:after="0"/>
              <w:rPr>
                <w:sz w:val="19"/>
                <w:szCs w:val="19"/>
                <w:color w:val="auto"/>
              </w:rPr>
            </w:pPr>
          </w:p>
        </w:tc>
        <w:tc>
          <w:tcPr>
            <w:tcW w:w="102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020" w:type="dxa"/>
            <w:vAlign w:val="bottom"/>
            <w:gridSpan w:val="3"/>
            <w:shd w:val="clear" w:color="auto" w:fill="D2DCE5"/>
          </w:tcPr>
          <w:p>
            <w:pPr>
              <w:jc w:val="right"/>
              <w:ind w:right="80"/>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9"/>
                <w:szCs w:val="19"/>
                <w:color w:val="auto"/>
              </w:rPr>
            </w:pPr>
          </w:p>
        </w:tc>
        <w:tc>
          <w:tcPr>
            <w:tcW w:w="320" w:type="dxa"/>
            <w:vAlign w:val="bottom"/>
            <w:shd w:val="clear" w:color="auto" w:fill="D2DCE5"/>
          </w:tcPr>
          <w:p>
            <w:pPr>
              <w:spacing w:after="0"/>
              <w:rPr>
                <w:sz w:val="19"/>
                <w:szCs w:val="19"/>
                <w:color w:val="auto"/>
              </w:rPr>
            </w:pPr>
          </w:p>
        </w:tc>
        <w:tc>
          <w:tcPr>
            <w:tcW w:w="10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21,629</w:t>
            </w:r>
          </w:p>
        </w:tc>
        <w:tc>
          <w:tcPr>
            <w:tcW w:w="0" w:type="dxa"/>
            <w:vAlign w:val="bottom"/>
          </w:tcPr>
          <w:p>
            <w:pPr>
              <w:spacing w:after="0"/>
              <w:rPr>
                <w:sz w:val="1"/>
                <w:szCs w:val="1"/>
                <w:color w:val="auto"/>
              </w:rPr>
            </w:pPr>
          </w:p>
        </w:tc>
      </w:tr>
      <w:tr>
        <w:trPr>
          <w:trHeight w:val="20"/>
        </w:trPr>
        <w:tc>
          <w:tcPr>
            <w:tcW w:w="708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tcBorders>
          </w:tcPr>
          <w:p>
            <w:pPr>
              <w:spacing w:after="0" w:line="20" w:lineRule="exact"/>
              <w:rPr>
                <w:sz w:val="1"/>
                <w:szCs w:val="1"/>
                <w:color w:val="auto"/>
              </w:rPr>
            </w:pPr>
          </w:p>
        </w:tc>
        <w:tc>
          <w:tcPr>
            <w:tcW w:w="102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tcBorders>
          </w:tcPr>
          <w:p>
            <w:pPr>
              <w:spacing w:after="0" w:line="20" w:lineRule="exact"/>
              <w:rPr>
                <w:sz w:val="1"/>
                <w:szCs w:val="1"/>
                <w:color w:val="auto"/>
              </w:rPr>
            </w:pPr>
          </w:p>
        </w:tc>
        <w:tc>
          <w:tcPr>
            <w:tcW w:w="7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131E29"/>
        </w:rPr>
        <w:t>No impairment charges were recognized for the years ended December 31, 2022, 2021, and 2020.</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8 — Leases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Adoption of ASC 842</w:t>
      </w:r>
    </w:p>
    <w:p>
      <w:pPr>
        <w:spacing w:after="0" w:line="15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The Company adopted ASC 842, as amended, using the modified retrospective transition method with an effective date of January 1, 2022. The modified retrospective approach permits a company to use its effective date as the date of initial application to apply the standard to its leases, and, therefore, not restate comparative prior period financial information. As such, results for reporting periods beginning on or after January 1, 2022 are presented under ASC 842. Prior period amounts were not revised and continue to be reported in accordance with ASC Topic 840 (ASC 840). Further, disclosures required under the new standard will not be provided for dates and periods prior to January 1, 2022. The adoption of the lease standard resulted in a cumulative adjustment to opening equity of $0.4 million, as provided in the table below.</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Subsequent to the Company’s January 1, 2022 adoption of the lease standard, the Company continued to review relevant lease contract elements and improve business processes, which resulted in adjustments to the Company’s adoption entries and presentation. The impacts of the adjustments were recorded during 2022, and are presented in the table below and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119" w:name="page120"/>
    <w:bookmarkEnd w:id="119"/>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Upon adoption, the Company recognized operating lease liabilities of $152.8 million based on the present value of the remaining lease payments for existing operating leases, and operating right-of-use assets of $150.7 million, net of reductions for the impacts of deferred rents. As part of the transition, the Company derecognized all landlord funded lease incentives and deemed landlord financing liabilities, including capital assets related to previous sale and leaseback transactions which were remeasured under ASC 842 adoption requirements.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The standard provides several optional practical expedients in transition. The Company elected the package of practical expedients, which permits it to not reassess, under the new standard, the Company's prior conclusions about lease identification, lease classification and initial direct costs. As such, the Company applied the modified retrospective transition method as of the adoption date to those lease contracts for which it had taken possession of the property as of January 1, 2022.</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The Company also elected the practical expedient pertaining to land easements and did not elect the practical expedient related to use-of-hindsight. The new standard also provides practical expedients for an entity’s ongoing accounting. The Company elected the short-term lease recognition exemption and also the practical expedient to not separate lease and non-lease components for all its leases.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131E29"/>
        </w:rPr>
        <w:t>Upon transition, the Company recorded the following increases (decreases) to the respective line items on its consolidated balance sheet: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131E29"/>
              </w:rPr>
              <w:t>Adjustments as of January 1,</w:t>
            </w: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tcPr>
          <w:p>
            <w:pPr>
              <w:jc w:val="center"/>
              <w:ind w:right="75"/>
              <w:spacing w:after="0"/>
              <w:rPr>
                <w:sz w:val="20"/>
                <w:szCs w:val="20"/>
                <w:color w:val="auto"/>
              </w:rPr>
            </w:pPr>
            <w:r>
              <w:rPr>
                <w:rFonts w:ascii="Arial" w:cs="Arial" w:eastAsia="Arial" w:hAnsi="Arial"/>
                <w:sz w:val="14"/>
                <w:szCs w:val="14"/>
                <w:b w:val="1"/>
                <w:bCs w:val="1"/>
                <w:color w:val="131E29"/>
              </w:rPr>
              <w:t>Cumulative Adjustments as of</w:t>
            </w:r>
          </w:p>
        </w:tc>
      </w:tr>
      <w:tr>
        <w:trPr>
          <w:trHeight w:val="170"/>
        </w:trPr>
        <w:tc>
          <w:tcPr>
            <w:tcW w:w="4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tcPr>
          <w:p>
            <w:pPr>
              <w:jc w:val="center"/>
              <w:ind w:right="55"/>
              <w:spacing w:after="0"/>
              <w:rPr>
                <w:sz w:val="20"/>
                <w:szCs w:val="20"/>
                <w:color w:val="auto"/>
              </w:rPr>
            </w:pPr>
            <w:r>
              <w:rPr>
                <w:rFonts w:ascii="Arial" w:cs="Arial" w:eastAsia="Arial" w:hAnsi="Arial"/>
                <w:sz w:val="14"/>
                <w:szCs w:val="14"/>
                <w:b w:val="1"/>
                <w:bCs w:val="1"/>
                <w:color w:val="131E29"/>
              </w:rPr>
              <w:t>2022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131E29"/>
              </w:rPr>
              <w:t>Subsequent</w:t>
            </w:r>
          </w:p>
        </w:tc>
        <w:tc>
          <w:tcPr>
            <w:tcW w:w="140" w:type="dxa"/>
            <w:vAlign w:val="bottom"/>
          </w:tcPr>
          <w:p>
            <w:pPr>
              <w:spacing w:after="0"/>
              <w:rPr>
                <w:sz w:val="14"/>
                <w:szCs w:val="14"/>
                <w:color w:val="auto"/>
              </w:rPr>
            </w:pPr>
          </w:p>
        </w:tc>
        <w:tc>
          <w:tcPr>
            <w:tcW w:w="2300" w:type="dxa"/>
            <w:vAlign w:val="bottom"/>
          </w:tcPr>
          <w:p>
            <w:pPr>
              <w:jc w:val="center"/>
              <w:ind w:right="75"/>
              <w:spacing w:after="0"/>
              <w:rPr>
                <w:sz w:val="20"/>
                <w:szCs w:val="20"/>
                <w:color w:val="auto"/>
              </w:rPr>
            </w:pPr>
            <w:r>
              <w:rPr>
                <w:rFonts w:ascii="Arial" w:cs="Arial" w:eastAsia="Arial" w:hAnsi="Arial"/>
                <w:sz w:val="14"/>
                <w:szCs w:val="14"/>
                <w:b w:val="1"/>
                <w:bCs w:val="1"/>
                <w:color w:val="131E29"/>
              </w:rPr>
              <w:t>December 31, 2022</w:t>
            </w:r>
          </w:p>
        </w:tc>
      </w:tr>
      <w:tr>
        <w:trPr>
          <w:trHeight w:val="200"/>
        </w:trPr>
        <w:tc>
          <w:tcPr>
            <w:tcW w:w="4760" w:type="dxa"/>
            <w:vAlign w:val="bottom"/>
            <w:tcBorders>
              <w:bottom w:val="single" w:sz="8" w:color="131E29"/>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7"/>
                <w:szCs w:val="17"/>
                <w:color w:val="auto"/>
              </w:rPr>
            </w:pPr>
          </w:p>
        </w:tc>
        <w:tc>
          <w:tcPr>
            <w:tcW w:w="120" w:type="dxa"/>
            <w:vAlign w:val="bottom"/>
            <w:tcBorders>
              <w:bottom w:val="single" w:sz="8" w:color="131E29"/>
            </w:tcBorders>
          </w:tcPr>
          <w:p>
            <w:pPr>
              <w:spacing w:after="0"/>
              <w:rPr>
                <w:sz w:val="17"/>
                <w:szCs w:val="17"/>
                <w:color w:val="auto"/>
              </w:rPr>
            </w:pPr>
          </w:p>
        </w:tc>
        <w:tc>
          <w:tcPr>
            <w:tcW w:w="2120" w:type="dxa"/>
            <w:vAlign w:val="bottom"/>
            <w:tcBorders>
              <w:bottom w:val="single" w:sz="8" w:color="131E29"/>
            </w:tcBorders>
          </w:tcPr>
          <w:p>
            <w:pPr>
              <w:jc w:val="center"/>
              <w:ind w:right="55"/>
              <w:spacing w:after="0"/>
              <w:rPr>
                <w:sz w:val="20"/>
                <w:szCs w:val="20"/>
                <w:color w:val="auto"/>
              </w:rPr>
            </w:pPr>
            <w:r>
              <w:rPr>
                <w:rFonts w:ascii="Arial" w:cs="Arial" w:eastAsia="Arial" w:hAnsi="Arial"/>
                <w:sz w:val="14"/>
                <w:szCs w:val="14"/>
                <w:b w:val="1"/>
                <w:bCs w:val="1"/>
                <w:color w:val="131E29"/>
                <w:w w:val="99"/>
              </w:rPr>
              <w:t>(As Reported)</w:t>
            </w:r>
          </w:p>
        </w:tc>
        <w:tc>
          <w:tcPr>
            <w:tcW w:w="80" w:type="dxa"/>
            <w:vAlign w:val="bottom"/>
            <w:tcBorders>
              <w:bottom w:val="single" w:sz="8" w:color="D2DCE5"/>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131E29"/>
              </w:rPr>
              <w:t>Adjustments</w:t>
            </w:r>
          </w:p>
        </w:tc>
        <w:tc>
          <w:tcPr>
            <w:tcW w:w="80" w:type="dxa"/>
            <w:vAlign w:val="bottom"/>
            <w:tcBorders>
              <w:bottom w:val="single" w:sz="8" w:color="D2DCE5"/>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131E29"/>
              </w:rPr>
              <w:t>(As Corrected)</w:t>
            </w:r>
          </w:p>
        </w:tc>
      </w:tr>
      <w:tr>
        <w:trPr>
          <w:trHeight w:val="191"/>
        </w:trPr>
        <w:tc>
          <w:tcPr>
            <w:tcW w:w="484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Property and equipment, net</w:t>
            </w:r>
          </w:p>
        </w:tc>
        <w:tc>
          <w:tcPr>
            <w:tcW w:w="120" w:type="dxa"/>
            <w:vAlign w:val="bottom"/>
            <w:shd w:val="clear" w:color="auto" w:fill="D2DCE5"/>
          </w:tcPr>
          <w:p>
            <w:pPr>
              <w:jc w:val="right"/>
              <w:spacing w:after="0"/>
              <w:rPr>
                <w:sz w:val="20"/>
                <w:szCs w:val="20"/>
                <w:color w:val="auto"/>
              </w:rPr>
            </w:pPr>
            <w:r>
              <w:rPr>
                <w:rFonts w:ascii="Arial" w:cs="Arial" w:eastAsia="Arial" w:hAnsi="Arial"/>
                <w:sz w:val="13"/>
                <w:szCs w:val="13"/>
                <w:color w:val="131E29"/>
                <w:w w:val="82"/>
              </w:rPr>
              <w:t>$</w:t>
            </w:r>
          </w:p>
        </w:tc>
        <w:tc>
          <w:tcPr>
            <w:tcW w:w="212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(79,821)</w:t>
            </w:r>
          </w:p>
        </w:tc>
        <w:tc>
          <w:tcPr>
            <w:tcW w:w="80" w:type="dxa"/>
            <w:vAlign w:val="bottom"/>
            <w:shd w:val="clear" w:color="auto" w:fill="D2DCE5"/>
          </w:tcPr>
          <w:p>
            <w:pPr>
              <w:spacing w:after="0"/>
              <w:rPr>
                <w:sz w:val="16"/>
                <w:szCs w:val="16"/>
                <w:color w:val="auto"/>
              </w:rPr>
            </w:pPr>
          </w:p>
        </w:tc>
        <w:tc>
          <w:tcPr>
            <w:tcW w:w="240" w:type="dxa"/>
            <w:vAlign w:val="bottom"/>
            <w:shd w:val="clear" w:color="auto" w:fill="D2DCE5"/>
          </w:tcPr>
          <w:p>
            <w:pPr>
              <w:jc w:val="right"/>
              <w:ind w:right="76"/>
              <w:spacing w:after="0"/>
              <w:rPr>
                <w:sz w:val="20"/>
                <w:szCs w:val="20"/>
                <w:color w:val="auto"/>
              </w:rPr>
            </w:pPr>
            <w:r>
              <w:rPr>
                <w:rFonts w:ascii="Arial" w:cs="Arial" w:eastAsia="Arial" w:hAnsi="Arial"/>
                <w:sz w:val="13"/>
                <w:szCs w:val="13"/>
                <w:color w:val="131E29"/>
              </w:rPr>
              <w:t>$</w:t>
            </w:r>
          </w:p>
        </w:tc>
        <w:tc>
          <w:tcPr>
            <w:tcW w:w="13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(6,171)</w:t>
            </w:r>
          </w:p>
        </w:tc>
        <w:tc>
          <w:tcPr>
            <w:tcW w:w="80" w:type="dxa"/>
            <w:vAlign w:val="bottom"/>
            <w:shd w:val="clear" w:color="auto" w:fill="D2DCE5"/>
          </w:tcPr>
          <w:p>
            <w:pPr>
              <w:spacing w:after="0"/>
              <w:rPr>
                <w:sz w:val="16"/>
                <w:szCs w:val="16"/>
                <w:color w:val="auto"/>
              </w:rPr>
            </w:pPr>
          </w:p>
        </w:tc>
        <w:tc>
          <w:tcPr>
            <w:tcW w:w="140" w:type="dxa"/>
            <w:vAlign w:val="bottom"/>
            <w:shd w:val="clear" w:color="auto" w:fill="D2DCE5"/>
          </w:tcPr>
          <w:p>
            <w:pPr>
              <w:jc w:val="right"/>
              <w:spacing w:after="0"/>
              <w:rPr>
                <w:sz w:val="20"/>
                <w:szCs w:val="20"/>
                <w:color w:val="auto"/>
              </w:rPr>
            </w:pPr>
            <w:r>
              <w:rPr>
                <w:rFonts w:ascii="Arial" w:cs="Arial" w:eastAsia="Arial" w:hAnsi="Arial"/>
                <w:sz w:val="13"/>
                <w:szCs w:val="13"/>
                <w:color w:val="131E29"/>
                <w:w w:val="82"/>
              </w:rPr>
              <w:t>$</w:t>
            </w:r>
          </w:p>
        </w:tc>
        <w:tc>
          <w:tcPr>
            <w:tcW w:w="230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(85,992)</w:t>
            </w:r>
          </w:p>
        </w:tc>
      </w:tr>
      <w:tr>
        <w:trPr>
          <w:trHeight w:val="183"/>
        </w:trPr>
        <w:tc>
          <w:tcPr>
            <w:tcW w:w="4840" w:type="dxa"/>
            <w:vAlign w:val="bottom"/>
            <w:gridSpan w:val="2"/>
          </w:tcPr>
          <w:p>
            <w:pPr>
              <w:ind w:left="20"/>
              <w:spacing w:after="0"/>
              <w:rPr>
                <w:sz w:val="20"/>
                <w:szCs w:val="20"/>
                <w:color w:val="auto"/>
              </w:rPr>
            </w:pPr>
            <w:r>
              <w:rPr>
                <w:rFonts w:ascii="Arial" w:cs="Arial" w:eastAsia="Arial" w:hAnsi="Arial"/>
                <w:sz w:val="13"/>
                <w:szCs w:val="13"/>
                <w:color w:val="131E29"/>
              </w:rPr>
              <w:t>Finance lease right-of-use assets, net</w:t>
            </w:r>
          </w:p>
        </w:tc>
        <w:tc>
          <w:tcPr>
            <w:tcW w:w="120" w:type="dxa"/>
            <w:vAlign w:val="bottom"/>
          </w:tcPr>
          <w:p>
            <w:pPr>
              <w:spacing w:after="0"/>
              <w:rPr>
                <w:sz w:val="15"/>
                <w:szCs w:val="15"/>
                <w:color w:val="auto"/>
              </w:rPr>
            </w:pPr>
          </w:p>
        </w:tc>
        <w:tc>
          <w:tcPr>
            <w:tcW w:w="2120" w:type="dxa"/>
            <w:vAlign w:val="bottom"/>
          </w:tcPr>
          <w:p>
            <w:pPr>
              <w:jc w:val="right"/>
              <w:spacing w:after="0"/>
              <w:rPr>
                <w:sz w:val="20"/>
                <w:szCs w:val="20"/>
                <w:color w:val="auto"/>
              </w:rPr>
            </w:pPr>
            <w:r>
              <w:rPr>
                <w:rFonts w:ascii="Arial" w:cs="Arial" w:eastAsia="Arial" w:hAnsi="Arial"/>
                <w:sz w:val="13"/>
                <w:szCs w:val="13"/>
                <w:color w:val="131E29"/>
              </w:rPr>
              <w:t>111,826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131E29"/>
              </w:rPr>
              <w:t>3,745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00" w:type="dxa"/>
            <w:vAlign w:val="bottom"/>
          </w:tcPr>
          <w:p>
            <w:pPr>
              <w:jc w:val="right"/>
              <w:spacing w:after="0"/>
              <w:rPr>
                <w:sz w:val="20"/>
                <w:szCs w:val="20"/>
                <w:color w:val="auto"/>
              </w:rPr>
            </w:pPr>
            <w:r>
              <w:rPr>
                <w:rFonts w:ascii="Arial" w:cs="Arial" w:eastAsia="Arial" w:hAnsi="Arial"/>
                <w:sz w:val="13"/>
                <w:szCs w:val="13"/>
                <w:color w:val="131E29"/>
              </w:rPr>
              <w:t>115,571</w:t>
            </w:r>
          </w:p>
        </w:tc>
      </w:tr>
      <w:tr>
        <w:trPr>
          <w:trHeight w:val="199"/>
        </w:trPr>
        <w:tc>
          <w:tcPr>
            <w:tcW w:w="484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Operating lease right-of-use assets, net</w:t>
            </w:r>
          </w:p>
        </w:tc>
        <w:tc>
          <w:tcPr>
            <w:tcW w:w="120" w:type="dxa"/>
            <w:vAlign w:val="bottom"/>
            <w:shd w:val="clear" w:color="auto" w:fill="D2DCE5"/>
          </w:tcPr>
          <w:p>
            <w:pPr>
              <w:spacing w:after="0"/>
              <w:rPr>
                <w:sz w:val="17"/>
                <w:szCs w:val="17"/>
                <w:color w:val="auto"/>
              </w:rPr>
            </w:pPr>
          </w:p>
        </w:tc>
        <w:tc>
          <w:tcPr>
            <w:tcW w:w="212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150,689</w:t>
            </w: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1440" w:type="dxa"/>
            <w:vAlign w:val="bottom"/>
            <w:gridSpan w:val="2"/>
            <w:shd w:val="clear" w:color="auto" w:fill="D2DCE5"/>
          </w:tcPr>
          <w:p>
            <w:pPr>
              <w:jc w:val="right"/>
              <w:ind w:right="140"/>
              <w:spacing w:after="0"/>
              <w:rPr>
                <w:sz w:val="20"/>
                <w:szCs w:val="20"/>
                <w:color w:val="auto"/>
              </w:rPr>
            </w:pPr>
            <w:r>
              <w:rPr>
                <w:rFonts w:ascii="Arial" w:cs="Arial" w:eastAsia="Arial" w:hAnsi="Arial"/>
                <w:sz w:val="13"/>
                <w:szCs w:val="13"/>
                <w:color w:val="131E29"/>
              </w:rPr>
              <w:t>—</w:t>
            </w:r>
          </w:p>
        </w:tc>
        <w:tc>
          <w:tcPr>
            <w:tcW w:w="140" w:type="dxa"/>
            <w:vAlign w:val="bottom"/>
            <w:shd w:val="clear" w:color="auto" w:fill="D2DCE5"/>
          </w:tcPr>
          <w:p>
            <w:pPr>
              <w:spacing w:after="0"/>
              <w:rPr>
                <w:sz w:val="17"/>
                <w:szCs w:val="17"/>
                <w:color w:val="auto"/>
              </w:rPr>
            </w:pPr>
          </w:p>
        </w:tc>
        <w:tc>
          <w:tcPr>
            <w:tcW w:w="230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150,689</w:t>
            </w:r>
          </w:p>
        </w:tc>
      </w:tr>
      <w:tr>
        <w:trPr>
          <w:trHeight w:val="183"/>
        </w:trPr>
        <w:tc>
          <w:tcPr>
            <w:tcW w:w="4840" w:type="dxa"/>
            <w:vAlign w:val="bottom"/>
            <w:gridSpan w:val="2"/>
          </w:tcPr>
          <w:p>
            <w:pPr>
              <w:ind w:left="20"/>
              <w:spacing w:after="0"/>
              <w:rPr>
                <w:sz w:val="20"/>
                <w:szCs w:val="20"/>
                <w:color w:val="auto"/>
              </w:rPr>
            </w:pPr>
            <w:r>
              <w:rPr>
                <w:rFonts w:ascii="Arial" w:cs="Arial" w:eastAsia="Arial" w:hAnsi="Arial"/>
                <w:sz w:val="13"/>
                <w:szCs w:val="13"/>
                <w:color w:val="131E29"/>
              </w:rPr>
              <w:t>Deferred rent</w:t>
            </w:r>
          </w:p>
        </w:tc>
        <w:tc>
          <w:tcPr>
            <w:tcW w:w="120" w:type="dxa"/>
            <w:vAlign w:val="bottom"/>
          </w:tcPr>
          <w:p>
            <w:pPr>
              <w:spacing w:after="0"/>
              <w:rPr>
                <w:sz w:val="15"/>
                <w:szCs w:val="15"/>
                <w:color w:val="auto"/>
              </w:rPr>
            </w:pPr>
          </w:p>
        </w:tc>
        <w:tc>
          <w:tcPr>
            <w:tcW w:w="2120" w:type="dxa"/>
            <w:vAlign w:val="bottom"/>
          </w:tcPr>
          <w:p>
            <w:pPr>
              <w:jc w:val="right"/>
              <w:spacing w:after="0"/>
              <w:rPr>
                <w:sz w:val="20"/>
                <w:szCs w:val="20"/>
                <w:color w:val="auto"/>
              </w:rPr>
            </w:pPr>
            <w:r>
              <w:rPr>
                <w:rFonts w:ascii="Arial" w:cs="Arial" w:eastAsia="Arial" w:hAnsi="Arial"/>
                <w:sz w:val="13"/>
                <w:szCs w:val="13"/>
                <w:color w:val="131E29"/>
              </w:rPr>
              <w:t>(3,153)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3"/>
                <w:szCs w:val="13"/>
                <w:color w:val="131E29"/>
              </w:rPr>
              <w:t>—</w:t>
            </w:r>
          </w:p>
        </w:tc>
        <w:tc>
          <w:tcPr>
            <w:tcW w:w="140" w:type="dxa"/>
            <w:vAlign w:val="bottom"/>
          </w:tcPr>
          <w:p>
            <w:pPr>
              <w:spacing w:after="0"/>
              <w:rPr>
                <w:sz w:val="15"/>
                <w:szCs w:val="15"/>
                <w:color w:val="auto"/>
              </w:rPr>
            </w:pPr>
          </w:p>
        </w:tc>
        <w:tc>
          <w:tcPr>
            <w:tcW w:w="2300" w:type="dxa"/>
            <w:vAlign w:val="bottom"/>
          </w:tcPr>
          <w:p>
            <w:pPr>
              <w:jc w:val="right"/>
              <w:spacing w:after="0"/>
              <w:rPr>
                <w:sz w:val="20"/>
                <w:szCs w:val="20"/>
                <w:color w:val="auto"/>
              </w:rPr>
            </w:pPr>
            <w:r>
              <w:rPr>
                <w:rFonts w:ascii="Arial" w:cs="Arial" w:eastAsia="Arial" w:hAnsi="Arial"/>
                <w:sz w:val="13"/>
                <w:szCs w:val="13"/>
                <w:color w:val="131E29"/>
              </w:rPr>
              <w:t>(3,153)</w:t>
            </w:r>
          </w:p>
        </w:tc>
      </w:tr>
      <w:tr>
        <w:trPr>
          <w:trHeight w:val="199"/>
        </w:trPr>
        <w:tc>
          <w:tcPr>
            <w:tcW w:w="484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Current portion of finance lease liabilities</w:t>
            </w:r>
          </w:p>
        </w:tc>
        <w:tc>
          <w:tcPr>
            <w:tcW w:w="120" w:type="dxa"/>
            <w:vAlign w:val="bottom"/>
            <w:shd w:val="clear" w:color="auto" w:fill="D2DCE5"/>
          </w:tcPr>
          <w:p>
            <w:pPr>
              <w:spacing w:after="0"/>
              <w:rPr>
                <w:sz w:val="17"/>
                <w:szCs w:val="17"/>
                <w:color w:val="auto"/>
              </w:rPr>
            </w:pPr>
          </w:p>
        </w:tc>
        <w:tc>
          <w:tcPr>
            <w:tcW w:w="212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607</w:t>
            </w: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1440" w:type="dxa"/>
            <w:vAlign w:val="bottom"/>
            <w:gridSpan w:val="2"/>
            <w:shd w:val="clear" w:color="auto" w:fill="D2DCE5"/>
          </w:tcPr>
          <w:p>
            <w:pPr>
              <w:jc w:val="right"/>
              <w:ind w:right="140"/>
              <w:spacing w:after="0"/>
              <w:rPr>
                <w:sz w:val="20"/>
                <w:szCs w:val="20"/>
                <w:color w:val="auto"/>
              </w:rPr>
            </w:pPr>
            <w:r>
              <w:rPr>
                <w:rFonts w:ascii="Arial" w:cs="Arial" w:eastAsia="Arial" w:hAnsi="Arial"/>
                <w:sz w:val="13"/>
                <w:szCs w:val="13"/>
                <w:color w:val="131E29"/>
              </w:rPr>
              <w:t>—</w:t>
            </w:r>
          </w:p>
        </w:tc>
        <w:tc>
          <w:tcPr>
            <w:tcW w:w="140" w:type="dxa"/>
            <w:vAlign w:val="bottom"/>
            <w:shd w:val="clear" w:color="auto" w:fill="D2DCE5"/>
          </w:tcPr>
          <w:p>
            <w:pPr>
              <w:spacing w:after="0"/>
              <w:rPr>
                <w:sz w:val="17"/>
                <w:szCs w:val="17"/>
                <w:color w:val="auto"/>
              </w:rPr>
            </w:pPr>
          </w:p>
        </w:tc>
        <w:tc>
          <w:tcPr>
            <w:tcW w:w="230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607</w:t>
            </w:r>
          </w:p>
        </w:tc>
      </w:tr>
      <w:tr>
        <w:trPr>
          <w:trHeight w:val="183"/>
        </w:trPr>
        <w:tc>
          <w:tcPr>
            <w:tcW w:w="4840" w:type="dxa"/>
            <w:vAlign w:val="bottom"/>
            <w:gridSpan w:val="2"/>
          </w:tcPr>
          <w:p>
            <w:pPr>
              <w:ind w:left="20"/>
              <w:spacing w:after="0"/>
              <w:rPr>
                <w:sz w:val="20"/>
                <w:szCs w:val="20"/>
                <w:color w:val="auto"/>
              </w:rPr>
            </w:pPr>
            <w:r>
              <w:rPr>
                <w:rFonts w:ascii="Arial" w:cs="Arial" w:eastAsia="Arial" w:hAnsi="Arial"/>
                <w:sz w:val="13"/>
                <w:szCs w:val="13"/>
                <w:color w:val="131E29"/>
              </w:rPr>
              <w:t>Current portion of operating lease liabilities</w:t>
            </w:r>
          </w:p>
        </w:tc>
        <w:tc>
          <w:tcPr>
            <w:tcW w:w="120" w:type="dxa"/>
            <w:vAlign w:val="bottom"/>
          </w:tcPr>
          <w:p>
            <w:pPr>
              <w:spacing w:after="0"/>
              <w:rPr>
                <w:sz w:val="15"/>
                <w:szCs w:val="15"/>
                <w:color w:val="auto"/>
              </w:rPr>
            </w:pPr>
          </w:p>
        </w:tc>
        <w:tc>
          <w:tcPr>
            <w:tcW w:w="2120" w:type="dxa"/>
            <w:vAlign w:val="bottom"/>
          </w:tcPr>
          <w:p>
            <w:pPr>
              <w:jc w:val="right"/>
              <w:spacing w:after="0"/>
              <w:rPr>
                <w:sz w:val="20"/>
                <w:szCs w:val="20"/>
                <w:color w:val="auto"/>
              </w:rPr>
            </w:pPr>
            <w:r>
              <w:rPr>
                <w:rFonts w:ascii="Arial" w:cs="Arial" w:eastAsia="Arial" w:hAnsi="Arial"/>
                <w:sz w:val="13"/>
                <w:szCs w:val="13"/>
                <w:color w:val="131E29"/>
              </w:rPr>
              <w:t>8,430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3"/>
                <w:szCs w:val="13"/>
                <w:color w:val="131E29"/>
              </w:rPr>
              <w:t>—</w:t>
            </w:r>
          </w:p>
        </w:tc>
        <w:tc>
          <w:tcPr>
            <w:tcW w:w="140" w:type="dxa"/>
            <w:vAlign w:val="bottom"/>
          </w:tcPr>
          <w:p>
            <w:pPr>
              <w:spacing w:after="0"/>
              <w:rPr>
                <w:sz w:val="15"/>
                <w:szCs w:val="15"/>
                <w:color w:val="auto"/>
              </w:rPr>
            </w:pPr>
          </w:p>
        </w:tc>
        <w:tc>
          <w:tcPr>
            <w:tcW w:w="2300" w:type="dxa"/>
            <w:vAlign w:val="bottom"/>
          </w:tcPr>
          <w:p>
            <w:pPr>
              <w:jc w:val="right"/>
              <w:spacing w:after="0"/>
              <w:rPr>
                <w:sz w:val="20"/>
                <w:szCs w:val="20"/>
                <w:color w:val="auto"/>
              </w:rPr>
            </w:pPr>
            <w:r>
              <w:rPr>
                <w:rFonts w:ascii="Arial" w:cs="Arial" w:eastAsia="Arial" w:hAnsi="Arial"/>
                <w:sz w:val="13"/>
                <w:szCs w:val="13"/>
                <w:color w:val="131E29"/>
              </w:rPr>
              <w:t>8,430</w:t>
            </w:r>
          </w:p>
        </w:tc>
      </w:tr>
      <w:tr>
        <w:trPr>
          <w:trHeight w:val="199"/>
        </w:trPr>
        <w:tc>
          <w:tcPr>
            <w:tcW w:w="484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Current portion of long-term debt</w:t>
            </w:r>
          </w:p>
        </w:tc>
        <w:tc>
          <w:tcPr>
            <w:tcW w:w="120" w:type="dxa"/>
            <w:vAlign w:val="bottom"/>
            <w:shd w:val="clear" w:color="auto" w:fill="D2DCE5"/>
          </w:tcPr>
          <w:p>
            <w:pPr>
              <w:spacing w:after="0"/>
              <w:rPr>
                <w:sz w:val="17"/>
                <w:szCs w:val="17"/>
                <w:color w:val="auto"/>
              </w:rPr>
            </w:pPr>
          </w:p>
        </w:tc>
        <w:tc>
          <w:tcPr>
            <w:tcW w:w="212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(46)</w:t>
            </w: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1440" w:type="dxa"/>
            <w:vAlign w:val="bottom"/>
            <w:gridSpan w:val="2"/>
            <w:shd w:val="clear" w:color="auto" w:fill="D2DCE5"/>
          </w:tcPr>
          <w:p>
            <w:pPr>
              <w:jc w:val="right"/>
              <w:ind w:right="140"/>
              <w:spacing w:after="0"/>
              <w:rPr>
                <w:sz w:val="20"/>
                <w:szCs w:val="20"/>
                <w:color w:val="auto"/>
              </w:rPr>
            </w:pPr>
            <w:r>
              <w:rPr>
                <w:rFonts w:ascii="Arial" w:cs="Arial" w:eastAsia="Arial" w:hAnsi="Arial"/>
                <w:sz w:val="13"/>
                <w:szCs w:val="13"/>
                <w:color w:val="131E29"/>
              </w:rPr>
              <w:t>—</w:t>
            </w:r>
          </w:p>
        </w:tc>
        <w:tc>
          <w:tcPr>
            <w:tcW w:w="140" w:type="dxa"/>
            <w:vAlign w:val="bottom"/>
            <w:shd w:val="clear" w:color="auto" w:fill="D2DCE5"/>
          </w:tcPr>
          <w:p>
            <w:pPr>
              <w:spacing w:after="0"/>
              <w:rPr>
                <w:sz w:val="17"/>
                <w:szCs w:val="17"/>
                <w:color w:val="auto"/>
              </w:rPr>
            </w:pPr>
          </w:p>
        </w:tc>
        <w:tc>
          <w:tcPr>
            <w:tcW w:w="230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(46)</w:t>
            </w:r>
          </w:p>
        </w:tc>
      </w:tr>
      <w:tr>
        <w:trPr>
          <w:trHeight w:val="183"/>
        </w:trPr>
        <w:tc>
          <w:tcPr>
            <w:tcW w:w="4840" w:type="dxa"/>
            <w:vAlign w:val="bottom"/>
            <w:gridSpan w:val="2"/>
          </w:tcPr>
          <w:p>
            <w:pPr>
              <w:ind w:left="20"/>
              <w:spacing w:after="0"/>
              <w:rPr>
                <w:sz w:val="20"/>
                <w:szCs w:val="20"/>
                <w:color w:val="auto"/>
              </w:rPr>
            </w:pPr>
            <w:r>
              <w:rPr>
                <w:rFonts w:ascii="Arial" w:cs="Arial" w:eastAsia="Arial" w:hAnsi="Arial"/>
                <w:sz w:val="13"/>
                <w:szCs w:val="13"/>
                <w:color w:val="131E29"/>
              </w:rPr>
              <w:t>Finance lease liabilities, net of current portion</w:t>
            </w:r>
          </w:p>
        </w:tc>
        <w:tc>
          <w:tcPr>
            <w:tcW w:w="120" w:type="dxa"/>
            <w:vAlign w:val="bottom"/>
          </w:tcPr>
          <w:p>
            <w:pPr>
              <w:spacing w:after="0"/>
              <w:rPr>
                <w:sz w:val="15"/>
                <w:szCs w:val="15"/>
                <w:color w:val="auto"/>
              </w:rPr>
            </w:pPr>
          </w:p>
        </w:tc>
        <w:tc>
          <w:tcPr>
            <w:tcW w:w="2120" w:type="dxa"/>
            <w:vAlign w:val="bottom"/>
          </w:tcPr>
          <w:p>
            <w:pPr>
              <w:jc w:val="right"/>
              <w:spacing w:after="0"/>
              <w:rPr>
                <w:sz w:val="20"/>
                <w:szCs w:val="20"/>
                <w:color w:val="auto"/>
              </w:rPr>
            </w:pPr>
            <w:r>
              <w:rPr>
                <w:rFonts w:ascii="Arial" w:cs="Arial" w:eastAsia="Arial" w:hAnsi="Arial"/>
                <w:sz w:val="13"/>
                <w:szCs w:val="13"/>
                <w:color w:val="131E29"/>
              </w:rPr>
              <w:t>32,534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3"/>
                <w:szCs w:val="13"/>
                <w:color w:val="131E29"/>
              </w:rPr>
              <w:t>—</w:t>
            </w:r>
          </w:p>
        </w:tc>
        <w:tc>
          <w:tcPr>
            <w:tcW w:w="140" w:type="dxa"/>
            <w:vAlign w:val="bottom"/>
          </w:tcPr>
          <w:p>
            <w:pPr>
              <w:spacing w:after="0"/>
              <w:rPr>
                <w:sz w:val="15"/>
                <w:szCs w:val="15"/>
                <w:color w:val="auto"/>
              </w:rPr>
            </w:pPr>
          </w:p>
        </w:tc>
        <w:tc>
          <w:tcPr>
            <w:tcW w:w="2300" w:type="dxa"/>
            <w:vAlign w:val="bottom"/>
          </w:tcPr>
          <w:p>
            <w:pPr>
              <w:jc w:val="right"/>
              <w:spacing w:after="0"/>
              <w:rPr>
                <w:sz w:val="20"/>
                <w:szCs w:val="20"/>
                <w:color w:val="auto"/>
              </w:rPr>
            </w:pPr>
            <w:r>
              <w:rPr>
                <w:rFonts w:ascii="Arial" w:cs="Arial" w:eastAsia="Arial" w:hAnsi="Arial"/>
                <w:sz w:val="13"/>
                <w:szCs w:val="13"/>
                <w:color w:val="131E29"/>
              </w:rPr>
              <w:t>32,534</w:t>
            </w:r>
          </w:p>
        </w:tc>
      </w:tr>
      <w:tr>
        <w:trPr>
          <w:trHeight w:val="179"/>
        </w:trPr>
        <w:tc>
          <w:tcPr>
            <w:tcW w:w="484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Operating lease liabilities, net of</w:t>
            </w:r>
          </w:p>
        </w:tc>
        <w:tc>
          <w:tcPr>
            <w:tcW w:w="120" w:type="dxa"/>
            <w:vAlign w:val="bottom"/>
            <w:shd w:val="clear" w:color="auto" w:fill="D2DCE5"/>
          </w:tcPr>
          <w:p>
            <w:pPr>
              <w:spacing w:after="0"/>
              <w:rPr>
                <w:sz w:val="15"/>
                <w:szCs w:val="15"/>
                <w:color w:val="auto"/>
              </w:rPr>
            </w:pPr>
          </w:p>
        </w:tc>
        <w:tc>
          <w:tcPr>
            <w:tcW w:w="212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40" w:type="dxa"/>
            <w:vAlign w:val="bottom"/>
            <w:shd w:val="clear" w:color="auto" w:fill="D2DCE5"/>
          </w:tcPr>
          <w:p>
            <w:pPr>
              <w:spacing w:after="0"/>
              <w:rPr>
                <w:sz w:val="15"/>
                <w:szCs w:val="15"/>
                <w:color w:val="auto"/>
              </w:rPr>
            </w:pPr>
          </w:p>
        </w:tc>
        <w:tc>
          <w:tcPr>
            <w:tcW w:w="13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40" w:type="dxa"/>
            <w:vAlign w:val="bottom"/>
            <w:shd w:val="clear" w:color="auto" w:fill="D2DCE5"/>
          </w:tcPr>
          <w:p>
            <w:pPr>
              <w:spacing w:after="0"/>
              <w:rPr>
                <w:sz w:val="15"/>
                <w:szCs w:val="15"/>
                <w:color w:val="auto"/>
              </w:rPr>
            </w:pPr>
          </w:p>
        </w:tc>
        <w:tc>
          <w:tcPr>
            <w:tcW w:w="2300" w:type="dxa"/>
            <w:vAlign w:val="bottom"/>
            <w:shd w:val="clear" w:color="auto" w:fill="D2DCE5"/>
          </w:tcPr>
          <w:p>
            <w:pPr>
              <w:spacing w:after="0"/>
              <w:rPr>
                <w:sz w:val="15"/>
                <w:szCs w:val="15"/>
                <w:color w:val="auto"/>
              </w:rPr>
            </w:pPr>
          </w:p>
        </w:tc>
      </w:tr>
      <w:tr>
        <w:trPr>
          <w:trHeight w:val="179"/>
        </w:trPr>
        <w:tc>
          <w:tcPr>
            <w:tcW w:w="484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current portion</w:t>
            </w:r>
          </w:p>
        </w:tc>
        <w:tc>
          <w:tcPr>
            <w:tcW w:w="120" w:type="dxa"/>
            <w:vAlign w:val="bottom"/>
            <w:shd w:val="clear" w:color="auto" w:fill="D2DCE5"/>
          </w:tcPr>
          <w:p>
            <w:pPr>
              <w:spacing w:after="0"/>
              <w:rPr>
                <w:sz w:val="15"/>
                <w:szCs w:val="15"/>
                <w:color w:val="auto"/>
              </w:rPr>
            </w:pPr>
          </w:p>
        </w:tc>
        <w:tc>
          <w:tcPr>
            <w:tcW w:w="212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144,405</w:t>
            </w:r>
          </w:p>
        </w:tc>
        <w:tc>
          <w:tcPr>
            <w:tcW w:w="80" w:type="dxa"/>
            <w:vAlign w:val="bottom"/>
            <w:shd w:val="clear" w:color="auto" w:fill="D2DCE5"/>
          </w:tcPr>
          <w:p>
            <w:pPr>
              <w:spacing w:after="0"/>
              <w:rPr>
                <w:sz w:val="15"/>
                <w:szCs w:val="15"/>
                <w:color w:val="auto"/>
              </w:rPr>
            </w:pPr>
          </w:p>
        </w:tc>
        <w:tc>
          <w:tcPr>
            <w:tcW w:w="240" w:type="dxa"/>
            <w:vAlign w:val="bottom"/>
            <w:shd w:val="clear" w:color="auto" w:fill="D2DCE5"/>
          </w:tcPr>
          <w:p>
            <w:pPr>
              <w:spacing w:after="0"/>
              <w:rPr>
                <w:sz w:val="15"/>
                <w:szCs w:val="15"/>
                <w:color w:val="auto"/>
              </w:rPr>
            </w:pPr>
          </w:p>
        </w:tc>
        <w:tc>
          <w:tcPr>
            <w:tcW w:w="1440" w:type="dxa"/>
            <w:vAlign w:val="bottom"/>
            <w:gridSpan w:val="2"/>
            <w:shd w:val="clear" w:color="auto" w:fill="D2DCE5"/>
          </w:tcPr>
          <w:p>
            <w:pPr>
              <w:jc w:val="right"/>
              <w:ind w:right="140"/>
              <w:spacing w:after="0"/>
              <w:rPr>
                <w:sz w:val="20"/>
                <w:szCs w:val="20"/>
                <w:color w:val="auto"/>
              </w:rPr>
            </w:pPr>
            <w:r>
              <w:rPr>
                <w:rFonts w:ascii="Arial" w:cs="Arial" w:eastAsia="Arial" w:hAnsi="Arial"/>
                <w:sz w:val="13"/>
                <w:szCs w:val="13"/>
                <w:color w:val="131E29"/>
              </w:rPr>
              <w:t>—</w:t>
            </w:r>
          </w:p>
        </w:tc>
        <w:tc>
          <w:tcPr>
            <w:tcW w:w="140" w:type="dxa"/>
            <w:vAlign w:val="bottom"/>
            <w:shd w:val="clear" w:color="auto" w:fill="D2DCE5"/>
          </w:tcPr>
          <w:p>
            <w:pPr>
              <w:spacing w:after="0"/>
              <w:rPr>
                <w:sz w:val="15"/>
                <w:szCs w:val="15"/>
                <w:color w:val="auto"/>
              </w:rPr>
            </w:pPr>
          </w:p>
        </w:tc>
        <w:tc>
          <w:tcPr>
            <w:tcW w:w="230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144,405</w:t>
            </w:r>
          </w:p>
        </w:tc>
      </w:tr>
      <w:tr>
        <w:trPr>
          <w:trHeight w:val="183"/>
        </w:trPr>
        <w:tc>
          <w:tcPr>
            <w:tcW w:w="4840" w:type="dxa"/>
            <w:vAlign w:val="bottom"/>
            <w:gridSpan w:val="2"/>
          </w:tcPr>
          <w:p>
            <w:pPr>
              <w:ind w:left="20"/>
              <w:spacing w:after="0"/>
              <w:rPr>
                <w:sz w:val="20"/>
                <w:szCs w:val="20"/>
                <w:color w:val="auto"/>
              </w:rPr>
            </w:pPr>
            <w:r>
              <w:rPr>
                <w:rFonts w:ascii="Arial" w:cs="Arial" w:eastAsia="Arial" w:hAnsi="Arial"/>
                <w:sz w:val="13"/>
                <w:szCs w:val="13"/>
                <w:color w:val="131E29"/>
              </w:rPr>
              <w:t>Long-term debt, net of current portion</w:t>
            </w:r>
          </w:p>
        </w:tc>
        <w:tc>
          <w:tcPr>
            <w:tcW w:w="120" w:type="dxa"/>
            <w:vAlign w:val="bottom"/>
          </w:tcPr>
          <w:p>
            <w:pPr>
              <w:spacing w:after="0"/>
              <w:rPr>
                <w:sz w:val="15"/>
                <w:szCs w:val="15"/>
                <w:color w:val="auto"/>
              </w:rPr>
            </w:pPr>
          </w:p>
        </w:tc>
        <w:tc>
          <w:tcPr>
            <w:tcW w:w="2120" w:type="dxa"/>
            <w:vAlign w:val="bottom"/>
          </w:tcPr>
          <w:p>
            <w:pPr>
              <w:jc w:val="right"/>
              <w:spacing w:after="0"/>
              <w:rPr>
                <w:sz w:val="20"/>
                <w:szCs w:val="20"/>
                <w:color w:val="auto"/>
              </w:rPr>
            </w:pPr>
            <w:r>
              <w:rPr>
                <w:rFonts w:ascii="Arial" w:cs="Arial" w:eastAsia="Arial" w:hAnsi="Arial"/>
                <w:sz w:val="13"/>
                <w:szCs w:val="13"/>
                <w:color w:val="131E29"/>
              </w:rPr>
              <w:t>(1,426)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131E29"/>
              </w:rPr>
              <w:t>(1,506)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00" w:type="dxa"/>
            <w:vAlign w:val="bottom"/>
          </w:tcPr>
          <w:p>
            <w:pPr>
              <w:jc w:val="right"/>
              <w:spacing w:after="0"/>
              <w:rPr>
                <w:sz w:val="20"/>
                <w:szCs w:val="20"/>
                <w:color w:val="auto"/>
              </w:rPr>
            </w:pPr>
            <w:r>
              <w:rPr>
                <w:rFonts w:ascii="Arial" w:cs="Arial" w:eastAsia="Arial" w:hAnsi="Arial"/>
                <w:sz w:val="13"/>
                <w:szCs w:val="13"/>
                <w:color w:val="131E29"/>
              </w:rPr>
              <w:t>(2,932)</w:t>
            </w:r>
          </w:p>
        </w:tc>
      </w:tr>
      <w:tr>
        <w:trPr>
          <w:trHeight w:val="199"/>
        </w:trPr>
        <w:tc>
          <w:tcPr>
            <w:tcW w:w="484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Accumulated deficit</w:t>
            </w:r>
          </w:p>
        </w:tc>
        <w:tc>
          <w:tcPr>
            <w:tcW w:w="120" w:type="dxa"/>
            <w:vAlign w:val="bottom"/>
            <w:shd w:val="clear" w:color="auto" w:fill="D2DCE5"/>
          </w:tcPr>
          <w:p>
            <w:pPr>
              <w:spacing w:after="0"/>
              <w:rPr>
                <w:sz w:val="17"/>
                <w:szCs w:val="17"/>
                <w:color w:val="auto"/>
              </w:rPr>
            </w:pPr>
          </w:p>
        </w:tc>
        <w:tc>
          <w:tcPr>
            <w:tcW w:w="212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386</w:t>
            </w: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13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(264)</w:t>
            </w:r>
          </w:p>
        </w:tc>
        <w:tc>
          <w:tcPr>
            <w:tcW w:w="80" w:type="dxa"/>
            <w:vAlign w:val="bottom"/>
            <w:shd w:val="clear" w:color="auto" w:fill="D2DCE5"/>
          </w:tcPr>
          <w:p>
            <w:pPr>
              <w:spacing w:after="0"/>
              <w:rPr>
                <w:sz w:val="17"/>
                <w:szCs w:val="17"/>
                <w:color w:val="auto"/>
              </w:rPr>
            </w:pPr>
          </w:p>
        </w:tc>
        <w:tc>
          <w:tcPr>
            <w:tcW w:w="140" w:type="dxa"/>
            <w:vAlign w:val="bottom"/>
            <w:shd w:val="clear" w:color="auto" w:fill="D2DCE5"/>
          </w:tcPr>
          <w:p>
            <w:pPr>
              <w:spacing w:after="0"/>
              <w:rPr>
                <w:sz w:val="17"/>
                <w:szCs w:val="17"/>
                <w:color w:val="auto"/>
              </w:rPr>
            </w:pPr>
          </w:p>
        </w:tc>
        <w:tc>
          <w:tcPr>
            <w:tcW w:w="230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122</w:t>
            </w:r>
          </w:p>
        </w:tc>
      </w:tr>
      <w:tr>
        <w:trPr>
          <w:trHeight w:val="176"/>
        </w:trPr>
        <w:tc>
          <w:tcPr>
            <w:tcW w:w="4840" w:type="dxa"/>
            <w:vAlign w:val="bottom"/>
            <w:gridSpan w:val="2"/>
          </w:tcPr>
          <w:p>
            <w:pPr>
              <w:ind w:left="20"/>
              <w:spacing w:after="0"/>
              <w:rPr>
                <w:sz w:val="20"/>
                <w:szCs w:val="20"/>
                <w:color w:val="auto"/>
              </w:rPr>
            </w:pPr>
            <w:r>
              <w:rPr>
                <w:rFonts w:ascii="Arial" w:cs="Arial" w:eastAsia="Arial" w:hAnsi="Arial"/>
                <w:sz w:val="13"/>
                <w:szCs w:val="13"/>
                <w:color w:val="131E29"/>
              </w:rPr>
              <w:t>Non-controlling interests</w:t>
            </w:r>
          </w:p>
        </w:tc>
        <w:tc>
          <w:tcPr>
            <w:tcW w:w="120" w:type="dxa"/>
            <w:vAlign w:val="bottom"/>
          </w:tcPr>
          <w:p>
            <w:pPr>
              <w:spacing w:after="0"/>
              <w:rPr>
                <w:sz w:val="15"/>
                <w:szCs w:val="15"/>
                <w:color w:val="auto"/>
              </w:rPr>
            </w:pPr>
          </w:p>
        </w:tc>
        <w:tc>
          <w:tcPr>
            <w:tcW w:w="2120" w:type="dxa"/>
            <w:vAlign w:val="bottom"/>
          </w:tcPr>
          <w:p>
            <w:pPr>
              <w:jc w:val="right"/>
              <w:spacing w:after="0"/>
              <w:rPr>
                <w:sz w:val="20"/>
                <w:szCs w:val="20"/>
                <w:color w:val="auto"/>
              </w:rPr>
            </w:pPr>
            <w:r>
              <w:rPr>
                <w:rFonts w:ascii="Arial" w:cs="Arial" w:eastAsia="Arial" w:hAnsi="Arial"/>
                <w:sz w:val="13"/>
                <w:szCs w:val="13"/>
                <w:color w:val="131E29"/>
              </w:rPr>
              <w:t>957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131E29"/>
              </w:rPr>
              <w:t>(656)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00" w:type="dxa"/>
            <w:vAlign w:val="bottom"/>
          </w:tcPr>
          <w:p>
            <w:pPr>
              <w:jc w:val="right"/>
              <w:spacing w:after="0"/>
              <w:rPr>
                <w:sz w:val="20"/>
                <w:szCs w:val="20"/>
                <w:color w:val="auto"/>
              </w:rPr>
            </w:pPr>
            <w:r>
              <w:rPr>
                <w:rFonts w:ascii="Arial" w:cs="Arial" w:eastAsia="Arial" w:hAnsi="Arial"/>
                <w:sz w:val="13"/>
                <w:szCs w:val="13"/>
                <w:color w:val="131E29"/>
              </w:rPr>
              <w:t>301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120" w:name="page121"/>
    <w:bookmarkEnd w:id="120"/>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Nature of Leases</w:t>
      </w:r>
    </w:p>
    <w:p>
      <w:pPr>
        <w:spacing w:after="0" w:line="15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The Company leases all of its domestic company-operated shops, warehouse facilities, most headquarters buildings, and certain equipment under various non-cancelable lease agreements that expire on various dates through 2042. The Company evaluates contracts entered into to determine whether the contract involves the use of property or equipment, which is either explicitly or implicitly identified in the contract. The Company evaluates whether it controls the use of the asset, which is determined by assessing whether it obtains substantially all economic benefits from the use of the asset, and whether the Company has the right to direct the use of the asset. If these criteria are met, a lease has been identified and if it has a term greater than one year, the Company accounts for the contract under the requirements of ASC 842.</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Lease commencement is determined when the Company takes possession of a leased asset, at which time the Company also determines the lease classification as an operating or finance lease. The Company’s real estate leases consist of commercial ground leases (land only) and build-to-suit leases (land and building).</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131E29"/>
        </w:rPr>
        <w:t>The real estate leases are a combination of both operating and finance leases, depending on evaluation of the lease terms. Generally, the Company’s real estate leases have an initial term of 15 years and typically include two to three renewal options of five-years each. These renewal options are included in the lease term when it is reasonably certain that the option will be exercised. For commercial ground leases, one five-year renewal is included in the Company’s initial lease term calculations. The Company’s real estate leases typically provide for fixed minimum rent payments. For operating leases, the Company recognizes lease expense on a straight-line basis over the lease term from the date the Company takes possession of the leased property. Lease expense incurred prior to lease commencement is included in the calculation of the right-of-use asset. Once a lease commences, the Company records lease expense in cost of sales on the Company’s consolidated statements of operations. Variable lease costs generally include payments for additional rent such as real estate taxes, insurance, and common area maintenance, and are excluded from the measurement of the lease liability. Variable lease costs are included in cost of sales on the consolidated statements of operations.</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The Company calculates right-of-use assets and lease liabilities based on the present value of the fixed lease payments, including any estimated lease incentives, at lease commencement using its incremental borrowing rate, which is established by a third party, and applied on a portfolio basis. As the interest rate implicit in the Company’s leases cannot be readily determined, the discount rate used to measure the lease liability is equal to the rate the Company would pay on a collateralized basis to borrow an amount equal to the lease payments under similar terms.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The Company expends cash for leasehold improvements to build out and equip its leased premises. For certain leases, a portion of the leasehold improvements and building costs are reimbursed by landlords as landlord incentives pursuant to agreed-upon terms in the Company’s lease agreements. Landlord incentives, if obtained, are received in cash after the Company takes possession of the property, and as the Company meets required milestones during the construction of the property. The Company includes these amounts in the measurement of the initial right-of-use asset and lease liability.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121" w:name="page122"/>
    <w:bookmarkEnd w:id="121"/>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360" w:type="dxa"/>
            <w:vAlign w:val="bottom"/>
            <w:gridSpan w:val="6"/>
          </w:tcPr>
          <w:p>
            <w:pPr>
              <w:spacing w:after="0"/>
              <w:rPr>
                <w:sz w:val="20"/>
                <w:szCs w:val="20"/>
                <w:color w:val="auto"/>
              </w:rPr>
            </w:pPr>
            <w:r>
              <w:rPr>
                <w:rFonts w:ascii="Arial" w:cs="Arial" w:eastAsia="Arial" w:hAnsi="Arial"/>
                <w:sz w:val="14"/>
                <w:szCs w:val="14"/>
                <w:color w:val="131E29"/>
              </w:rPr>
              <w:t>A summary of finance and operating lease right-of-use assets and lease liabilities as of December 31, 2022 is as follows:</w:t>
            </w:r>
          </w:p>
        </w:tc>
        <w:tc>
          <w:tcPr>
            <w:tcW w:w="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2"/>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24"/>
                <w:szCs w:val="24"/>
                <w:color w:val="auto"/>
              </w:rPr>
            </w:pPr>
          </w:p>
        </w:tc>
        <w:tc>
          <w:tcPr>
            <w:tcW w:w="5540" w:type="dxa"/>
            <w:vAlign w:val="bottom"/>
            <w:tcBorders>
              <w:bottom w:val="single" w:sz="8" w:color="auto"/>
            </w:tcBorders>
            <w:gridSpan w:val="3"/>
          </w:tcPr>
          <w:p>
            <w:pPr>
              <w:ind w:left="1820"/>
              <w:spacing w:after="0"/>
              <w:rPr>
                <w:sz w:val="20"/>
                <w:szCs w:val="20"/>
                <w:color w:val="auto"/>
              </w:rPr>
            </w:pPr>
            <w:r>
              <w:rPr>
                <w:rFonts w:ascii="Arial" w:cs="Arial" w:eastAsia="Arial" w:hAnsi="Arial"/>
                <w:sz w:val="14"/>
                <w:szCs w:val="14"/>
                <w:b w:val="1"/>
                <w:bCs w:val="1"/>
                <w:color w:val="131E29"/>
              </w:rPr>
              <w:t>Balance Sheet Classification</w:t>
            </w:r>
          </w:p>
        </w:tc>
        <w:tc>
          <w:tcPr>
            <w:tcW w:w="100" w:type="dxa"/>
            <w:vAlign w:val="bottom"/>
            <w:tcBorders>
              <w:bottom w:val="single" w:sz="8" w:color="D2DCE5"/>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131E29"/>
              </w:rPr>
              <w:t>December 31, 2022</w:t>
            </w:r>
          </w:p>
        </w:tc>
        <w:tc>
          <w:tcPr>
            <w:tcW w:w="0" w:type="dxa"/>
            <w:vAlign w:val="bottom"/>
          </w:tcPr>
          <w:p>
            <w:pPr>
              <w:spacing w:after="0"/>
              <w:rPr>
                <w:sz w:val="1"/>
                <w:szCs w:val="1"/>
                <w:color w:val="auto"/>
              </w:rPr>
            </w:pPr>
          </w:p>
        </w:tc>
      </w:tr>
      <w:tr>
        <w:trPr>
          <w:trHeight w:val="192"/>
        </w:trPr>
        <w:tc>
          <w:tcPr>
            <w:tcW w:w="37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Right-of-use assets</w:t>
            </w:r>
          </w:p>
        </w:tc>
        <w:tc>
          <w:tcPr>
            <w:tcW w:w="238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308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1840" w:type="dxa"/>
            <w:vAlign w:val="bottom"/>
            <w:tcBorders>
              <w:bottom w:val="single" w:sz="8" w:color="D2DCE5"/>
            </w:tcBorders>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720" w:type="dxa"/>
            <w:vAlign w:val="bottom"/>
            <w:gridSpan w:val="2"/>
          </w:tcPr>
          <w:p>
            <w:pPr>
              <w:ind w:left="140"/>
              <w:spacing w:after="0"/>
              <w:rPr>
                <w:sz w:val="20"/>
                <w:szCs w:val="20"/>
                <w:color w:val="auto"/>
              </w:rPr>
            </w:pPr>
            <w:r>
              <w:rPr>
                <w:rFonts w:ascii="Arial" w:cs="Arial" w:eastAsia="Arial" w:hAnsi="Arial"/>
                <w:sz w:val="14"/>
                <w:szCs w:val="14"/>
                <w:color w:val="131E29"/>
              </w:rPr>
              <w:t>Finance leases</w:t>
            </w:r>
          </w:p>
        </w:tc>
        <w:tc>
          <w:tcPr>
            <w:tcW w:w="5640" w:type="dxa"/>
            <w:vAlign w:val="bottom"/>
            <w:gridSpan w:val="4"/>
          </w:tcPr>
          <w:p>
            <w:pPr>
              <w:ind w:left="20"/>
              <w:spacing w:after="0"/>
              <w:rPr>
                <w:sz w:val="20"/>
                <w:szCs w:val="20"/>
                <w:color w:val="auto"/>
              </w:rPr>
            </w:pPr>
            <w:r>
              <w:rPr>
                <w:rFonts w:ascii="Arial" w:cs="Arial" w:eastAsia="Arial" w:hAnsi="Arial"/>
                <w:sz w:val="14"/>
                <w:szCs w:val="14"/>
                <w:color w:val="131E29"/>
              </w:rPr>
              <w:t>Finance lease right-of-use assets, net</w:t>
            </w:r>
          </w:p>
        </w:tc>
        <w:tc>
          <w:tcPr>
            <w:tcW w:w="80" w:type="dxa"/>
            <w:vAlign w:val="bottom"/>
          </w:tcPr>
          <w:p>
            <w:pPr>
              <w:jc w:val="right"/>
              <w:spacing w:after="0"/>
              <w:rPr>
                <w:sz w:val="20"/>
                <w:szCs w:val="20"/>
                <w:color w:val="auto"/>
              </w:rPr>
            </w:pPr>
            <w:r>
              <w:rPr>
                <w:rFonts w:ascii="Arial" w:cs="Arial" w:eastAsia="Arial" w:hAnsi="Arial"/>
                <w:sz w:val="14"/>
                <w:szCs w:val="14"/>
                <w:color w:val="131E29"/>
                <w:w w:val="76"/>
              </w:rPr>
              <w:t>$</w:t>
            </w:r>
          </w:p>
        </w:tc>
        <w:tc>
          <w:tcPr>
            <w:tcW w:w="1840" w:type="dxa"/>
            <w:vAlign w:val="bottom"/>
          </w:tcPr>
          <w:p>
            <w:pPr>
              <w:jc w:val="right"/>
              <w:spacing w:after="0"/>
              <w:rPr>
                <w:sz w:val="20"/>
                <w:szCs w:val="20"/>
                <w:color w:val="auto"/>
              </w:rPr>
            </w:pPr>
            <w:r>
              <w:rPr>
                <w:rFonts w:ascii="Arial" w:cs="Arial" w:eastAsia="Arial" w:hAnsi="Arial"/>
                <w:sz w:val="14"/>
                <w:szCs w:val="14"/>
                <w:color w:val="131E29"/>
              </w:rPr>
              <w:t>247,943</w:t>
            </w:r>
          </w:p>
        </w:tc>
        <w:tc>
          <w:tcPr>
            <w:tcW w:w="0" w:type="dxa"/>
            <w:vAlign w:val="bottom"/>
          </w:tcPr>
          <w:p>
            <w:pPr>
              <w:spacing w:after="0"/>
              <w:rPr>
                <w:sz w:val="1"/>
                <w:szCs w:val="1"/>
                <w:color w:val="auto"/>
              </w:rPr>
            </w:pPr>
          </w:p>
        </w:tc>
      </w:tr>
      <w:tr>
        <w:trPr>
          <w:trHeight w:val="22"/>
        </w:trPr>
        <w:tc>
          <w:tcPr>
            <w:tcW w:w="3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72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Operating leases</w:t>
            </w:r>
          </w:p>
        </w:tc>
        <w:tc>
          <w:tcPr>
            <w:tcW w:w="5640" w:type="dxa"/>
            <w:vAlign w:val="bottom"/>
            <w:tcBorders>
              <w:bottom w:val="single" w:sz="8" w:color="D2DCE5"/>
            </w:tcBorders>
            <w:gridSpan w:val="4"/>
            <w:shd w:val="clear" w:color="auto" w:fill="D2DCE5"/>
          </w:tcPr>
          <w:p>
            <w:pPr>
              <w:ind w:left="20"/>
              <w:spacing w:after="0"/>
              <w:rPr>
                <w:sz w:val="20"/>
                <w:szCs w:val="20"/>
                <w:color w:val="auto"/>
              </w:rPr>
            </w:pPr>
            <w:r>
              <w:rPr>
                <w:rFonts w:ascii="Arial" w:cs="Arial" w:eastAsia="Arial" w:hAnsi="Arial"/>
                <w:sz w:val="14"/>
                <w:szCs w:val="14"/>
                <w:color w:val="131E29"/>
              </w:rPr>
              <w:t>Operating lease right-of-use assets, net</w:t>
            </w:r>
          </w:p>
        </w:tc>
        <w:tc>
          <w:tcPr>
            <w:tcW w:w="80" w:type="dxa"/>
            <w:vAlign w:val="bottom"/>
            <w:tcBorders>
              <w:bottom w:val="single" w:sz="8" w:color="D2DCE5"/>
            </w:tcBorders>
            <w:shd w:val="clear" w:color="auto" w:fill="D2DCE5"/>
          </w:tcPr>
          <w:p>
            <w:pPr>
              <w:spacing w:after="0"/>
              <w:rPr>
                <w:sz w:val="18"/>
                <w:szCs w:val="18"/>
                <w:color w:val="auto"/>
              </w:rPr>
            </w:pPr>
          </w:p>
        </w:tc>
        <w:tc>
          <w:tcPr>
            <w:tcW w:w="18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169,302</w:t>
            </w:r>
          </w:p>
        </w:tc>
        <w:tc>
          <w:tcPr>
            <w:tcW w:w="0" w:type="dxa"/>
            <w:vAlign w:val="bottom"/>
          </w:tcPr>
          <w:p>
            <w:pPr>
              <w:spacing w:after="0"/>
              <w:rPr>
                <w:sz w:val="1"/>
                <w:szCs w:val="1"/>
                <w:color w:val="auto"/>
              </w:rPr>
            </w:pPr>
          </w:p>
        </w:tc>
      </w:tr>
      <w:tr>
        <w:trPr>
          <w:trHeight w:val="203"/>
        </w:trPr>
        <w:tc>
          <w:tcPr>
            <w:tcW w:w="3720" w:type="dxa"/>
            <w:vAlign w:val="bottom"/>
            <w:gridSpan w:val="2"/>
          </w:tcPr>
          <w:p>
            <w:pPr>
              <w:ind w:left="20"/>
              <w:spacing w:after="0"/>
              <w:rPr>
                <w:sz w:val="20"/>
                <w:szCs w:val="20"/>
                <w:color w:val="auto"/>
              </w:rPr>
            </w:pPr>
            <w:r>
              <w:rPr>
                <w:rFonts w:ascii="Arial" w:cs="Arial" w:eastAsia="Arial" w:hAnsi="Arial"/>
                <w:sz w:val="14"/>
                <w:szCs w:val="14"/>
                <w:b w:val="1"/>
                <w:bCs w:val="1"/>
                <w:color w:val="131E29"/>
              </w:rPr>
              <w:t>Total right-of-use assets</w:t>
            </w:r>
          </w:p>
        </w:tc>
        <w:tc>
          <w:tcPr>
            <w:tcW w:w="2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w w:val="76"/>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rPr>
              <w:t>417,245</w:t>
            </w:r>
          </w:p>
        </w:tc>
        <w:tc>
          <w:tcPr>
            <w:tcW w:w="0" w:type="dxa"/>
            <w:vAlign w:val="bottom"/>
          </w:tcPr>
          <w:p>
            <w:pPr>
              <w:spacing w:after="0"/>
              <w:rPr>
                <w:sz w:val="1"/>
                <w:szCs w:val="1"/>
                <w:color w:val="auto"/>
              </w:rPr>
            </w:pPr>
          </w:p>
        </w:tc>
      </w:tr>
      <w:tr>
        <w:trPr>
          <w:trHeight w:val="20"/>
        </w:trPr>
        <w:tc>
          <w:tcPr>
            <w:tcW w:w="364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238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80" w:type="dxa"/>
            <w:vAlign w:val="bottom"/>
            <w:tcBorders>
              <w:bottom w:val="single" w:sz="8" w:color="D2DCE5"/>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6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23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84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720" w:type="dxa"/>
            <w:vAlign w:val="bottom"/>
            <w:gridSpan w:val="2"/>
          </w:tcPr>
          <w:p>
            <w:pPr>
              <w:ind w:left="20"/>
              <w:spacing w:after="0"/>
              <w:rPr>
                <w:sz w:val="20"/>
                <w:szCs w:val="20"/>
                <w:color w:val="auto"/>
              </w:rPr>
            </w:pPr>
            <w:r>
              <w:rPr>
                <w:rFonts w:ascii="Arial" w:cs="Arial" w:eastAsia="Arial" w:hAnsi="Arial"/>
                <w:sz w:val="14"/>
                <w:szCs w:val="14"/>
                <w:b w:val="1"/>
                <w:bCs w:val="1"/>
                <w:color w:val="131E29"/>
              </w:rPr>
              <w:t>Lease liabilities</w:t>
            </w:r>
          </w:p>
        </w:tc>
        <w:tc>
          <w:tcPr>
            <w:tcW w:w="2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72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Finance leases</w:t>
            </w:r>
          </w:p>
        </w:tc>
        <w:tc>
          <w:tcPr>
            <w:tcW w:w="5640" w:type="dxa"/>
            <w:vAlign w:val="bottom"/>
            <w:tcBorders>
              <w:bottom w:val="single" w:sz="8" w:color="D2DCE5"/>
            </w:tcBorders>
            <w:gridSpan w:val="4"/>
            <w:shd w:val="clear" w:color="auto" w:fill="D2DCE5"/>
          </w:tcPr>
          <w:p>
            <w:pPr>
              <w:ind w:left="20"/>
              <w:spacing w:after="0"/>
              <w:rPr>
                <w:sz w:val="20"/>
                <w:szCs w:val="20"/>
                <w:color w:val="auto"/>
              </w:rPr>
            </w:pPr>
            <w:r>
              <w:rPr>
                <w:rFonts w:ascii="Arial" w:cs="Arial" w:eastAsia="Arial" w:hAnsi="Arial"/>
                <w:sz w:val="14"/>
                <w:szCs w:val="14"/>
                <w:color w:val="131E29"/>
              </w:rPr>
              <w:t>Current portion of finance lease liabilities</w:t>
            </w:r>
          </w:p>
        </w:tc>
        <w:tc>
          <w:tcPr>
            <w:tcW w:w="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w w:val="76"/>
              </w:rPr>
              <w:t>$</w:t>
            </w:r>
          </w:p>
        </w:tc>
        <w:tc>
          <w:tcPr>
            <w:tcW w:w="18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7,971</w:t>
            </w:r>
          </w:p>
        </w:tc>
        <w:tc>
          <w:tcPr>
            <w:tcW w:w="0" w:type="dxa"/>
            <w:vAlign w:val="bottom"/>
          </w:tcPr>
          <w:p>
            <w:pPr>
              <w:spacing w:after="0"/>
              <w:rPr>
                <w:sz w:val="1"/>
                <w:szCs w:val="1"/>
                <w:color w:val="auto"/>
              </w:rPr>
            </w:pPr>
          </w:p>
        </w:tc>
      </w:tr>
      <w:tr>
        <w:trPr>
          <w:trHeight w:val="191"/>
        </w:trPr>
        <w:tc>
          <w:tcPr>
            <w:tcW w:w="3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40" w:type="dxa"/>
            <w:vAlign w:val="bottom"/>
            <w:gridSpan w:val="4"/>
          </w:tcPr>
          <w:p>
            <w:pPr>
              <w:ind w:left="20"/>
              <w:spacing w:after="0"/>
              <w:rPr>
                <w:sz w:val="20"/>
                <w:szCs w:val="20"/>
                <w:color w:val="auto"/>
              </w:rPr>
            </w:pPr>
            <w:r>
              <w:rPr>
                <w:rFonts w:ascii="Arial" w:cs="Arial" w:eastAsia="Arial" w:hAnsi="Arial"/>
                <w:sz w:val="14"/>
                <w:szCs w:val="14"/>
                <w:color w:val="131E29"/>
              </w:rPr>
              <w:t>Finance lease liabilities, net of current portion</w:t>
            </w:r>
          </w:p>
        </w:tc>
        <w:tc>
          <w:tcPr>
            <w:tcW w:w="8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131E29"/>
              </w:rPr>
              <w:t>237,130</w:t>
            </w:r>
          </w:p>
        </w:tc>
        <w:tc>
          <w:tcPr>
            <w:tcW w:w="0" w:type="dxa"/>
            <w:vAlign w:val="bottom"/>
          </w:tcPr>
          <w:p>
            <w:pPr>
              <w:spacing w:after="0"/>
              <w:rPr>
                <w:sz w:val="1"/>
                <w:szCs w:val="1"/>
                <w:color w:val="auto"/>
              </w:rPr>
            </w:pPr>
          </w:p>
        </w:tc>
      </w:tr>
      <w:tr>
        <w:trPr>
          <w:trHeight w:val="22"/>
        </w:trPr>
        <w:tc>
          <w:tcPr>
            <w:tcW w:w="3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6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23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8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84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720" w:type="dxa"/>
            <w:vAlign w:val="bottom"/>
            <w:gridSpan w:val="2"/>
          </w:tcPr>
          <w:p>
            <w:pPr>
              <w:ind w:left="140"/>
              <w:spacing w:after="0"/>
              <w:rPr>
                <w:sz w:val="20"/>
                <w:szCs w:val="20"/>
                <w:color w:val="auto"/>
              </w:rPr>
            </w:pPr>
            <w:r>
              <w:rPr>
                <w:rFonts w:ascii="Arial" w:cs="Arial" w:eastAsia="Arial" w:hAnsi="Arial"/>
                <w:sz w:val="14"/>
                <w:szCs w:val="14"/>
                <w:color w:val="131E29"/>
              </w:rPr>
              <w:t>Operating leases</w:t>
            </w:r>
          </w:p>
        </w:tc>
        <w:tc>
          <w:tcPr>
            <w:tcW w:w="5640" w:type="dxa"/>
            <w:vAlign w:val="bottom"/>
            <w:gridSpan w:val="4"/>
          </w:tcPr>
          <w:p>
            <w:pPr>
              <w:ind w:left="20"/>
              <w:spacing w:after="0"/>
              <w:rPr>
                <w:sz w:val="20"/>
                <w:szCs w:val="20"/>
                <w:color w:val="auto"/>
              </w:rPr>
            </w:pPr>
            <w:r>
              <w:rPr>
                <w:rFonts w:ascii="Arial" w:cs="Arial" w:eastAsia="Arial" w:hAnsi="Arial"/>
                <w:sz w:val="14"/>
                <w:szCs w:val="14"/>
                <w:color w:val="131E29"/>
              </w:rPr>
              <w:t>Current portion of operating lease liabilities</w:t>
            </w:r>
          </w:p>
        </w:tc>
        <w:tc>
          <w:tcPr>
            <w:tcW w:w="8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131E29"/>
              </w:rPr>
              <w:t>9,317</w:t>
            </w:r>
          </w:p>
        </w:tc>
        <w:tc>
          <w:tcPr>
            <w:tcW w:w="0" w:type="dxa"/>
            <w:vAlign w:val="bottom"/>
          </w:tcPr>
          <w:p>
            <w:pPr>
              <w:spacing w:after="0"/>
              <w:rPr>
                <w:sz w:val="1"/>
                <w:szCs w:val="1"/>
                <w:color w:val="auto"/>
              </w:rPr>
            </w:pPr>
          </w:p>
        </w:tc>
      </w:tr>
      <w:tr>
        <w:trPr>
          <w:trHeight w:val="22"/>
        </w:trPr>
        <w:tc>
          <w:tcPr>
            <w:tcW w:w="3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640" w:type="dxa"/>
            <w:vAlign w:val="bottom"/>
            <w:tcBorders>
              <w:bottom w:val="single" w:sz="8" w:color="D2DCE5"/>
            </w:tcBorders>
            <w:shd w:val="clear" w:color="auto" w:fill="D2DCE5"/>
          </w:tcPr>
          <w:p>
            <w:pPr>
              <w:spacing w:after="0"/>
              <w:rPr>
                <w:sz w:val="18"/>
                <w:szCs w:val="18"/>
                <w:color w:val="auto"/>
              </w:rPr>
            </w:pPr>
          </w:p>
        </w:tc>
        <w:tc>
          <w:tcPr>
            <w:tcW w:w="80" w:type="dxa"/>
            <w:vAlign w:val="bottom"/>
            <w:tcBorders>
              <w:bottom w:val="single" w:sz="8" w:color="D2DCE5"/>
            </w:tcBorders>
            <w:shd w:val="clear" w:color="auto" w:fill="D2DCE5"/>
          </w:tcPr>
          <w:p>
            <w:pPr>
              <w:spacing w:after="0"/>
              <w:rPr>
                <w:sz w:val="18"/>
                <w:szCs w:val="18"/>
                <w:color w:val="auto"/>
              </w:rPr>
            </w:pPr>
          </w:p>
        </w:tc>
        <w:tc>
          <w:tcPr>
            <w:tcW w:w="5640" w:type="dxa"/>
            <w:vAlign w:val="bottom"/>
            <w:tcBorders>
              <w:bottom w:val="single" w:sz="8" w:color="D2DCE5"/>
            </w:tcBorders>
            <w:gridSpan w:val="4"/>
            <w:shd w:val="clear" w:color="auto" w:fill="D2DCE5"/>
          </w:tcPr>
          <w:p>
            <w:pPr>
              <w:ind w:left="20"/>
              <w:spacing w:after="0"/>
              <w:rPr>
                <w:sz w:val="20"/>
                <w:szCs w:val="20"/>
                <w:color w:val="auto"/>
              </w:rPr>
            </w:pPr>
            <w:r>
              <w:rPr>
                <w:rFonts w:ascii="Arial" w:cs="Arial" w:eastAsia="Arial" w:hAnsi="Arial"/>
                <w:sz w:val="14"/>
                <w:szCs w:val="14"/>
                <w:color w:val="131E29"/>
              </w:rPr>
              <w:t>Operating lease liabilities, net of current portion</w:t>
            </w:r>
          </w:p>
        </w:tc>
        <w:tc>
          <w:tcPr>
            <w:tcW w:w="80" w:type="dxa"/>
            <w:vAlign w:val="bottom"/>
            <w:tcBorders>
              <w:bottom w:val="single" w:sz="8" w:color="D2DCE5"/>
            </w:tcBorders>
            <w:shd w:val="clear" w:color="auto" w:fill="D2DCE5"/>
          </w:tcPr>
          <w:p>
            <w:pPr>
              <w:spacing w:after="0"/>
              <w:rPr>
                <w:sz w:val="18"/>
                <w:szCs w:val="18"/>
                <w:color w:val="auto"/>
              </w:rPr>
            </w:pPr>
          </w:p>
        </w:tc>
        <w:tc>
          <w:tcPr>
            <w:tcW w:w="18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161,228</w:t>
            </w:r>
          </w:p>
        </w:tc>
        <w:tc>
          <w:tcPr>
            <w:tcW w:w="0" w:type="dxa"/>
            <w:vAlign w:val="bottom"/>
          </w:tcPr>
          <w:p>
            <w:pPr>
              <w:spacing w:after="0"/>
              <w:rPr>
                <w:sz w:val="1"/>
                <w:szCs w:val="1"/>
                <w:color w:val="auto"/>
              </w:rPr>
            </w:pPr>
          </w:p>
        </w:tc>
      </w:tr>
      <w:tr>
        <w:trPr>
          <w:trHeight w:val="202"/>
        </w:trPr>
        <w:tc>
          <w:tcPr>
            <w:tcW w:w="3720" w:type="dxa"/>
            <w:vAlign w:val="bottom"/>
            <w:gridSpan w:val="2"/>
          </w:tcPr>
          <w:p>
            <w:pPr>
              <w:ind w:left="20"/>
              <w:spacing w:after="0"/>
              <w:rPr>
                <w:sz w:val="20"/>
                <w:szCs w:val="20"/>
                <w:color w:val="auto"/>
              </w:rPr>
            </w:pPr>
            <w:r>
              <w:rPr>
                <w:rFonts w:ascii="Arial" w:cs="Arial" w:eastAsia="Arial" w:hAnsi="Arial"/>
                <w:sz w:val="14"/>
                <w:szCs w:val="14"/>
                <w:b w:val="1"/>
                <w:bCs w:val="1"/>
                <w:color w:val="131E29"/>
              </w:rPr>
              <w:t>Total lease liabilities</w:t>
            </w:r>
          </w:p>
        </w:tc>
        <w:tc>
          <w:tcPr>
            <w:tcW w:w="2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w w:val="76"/>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rPr>
              <w:t>415,646</w:t>
            </w:r>
          </w:p>
        </w:tc>
        <w:tc>
          <w:tcPr>
            <w:tcW w:w="0" w:type="dxa"/>
            <w:vAlign w:val="bottom"/>
          </w:tcPr>
          <w:p>
            <w:pPr>
              <w:spacing w:after="0"/>
              <w:rPr>
                <w:sz w:val="1"/>
                <w:szCs w:val="1"/>
                <w:color w:val="auto"/>
              </w:rPr>
            </w:pPr>
          </w:p>
        </w:tc>
      </w:tr>
      <w:tr>
        <w:trPr>
          <w:trHeight w:val="20"/>
        </w:trPr>
        <w:tc>
          <w:tcPr>
            <w:tcW w:w="9360" w:type="dxa"/>
            <w:vAlign w:val="bottom"/>
            <w:gridSpan w:val="6"/>
            <w:vMerge w:val="restart"/>
          </w:tcPr>
          <w:p>
            <w:pPr>
              <w:spacing w:after="0"/>
              <w:rPr>
                <w:sz w:val="20"/>
                <w:szCs w:val="20"/>
                <w:color w:val="auto"/>
              </w:rPr>
            </w:pPr>
            <w:r>
              <w:rPr>
                <w:rFonts w:ascii="Arial" w:cs="Arial" w:eastAsia="Arial" w:hAnsi="Arial"/>
                <w:sz w:val="14"/>
                <w:szCs w:val="14"/>
                <w:color w:val="131E29"/>
              </w:rPr>
              <w:t>The components of lease cost were as follows for the period presented:</w:t>
            </w:r>
          </w:p>
        </w:tc>
        <w:tc>
          <w:tcPr>
            <w:tcW w:w="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9360" w:type="dxa"/>
            <w:vAlign w:val="bottom"/>
            <w:gridSpan w:val="6"/>
            <w:vMerge w:val="continue"/>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3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jc w:val="center"/>
              <w:ind w:right="9"/>
              <w:spacing w:after="0"/>
              <w:rPr>
                <w:sz w:val="20"/>
                <w:szCs w:val="20"/>
                <w:color w:val="auto"/>
              </w:rPr>
            </w:pPr>
            <w:r>
              <w:rPr>
                <w:rFonts w:ascii="Arial" w:cs="Arial" w:eastAsia="Arial" w:hAnsi="Arial"/>
                <w:sz w:val="14"/>
                <w:szCs w:val="14"/>
                <w:b w:val="1"/>
                <w:bCs w:val="1"/>
                <w:color w:val="131E29"/>
                <w:w w:val="99"/>
              </w:rPr>
              <w:t>Year Ended December 31,</w:t>
            </w:r>
          </w:p>
        </w:tc>
        <w:tc>
          <w:tcPr>
            <w:tcW w:w="0" w:type="dxa"/>
            <w:vAlign w:val="bottom"/>
          </w:tcPr>
          <w:p>
            <w:pPr>
              <w:spacing w:after="0"/>
              <w:rPr>
                <w:sz w:val="1"/>
                <w:szCs w:val="1"/>
                <w:color w:val="auto"/>
              </w:rPr>
            </w:pPr>
          </w:p>
        </w:tc>
      </w:tr>
      <w:tr>
        <w:trPr>
          <w:trHeight w:val="200"/>
        </w:trPr>
        <w:tc>
          <w:tcPr>
            <w:tcW w:w="3720" w:type="dxa"/>
            <w:vAlign w:val="bottom"/>
            <w:gridSpan w:val="2"/>
          </w:tcPr>
          <w:p>
            <w:pPr>
              <w:ind w:left="20"/>
              <w:spacing w:after="0"/>
              <w:rPr>
                <w:sz w:val="20"/>
                <w:szCs w:val="20"/>
                <w:color w:val="auto"/>
              </w:rPr>
            </w:pPr>
            <w:r>
              <w:rPr>
                <w:rFonts w:ascii="Arial" w:cs="Arial" w:eastAsia="Arial" w:hAnsi="Arial"/>
                <w:sz w:val="11"/>
                <w:szCs w:val="11"/>
                <w:color w:val="131E29"/>
              </w:rPr>
              <w:t>(in thousands)</w:t>
            </w:r>
          </w:p>
        </w:tc>
        <w:tc>
          <w:tcPr>
            <w:tcW w:w="2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80" w:type="dxa"/>
            <w:vAlign w:val="bottom"/>
            <w:gridSpan w:val="2"/>
          </w:tcPr>
          <w:p>
            <w:pPr>
              <w:ind w:left="240"/>
              <w:spacing w:after="0"/>
              <w:rPr>
                <w:sz w:val="20"/>
                <w:szCs w:val="20"/>
                <w:color w:val="auto"/>
              </w:rPr>
            </w:pPr>
            <w:r>
              <w:rPr>
                <w:rFonts w:ascii="Arial" w:cs="Arial" w:eastAsia="Arial" w:hAnsi="Arial"/>
                <w:sz w:val="14"/>
                <w:szCs w:val="14"/>
                <w:b w:val="1"/>
                <w:bCs w:val="1"/>
                <w:color w:val="131E29"/>
              </w:rPr>
              <w:t>Statement of Operations Classification</w:t>
            </w:r>
          </w:p>
        </w:tc>
        <w:tc>
          <w:tcPr>
            <w:tcW w:w="80" w:type="dxa"/>
            <w:vAlign w:val="bottom"/>
          </w:tcPr>
          <w:p>
            <w:pPr>
              <w:spacing w:after="0"/>
              <w:rPr>
                <w:sz w:val="17"/>
                <w:szCs w:val="17"/>
                <w:color w:val="auto"/>
              </w:rPr>
            </w:pPr>
          </w:p>
        </w:tc>
        <w:tc>
          <w:tcPr>
            <w:tcW w:w="1840" w:type="dxa"/>
            <w:vAlign w:val="bottom"/>
          </w:tcPr>
          <w:p>
            <w:pPr>
              <w:jc w:val="center"/>
              <w:ind w:right="9"/>
              <w:spacing w:after="0"/>
              <w:rPr>
                <w:sz w:val="20"/>
                <w:szCs w:val="20"/>
                <w:color w:val="auto"/>
              </w:rPr>
            </w:pPr>
            <w:r>
              <w:rPr>
                <w:rFonts w:ascii="Arial" w:cs="Arial" w:eastAsia="Arial" w:hAnsi="Arial"/>
                <w:sz w:val="14"/>
                <w:szCs w:val="14"/>
                <w:b w:val="1"/>
                <w:bCs w:val="1"/>
                <w:color w:val="131E29"/>
              </w:rPr>
              <w:t>2022</w:t>
            </w:r>
          </w:p>
        </w:tc>
        <w:tc>
          <w:tcPr>
            <w:tcW w:w="0" w:type="dxa"/>
            <w:vAlign w:val="bottom"/>
          </w:tcPr>
          <w:p>
            <w:pPr>
              <w:spacing w:after="0"/>
              <w:rPr>
                <w:sz w:val="1"/>
                <w:szCs w:val="1"/>
                <w:color w:val="auto"/>
              </w:rPr>
            </w:pPr>
          </w:p>
        </w:tc>
      </w:tr>
      <w:tr>
        <w:trPr>
          <w:trHeight w:val="192"/>
        </w:trPr>
        <w:tc>
          <w:tcPr>
            <w:tcW w:w="3720" w:type="dxa"/>
            <w:vAlign w:val="bottom"/>
            <w:tcBorders>
              <w:top w:val="single" w:sz="8" w:color="auto"/>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Finance lease cost</w:t>
            </w:r>
          </w:p>
        </w:tc>
        <w:tc>
          <w:tcPr>
            <w:tcW w:w="2380" w:type="dxa"/>
            <w:vAlign w:val="bottom"/>
            <w:tcBorders>
              <w:top w:val="single" w:sz="8" w:color="auto"/>
              <w:bottom w:val="single" w:sz="8" w:color="D2DCE5"/>
            </w:tcBorders>
            <w:shd w:val="clear" w:color="auto" w:fill="D2DCE5"/>
          </w:tcPr>
          <w:p>
            <w:pPr>
              <w:spacing w:after="0"/>
              <w:rPr>
                <w:sz w:val="16"/>
                <w:szCs w:val="16"/>
                <w:color w:val="auto"/>
              </w:rPr>
            </w:pPr>
          </w:p>
        </w:tc>
        <w:tc>
          <w:tcPr>
            <w:tcW w:w="80" w:type="dxa"/>
            <w:vAlign w:val="bottom"/>
            <w:tcBorders>
              <w:top w:val="single" w:sz="8" w:color="D2DCE5"/>
              <w:bottom w:val="single" w:sz="8" w:color="D2DCE5"/>
            </w:tcBorders>
            <w:shd w:val="clear" w:color="auto" w:fill="D2DCE5"/>
          </w:tcPr>
          <w:p>
            <w:pPr>
              <w:spacing w:after="0"/>
              <w:rPr>
                <w:sz w:val="16"/>
                <w:szCs w:val="16"/>
                <w:color w:val="auto"/>
              </w:rPr>
            </w:pPr>
          </w:p>
        </w:tc>
        <w:tc>
          <w:tcPr>
            <w:tcW w:w="3080" w:type="dxa"/>
            <w:vAlign w:val="bottom"/>
            <w:tcBorders>
              <w:top w:val="single" w:sz="8" w:color="auto"/>
              <w:bottom w:val="single" w:sz="8" w:color="D2DCE5"/>
            </w:tcBorders>
            <w:shd w:val="clear" w:color="auto" w:fill="D2DCE5"/>
          </w:tcPr>
          <w:p>
            <w:pPr>
              <w:spacing w:after="0"/>
              <w:rPr>
                <w:sz w:val="16"/>
                <w:szCs w:val="16"/>
                <w:color w:val="auto"/>
              </w:rPr>
            </w:pPr>
          </w:p>
        </w:tc>
        <w:tc>
          <w:tcPr>
            <w:tcW w:w="100" w:type="dxa"/>
            <w:vAlign w:val="bottom"/>
            <w:tcBorders>
              <w:top w:val="single" w:sz="8" w:color="D2DCE5"/>
              <w:bottom w:val="single" w:sz="8" w:color="D2DCE5"/>
            </w:tcBorders>
            <w:shd w:val="clear" w:color="auto" w:fill="D2DCE5"/>
          </w:tcPr>
          <w:p>
            <w:pPr>
              <w:spacing w:after="0"/>
              <w:rPr>
                <w:sz w:val="16"/>
                <w:szCs w:val="16"/>
                <w:color w:val="auto"/>
              </w:rPr>
            </w:pPr>
          </w:p>
        </w:tc>
        <w:tc>
          <w:tcPr>
            <w:tcW w:w="80" w:type="dxa"/>
            <w:vAlign w:val="bottom"/>
            <w:tcBorders>
              <w:top w:val="single" w:sz="8" w:color="auto"/>
              <w:bottom w:val="single" w:sz="8" w:color="D2DCE5"/>
            </w:tcBorders>
            <w:shd w:val="clear" w:color="auto" w:fill="D2DCE5"/>
          </w:tcPr>
          <w:p>
            <w:pPr>
              <w:spacing w:after="0"/>
              <w:rPr>
                <w:sz w:val="16"/>
                <w:szCs w:val="16"/>
                <w:color w:val="auto"/>
              </w:rPr>
            </w:pPr>
          </w:p>
        </w:tc>
        <w:tc>
          <w:tcPr>
            <w:tcW w:w="1840" w:type="dxa"/>
            <w:vAlign w:val="bottom"/>
            <w:tcBorders>
              <w:top w:val="single" w:sz="8" w:color="auto"/>
              <w:bottom w:val="single" w:sz="8" w:color="D2DCE5"/>
            </w:tcBorders>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720" w:type="dxa"/>
            <w:vAlign w:val="bottom"/>
            <w:gridSpan w:val="2"/>
          </w:tcPr>
          <w:p>
            <w:pPr>
              <w:ind w:left="140"/>
              <w:spacing w:after="0"/>
              <w:rPr>
                <w:sz w:val="20"/>
                <w:szCs w:val="20"/>
                <w:color w:val="auto"/>
              </w:rPr>
            </w:pPr>
            <w:r>
              <w:rPr>
                <w:rFonts w:ascii="Arial" w:cs="Arial" w:eastAsia="Arial" w:hAnsi="Arial"/>
                <w:sz w:val="14"/>
                <w:szCs w:val="14"/>
                <w:color w:val="131E29"/>
              </w:rPr>
              <w:t>Amortization of right-of-use assets</w:t>
            </w:r>
          </w:p>
        </w:tc>
        <w:tc>
          <w:tcPr>
            <w:tcW w:w="2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80" w:type="dxa"/>
            <w:vAlign w:val="bottom"/>
            <w:gridSpan w:val="2"/>
          </w:tcPr>
          <w:p>
            <w:pPr>
              <w:ind w:left="20"/>
              <w:spacing w:after="0"/>
              <w:rPr>
                <w:sz w:val="20"/>
                <w:szCs w:val="20"/>
                <w:color w:val="auto"/>
              </w:rPr>
            </w:pPr>
            <w:r>
              <w:rPr>
                <w:rFonts w:ascii="Arial" w:cs="Arial" w:eastAsia="Arial" w:hAnsi="Arial"/>
                <w:sz w:val="14"/>
                <w:szCs w:val="14"/>
                <w:color w:val="131E29"/>
              </w:rPr>
              <w:t>Cost of sales</w:t>
            </w:r>
          </w:p>
        </w:tc>
        <w:tc>
          <w:tcPr>
            <w:tcW w:w="80" w:type="dxa"/>
            <w:vAlign w:val="bottom"/>
          </w:tcPr>
          <w:p>
            <w:pPr>
              <w:jc w:val="right"/>
              <w:spacing w:after="0"/>
              <w:rPr>
                <w:sz w:val="20"/>
                <w:szCs w:val="20"/>
                <w:color w:val="auto"/>
              </w:rPr>
            </w:pPr>
            <w:r>
              <w:rPr>
                <w:rFonts w:ascii="Arial" w:cs="Arial" w:eastAsia="Arial" w:hAnsi="Arial"/>
                <w:sz w:val="14"/>
                <w:szCs w:val="14"/>
                <w:color w:val="131E29"/>
                <w:w w:val="76"/>
              </w:rPr>
              <w:t>$</w:t>
            </w:r>
          </w:p>
        </w:tc>
        <w:tc>
          <w:tcPr>
            <w:tcW w:w="1840" w:type="dxa"/>
            <w:vAlign w:val="bottom"/>
          </w:tcPr>
          <w:p>
            <w:pPr>
              <w:jc w:val="right"/>
              <w:spacing w:after="0"/>
              <w:rPr>
                <w:sz w:val="20"/>
                <w:szCs w:val="20"/>
                <w:color w:val="auto"/>
              </w:rPr>
            </w:pPr>
            <w:r>
              <w:rPr>
                <w:rFonts w:ascii="Arial" w:cs="Arial" w:eastAsia="Arial" w:hAnsi="Arial"/>
                <w:sz w:val="14"/>
                <w:szCs w:val="14"/>
                <w:color w:val="131E29"/>
              </w:rPr>
              <w:t>11,728</w:t>
            </w:r>
          </w:p>
        </w:tc>
        <w:tc>
          <w:tcPr>
            <w:tcW w:w="0" w:type="dxa"/>
            <w:vAlign w:val="bottom"/>
          </w:tcPr>
          <w:p>
            <w:pPr>
              <w:spacing w:after="0"/>
              <w:rPr>
                <w:sz w:val="1"/>
                <w:szCs w:val="1"/>
                <w:color w:val="auto"/>
              </w:rPr>
            </w:pPr>
          </w:p>
        </w:tc>
      </w:tr>
      <w:tr>
        <w:trPr>
          <w:trHeight w:val="22"/>
        </w:trPr>
        <w:tc>
          <w:tcPr>
            <w:tcW w:w="372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72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Interest on lease liabilities</w:t>
            </w:r>
          </w:p>
        </w:tc>
        <w:tc>
          <w:tcPr>
            <w:tcW w:w="2380" w:type="dxa"/>
            <w:vAlign w:val="bottom"/>
            <w:tcBorders>
              <w:bottom w:val="single" w:sz="8" w:color="D2DCE5"/>
            </w:tcBorders>
            <w:shd w:val="clear" w:color="auto" w:fill="D2DCE5"/>
          </w:tcPr>
          <w:p>
            <w:pPr>
              <w:spacing w:after="0"/>
              <w:rPr>
                <w:sz w:val="18"/>
                <w:szCs w:val="18"/>
                <w:color w:val="auto"/>
              </w:rPr>
            </w:pPr>
          </w:p>
        </w:tc>
        <w:tc>
          <w:tcPr>
            <w:tcW w:w="80" w:type="dxa"/>
            <w:vAlign w:val="bottom"/>
            <w:tcBorders>
              <w:bottom w:val="single" w:sz="8" w:color="D2DCE5"/>
            </w:tcBorders>
            <w:shd w:val="clear" w:color="auto" w:fill="D2DCE5"/>
          </w:tcPr>
          <w:p>
            <w:pPr>
              <w:spacing w:after="0"/>
              <w:rPr>
                <w:sz w:val="18"/>
                <w:szCs w:val="18"/>
                <w:color w:val="auto"/>
              </w:rPr>
            </w:pPr>
          </w:p>
        </w:tc>
        <w:tc>
          <w:tcPr>
            <w:tcW w:w="31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Interest expense</w:t>
            </w:r>
          </w:p>
        </w:tc>
        <w:tc>
          <w:tcPr>
            <w:tcW w:w="80" w:type="dxa"/>
            <w:vAlign w:val="bottom"/>
            <w:tcBorders>
              <w:bottom w:val="single" w:sz="8" w:color="D2DCE5"/>
            </w:tcBorders>
            <w:shd w:val="clear" w:color="auto" w:fill="D2DCE5"/>
          </w:tcPr>
          <w:p>
            <w:pPr>
              <w:spacing w:after="0"/>
              <w:rPr>
                <w:sz w:val="18"/>
                <w:szCs w:val="18"/>
                <w:color w:val="auto"/>
              </w:rPr>
            </w:pPr>
          </w:p>
        </w:tc>
        <w:tc>
          <w:tcPr>
            <w:tcW w:w="18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9,263</w:t>
            </w:r>
          </w:p>
        </w:tc>
        <w:tc>
          <w:tcPr>
            <w:tcW w:w="0" w:type="dxa"/>
            <w:vAlign w:val="bottom"/>
          </w:tcPr>
          <w:p>
            <w:pPr>
              <w:spacing w:after="0"/>
              <w:rPr>
                <w:sz w:val="1"/>
                <w:szCs w:val="1"/>
                <w:color w:val="auto"/>
              </w:rPr>
            </w:pPr>
          </w:p>
        </w:tc>
      </w:tr>
      <w:tr>
        <w:trPr>
          <w:trHeight w:val="181"/>
        </w:trPr>
        <w:tc>
          <w:tcPr>
            <w:tcW w:w="3720" w:type="dxa"/>
            <w:vAlign w:val="bottom"/>
            <w:gridSpan w:val="2"/>
          </w:tcPr>
          <w:p>
            <w:pPr>
              <w:ind w:left="280"/>
              <w:spacing w:after="0"/>
              <w:rPr>
                <w:sz w:val="20"/>
                <w:szCs w:val="20"/>
                <w:color w:val="auto"/>
              </w:rPr>
            </w:pPr>
            <w:r>
              <w:rPr>
                <w:rFonts w:ascii="Arial" w:cs="Arial" w:eastAsia="Arial" w:hAnsi="Arial"/>
                <w:sz w:val="14"/>
                <w:szCs w:val="14"/>
                <w:color w:val="131E29"/>
              </w:rPr>
              <w:t>Total finance lease cost</w:t>
            </w:r>
          </w:p>
        </w:tc>
        <w:tc>
          <w:tcPr>
            <w:tcW w:w="2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20,991</w:t>
            </w:r>
          </w:p>
        </w:tc>
        <w:tc>
          <w:tcPr>
            <w:tcW w:w="0" w:type="dxa"/>
            <w:vAlign w:val="bottom"/>
          </w:tcPr>
          <w:p>
            <w:pPr>
              <w:spacing w:after="0"/>
              <w:rPr>
                <w:sz w:val="1"/>
                <w:szCs w:val="1"/>
                <w:color w:val="auto"/>
              </w:rPr>
            </w:pPr>
          </w:p>
        </w:tc>
      </w:tr>
      <w:tr>
        <w:trPr>
          <w:trHeight w:val="22"/>
        </w:trPr>
        <w:tc>
          <w:tcPr>
            <w:tcW w:w="372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720" w:type="dxa"/>
            <w:vAlign w:val="bottom"/>
            <w:gridSpan w:val="2"/>
            <w:shd w:val="clear" w:color="auto" w:fill="D2DCE5"/>
          </w:tcPr>
          <w:p>
            <w:pPr>
              <w:spacing w:after="0"/>
              <w:rPr>
                <w:sz w:val="17"/>
                <w:szCs w:val="17"/>
                <w:color w:val="auto"/>
              </w:rPr>
            </w:pPr>
          </w:p>
        </w:tc>
        <w:tc>
          <w:tcPr>
            <w:tcW w:w="23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180" w:type="dxa"/>
            <w:vAlign w:val="bottom"/>
            <w:gridSpan w:val="2"/>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84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720" w:type="dxa"/>
            <w:vAlign w:val="bottom"/>
            <w:gridSpan w:val="2"/>
          </w:tcPr>
          <w:p>
            <w:pPr>
              <w:ind w:left="20"/>
              <w:spacing w:after="0"/>
              <w:rPr>
                <w:sz w:val="20"/>
                <w:szCs w:val="20"/>
                <w:color w:val="auto"/>
              </w:rPr>
            </w:pPr>
            <w:r>
              <w:rPr>
                <w:rFonts w:ascii="Arial" w:cs="Arial" w:eastAsia="Arial" w:hAnsi="Arial"/>
                <w:sz w:val="14"/>
                <w:szCs w:val="14"/>
                <w:color w:val="131E29"/>
              </w:rPr>
              <w:t>Operating lease cost</w:t>
            </w:r>
          </w:p>
        </w:tc>
        <w:tc>
          <w:tcPr>
            <w:tcW w:w="2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80" w:type="dxa"/>
            <w:vAlign w:val="bottom"/>
            <w:gridSpan w:val="2"/>
          </w:tcPr>
          <w:p>
            <w:pPr>
              <w:ind w:left="20"/>
              <w:spacing w:after="0"/>
              <w:rPr>
                <w:sz w:val="20"/>
                <w:szCs w:val="20"/>
                <w:color w:val="auto"/>
              </w:rPr>
            </w:pPr>
            <w:r>
              <w:rPr>
                <w:rFonts w:ascii="Arial" w:cs="Arial" w:eastAsia="Arial" w:hAnsi="Arial"/>
                <w:sz w:val="14"/>
                <w:szCs w:val="14"/>
                <w:color w:val="131E29"/>
              </w:rPr>
              <w:t>Cost of sales</w:t>
            </w:r>
          </w:p>
        </w:tc>
        <w:tc>
          <w:tcPr>
            <w:tcW w:w="8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131E29"/>
              </w:rPr>
              <w:t>16,465</w:t>
            </w:r>
          </w:p>
        </w:tc>
        <w:tc>
          <w:tcPr>
            <w:tcW w:w="0" w:type="dxa"/>
            <w:vAlign w:val="bottom"/>
          </w:tcPr>
          <w:p>
            <w:pPr>
              <w:spacing w:after="0"/>
              <w:rPr>
                <w:sz w:val="1"/>
                <w:szCs w:val="1"/>
                <w:color w:val="auto"/>
              </w:rPr>
            </w:pPr>
          </w:p>
        </w:tc>
      </w:tr>
      <w:tr>
        <w:trPr>
          <w:trHeight w:val="22"/>
        </w:trPr>
        <w:tc>
          <w:tcPr>
            <w:tcW w:w="372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720" w:type="dxa"/>
            <w:vAlign w:val="bottom"/>
            <w:gridSpan w:val="2"/>
            <w:shd w:val="clear" w:color="auto" w:fill="D2DCE5"/>
          </w:tcPr>
          <w:p>
            <w:pPr>
              <w:spacing w:after="0"/>
              <w:rPr>
                <w:sz w:val="18"/>
                <w:szCs w:val="18"/>
                <w:color w:val="auto"/>
              </w:rPr>
            </w:pPr>
          </w:p>
        </w:tc>
        <w:tc>
          <w:tcPr>
            <w:tcW w:w="23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180" w:type="dxa"/>
            <w:vAlign w:val="bottom"/>
            <w:gridSpan w:val="2"/>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84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720" w:type="dxa"/>
            <w:vAlign w:val="bottom"/>
            <w:gridSpan w:val="2"/>
          </w:tcPr>
          <w:p>
            <w:pPr>
              <w:ind w:left="20"/>
              <w:spacing w:after="0"/>
              <w:rPr>
                <w:sz w:val="20"/>
                <w:szCs w:val="20"/>
                <w:color w:val="auto"/>
              </w:rPr>
            </w:pPr>
            <w:r>
              <w:rPr>
                <w:rFonts w:ascii="Arial" w:cs="Arial" w:eastAsia="Arial" w:hAnsi="Arial"/>
                <w:sz w:val="14"/>
                <w:szCs w:val="14"/>
                <w:color w:val="131E29"/>
              </w:rPr>
              <w:t>Variable lease cost</w:t>
            </w:r>
          </w:p>
        </w:tc>
        <w:tc>
          <w:tcPr>
            <w:tcW w:w="2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80" w:type="dxa"/>
            <w:vAlign w:val="bottom"/>
            <w:gridSpan w:val="2"/>
          </w:tcPr>
          <w:p>
            <w:pPr>
              <w:ind w:left="20"/>
              <w:spacing w:after="0"/>
              <w:rPr>
                <w:sz w:val="20"/>
                <w:szCs w:val="20"/>
                <w:color w:val="auto"/>
              </w:rPr>
            </w:pPr>
            <w:r>
              <w:rPr>
                <w:rFonts w:ascii="Arial" w:cs="Arial" w:eastAsia="Arial" w:hAnsi="Arial"/>
                <w:sz w:val="14"/>
                <w:szCs w:val="14"/>
                <w:color w:val="131E29"/>
              </w:rPr>
              <w:t>Cost of sales</w:t>
            </w:r>
          </w:p>
        </w:tc>
        <w:tc>
          <w:tcPr>
            <w:tcW w:w="8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131E29"/>
              </w:rPr>
              <w:t>3,979</w:t>
            </w:r>
          </w:p>
        </w:tc>
        <w:tc>
          <w:tcPr>
            <w:tcW w:w="0" w:type="dxa"/>
            <w:vAlign w:val="bottom"/>
          </w:tcPr>
          <w:p>
            <w:pPr>
              <w:spacing w:after="0"/>
              <w:rPr>
                <w:sz w:val="1"/>
                <w:szCs w:val="1"/>
                <w:color w:val="auto"/>
              </w:rPr>
            </w:pPr>
          </w:p>
        </w:tc>
      </w:tr>
      <w:tr>
        <w:trPr>
          <w:trHeight w:val="22"/>
        </w:trPr>
        <w:tc>
          <w:tcPr>
            <w:tcW w:w="3720" w:type="dxa"/>
            <w:vAlign w:val="bottom"/>
            <w:tcBorders>
              <w:bottom w:val="single" w:sz="8" w:color="D2DCE5"/>
            </w:tcBorders>
            <w:gridSpan w:val="2"/>
          </w:tcPr>
          <w:p>
            <w:pPr>
              <w:spacing w:after="0" w:line="20" w:lineRule="exact"/>
              <w:rPr>
                <w:sz w:val="1"/>
                <w:szCs w:val="1"/>
                <w:color w:val="auto"/>
              </w:rPr>
            </w:pPr>
          </w:p>
        </w:tc>
        <w:tc>
          <w:tcPr>
            <w:tcW w:w="238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80" w:type="dxa"/>
            <w:vAlign w:val="bottom"/>
            <w:tcBorders>
              <w:bottom w:val="single" w:sz="8" w:color="D2DCE5"/>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7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Total lease cost</w:t>
            </w:r>
          </w:p>
        </w:tc>
        <w:tc>
          <w:tcPr>
            <w:tcW w:w="2380" w:type="dxa"/>
            <w:vAlign w:val="bottom"/>
            <w:tcBorders>
              <w:bottom w:val="single" w:sz="8" w:color="D2DCE5"/>
            </w:tcBorders>
            <w:shd w:val="clear" w:color="auto" w:fill="D2DCE5"/>
          </w:tcPr>
          <w:p>
            <w:pPr>
              <w:spacing w:after="0"/>
              <w:rPr>
                <w:sz w:val="19"/>
                <w:szCs w:val="19"/>
                <w:color w:val="auto"/>
              </w:rPr>
            </w:pPr>
          </w:p>
        </w:tc>
        <w:tc>
          <w:tcPr>
            <w:tcW w:w="80" w:type="dxa"/>
            <w:vAlign w:val="bottom"/>
            <w:tcBorders>
              <w:bottom w:val="single" w:sz="8" w:color="D2DCE5"/>
            </w:tcBorders>
            <w:shd w:val="clear" w:color="auto" w:fill="D2DCE5"/>
          </w:tcPr>
          <w:p>
            <w:pPr>
              <w:spacing w:after="0"/>
              <w:rPr>
                <w:sz w:val="19"/>
                <w:szCs w:val="19"/>
                <w:color w:val="auto"/>
              </w:rPr>
            </w:pPr>
          </w:p>
        </w:tc>
        <w:tc>
          <w:tcPr>
            <w:tcW w:w="3080" w:type="dxa"/>
            <w:vAlign w:val="bottom"/>
            <w:tcBorders>
              <w:bottom w:val="single" w:sz="8" w:color="D2DCE5"/>
            </w:tcBorders>
            <w:shd w:val="clear" w:color="auto" w:fill="D2DCE5"/>
          </w:tcPr>
          <w:p>
            <w:pPr>
              <w:spacing w:after="0"/>
              <w:rPr>
                <w:sz w:val="19"/>
                <w:szCs w:val="19"/>
                <w:color w:val="auto"/>
              </w:rPr>
            </w:pPr>
          </w:p>
        </w:tc>
        <w:tc>
          <w:tcPr>
            <w:tcW w:w="100" w:type="dxa"/>
            <w:vAlign w:val="bottom"/>
            <w:tcBorders>
              <w:bottom w:val="single" w:sz="8" w:color="D2DCE5"/>
            </w:tcBorders>
            <w:shd w:val="clear" w:color="auto" w:fill="D2DCE5"/>
          </w:tcPr>
          <w:p>
            <w:pPr>
              <w:spacing w:after="0"/>
              <w:rPr>
                <w:sz w:val="19"/>
                <w:szCs w:val="19"/>
                <w:color w:val="auto"/>
              </w:rPr>
            </w:pPr>
          </w:p>
        </w:tc>
        <w:tc>
          <w:tcPr>
            <w:tcW w:w="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w w:val="76"/>
              </w:rPr>
              <w:t>$</w:t>
            </w:r>
          </w:p>
        </w:tc>
        <w:tc>
          <w:tcPr>
            <w:tcW w:w="18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41,435</w:t>
            </w:r>
          </w:p>
        </w:tc>
        <w:tc>
          <w:tcPr>
            <w:tcW w:w="0" w:type="dxa"/>
            <w:vAlign w:val="bottom"/>
          </w:tcPr>
          <w:p>
            <w:pPr>
              <w:spacing w:after="0"/>
              <w:rPr>
                <w:sz w:val="1"/>
                <w:szCs w:val="1"/>
                <w:color w:val="auto"/>
              </w:rPr>
            </w:pPr>
          </w:p>
        </w:tc>
      </w:tr>
      <w:tr>
        <w:trPr>
          <w:trHeight w:val="20"/>
        </w:trPr>
        <w:tc>
          <w:tcPr>
            <w:tcW w:w="364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38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8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bottom w:val="single" w:sz="8" w:color="auto"/>
            </w:tcBorders>
          </w:tcPr>
          <w:p>
            <w:pPr>
              <w:spacing w:after="0" w:line="20" w:lineRule="exact"/>
              <w:rPr>
                <w:sz w:val="1"/>
                <w:szCs w:val="1"/>
                <w:color w:val="auto"/>
              </w:rPr>
            </w:pPr>
          </w:p>
        </w:tc>
        <w:tc>
          <w:tcPr>
            <w:tcW w:w="184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122" w:name="page123"/>
    <w:bookmarkEnd w:id="122"/>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131E29"/>
        </w:rPr>
        <w:t>Future minimum lease payments for finance and operating lease liabilities as of December 31, 2022 were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340" w:type="dxa"/>
            <w:vAlign w:val="bottom"/>
            <w:gridSpan w:val="2"/>
          </w:tcPr>
          <w:p>
            <w:pPr>
              <w:ind w:left="20"/>
              <w:spacing w:after="0"/>
              <w:rPr>
                <w:sz w:val="20"/>
                <w:szCs w:val="20"/>
                <w:color w:val="auto"/>
              </w:rPr>
            </w:pPr>
            <w:r>
              <w:rPr>
                <w:rFonts w:ascii="Arial" w:cs="Arial" w:eastAsia="Arial" w:hAnsi="Arial"/>
                <w:sz w:val="11"/>
                <w:szCs w:val="11"/>
                <w:color w:val="131E29"/>
              </w:rPr>
              <w:t>(in thousands)</w:t>
            </w:r>
          </w:p>
        </w:tc>
        <w:tc>
          <w:tcPr>
            <w:tcW w:w="400" w:type="dxa"/>
            <w:vAlign w:val="bottom"/>
          </w:tcPr>
          <w:p>
            <w:pPr>
              <w:spacing w:after="0"/>
              <w:rPr>
                <w:sz w:val="17"/>
                <w:szCs w:val="17"/>
                <w:color w:val="auto"/>
              </w:rPr>
            </w:pPr>
          </w:p>
        </w:tc>
        <w:tc>
          <w:tcPr>
            <w:tcW w:w="1620" w:type="dxa"/>
            <w:vAlign w:val="bottom"/>
            <w:gridSpan w:val="2"/>
          </w:tcPr>
          <w:p>
            <w:pPr>
              <w:ind w:left="300"/>
              <w:spacing w:after="0"/>
              <w:rPr>
                <w:sz w:val="20"/>
                <w:szCs w:val="20"/>
                <w:color w:val="auto"/>
              </w:rPr>
            </w:pPr>
            <w:r>
              <w:rPr>
                <w:rFonts w:ascii="Arial" w:cs="Arial" w:eastAsia="Arial" w:hAnsi="Arial"/>
                <w:sz w:val="14"/>
                <w:szCs w:val="14"/>
                <w:b w:val="1"/>
                <w:bCs w:val="1"/>
                <w:color w:val="131E29"/>
              </w:rPr>
              <w:t>Finance</w:t>
            </w:r>
          </w:p>
        </w:tc>
        <w:tc>
          <w:tcPr>
            <w:tcW w:w="360" w:type="dxa"/>
            <w:vAlign w:val="bottom"/>
          </w:tcPr>
          <w:p>
            <w:pPr>
              <w:spacing w:after="0"/>
              <w:rPr>
                <w:sz w:val="17"/>
                <w:szCs w:val="17"/>
                <w:color w:val="auto"/>
              </w:rPr>
            </w:pPr>
          </w:p>
        </w:tc>
        <w:tc>
          <w:tcPr>
            <w:tcW w:w="1560" w:type="dxa"/>
            <w:vAlign w:val="bottom"/>
          </w:tcPr>
          <w:p>
            <w:pPr>
              <w:jc w:val="right"/>
              <w:ind w:right="549"/>
              <w:spacing w:after="0"/>
              <w:rPr>
                <w:sz w:val="20"/>
                <w:szCs w:val="20"/>
                <w:color w:val="auto"/>
              </w:rPr>
            </w:pPr>
            <w:r>
              <w:rPr>
                <w:rFonts w:ascii="Arial" w:cs="Arial" w:eastAsia="Arial" w:hAnsi="Arial"/>
                <w:sz w:val="14"/>
                <w:szCs w:val="14"/>
                <w:b w:val="1"/>
                <w:bCs w:val="1"/>
                <w:color w:val="131E29"/>
              </w:rPr>
              <w:t>Operating</w:t>
            </w:r>
          </w:p>
        </w:tc>
      </w:tr>
      <w:tr>
        <w:trPr>
          <w:trHeight w:val="192"/>
        </w:trPr>
        <w:tc>
          <w:tcPr>
            <w:tcW w:w="7260" w:type="dxa"/>
            <w:vAlign w:val="bottom"/>
            <w:tcBorders>
              <w:top w:val="single" w:sz="8" w:color="auto"/>
              <w:bottom w:val="single" w:sz="8" w:color="D2DCE5"/>
            </w:tcBorders>
            <w:shd w:val="clear" w:color="auto" w:fill="D2DCE5"/>
          </w:tcPr>
          <w:p>
            <w:pPr>
              <w:ind w:left="20"/>
              <w:spacing w:after="0"/>
              <w:rPr>
                <w:sz w:val="20"/>
                <w:szCs w:val="20"/>
                <w:color w:val="auto"/>
              </w:rPr>
            </w:pPr>
            <w:r>
              <w:rPr>
                <w:rFonts w:ascii="Arial" w:cs="Arial" w:eastAsia="Arial" w:hAnsi="Arial"/>
                <w:sz w:val="14"/>
                <w:szCs w:val="14"/>
                <w:color w:val="131E29"/>
              </w:rPr>
              <w:t>2023</w:t>
            </w:r>
          </w:p>
        </w:tc>
        <w:tc>
          <w:tcPr>
            <w:tcW w:w="80" w:type="dxa"/>
            <w:vAlign w:val="bottom"/>
            <w:tcBorders>
              <w:top w:val="single" w:sz="8" w:color="D2DCE5"/>
              <w:bottom w:val="single" w:sz="8" w:color="D2DCE5"/>
            </w:tcBorders>
            <w:shd w:val="clear" w:color="auto" w:fill="D2DCE5"/>
          </w:tcPr>
          <w:p>
            <w:pPr>
              <w:spacing w:after="0"/>
              <w:rPr>
                <w:sz w:val="16"/>
                <w:szCs w:val="16"/>
                <w:color w:val="auto"/>
              </w:rPr>
            </w:pPr>
          </w:p>
        </w:tc>
        <w:tc>
          <w:tcPr>
            <w:tcW w:w="400" w:type="dxa"/>
            <w:vAlign w:val="bottom"/>
            <w:tcBorders>
              <w:top w:val="single" w:sz="8" w:color="auto"/>
              <w:bottom w:val="single" w:sz="8" w:color="D2DCE5"/>
            </w:tcBorders>
            <w:shd w:val="clear" w:color="auto" w:fill="D2DCE5"/>
          </w:tcPr>
          <w:p>
            <w:pPr>
              <w:jc w:val="right"/>
              <w:ind w:right="249"/>
              <w:spacing w:after="0"/>
              <w:rPr>
                <w:sz w:val="20"/>
                <w:szCs w:val="20"/>
                <w:color w:val="auto"/>
              </w:rPr>
            </w:pPr>
            <w:r>
              <w:rPr>
                <w:rFonts w:ascii="Arial" w:cs="Arial" w:eastAsia="Arial" w:hAnsi="Arial"/>
                <w:sz w:val="14"/>
                <w:szCs w:val="14"/>
                <w:color w:val="131E29"/>
                <w:w w:val="76"/>
              </w:rPr>
              <w:t>$</w:t>
            </w:r>
          </w:p>
        </w:tc>
        <w:tc>
          <w:tcPr>
            <w:tcW w:w="1520" w:type="dxa"/>
            <w:vAlign w:val="bottom"/>
            <w:tcBorders>
              <w:top w:val="single" w:sz="8" w:color="auto"/>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20,654</w:t>
            </w:r>
          </w:p>
        </w:tc>
        <w:tc>
          <w:tcPr>
            <w:tcW w:w="100" w:type="dxa"/>
            <w:vAlign w:val="bottom"/>
            <w:tcBorders>
              <w:top w:val="single" w:sz="8" w:color="D2DCE5"/>
              <w:bottom w:val="single" w:sz="8" w:color="D2DCE5"/>
            </w:tcBorders>
            <w:shd w:val="clear" w:color="auto" w:fill="D2DCE5"/>
          </w:tcPr>
          <w:p>
            <w:pPr>
              <w:spacing w:after="0"/>
              <w:rPr>
                <w:sz w:val="16"/>
                <w:szCs w:val="16"/>
                <w:color w:val="auto"/>
              </w:rPr>
            </w:pPr>
          </w:p>
        </w:tc>
        <w:tc>
          <w:tcPr>
            <w:tcW w:w="360" w:type="dxa"/>
            <w:vAlign w:val="bottom"/>
            <w:tcBorders>
              <w:top w:val="single" w:sz="8" w:color="auto"/>
              <w:bottom w:val="single" w:sz="8" w:color="D2DCE5"/>
            </w:tcBorders>
            <w:shd w:val="clear" w:color="auto" w:fill="D2DCE5"/>
          </w:tcPr>
          <w:p>
            <w:pPr>
              <w:jc w:val="right"/>
              <w:ind w:right="209"/>
              <w:spacing w:after="0"/>
              <w:rPr>
                <w:sz w:val="20"/>
                <w:szCs w:val="20"/>
                <w:color w:val="auto"/>
              </w:rPr>
            </w:pPr>
            <w:r>
              <w:rPr>
                <w:rFonts w:ascii="Arial" w:cs="Arial" w:eastAsia="Arial" w:hAnsi="Arial"/>
                <w:sz w:val="14"/>
                <w:szCs w:val="14"/>
                <w:color w:val="131E29"/>
                <w:w w:val="76"/>
              </w:rPr>
              <w:t>$</w:t>
            </w:r>
          </w:p>
        </w:tc>
        <w:tc>
          <w:tcPr>
            <w:tcW w:w="1560" w:type="dxa"/>
            <w:vAlign w:val="bottom"/>
            <w:tcBorders>
              <w:top w:val="single" w:sz="8" w:color="auto"/>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16,258</w:t>
            </w:r>
          </w:p>
        </w:tc>
      </w:tr>
      <w:tr>
        <w:trPr>
          <w:trHeight w:val="191"/>
        </w:trPr>
        <w:tc>
          <w:tcPr>
            <w:tcW w:w="7260" w:type="dxa"/>
            <w:vAlign w:val="bottom"/>
          </w:tcPr>
          <w:p>
            <w:pPr>
              <w:ind w:left="20"/>
              <w:spacing w:after="0"/>
              <w:rPr>
                <w:sz w:val="20"/>
                <w:szCs w:val="20"/>
                <w:color w:val="auto"/>
              </w:rPr>
            </w:pPr>
            <w:r>
              <w:rPr>
                <w:rFonts w:ascii="Arial" w:cs="Arial" w:eastAsia="Arial" w:hAnsi="Arial"/>
                <w:sz w:val="14"/>
                <w:szCs w:val="14"/>
                <w:color w:val="131E29"/>
              </w:rPr>
              <w:t>2024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20,965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131E29"/>
              </w:rPr>
              <w:t>15,926</w:t>
            </w:r>
          </w:p>
        </w:tc>
      </w:tr>
      <w:tr>
        <w:trPr>
          <w:trHeight w:val="22"/>
        </w:trPr>
        <w:tc>
          <w:tcPr>
            <w:tcW w:w="7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2"/>
        </w:trPr>
        <w:tc>
          <w:tcPr>
            <w:tcW w:w="726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4"/>
                <w:szCs w:val="14"/>
                <w:color w:val="131E29"/>
              </w:rPr>
              <w:t>2025</w:t>
            </w:r>
          </w:p>
        </w:tc>
        <w:tc>
          <w:tcPr>
            <w:tcW w:w="80" w:type="dxa"/>
            <w:vAlign w:val="bottom"/>
            <w:tcBorders>
              <w:bottom w:val="single" w:sz="8" w:color="D2DCE5"/>
            </w:tcBorders>
            <w:shd w:val="clear" w:color="auto" w:fill="D2DCE5"/>
          </w:tcPr>
          <w:p>
            <w:pPr>
              <w:spacing w:after="0"/>
              <w:rPr>
                <w:sz w:val="16"/>
                <w:szCs w:val="16"/>
                <w:color w:val="auto"/>
              </w:rPr>
            </w:pPr>
          </w:p>
        </w:tc>
        <w:tc>
          <w:tcPr>
            <w:tcW w:w="400" w:type="dxa"/>
            <w:vAlign w:val="bottom"/>
            <w:tcBorders>
              <w:bottom w:val="single" w:sz="8" w:color="D2DCE5"/>
            </w:tcBorders>
            <w:shd w:val="clear" w:color="auto" w:fill="D2DCE5"/>
          </w:tcPr>
          <w:p>
            <w:pPr>
              <w:spacing w:after="0"/>
              <w:rPr>
                <w:sz w:val="16"/>
                <w:szCs w:val="16"/>
                <w:color w:val="auto"/>
              </w:rPr>
            </w:pPr>
          </w:p>
        </w:tc>
        <w:tc>
          <w:tcPr>
            <w:tcW w:w="15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21,188</w:t>
            </w:r>
          </w:p>
        </w:tc>
        <w:tc>
          <w:tcPr>
            <w:tcW w:w="100" w:type="dxa"/>
            <w:vAlign w:val="bottom"/>
            <w:tcBorders>
              <w:bottom w:val="single" w:sz="8" w:color="D2DCE5"/>
            </w:tcBorders>
            <w:shd w:val="clear" w:color="auto" w:fill="D2DCE5"/>
          </w:tcPr>
          <w:p>
            <w:pPr>
              <w:spacing w:after="0"/>
              <w:rPr>
                <w:sz w:val="16"/>
                <w:szCs w:val="16"/>
                <w:color w:val="auto"/>
              </w:rPr>
            </w:pPr>
          </w:p>
        </w:tc>
        <w:tc>
          <w:tcPr>
            <w:tcW w:w="360" w:type="dxa"/>
            <w:vAlign w:val="bottom"/>
            <w:tcBorders>
              <w:bottom w:val="single" w:sz="8" w:color="D2DCE5"/>
            </w:tcBorders>
            <w:shd w:val="clear" w:color="auto" w:fill="D2DCE5"/>
          </w:tcPr>
          <w:p>
            <w:pPr>
              <w:spacing w:after="0"/>
              <w:rPr>
                <w:sz w:val="16"/>
                <w:szCs w:val="16"/>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15,692</w:t>
            </w:r>
          </w:p>
        </w:tc>
      </w:tr>
      <w:tr>
        <w:trPr>
          <w:trHeight w:val="191"/>
        </w:trPr>
        <w:tc>
          <w:tcPr>
            <w:tcW w:w="7260" w:type="dxa"/>
            <w:vAlign w:val="bottom"/>
          </w:tcPr>
          <w:p>
            <w:pPr>
              <w:ind w:left="20"/>
              <w:spacing w:after="0"/>
              <w:rPr>
                <w:sz w:val="20"/>
                <w:szCs w:val="20"/>
                <w:color w:val="auto"/>
              </w:rPr>
            </w:pPr>
            <w:r>
              <w:rPr>
                <w:rFonts w:ascii="Arial" w:cs="Arial" w:eastAsia="Arial" w:hAnsi="Arial"/>
                <w:sz w:val="14"/>
                <w:szCs w:val="14"/>
                <w:color w:val="131E29"/>
              </w:rPr>
              <w:t>2026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21,508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131E29"/>
              </w:rPr>
              <w:t>15,538</w:t>
            </w:r>
          </w:p>
        </w:tc>
      </w:tr>
      <w:tr>
        <w:trPr>
          <w:trHeight w:val="22"/>
        </w:trPr>
        <w:tc>
          <w:tcPr>
            <w:tcW w:w="7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2"/>
        </w:trPr>
        <w:tc>
          <w:tcPr>
            <w:tcW w:w="726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4"/>
                <w:szCs w:val="14"/>
                <w:color w:val="131E29"/>
              </w:rPr>
              <w:t>2027</w:t>
            </w:r>
          </w:p>
        </w:tc>
        <w:tc>
          <w:tcPr>
            <w:tcW w:w="80" w:type="dxa"/>
            <w:vAlign w:val="bottom"/>
            <w:tcBorders>
              <w:bottom w:val="single" w:sz="8" w:color="D2DCE5"/>
            </w:tcBorders>
            <w:shd w:val="clear" w:color="auto" w:fill="D2DCE5"/>
          </w:tcPr>
          <w:p>
            <w:pPr>
              <w:spacing w:after="0"/>
              <w:rPr>
                <w:sz w:val="16"/>
                <w:szCs w:val="16"/>
                <w:color w:val="auto"/>
              </w:rPr>
            </w:pPr>
          </w:p>
        </w:tc>
        <w:tc>
          <w:tcPr>
            <w:tcW w:w="400" w:type="dxa"/>
            <w:vAlign w:val="bottom"/>
            <w:tcBorders>
              <w:bottom w:val="single" w:sz="8" w:color="D2DCE5"/>
            </w:tcBorders>
            <w:shd w:val="clear" w:color="auto" w:fill="D2DCE5"/>
          </w:tcPr>
          <w:p>
            <w:pPr>
              <w:spacing w:after="0"/>
              <w:rPr>
                <w:sz w:val="16"/>
                <w:szCs w:val="16"/>
                <w:color w:val="auto"/>
              </w:rPr>
            </w:pPr>
          </w:p>
        </w:tc>
        <w:tc>
          <w:tcPr>
            <w:tcW w:w="15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22,220</w:t>
            </w:r>
          </w:p>
        </w:tc>
        <w:tc>
          <w:tcPr>
            <w:tcW w:w="100" w:type="dxa"/>
            <w:vAlign w:val="bottom"/>
            <w:tcBorders>
              <w:bottom w:val="single" w:sz="8" w:color="D2DCE5"/>
            </w:tcBorders>
            <w:shd w:val="clear" w:color="auto" w:fill="D2DCE5"/>
          </w:tcPr>
          <w:p>
            <w:pPr>
              <w:spacing w:after="0"/>
              <w:rPr>
                <w:sz w:val="16"/>
                <w:szCs w:val="16"/>
                <w:color w:val="auto"/>
              </w:rPr>
            </w:pPr>
          </w:p>
        </w:tc>
        <w:tc>
          <w:tcPr>
            <w:tcW w:w="360" w:type="dxa"/>
            <w:vAlign w:val="bottom"/>
            <w:tcBorders>
              <w:bottom w:val="single" w:sz="8" w:color="D2DCE5"/>
            </w:tcBorders>
            <w:shd w:val="clear" w:color="auto" w:fill="D2DCE5"/>
          </w:tcPr>
          <w:p>
            <w:pPr>
              <w:spacing w:after="0"/>
              <w:rPr>
                <w:sz w:val="16"/>
                <w:szCs w:val="16"/>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15,211</w:t>
            </w:r>
          </w:p>
        </w:tc>
      </w:tr>
      <w:tr>
        <w:trPr>
          <w:trHeight w:val="191"/>
        </w:trPr>
        <w:tc>
          <w:tcPr>
            <w:tcW w:w="7340" w:type="dxa"/>
            <w:vAlign w:val="bottom"/>
            <w:gridSpan w:val="2"/>
          </w:tcPr>
          <w:p>
            <w:pPr>
              <w:ind w:left="20"/>
              <w:spacing w:after="0"/>
              <w:rPr>
                <w:sz w:val="20"/>
                <w:szCs w:val="20"/>
                <w:color w:val="auto"/>
              </w:rPr>
            </w:pPr>
            <w:r>
              <w:rPr>
                <w:rFonts w:ascii="Arial" w:cs="Arial" w:eastAsia="Arial" w:hAnsi="Arial"/>
                <w:sz w:val="14"/>
                <w:szCs w:val="14"/>
                <w:color w:val="131E29"/>
              </w:rPr>
              <w:t>Thereafter</w:t>
            </w:r>
          </w:p>
        </w:tc>
        <w:tc>
          <w:tcPr>
            <w:tcW w:w="4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263,381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131E29"/>
              </w:rPr>
              <w:t>154,510</w:t>
            </w:r>
          </w:p>
        </w:tc>
      </w:tr>
      <w:tr>
        <w:trPr>
          <w:trHeight w:val="22"/>
        </w:trPr>
        <w:tc>
          <w:tcPr>
            <w:tcW w:w="726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8"/>
        </w:trPr>
        <w:tc>
          <w:tcPr>
            <w:tcW w:w="734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Total</w:t>
            </w:r>
          </w:p>
        </w:tc>
        <w:tc>
          <w:tcPr>
            <w:tcW w:w="400" w:type="dxa"/>
            <w:vAlign w:val="bottom"/>
            <w:tcBorders>
              <w:bottom w:val="single" w:sz="8" w:color="auto"/>
            </w:tcBorders>
            <w:shd w:val="clear" w:color="auto" w:fill="D2DCE5"/>
          </w:tcPr>
          <w:p>
            <w:pPr>
              <w:jc w:val="right"/>
              <w:ind w:right="249"/>
              <w:spacing w:after="0"/>
              <w:rPr>
                <w:sz w:val="20"/>
                <w:szCs w:val="20"/>
                <w:color w:val="auto"/>
              </w:rPr>
            </w:pPr>
            <w:r>
              <w:rPr>
                <w:rFonts w:ascii="Arial" w:cs="Arial" w:eastAsia="Arial" w:hAnsi="Arial"/>
                <w:sz w:val="14"/>
                <w:szCs w:val="14"/>
                <w:color w:val="131E29"/>
                <w:w w:val="76"/>
              </w:rPr>
              <w:t>$</w:t>
            </w:r>
          </w:p>
        </w:tc>
        <w:tc>
          <w:tcPr>
            <w:tcW w:w="15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369,916</w:t>
            </w:r>
          </w:p>
        </w:tc>
        <w:tc>
          <w:tcPr>
            <w:tcW w:w="100" w:type="dxa"/>
            <w:vAlign w:val="bottom"/>
            <w:tcBorders>
              <w:bottom w:val="single" w:sz="8" w:color="D2DCE5"/>
            </w:tcBorders>
            <w:shd w:val="clear" w:color="auto" w:fill="D2DCE5"/>
          </w:tcPr>
          <w:p>
            <w:pPr>
              <w:spacing w:after="0"/>
              <w:rPr>
                <w:sz w:val="19"/>
                <w:szCs w:val="19"/>
                <w:color w:val="auto"/>
              </w:rPr>
            </w:pPr>
          </w:p>
        </w:tc>
        <w:tc>
          <w:tcPr>
            <w:tcW w:w="360" w:type="dxa"/>
            <w:vAlign w:val="bottom"/>
            <w:tcBorders>
              <w:bottom w:val="single" w:sz="8" w:color="auto"/>
            </w:tcBorders>
            <w:shd w:val="clear" w:color="auto" w:fill="D2DCE5"/>
          </w:tcPr>
          <w:p>
            <w:pPr>
              <w:jc w:val="right"/>
              <w:ind w:right="209"/>
              <w:spacing w:after="0"/>
              <w:rPr>
                <w:sz w:val="20"/>
                <w:szCs w:val="20"/>
                <w:color w:val="auto"/>
              </w:rPr>
            </w:pPr>
            <w:r>
              <w:rPr>
                <w:rFonts w:ascii="Arial" w:cs="Arial" w:eastAsia="Arial" w:hAnsi="Arial"/>
                <w:sz w:val="14"/>
                <w:szCs w:val="14"/>
                <w:color w:val="131E29"/>
                <w:w w:val="76"/>
              </w:rPr>
              <w:t>$</w:t>
            </w:r>
          </w:p>
        </w:tc>
        <w:tc>
          <w:tcPr>
            <w:tcW w:w="15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233,135</w:t>
            </w:r>
          </w:p>
        </w:tc>
      </w:tr>
      <w:tr>
        <w:trPr>
          <w:trHeight w:val="20"/>
        </w:trPr>
        <w:tc>
          <w:tcPr>
            <w:tcW w:w="726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400" w:type="dxa"/>
            <w:vAlign w:val="bottom"/>
            <w:tcBorders>
              <w:top w:val="single" w:sz="8" w:color="D2DCE5"/>
              <w:bottom w:val="single" w:sz="8" w:color="auto"/>
            </w:tcBorders>
          </w:tcPr>
          <w:p>
            <w:pPr>
              <w:spacing w:after="0" w:line="20" w:lineRule="exact"/>
              <w:rPr>
                <w:sz w:val="1"/>
                <w:szCs w:val="1"/>
                <w:color w:val="auto"/>
              </w:rPr>
            </w:pPr>
          </w:p>
        </w:tc>
        <w:tc>
          <w:tcPr>
            <w:tcW w:w="15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D2DCE5"/>
              <w:bottom w:val="single" w:sz="8" w:color="auto"/>
            </w:tcBorders>
          </w:tcPr>
          <w:p>
            <w:pPr>
              <w:spacing w:after="0" w:line="20" w:lineRule="exact"/>
              <w:rPr>
                <w:sz w:val="1"/>
                <w:szCs w:val="1"/>
                <w:color w:val="auto"/>
              </w:rPr>
            </w:pPr>
          </w:p>
        </w:tc>
        <w:tc>
          <w:tcPr>
            <w:tcW w:w="1560" w:type="dxa"/>
            <w:vAlign w:val="bottom"/>
            <w:tcBorders>
              <w:top w:val="single" w:sz="8" w:color="D2DCE5"/>
              <w:bottom w:val="single" w:sz="8" w:color="auto"/>
            </w:tcBorders>
          </w:tcPr>
          <w:p>
            <w:pPr>
              <w:spacing w:after="0" w:line="20" w:lineRule="exact"/>
              <w:rPr>
                <w:sz w:val="1"/>
                <w:szCs w:val="1"/>
                <w:color w:val="auto"/>
              </w:rPr>
            </w:pPr>
          </w:p>
        </w:tc>
      </w:tr>
      <w:tr>
        <w:trPr>
          <w:trHeight w:val="153"/>
        </w:trPr>
        <w:tc>
          <w:tcPr>
            <w:tcW w:w="7340" w:type="dxa"/>
            <w:vAlign w:val="bottom"/>
            <w:gridSpan w:val="2"/>
          </w:tcPr>
          <w:p>
            <w:pPr>
              <w:ind w:left="20"/>
              <w:spacing w:after="0" w:line="153" w:lineRule="exact"/>
              <w:rPr>
                <w:sz w:val="20"/>
                <w:szCs w:val="20"/>
                <w:color w:val="auto"/>
              </w:rPr>
            </w:pPr>
            <w:r>
              <w:rPr>
                <w:rFonts w:ascii="Arial" w:cs="Arial" w:eastAsia="Arial" w:hAnsi="Arial"/>
                <w:sz w:val="14"/>
                <w:szCs w:val="14"/>
                <w:color w:val="131E29"/>
              </w:rPr>
              <w:t>Less: imputed interest</w:t>
            </w:r>
          </w:p>
        </w:tc>
        <w:tc>
          <w:tcPr>
            <w:tcW w:w="400" w:type="dxa"/>
            <w:vAlign w:val="bottom"/>
          </w:tcPr>
          <w:p>
            <w:pPr>
              <w:spacing w:after="0"/>
              <w:rPr>
                <w:sz w:val="13"/>
                <w:szCs w:val="13"/>
                <w:color w:val="auto"/>
              </w:rPr>
            </w:pPr>
          </w:p>
        </w:tc>
        <w:tc>
          <w:tcPr>
            <w:tcW w:w="1520" w:type="dxa"/>
            <w:vAlign w:val="bottom"/>
          </w:tcPr>
          <w:p>
            <w:pPr>
              <w:jc w:val="right"/>
              <w:spacing w:after="0" w:line="153" w:lineRule="exact"/>
              <w:rPr>
                <w:sz w:val="20"/>
                <w:szCs w:val="20"/>
                <w:color w:val="auto"/>
              </w:rPr>
            </w:pPr>
            <w:r>
              <w:rPr>
                <w:rFonts w:ascii="Arial" w:cs="Arial" w:eastAsia="Arial" w:hAnsi="Arial"/>
                <w:sz w:val="14"/>
                <w:szCs w:val="14"/>
                <w:color w:val="131E29"/>
              </w:rPr>
              <w:t>(124,815)</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60" w:type="dxa"/>
            <w:vAlign w:val="bottom"/>
          </w:tcPr>
          <w:p>
            <w:pPr>
              <w:jc w:val="right"/>
              <w:spacing w:after="0" w:line="153" w:lineRule="exact"/>
              <w:rPr>
                <w:sz w:val="20"/>
                <w:szCs w:val="20"/>
                <w:color w:val="auto"/>
              </w:rPr>
            </w:pPr>
            <w:r>
              <w:rPr>
                <w:rFonts w:ascii="Arial" w:cs="Arial" w:eastAsia="Arial" w:hAnsi="Arial"/>
                <w:sz w:val="14"/>
                <w:szCs w:val="14"/>
                <w:color w:val="131E29"/>
              </w:rPr>
              <w:t>(62,590)</w:t>
            </w:r>
          </w:p>
        </w:tc>
      </w:tr>
      <w:tr>
        <w:trPr>
          <w:trHeight w:val="22"/>
        </w:trPr>
        <w:tc>
          <w:tcPr>
            <w:tcW w:w="726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83"/>
        </w:trPr>
        <w:tc>
          <w:tcPr>
            <w:tcW w:w="734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Present value of minimum lease payments</w:t>
            </w:r>
          </w:p>
        </w:tc>
        <w:tc>
          <w:tcPr>
            <w:tcW w:w="400" w:type="dxa"/>
            <w:vAlign w:val="bottom"/>
            <w:tcBorders>
              <w:bottom w:val="single" w:sz="8" w:color="D2DCE5"/>
            </w:tcBorders>
            <w:shd w:val="clear" w:color="auto" w:fill="D2DCE5"/>
          </w:tcPr>
          <w:p>
            <w:pPr>
              <w:spacing w:after="0"/>
              <w:rPr>
                <w:sz w:val="15"/>
                <w:szCs w:val="15"/>
                <w:color w:val="auto"/>
              </w:rPr>
            </w:pPr>
          </w:p>
        </w:tc>
        <w:tc>
          <w:tcPr>
            <w:tcW w:w="15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245,101</w:t>
            </w:r>
          </w:p>
        </w:tc>
        <w:tc>
          <w:tcPr>
            <w:tcW w:w="100" w:type="dxa"/>
            <w:vAlign w:val="bottom"/>
            <w:tcBorders>
              <w:bottom w:val="single" w:sz="8" w:color="D2DCE5"/>
            </w:tcBorders>
            <w:shd w:val="clear" w:color="auto" w:fill="D2DCE5"/>
          </w:tcPr>
          <w:p>
            <w:pPr>
              <w:spacing w:after="0"/>
              <w:rPr>
                <w:sz w:val="15"/>
                <w:szCs w:val="15"/>
                <w:color w:val="auto"/>
              </w:rPr>
            </w:pPr>
          </w:p>
        </w:tc>
        <w:tc>
          <w:tcPr>
            <w:tcW w:w="360" w:type="dxa"/>
            <w:vAlign w:val="bottom"/>
            <w:tcBorders>
              <w:bottom w:val="single" w:sz="8" w:color="D2DCE5"/>
            </w:tcBorders>
            <w:shd w:val="clear" w:color="auto" w:fill="D2DCE5"/>
          </w:tcPr>
          <w:p>
            <w:pPr>
              <w:spacing w:after="0"/>
              <w:rPr>
                <w:sz w:val="15"/>
                <w:szCs w:val="15"/>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170,545</w:t>
            </w:r>
          </w:p>
        </w:tc>
      </w:tr>
      <w:tr>
        <w:trPr>
          <w:trHeight w:val="191"/>
        </w:trPr>
        <w:tc>
          <w:tcPr>
            <w:tcW w:w="7340" w:type="dxa"/>
            <w:vAlign w:val="bottom"/>
            <w:gridSpan w:val="2"/>
          </w:tcPr>
          <w:p>
            <w:pPr>
              <w:ind w:left="20"/>
              <w:spacing w:after="0"/>
              <w:rPr>
                <w:sz w:val="20"/>
                <w:szCs w:val="20"/>
                <w:color w:val="auto"/>
              </w:rPr>
            </w:pPr>
            <w:r>
              <w:rPr>
                <w:rFonts w:ascii="Arial" w:cs="Arial" w:eastAsia="Arial" w:hAnsi="Arial"/>
                <w:sz w:val="14"/>
                <w:szCs w:val="14"/>
                <w:color w:val="131E29"/>
              </w:rPr>
              <w:t>Less: current portion</w:t>
            </w:r>
          </w:p>
        </w:tc>
        <w:tc>
          <w:tcPr>
            <w:tcW w:w="4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(7,971)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131E29"/>
              </w:rPr>
              <w:t>(9,317)</w:t>
            </w:r>
          </w:p>
        </w:tc>
      </w:tr>
      <w:tr>
        <w:trPr>
          <w:trHeight w:val="22"/>
        </w:trPr>
        <w:tc>
          <w:tcPr>
            <w:tcW w:w="726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8"/>
        </w:trPr>
        <w:tc>
          <w:tcPr>
            <w:tcW w:w="734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Lease liabilities, net of current portion</w:t>
            </w:r>
          </w:p>
        </w:tc>
        <w:tc>
          <w:tcPr>
            <w:tcW w:w="400" w:type="dxa"/>
            <w:vAlign w:val="bottom"/>
            <w:tcBorders>
              <w:bottom w:val="single" w:sz="8" w:color="auto"/>
            </w:tcBorders>
            <w:shd w:val="clear" w:color="auto" w:fill="D2DCE5"/>
          </w:tcPr>
          <w:p>
            <w:pPr>
              <w:jc w:val="right"/>
              <w:ind w:right="249"/>
              <w:spacing w:after="0"/>
              <w:rPr>
                <w:sz w:val="20"/>
                <w:szCs w:val="20"/>
                <w:color w:val="auto"/>
              </w:rPr>
            </w:pPr>
            <w:r>
              <w:rPr>
                <w:rFonts w:ascii="Arial" w:cs="Arial" w:eastAsia="Arial" w:hAnsi="Arial"/>
                <w:sz w:val="14"/>
                <w:szCs w:val="14"/>
                <w:color w:val="131E29"/>
                <w:w w:val="76"/>
              </w:rPr>
              <w:t>$</w:t>
            </w:r>
          </w:p>
        </w:tc>
        <w:tc>
          <w:tcPr>
            <w:tcW w:w="15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237,130</w:t>
            </w:r>
          </w:p>
        </w:tc>
        <w:tc>
          <w:tcPr>
            <w:tcW w:w="100" w:type="dxa"/>
            <w:vAlign w:val="bottom"/>
            <w:tcBorders>
              <w:bottom w:val="single" w:sz="8" w:color="D2DCE5"/>
            </w:tcBorders>
            <w:shd w:val="clear" w:color="auto" w:fill="D2DCE5"/>
          </w:tcPr>
          <w:p>
            <w:pPr>
              <w:spacing w:after="0"/>
              <w:rPr>
                <w:sz w:val="19"/>
                <w:szCs w:val="19"/>
                <w:color w:val="auto"/>
              </w:rPr>
            </w:pPr>
          </w:p>
        </w:tc>
        <w:tc>
          <w:tcPr>
            <w:tcW w:w="360" w:type="dxa"/>
            <w:vAlign w:val="bottom"/>
            <w:tcBorders>
              <w:bottom w:val="single" w:sz="8" w:color="auto"/>
            </w:tcBorders>
            <w:shd w:val="clear" w:color="auto" w:fill="D2DCE5"/>
          </w:tcPr>
          <w:p>
            <w:pPr>
              <w:jc w:val="right"/>
              <w:ind w:right="209"/>
              <w:spacing w:after="0"/>
              <w:rPr>
                <w:sz w:val="20"/>
                <w:szCs w:val="20"/>
                <w:color w:val="auto"/>
              </w:rPr>
            </w:pPr>
            <w:r>
              <w:rPr>
                <w:rFonts w:ascii="Arial" w:cs="Arial" w:eastAsia="Arial" w:hAnsi="Arial"/>
                <w:sz w:val="14"/>
                <w:szCs w:val="14"/>
                <w:color w:val="131E29"/>
                <w:w w:val="76"/>
              </w:rPr>
              <w:t>$</w:t>
            </w:r>
          </w:p>
        </w:tc>
        <w:tc>
          <w:tcPr>
            <w:tcW w:w="15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161,228</w:t>
            </w:r>
          </w:p>
        </w:tc>
      </w:tr>
      <w:tr>
        <w:trPr>
          <w:trHeight w:val="20"/>
        </w:trPr>
        <w:tc>
          <w:tcPr>
            <w:tcW w:w="726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400" w:type="dxa"/>
            <w:vAlign w:val="bottom"/>
            <w:tcBorders>
              <w:top w:val="single" w:sz="8" w:color="D2DCE5"/>
              <w:bottom w:val="single" w:sz="8" w:color="auto"/>
            </w:tcBorders>
          </w:tcPr>
          <w:p>
            <w:pPr>
              <w:spacing w:after="0" w:line="20" w:lineRule="exact"/>
              <w:rPr>
                <w:sz w:val="1"/>
                <w:szCs w:val="1"/>
                <w:color w:val="auto"/>
              </w:rPr>
            </w:pPr>
          </w:p>
        </w:tc>
        <w:tc>
          <w:tcPr>
            <w:tcW w:w="15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D2DCE5"/>
              <w:bottom w:val="single" w:sz="8" w:color="auto"/>
            </w:tcBorders>
          </w:tcPr>
          <w:p>
            <w:pPr>
              <w:spacing w:after="0" w:line="20" w:lineRule="exact"/>
              <w:rPr>
                <w:sz w:val="1"/>
                <w:szCs w:val="1"/>
                <w:color w:val="auto"/>
              </w:rPr>
            </w:pPr>
          </w:p>
        </w:tc>
        <w:tc>
          <w:tcPr>
            <w:tcW w:w="1560" w:type="dxa"/>
            <w:vAlign w:val="bottom"/>
            <w:tcBorders>
              <w:top w:val="single" w:sz="8" w:color="D2DCE5"/>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131E29"/>
        </w:rPr>
        <w:t>Future minimum lease payments under noncancellable operating leases and capital lease liabilities as of December 31, 2021 were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2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649"/>
              <w:spacing w:after="0"/>
              <w:rPr>
                <w:sz w:val="20"/>
                <w:szCs w:val="20"/>
                <w:color w:val="auto"/>
              </w:rPr>
            </w:pPr>
            <w:r>
              <w:rPr>
                <w:rFonts w:ascii="Arial" w:cs="Arial" w:eastAsia="Arial" w:hAnsi="Arial"/>
                <w:sz w:val="14"/>
                <w:szCs w:val="14"/>
                <w:b w:val="1"/>
                <w:bCs w:val="1"/>
                <w:color w:val="131E29"/>
              </w:rPr>
              <w:t>Capital</w:t>
            </w:r>
          </w:p>
        </w:tc>
        <w:tc>
          <w:tcPr>
            <w:tcW w:w="40" w:type="dxa"/>
            <w:vAlign w:val="bottom"/>
            <w:tcBorders>
              <w:bottom w:val="single" w:sz="8" w:color="D2DCE5"/>
            </w:tcBorders>
          </w:tcPr>
          <w:p>
            <w:pPr>
              <w:spacing w:after="0"/>
              <w:rPr>
                <w:sz w:val="17"/>
                <w:szCs w:val="17"/>
                <w:color w:val="auto"/>
              </w:rPr>
            </w:pPr>
          </w:p>
        </w:tc>
        <w:tc>
          <w:tcPr>
            <w:tcW w:w="60" w:type="dxa"/>
            <w:vAlign w:val="bottom"/>
            <w:tcBorders>
              <w:bottom w:val="single" w:sz="8" w:color="D2DCE5"/>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131E29"/>
              </w:rPr>
              <w:t>Operating</w:t>
            </w:r>
          </w:p>
        </w:tc>
      </w:tr>
      <w:tr>
        <w:trPr>
          <w:trHeight w:val="192"/>
        </w:trPr>
        <w:tc>
          <w:tcPr>
            <w:tcW w:w="726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4"/>
                <w:szCs w:val="14"/>
                <w:color w:val="131E29"/>
              </w:rPr>
              <w:t>2022</w:t>
            </w:r>
          </w:p>
        </w:tc>
        <w:tc>
          <w:tcPr>
            <w:tcW w:w="80" w:type="dxa"/>
            <w:vAlign w:val="bottom"/>
            <w:tcBorders>
              <w:bottom w:val="single" w:sz="8" w:color="D2DCE5"/>
            </w:tcBorders>
            <w:shd w:val="clear" w:color="auto" w:fill="D2DCE5"/>
          </w:tcPr>
          <w:p>
            <w:pPr>
              <w:spacing w:after="0"/>
              <w:rPr>
                <w:sz w:val="16"/>
                <w:szCs w:val="16"/>
                <w:color w:val="auto"/>
              </w:rPr>
            </w:pPr>
          </w:p>
        </w:tc>
        <w:tc>
          <w:tcPr>
            <w:tcW w:w="400" w:type="dxa"/>
            <w:vAlign w:val="bottom"/>
            <w:tcBorders>
              <w:bottom w:val="single" w:sz="8" w:color="D2DCE5"/>
            </w:tcBorders>
            <w:shd w:val="clear" w:color="auto" w:fill="D2DCE5"/>
          </w:tcPr>
          <w:p>
            <w:pPr>
              <w:jc w:val="right"/>
              <w:ind w:right="249"/>
              <w:spacing w:after="0"/>
              <w:rPr>
                <w:sz w:val="20"/>
                <w:szCs w:val="20"/>
                <w:color w:val="auto"/>
              </w:rPr>
            </w:pPr>
            <w:r>
              <w:rPr>
                <w:rFonts w:ascii="Arial" w:cs="Arial" w:eastAsia="Arial" w:hAnsi="Arial"/>
                <w:sz w:val="14"/>
                <w:szCs w:val="14"/>
                <w:color w:val="131E29"/>
                <w:w w:val="76"/>
              </w:rPr>
              <w:t>$</w:t>
            </w:r>
          </w:p>
        </w:tc>
        <w:tc>
          <w:tcPr>
            <w:tcW w:w="15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8,824</w:t>
            </w:r>
          </w:p>
        </w:tc>
        <w:tc>
          <w:tcPr>
            <w:tcW w:w="320" w:type="dxa"/>
            <w:vAlign w:val="bottom"/>
            <w:tcBorders>
              <w:bottom w:val="single" w:sz="8" w:color="D2DCE5"/>
            </w:tcBorders>
            <w:gridSpan w:val="4"/>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12,398</w:t>
            </w:r>
          </w:p>
        </w:tc>
      </w:tr>
      <w:tr>
        <w:trPr>
          <w:trHeight w:val="191"/>
        </w:trPr>
        <w:tc>
          <w:tcPr>
            <w:tcW w:w="7260" w:type="dxa"/>
            <w:vAlign w:val="bottom"/>
          </w:tcPr>
          <w:p>
            <w:pPr>
              <w:ind w:left="20"/>
              <w:spacing w:after="0"/>
              <w:rPr>
                <w:sz w:val="20"/>
                <w:szCs w:val="20"/>
                <w:color w:val="auto"/>
              </w:rPr>
            </w:pPr>
            <w:r>
              <w:rPr>
                <w:rFonts w:ascii="Arial" w:cs="Arial" w:eastAsia="Arial" w:hAnsi="Arial"/>
                <w:sz w:val="14"/>
                <w:szCs w:val="14"/>
                <w:color w:val="131E29"/>
              </w:rPr>
              <w:t>2023</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8,672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131E29"/>
              </w:rPr>
              <w:t>12,002</w:t>
            </w:r>
          </w:p>
        </w:tc>
      </w:tr>
      <w:tr>
        <w:trPr>
          <w:trHeight w:val="22"/>
        </w:trPr>
        <w:tc>
          <w:tcPr>
            <w:tcW w:w="7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2"/>
        </w:trPr>
        <w:tc>
          <w:tcPr>
            <w:tcW w:w="726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4"/>
                <w:szCs w:val="14"/>
                <w:color w:val="131E29"/>
              </w:rPr>
              <w:t>2024</w:t>
            </w:r>
          </w:p>
        </w:tc>
        <w:tc>
          <w:tcPr>
            <w:tcW w:w="80" w:type="dxa"/>
            <w:vAlign w:val="bottom"/>
            <w:tcBorders>
              <w:bottom w:val="single" w:sz="8" w:color="D2DCE5"/>
            </w:tcBorders>
            <w:shd w:val="clear" w:color="auto" w:fill="D2DCE5"/>
          </w:tcPr>
          <w:p>
            <w:pPr>
              <w:spacing w:after="0"/>
              <w:rPr>
                <w:sz w:val="16"/>
                <w:szCs w:val="16"/>
                <w:color w:val="auto"/>
              </w:rPr>
            </w:pPr>
          </w:p>
        </w:tc>
        <w:tc>
          <w:tcPr>
            <w:tcW w:w="400" w:type="dxa"/>
            <w:vAlign w:val="bottom"/>
            <w:tcBorders>
              <w:bottom w:val="single" w:sz="8" w:color="D2DCE5"/>
            </w:tcBorders>
            <w:shd w:val="clear" w:color="auto" w:fill="D2DCE5"/>
          </w:tcPr>
          <w:p>
            <w:pPr>
              <w:spacing w:after="0"/>
              <w:rPr>
                <w:sz w:val="16"/>
                <w:szCs w:val="16"/>
                <w:color w:val="auto"/>
              </w:rPr>
            </w:pPr>
          </w:p>
        </w:tc>
        <w:tc>
          <w:tcPr>
            <w:tcW w:w="15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8,743</w:t>
            </w:r>
          </w:p>
        </w:tc>
        <w:tc>
          <w:tcPr>
            <w:tcW w:w="40" w:type="dxa"/>
            <w:vAlign w:val="bottom"/>
            <w:tcBorders>
              <w:bottom w:val="single" w:sz="8" w:color="D2DCE5"/>
            </w:tcBorders>
            <w:shd w:val="clear" w:color="auto" w:fill="D2DCE5"/>
          </w:tcPr>
          <w:p>
            <w:pPr>
              <w:spacing w:after="0"/>
              <w:rPr>
                <w:sz w:val="16"/>
                <w:szCs w:val="16"/>
                <w:color w:val="auto"/>
              </w:rPr>
            </w:pPr>
          </w:p>
        </w:tc>
        <w:tc>
          <w:tcPr>
            <w:tcW w:w="60" w:type="dxa"/>
            <w:vAlign w:val="bottom"/>
            <w:tcBorders>
              <w:bottom w:val="single" w:sz="8" w:color="D2DCE5"/>
            </w:tcBorders>
            <w:shd w:val="clear" w:color="auto" w:fill="D2DCE5"/>
          </w:tcPr>
          <w:p>
            <w:pPr>
              <w:spacing w:after="0"/>
              <w:rPr>
                <w:sz w:val="16"/>
                <w:szCs w:val="16"/>
                <w:color w:val="auto"/>
              </w:rPr>
            </w:pPr>
          </w:p>
        </w:tc>
        <w:tc>
          <w:tcPr>
            <w:tcW w:w="20" w:type="dxa"/>
            <w:vAlign w:val="bottom"/>
            <w:tcBorders>
              <w:bottom w:val="single" w:sz="8" w:color="D2DCE5"/>
            </w:tcBorders>
            <w:shd w:val="clear" w:color="auto" w:fill="D2DCE5"/>
          </w:tcPr>
          <w:p>
            <w:pPr>
              <w:spacing w:after="0"/>
              <w:rPr>
                <w:sz w:val="16"/>
                <w:szCs w:val="16"/>
                <w:color w:val="auto"/>
              </w:rPr>
            </w:pPr>
          </w:p>
        </w:tc>
        <w:tc>
          <w:tcPr>
            <w:tcW w:w="200" w:type="dxa"/>
            <w:vAlign w:val="bottom"/>
            <w:tcBorders>
              <w:bottom w:val="single" w:sz="8" w:color="D2DCE5"/>
            </w:tcBorders>
            <w:shd w:val="clear" w:color="auto" w:fill="D2DCE5"/>
          </w:tcPr>
          <w:p>
            <w:pPr>
              <w:spacing w:after="0"/>
              <w:rPr>
                <w:sz w:val="16"/>
                <w:szCs w:val="16"/>
                <w:color w:val="auto"/>
              </w:rPr>
            </w:pPr>
          </w:p>
        </w:tc>
        <w:tc>
          <w:tcPr>
            <w:tcW w:w="1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11,699</w:t>
            </w:r>
          </w:p>
        </w:tc>
      </w:tr>
      <w:tr>
        <w:trPr>
          <w:trHeight w:val="191"/>
        </w:trPr>
        <w:tc>
          <w:tcPr>
            <w:tcW w:w="7260" w:type="dxa"/>
            <w:vAlign w:val="bottom"/>
          </w:tcPr>
          <w:p>
            <w:pPr>
              <w:ind w:left="20"/>
              <w:spacing w:after="0"/>
              <w:rPr>
                <w:sz w:val="20"/>
                <w:szCs w:val="20"/>
                <w:color w:val="auto"/>
              </w:rPr>
            </w:pPr>
            <w:r>
              <w:rPr>
                <w:rFonts w:ascii="Arial" w:cs="Arial" w:eastAsia="Arial" w:hAnsi="Arial"/>
                <w:sz w:val="14"/>
                <w:szCs w:val="14"/>
                <w:color w:val="131E29"/>
              </w:rPr>
              <w:t>2025</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8,926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131E29"/>
              </w:rPr>
              <w:t>11,420</w:t>
            </w:r>
          </w:p>
        </w:tc>
      </w:tr>
      <w:tr>
        <w:trPr>
          <w:trHeight w:val="22"/>
        </w:trPr>
        <w:tc>
          <w:tcPr>
            <w:tcW w:w="7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2"/>
        </w:trPr>
        <w:tc>
          <w:tcPr>
            <w:tcW w:w="726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4"/>
                <w:szCs w:val="14"/>
                <w:color w:val="131E29"/>
              </w:rPr>
              <w:t>2026</w:t>
            </w:r>
          </w:p>
        </w:tc>
        <w:tc>
          <w:tcPr>
            <w:tcW w:w="80" w:type="dxa"/>
            <w:vAlign w:val="bottom"/>
            <w:tcBorders>
              <w:bottom w:val="single" w:sz="8" w:color="D2DCE5"/>
            </w:tcBorders>
            <w:shd w:val="clear" w:color="auto" w:fill="D2DCE5"/>
          </w:tcPr>
          <w:p>
            <w:pPr>
              <w:spacing w:after="0"/>
              <w:rPr>
                <w:sz w:val="16"/>
                <w:szCs w:val="16"/>
                <w:color w:val="auto"/>
              </w:rPr>
            </w:pPr>
          </w:p>
        </w:tc>
        <w:tc>
          <w:tcPr>
            <w:tcW w:w="400" w:type="dxa"/>
            <w:vAlign w:val="bottom"/>
            <w:tcBorders>
              <w:bottom w:val="single" w:sz="8" w:color="D2DCE5"/>
            </w:tcBorders>
            <w:shd w:val="clear" w:color="auto" w:fill="D2DCE5"/>
          </w:tcPr>
          <w:p>
            <w:pPr>
              <w:spacing w:after="0"/>
              <w:rPr>
                <w:sz w:val="16"/>
                <w:szCs w:val="16"/>
                <w:color w:val="auto"/>
              </w:rPr>
            </w:pPr>
          </w:p>
        </w:tc>
        <w:tc>
          <w:tcPr>
            <w:tcW w:w="15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9,229</w:t>
            </w:r>
          </w:p>
        </w:tc>
        <w:tc>
          <w:tcPr>
            <w:tcW w:w="40" w:type="dxa"/>
            <w:vAlign w:val="bottom"/>
            <w:tcBorders>
              <w:bottom w:val="single" w:sz="8" w:color="D2DCE5"/>
            </w:tcBorders>
            <w:shd w:val="clear" w:color="auto" w:fill="D2DCE5"/>
          </w:tcPr>
          <w:p>
            <w:pPr>
              <w:spacing w:after="0"/>
              <w:rPr>
                <w:sz w:val="16"/>
                <w:szCs w:val="16"/>
                <w:color w:val="auto"/>
              </w:rPr>
            </w:pPr>
          </w:p>
        </w:tc>
        <w:tc>
          <w:tcPr>
            <w:tcW w:w="60" w:type="dxa"/>
            <w:vAlign w:val="bottom"/>
            <w:tcBorders>
              <w:bottom w:val="single" w:sz="8" w:color="D2DCE5"/>
            </w:tcBorders>
            <w:shd w:val="clear" w:color="auto" w:fill="D2DCE5"/>
          </w:tcPr>
          <w:p>
            <w:pPr>
              <w:spacing w:after="0"/>
              <w:rPr>
                <w:sz w:val="16"/>
                <w:szCs w:val="16"/>
                <w:color w:val="auto"/>
              </w:rPr>
            </w:pPr>
          </w:p>
        </w:tc>
        <w:tc>
          <w:tcPr>
            <w:tcW w:w="20" w:type="dxa"/>
            <w:vAlign w:val="bottom"/>
            <w:tcBorders>
              <w:bottom w:val="single" w:sz="8" w:color="D2DCE5"/>
            </w:tcBorders>
            <w:shd w:val="clear" w:color="auto" w:fill="D2DCE5"/>
          </w:tcPr>
          <w:p>
            <w:pPr>
              <w:spacing w:after="0"/>
              <w:rPr>
                <w:sz w:val="16"/>
                <w:szCs w:val="16"/>
                <w:color w:val="auto"/>
              </w:rPr>
            </w:pPr>
          </w:p>
        </w:tc>
        <w:tc>
          <w:tcPr>
            <w:tcW w:w="200" w:type="dxa"/>
            <w:vAlign w:val="bottom"/>
            <w:tcBorders>
              <w:bottom w:val="single" w:sz="8" w:color="D2DCE5"/>
            </w:tcBorders>
            <w:shd w:val="clear" w:color="auto" w:fill="D2DCE5"/>
          </w:tcPr>
          <w:p>
            <w:pPr>
              <w:spacing w:after="0"/>
              <w:rPr>
                <w:sz w:val="16"/>
                <w:szCs w:val="16"/>
                <w:color w:val="auto"/>
              </w:rPr>
            </w:pPr>
          </w:p>
        </w:tc>
        <w:tc>
          <w:tcPr>
            <w:tcW w:w="1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11,297</w:t>
            </w:r>
          </w:p>
        </w:tc>
      </w:tr>
      <w:tr>
        <w:trPr>
          <w:trHeight w:val="191"/>
        </w:trPr>
        <w:tc>
          <w:tcPr>
            <w:tcW w:w="7340" w:type="dxa"/>
            <w:vAlign w:val="bottom"/>
            <w:gridSpan w:val="2"/>
          </w:tcPr>
          <w:p>
            <w:pPr>
              <w:ind w:left="20"/>
              <w:spacing w:after="0"/>
              <w:rPr>
                <w:sz w:val="20"/>
                <w:szCs w:val="20"/>
                <w:color w:val="auto"/>
              </w:rPr>
            </w:pPr>
            <w:r>
              <w:rPr>
                <w:rFonts w:ascii="Arial" w:cs="Arial" w:eastAsia="Arial" w:hAnsi="Arial"/>
                <w:sz w:val="14"/>
                <w:szCs w:val="14"/>
                <w:color w:val="131E29"/>
              </w:rPr>
              <w:t>Thereafter</w:t>
            </w:r>
          </w:p>
        </w:tc>
        <w:tc>
          <w:tcPr>
            <w:tcW w:w="4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85,985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131E29"/>
              </w:rPr>
              <w:t>125,774</w:t>
            </w:r>
          </w:p>
        </w:tc>
      </w:tr>
      <w:tr>
        <w:trPr>
          <w:trHeight w:val="22"/>
        </w:trPr>
        <w:tc>
          <w:tcPr>
            <w:tcW w:w="726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D2DCE5"/>
            </w:tcBorders>
          </w:tcPr>
          <w:p>
            <w:pPr>
              <w:spacing w:after="0" w:line="20" w:lineRule="exact"/>
              <w:rPr>
                <w:sz w:val="1"/>
                <w:szCs w:val="1"/>
                <w:color w:val="auto"/>
              </w:rPr>
            </w:pPr>
          </w:p>
        </w:tc>
        <w:tc>
          <w:tcPr>
            <w:tcW w:w="60" w:type="dxa"/>
            <w:vAlign w:val="bottom"/>
            <w:tcBorders>
              <w:bottom w:val="single" w:sz="8" w:color="D2DCE5"/>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23"/>
        </w:trPr>
        <w:tc>
          <w:tcPr>
            <w:tcW w:w="734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Total</w:t>
            </w:r>
          </w:p>
        </w:tc>
        <w:tc>
          <w:tcPr>
            <w:tcW w:w="400" w:type="dxa"/>
            <w:vAlign w:val="bottom"/>
            <w:shd w:val="clear" w:color="auto" w:fill="D2DCE5"/>
          </w:tcPr>
          <w:p>
            <w:pPr>
              <w:jc w:val="right"/>
              <w:ind w:right="249"/>
              <w:spacing w:after="0"/>
              <w:rPr>
                <w:sz w:val="20"/>
                <w:szCs w:val="20"/>
                <w:color w:val="auto"/>
              </w:rPr>
            </w:pPr>
            <w:r>
              <w:rPr>
                <w:rFonts w:ascii="Arial" w:cs="Arial" w:eastAsia="Arial" w:hAnsi="Arial"/>
                <w:sz w:val="14"/>
                <w:szCs w:val="14"/>
                <w:color w:val="131E29"/>
                <w:w w:val="76"/>
              </w:rPr>
              <w:t>$</w:t>
            </w:r>
          </w:p>
        </w:tc>
        <w:tc>
          <w:tcPr>
            <w:tcW w:w="15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130,379</w:t>
            </w:r>
          </w:p>
        </w:tc>
        <w:tc>
          <w:tcPr>
            <w:tcW w:w="320" w:type="dxa"/>
            <w:vAlign w:val="bottom"/>
            <w:gridSpan w:val="4"/>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7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184,590</w:t>
            </w:r>
          </w:p>
        </w:tc>
      </w:tr>
      <w:tr>
        <w:trPr>
          <w:trHeight w:val="20"/>
        </w:trPr>
        <w:tc>
          <w:tcPr>
            <w:tcW w:w="726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D2DCE5"/>
            </w:tcBorders>
          </w:tcPr>
          <w:p>
            <w:pPr>
              <w:spacing w:after="0" w:line="20" w:lineRule="exact"/>
              <w:rPr>
                <w:sz w:val="1"/>
                <w:szCs w:val="1"/>
                <w:color w:val="auto"/>
              </w:rPr>
            </w:pPr>
          </w:p>
        </w:tc>
        <w:tc>
          <w:tcPr>
            <w:tcW w:w="60" w:type="dxa"/>
            <w:vAlign w:val="bottom"/>
            <w:tcBorders>
              <w:top w:val="single" w:sz="8" w:color="D2DCE5"/>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r>
        <w:trPr>
          <w:trHeight w:val="153"/>
        </w:trPr>
        <w:tc>
          <w:tcPr>
            <w:tcW w:w="7340" w:type="dxa"/>
            <w:vAlign w:val="bottom"/>
            <w:gridSpan w:val="2"/>
          </w:tcPr>
          <w:p>
            <w:pPr>
              <w:ind w:left="20"/>
              <w:spacing w:after="0" w:line="153" w:lineRule="exact"/>
              <w:rPr>
                <w:sz w:val="20"/>
                <w:szCs w:val="20"/>
                <w:color w:val="auto"/>
              </w:rPr>
            </w:pPr>
            <w:r>
              <w:rPr>
                <w:rFonts w:ascii="Arial" w:cs="Arial" w:eastAsia="Arial" w:hAnsi="Arial"/>
                <w:sz w:val="14"/>
                <w:szCs w:val="14"/>
                <w:color w:val="131E29"/>
              </w:rPr>
              <w:t>Less: imputed interest</w:t>
            </w:r>
          </w:p>
        </w:tc>
        <w:tc>
          <w:tcPr>
            <w:tcW w:w="400" w:type="dxa"/>
            <w:vAlign w:val="bottom"/>
          </w:tcPr>
          <w:p>
            <w:pPr>
              <w:spacing w:after="0"/>
              <w:rPr>
                <w:sz w:val="13"/>
                <w:szCs w:val="13"/>
                <w:color w:val="auto"/>
              </w:rPr>
            </w:pPr>
          </w:p>
        </w:tc>
        <w:tc>
          <w:tcPr>
            <w:tcW w:w="1520" w:type="dxa"/>
            <w:vAlign w:val="bottom"/>
          </w:tcPr>
          <w:p>
            <w:pPr>
              <w:jc w:val="right"/>
              <w:spacing w:after="0" w:line="153" w:lineRule="exact"/>
              <w:rPr>
                <w:sz w:val="20"/>
                <w:szCs w:val="20"/>
                <w:color w:val="auto"/>
              </w:rPr>
            </w:pPr>
            <w:r>
              <w:rPr>
                <w:rFonts w:ascii="Arial" w:cs="Arial" w:eastAsia="Arial" w:hAnsi="Arial"/>
                <w:sz w:val="14"/>
                <w:szCs w:val="14"/>
                <w:color w:val="131E29"/>
              </w:rPr>
              <w:t>(47,402)</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2"/>
        </w:trPr>
        <w:tc>
          <w:tcPr>
            <w:tcW w:w="726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D2DCE5"/>
            </w:tcBorders>
          </w:tcPr>
          <w:p>
            <w:pPr>
              <w:spacing w:after="0" w:line="20" w:lineRule="exact"/>
              <w:rPr>
                <w:sz w:val="1"/>
                <w:szCs w:val="1"/>
                <w:color w:val="auto"/>
              </w:rPr>
            </w:pPr>
          </w:p>
        </w:tc>
        <w:tc>
          <w:tcPr>
            <w:tcW w:w="60" w:type="dxa"/>
            <w:vAlign w:val="bottom"/>
            <w:tcBorders>
              <w:bottom w:val="single" w:sz="8" w:color="D2DCE5"/>
            </w:tcBorders>
          </w:tcPr>
          <w:p>
            <w:pPr>
              <w:spacing w:after="0" w:line="20" w:lineRule="exact"/>
              <w:rPr>
                <w:sz w:val="1"/>
                <w:szCs w:val="1"/>
                <w:color w:val="auto"/>
              </w:rPr>
            </w:pPr>
          </w:p>
        </w:tc>
        <w:tc>
          <w:tcPr>
            <w:tcW w:w="20" w:type="dxa"/>
            <w:vAlign w:val="bottom"/>
            <w:tcBorders>
              <w:bottom w:val="single" w:sz="8" w:color="D2DCE5"/>
            </w:tcBorders>
          </w:tcPr>
          <w:p>
            <w:pPr>
              <w:spacing w:after="0" w:line="20" w:lineRule="exact"/>
              <w:rPr>
                <w:sz w:val="1"/>
                <w:szCs w:val="1"/>
                <w:color w:val="auto"/>
              </w:rPr>
            </w:pPr>
          </w:p>
        </w:tc>
        <w:tc>
          <w:tcPr>
            <w:tcW w:w="200" w:type="dxa"/>
            <w:vAlign w:val="bottom"/>
            <w:tcBorders>
              <w:bottom w:val="single" w:sz="8" w:color="D2DCE5"/>
            </w:tcBorders>
          </w:tcPr>
          <w:p>
            <w:pPr>
              <w:spacing w:after="0" w:line="20" w:lineRule="exact"/>
              <w:rPr>
                <w:sz w:val="1"/>
                <w:szCs w:val="1"/>
                <w:color w:val="auto"/>
              </w:rPr>
            </w:pPr>
          </w:p>
        </w:tc>
        <w:tc>
          <w:tcPr>
            <w:tcW w:w="1700" w:type="dxa"/>
            <w:vAlign w:val="bottom"/>
            <w:tcBorders>
              <w:bottom w:val="single" w:sz="8" w:color="D2DCE5"/>
            </w:tcBorders>
          </w:tcPr>
          <w:p>
            <w:pPr>
              <w:spacing w:after="0" w:line="20" w:lineRule="exact"/>
              <w:rPr>
                <w:sz w:val="1"/>
                <w:szCs w:val="1"/>
                <w:color w:val="auto"/>
              </w:rPr>
            </w:pPr>
          </w:p>
        </w:tc>
      </w:tr>
      <w:tr>
        <w:trPr>
          <w:trHeight w:val="183"/>
        </w:trPr>
        <w:tc>
          <w:tcPr>
            <w:tcW w:w="734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Present value of minimum lease payments</w:t>
            </w:r>
          </w:p>
        </w:tc>
        <w:tc>
          <w:tcPr>
            <w:tcW w:w="400" w:type="dxa"/>
            <w:vAlign w:val="bottom"/>
            <w:tcBorders>
              <w:bottom w:val="single" w:sz="8" w:color="D2DCE5"/>
            </w:tcBorders>
            <w:shd w:val="clear" w:color="auto" w:fill="D2DCE5"/>
          </w:tcPr>
          <w:p>
            <w:pPr>
              <w:spacing w:after="0"/>
              <w:rPr>
                <w:sz w:val="15"/>
                <w:szCs w:val="15"/>
                <w:color w:val="auto"/>
              </w:rPr>
            </w:pPr>
          </w:p>
        </w:tc>
        <w:tc>
          <w:tcPr>
            <w:tcW w:w="15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82,977</w:t>
            </w:r>
          </w:p>
        </w:tc>
        <w:tc>
          <w:tcPr>
            <w:tcW w:w="40" w:type="dxa"/>
            <w:vAlign w:val="bottom"/>
            <w:tcBorders>
              <w:bottom w:val="single" w:sz="8" w:color="D2DCE5"/>
            </w:tcBorders>
            <w:shd w:val="clear" w:color="auto" w:fill="D2DCE5"/>
          </w:tcPr>
          <w:p>
            <w:pPr>
              <w:spacing w:after="0"/>
              <w:rPr>
                <w:sz w:val="15"/>
                <w:szCs w:val="15"/>
                <w:color w:val="auto"/>
              </w:rPr>
            </w:pPr>
          </w:p>
        </w:tc>
        <w:tc>
          <w:tcPr>
            <w:tcW w:w="60" w:type="dxa"/>
            <w:vAlign w:val="bottom"/>
            <w:tcBorders>
              <w:bottom w:val="single" w:sz="8" w:color="D2DCE5"/>
            </w:tcBorders>
            <w:shd w:val="clear" w:color="auto" w:fill="D2DCE5"/>
          </w:tcPr>
          <w:p>
            <w:pPr>
              <w:spacing w:after="0"/>
              <w:rPr>
                <w:sz w:val="15"/>
                <w:szCs w:val="15"/>
                <w:color w:val="auto"/>
              </w:rPr>
            </w:pPr>
          </w:p>
        </w:tc>
        <w:tc>
          <w:tcPr>
            <w:tcW w:w="20" w:type="dxa"/>
            <w:vAlign w:val="bottom"/>
            <w:tcBorders>
              <w:bottom w:val="single" w:sz="8" w:color="D2DCE5"/>
            </w:tcBorders>
            <w:shd w:val="clear" w:color="auto" w:fill="D2DCE5"/>
          </w:tcPr>
          <w:p>
            <w:pPr>
              <w:spacing w:after="0"/>
              <w:rPr>
                <w:sz w:val="15"/>
                <w:szCs w:val="15"/>
                <w:color w:val="auto"/>
              </w:rPr>
            </w:pPr>
          </w:p>
        </w:tc>
        <w:tc>
          <w:tcPr>
            <w:tcW w:w="200" w:type="dxa"/>
            <w:vAlign w:val="bottom"/>
            <w:tcBorders>
              <w:bottom w:val="single" w:sz="8" w:color="D2DCE5"/>
            </w:tcBorders>
            <w:shd w:val="clear" w:color="auto" w:fill="D2DCE5"/>
          </w:tcPr>
          <w:p>
            <w:pPr>
              <w:spacing w:after="0"/>
              <w:rPr>
                <w:sz w:val="15"/>
                <w:szCs w:val="15"/>
                <w:color w:val="auto"/>
              </w:rPr>
            </w:pPr>
          </w:p>
        </w:tc>
        <w:tc>
          <w:tcPr>
            <w:tcW w:w="1700" w:type="dxa"/>
            <w:vAlign w:val="bottom"/>
            <w:tcBorders>
              <w:bottom w:val="single" w:sz="8" w:color="D2DCE5"/>
            </w:tcBorders>
            <w:shd w:val="clear" w:color="auto" w:fill="D2DCE5"/>
          </w:tcPr>
          <w:p>
            <w:pPr>
              <w:spacing w:after="0"/>
              <w:rPr>
                <w:sz w:val="15"/>
                <w:szCs w:val="15"/>
                <w:color w:val="auto"/>
              </w:rPr>
            </w:pPr>
          </w:p>
        </w:tc>
      </w:tr>
      <w:tr>
        <w:trPr>
          <w:trHeight w:val="191"/>
        </w:trPr>
        <w:tc>
          <w:tcPr>
            <w:tcW w:w="7340" w:type="dxa"/>
            <w:vAlign w:val="bottom"/>
            <w:gridSpan w:val="2"/>
          </w:tcPr>
          <w:p>
            <w:pPr>
              <w:ind w:left="20"/>
              <w:spacing w:after="0"/>
              <w:rPr>
                <w:sz w:val="20"/>
                <w:szCs w:val="20"/>
                <w:color w:val="auto"/>
              </w:rPr>
            </w:pPr>
            <w:r>
              <w:rPr>
                <w:rFonts w:ascii="Arial" w:cs="Arial" w:eastAsia="Arial" w:hAnsi="Arial"/>
                <w:sz w:val="14"/>
                <w:szCs w:val="14"/>
                <w:color w:val="131E29"/>
              </w:rPr>
              <w:t>Less: current portion</w:t>
            </w:r>
          </w:p>
        </w:tc>
        <w:tc>
          <w:tcPr>
            <w:tcW w:w="4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131E29"/>
              </w:rPr>
              <w:t>(3,389)</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2"/>
        </w:trPr>
        <w:tc>
          <w:tcPr>
            <w:tcW w:w="726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D2DCE5"/>
            </w:tcBorders>
          </w:tcPr>
          <w:p>
            <w:pPr>
              <w:spacing w:after="0" w:line="20" w:lineRule="exact"/>
              <w:rPr>
                <w:sz w:val="1"/>
                <w:szCs w:val="1"/>
                <w:color w:val="auto"/>
              </w:rPr>
            </w:pPr>
          </w:p>
        </w:tc>
        <w:tc>
          <w:tcPr>
            <w:tcW w:w="60" w:type="dxa"/>
            <w:vAlign w:val="bottom"/>
            <w:tcBorders>
              <w:bottom w:val="single" w:sz="8" w:color="D2DCE5"/>
            </w:tcBorders>
          </w:tcPr>
          <w:p>
            <w:pPr>
              <w:spacing w:after="0" w:line="20" w:lineRule="exact"/>
              <w:rPr>
                <w:sz w:val="1"/>
                <w:szCs w:val="1"/>
                <w:color w:val="auto"/>
              </w:rPr>
            </w:pPr>
          </w:p>
        </w:tc>
        <w:tc>
          <w:tcPr>
            <w:tcW w:w="20" w:type="dxa"/>
            <w:vAlign w:val="bottom"/>
            <w:tcBorders>
              <w:bottom w:val="single" w:sz="8" w:color="D2DCE5"/>
            </w:tcBorders>
          </w:tcPr>
          <w:p>
            <w:pPr>
              <w:spacing w:after="0" w:line="20" w:lineRule="exact"/>
              <w:rPr>
                <w:sz w:val="1"/>
                <w:szCs w:val="1"/>
                <w:color w:val="auto"/>
              </w:rPr>
            </w:pPr>
          </w:p>
        </w:tc>
        <w:tc>
          <w:tcPr>
            <w:tcW w:w="200" w:type="dxa"/>
            <w:vAlign w:val="bottom"/>
            <w:tcBorders>
              <w:bottom w:val="single" w:sz="8" w:color="D2DCE5"/>
            </w:tcBorders>
          </w:tcPr>
          <w:p>
            <w:pPr>
              <w:spacing w:after="0" w:line="20" w:lineRule="exact"/>
              <w:rPr>
                <w:sz w:val="1"/>
                <w:szCs w:val="1"/>
                <w:color w:val="auto"/>
              </w:rPr>
            </w:pPr>
          </w:p>
        </w:tc>
        <w:tc>
          <w:tcPr>
            <w:tcW w:w="1700" w:type="dxa"/>
            <w:vAlign w:val="bottom"/>
            <w:tcBorders>
              <w:bottom w:val="single" w:sz="8" w:color="D2DCE5"/>
            </w:tcBorders>
          </w:tcPr>
          <w:p>
            <w:pPr>
              <w:spacing w:after="0" w:line="20" w:lineRule="exact"/>
              <w:rPr>
                <w:sz w:val="1"/>
                <w:szCs w:val="1"/>
                <w:color w:val="auto"/>
              </w:rPr>
            </w:pPr>
          </w:p>
        </w:tc>
      </w:tr>
      <w:tr>
        <w:trPr>
          <w:trHeight w:val="228"/>
        </w:trPr>
        <w:tc>
          <w:tcPr>
            <w:tcW w:w="734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Lease liabilities, net of current portion</w:t>
            </w:r>
          </w:p>
        </w:tc>
        <w:tc>
          <w:tcPr>
            <w:tcW w:w="400" w:type="dxa"/>
            <w:vAlign w:val="bottom"/>
            <w:tcBorders>
              <w:bottom w:val="single" w:sz="8" w:color="auto"/>
            </w:tcBorders>
            <w:shd w:val="clear" w:color="auto" w:fill="D2DCE5"/>
          </w:tcPr>
          <w:p>
            <w:pPr>
              <w:jc w:val="right"/>
              <w:ind w:right="249"/>
              <w:spacing w:after="0"/>
              <w:rPr>
                <w:sz w:val="20"/>
                <w:szCs w:val="20"/>
                <w:color w:val="auto"/>
              </w:rPr>
            </w:pPr>
            <w:r>
              <w:rPr>
                <w:rFonts w:ascii="Arial" w:cs="Arial" w:eastAsia="Arial" w:hAnsi="Arial"/>
                <w:sz w:val="14"/>
                <w:szCs w:val="14"/>
                <w:color w:val="131E29"/>
                <w:w w:val="76"/>
              </w:rPr>
              <w:t>$</w:t>
            </w:r>
          </w:p>
        </w:tc>
        <w:tc>
          <w:tcPr>
            <w:tcW w:w="15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79,588</w:t>
            </w:r>
          </w:p>
        </w:tc>
        <w:tc>
          <w:tcPr>
            <w:tcW w:w="40" w:type="dxa"/>
            <w:vAlign w:val="bottom"/>
            <w:tcBorders>
              <w:bottom w:val="single" w:sz="8" w:color="D2DCE5"/>
            </w:tcBorders>
            <w:shd w:val="clear" w:color="auto" w:fill="D2DCE5"/>
          </w:tcPr>
          <w:p>
            <w:pPr>
              <w:spacing w:after="0"/>
              <w:rPr>
                <w:sz w:val="19"/>
                <w:szCs w:val="19"/>
                <w:color w:val="auto"/>
              </w:rPr>
            </w:pPr>
          </w:p>
        </w:tc>
        <w:tc>
          <w:tcPr>
            <w:tcW w:w="60" w:type="dxa"/>
            <w:vAlign w:val="bottom"/>
            <w:tcBorders>
              <w:bottom w:val="single" w:sz="8" w:color="D2DCE5"/>
            </w:tcBorders>
            <w:shd w:val="clear" w:color="auto" w:fill="D2DCE5"/>
          </w:tcPr>
          <w:p>
            <w:pPr>
              <w:spacing w:after="0"/>
              <w:rPr>
                <w:sz w:val="19"/>
                <w:szCs w:val="19"/>
                <w:color w:val="auto"/>
              </w:rPr>
            </w:pPr>
          </w:p>
        </w:tc>
        <w:tc>
          <w:tcPr>
            <w:tcW w:w="20" w:type="dxa"/>
            <w:vAlign w:val="bottom"/>
            <w:tcBorders>
              <w:bottom w:val="single" w:sz="8" w:color="D2DCE5"/>
            </w:tcBorders>
            <w:shd w:val="clear" w:color="auto" w:fill="D2DCE5"/>
          </w:tcPr>
          <w:p>
            <w:pPr>
              <w:spacing w:after="0"/>
              <w:rPr>
                <w:sz w:val="19"/>
                <w:szCs w:val="19"/>
                <w:color w:val="auto"/>
              </w:rPr>
            </w:pPr>
          </w:p>
        </w:tc>
        <w:tc>
          <w:tcPr>
            <w:tcW w:w="200" w:type="dxa"/>
            <w:vAlign w:val="bottom"/>
            <w:tcBorders>
              <w:bottom w:val="single" w:sz="8" w:color="D2DCE5"/>
            </w:tcBorders>
            <w:shd w:val="clear" w:color="auto" w:fill="D2DCE5"/>
          </w:tcPr>
          <w:p>
            <w:pPr>
              <w:spacing w:after="0"/>
              <w:rPr>
                <w:sz w:val="19"/>
                <w:szCs w:val="19"/>
                <w:color w:val="auto"/>
              </w:rPr>
            </w:pPr>
          </w:p>
        </w:tc>
        <w:tc>
          <w:tcPr>
            <w:tcW w:w="1700" w:type="dxa"/>
            <w:vAlign w:val="bottom"/>
            <w:tcBorders>
              <w:bottom w:val="single" w:sz="8" w:color="D2DCE5"/>
            </w:tcBorders>
            <w:shd w:val="clear" w:color="auto" w:fill="D2DCE5"/>
          </w:tcPr>
          <w:p>
            <w:pPr>
              <w:spacing w:after="0"/>
              <w:rPr>
                <w:sz w:val="19"/>
                <w:szCs w:val="19"/>
                <w:color w:val="auto"/>
              </w:rPr>
            </w:pPr>
          </w:p>
        </w:tc>
      </w:tr>
      <w:tr>
        <w:trPr>
          <w:trHeight w:val="20"/>
        </w:trPr>
        <w:tc>
          <w:tcPr>
            <w:tcW w:w="726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400" w:type="dxa"/>
            <w:vAlign w:val="bottom"/>
            <w:tcBorders>
              <w:top w:val="single" w:sz="8" w:color="D2DCE5"/>
              <w:bottom w:val="single" w:sz="8" w:color="auto"/>
            </w:tcBorders>
          </w:tcPr>
          <w:p>
            <w:pPr>
              <w:spacing w:after="0" w:line="20" w:lineRule="exact"/>
              <w:rPr>
                <w:sz w:val="1"/>
                <w:szCs w:val="1"/>
                <w:color w:val="auto"/>
              </w:rPr>
            </w:pPr>
          </w:p>
        </w:tc>
        <w:tc>
          <w:tcPr>
            <w:tcW w:w="1520" w:type="dxa"/>
            <w:vAlign w:val="bottom"/>
            <w:tcBorders>
              <w:top w:val="single" w:sz="8" w:color="D2DCE5"/>
              <w:bottom w:val="single" w:sz="8" w:color="auto"/>
            </w:tcBorders>
          </w:tcPr>
          <w:p>
            <w:pPr>
              <w:spacing w:after="0" w:line="20" w:lineRule="exact"/>
              <w:rPr>
                <w:sz w:val="1"/>
                <w:szCs w:val="1"/>
                <w:color w:val="auto"/>
              </w:rPr>
            </w:pPr>
          </w:p>
        </w:tc>
        <w:tc>
          <w:tcPr>
            <w:tcW w:w="40" w:type="dxa"/>
            <w:vAlign w:val="bottom"/>
            <w:tcBorders>
              <w:top w:val="single" w:sz="8" w:color="D2DCE5"/>
            </w:tcBorders>
          </w:tcPr>
          <w:p>
            <w:pPr>
              <w:spacing w:after="0" w:line="20" w:lineRule="exact"/>
              <w:rPr>
                <w:sz w:val="1"/>
                <w:szCs w:val="1"/>
                <w:color w:val="auto"/>
              </w:rPr>
            </w:pPr>
          </w:p>
        </w:tc>
        <w:tc>
          <w:tcPr>
            <w:tcW w:w="60" w:type="dxa"/>
            <w:vAlign w:val="bottom"/>
            <w:tcBorders>
              <w:top w:val="single" w:sz="8" w:color="D2DCE5"/>
            </w:tcBorders>
          </w:tcPr>
          <w:p>
            <w:pPr>
              <w:spacing w:after="0" w:line="20" w:lineRule="exact"/>
              <w:rPr>
                <w:sz w:val="1"/>
                <w:szCs w:val="1"/>
                <w:color w:val="auto"/>
              </w:rPr>
            </w:pPr>
          </w:p>
        </w:tc>
        <w:tc>
          <w:tcPr>
            <w:tcW w:w="20" w:type="dxa"/>
            <w:vAlign w:val="bottom"/>
            <w:tcBorders>
              <w:top w:val="single" w:sz="8" w:color="D2DCE5"/>
            </w:tcBorders>
          </w:tcPr>
          <w:p>
            <w:pPr>
              <w:spacing w:after="0" w:line="20" w:lineRule="exact"/>
              <w:rPr>
                <w:sz w:val="1"/>
                <w:szCs w:val="1"/>
                <w:color w:val="auto"/>
              </w:rPr>
            </w:pPr>
          </w:p>
        </w:tc>
        <w:tc>
          <w:tcPr>
            <w:tcW w:w="200" w:type="dxa"/>
            <w:vAlign w:val="bottom"/>
            <w:tcBorders>
              <w:top w:val="single" w:sz="8" w:color="D2DCE5"/>
            </w:tcBorders>
          </w:tcPr>
          <w:p>
            <w:pPr>
              <w:spacing w:after="0" w:line="20" w:lineRule="exact"/>
              <w:rPr>
                <w:sz w:val="1"/>
                <w:szCs w:val="1"/>
                <w:color w:val="auto"/>
              </w:rPr>
            </w:pPr>
          </w:p>
        </w:tc>
        <w:tc>
          <w:tcPr>
            <w:tcW w:w="1700" w:type="dxa"/>
            <w:vAlign w:val="bottom"/>
            <w:tcBorders>
              <w:top w:val="single" w:sz="8" w:color="D2DCE5"/>
            </w:tcBorders>
          </w:tcPr>
          <w:p>
            <w:pPr>
              <w:spacing w:after="0" w:line="20" w:lineRule="exact"/>
              <w:rPr>
                <w:sz w:val="1"/>
                <w:szCs w:val="1"/>
                <w:color w:val="auto"/>
              </w:rPr>
            </w:pPr>
          </w:p>
        </w:tc>
      </w:tr>
      <w:tr>
        <w:trPr>
          <w:trHeight w:val="323"/>
        </w:trPr>
        <w:tc>
          <w:tcPr>
            <w:tcW w:w="7740" w:type="dxa"/>
            <w:vAlign w:val="bottom"/>
            <w:gridSpan w:val="3"/>
          </w:tcPr>
          <w:p>
            <w:pPr>
              <w:spacing w:after="0"/>
              <w:rPr>
                <w:sz w:val="20"/>
                <w:szCs w:val="20"/>
                <w:color w:val="auto"/>
              </w:rPr>
            </w:pPr>
            <w:r>
              <w:rPr>
                <w:rFonts w:ascii="Arial" w:cs="Arial" w:eastAsia="Arial" w:hAnsi="Arial"/>
                <w:sz w:val="14"/>
                <w:szCs w:val="14"/>
                <w:color w:val="131E29"/>
              </w:rPr>
              <w:t>A summary of lease terms and discount rates for finance and operating leases as of December 31, 2022 is as follows:</w:t>
            </w: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40"/>
        </w:trPr>
        <w:tc>
          <w:tcPr>
            <w:tcW w:w="7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jc w:val="right"/>
              <w:ind w:right="229"/>
              <w:spacing w:after="0"/>
              <w:rPr>
                <w:sz w:val="20"/>
                <w:szCs w:val="20"/>
                <w:color w:val="auto"/>
              </w:rPr>
            </w:pPr>
            <w:r>
              <w:rPr>
                <w:rFonts w:ascii="Arial" w:cs="Arial" w:eastAsia="Arial" w:hAnsi="Arial"/>
                <w:sz w:val="14"/>
                <w:szCs w:val="14"/>
                <w:b w:val="1"/>
                <w:bCs w:val="1"/>
                <w:color w:val="131E29"/>
              </w:rPr>
              <w:t>December 31, 2022</w:t>
            </w:r>
          </w:p>
        </w:tc>
      </w:tr>
      <w:tr>
        <w:trPr>
          <w:trHeight w:val="22"/>
        </w:trPr>
        <w:tc>
          <w:tcPr>
            <w:tcW w:w="7340" w:type="dxa"/>
            <w:vAlign w:val="bottom"/>
            <w:tcBorders>
              <w:bottom w:val="single" w:sz="8" w:color="131E29"/>
            </w:tcBorders>
            <w:gridSpan w:val="2"/>
          </w:tcPr>
          <w:p>
            <w:pPr>
              <w:spacing w:after="0" w:line="20" w:lineRule="exact"/>
              <w:rPr>
                <w:sz w:val="1"/>
                <w:szCs w:val="1"/>
                <w:color w:val="auto"/>
              </w:rPr>
            </w:pPr>
          </w:p>
        </w:tc>
        <w:tc>
          <w:tcPr>
            <w:tcW w:w="400" w:type="dxa"/>
            <w:vAlign w:val="bottom"/>
            <w:tcBorders>
              <w:bottom w:val="single" w:sz="8" w:color="131E29"/>
            </w:tcBorders>
          </w:tcPr>
          <w:p>
            <w:pPr>
              <w:spacing w:after="0" w:line="20" w:lineRule="exact"/>
              <w:rPr>
                <w:sz w:val="1"/>
                <w:szCs w:val="1"/>
                <w:color w:val="auto"/>
              </w:rPr>
            </w:pPr>
          </w:p>
        </w:tc>
        <w:tc>
          <w:tcPr>
            <w:tcW w:w="1520" w:type="dxa"/>
            <w:vAlign w:val="bottom"/>
            <w:tcBorders>
              <w:bottom w:val="single" w:sz="8" w:color="131E29"/>
            </w:tcBorders>
          </w:tcPr>
          <w:p>
            <w:pPr>
              <w:spacing w:after="0" w:line="20" w:lineRule="exact"/>
              <w:rPr>
                <w:sz w:val="1"/>
                <w:szCs w:val="1"/>
                <w:color w:val="auto"/>
              </w:rPr>
            </w:pPr>
          </w:p>
        </w:tc>
        <w:tc>
          <w:tcPr>
            <w:tcW w:w="40" w:type="dxa"/>
            <w:vAlign w:val="bottom"/>
            <w:tcBorders>
              <w:bottom w:val="single" w:sz="8" w:color="131E29"/>
            </w:tcBorders>
          </w:tcPr>
          <w:p>
            <w:pPr>
              <w:spacing w:after="0" w:line="20" w:lineRule="exact"/>
              <w:rPr>
                <w:sz w:val="1"/>
                <w:szCs w:val="1"/>
                <w:color w:val="auto"/>
              </w:rPr>
            </w:pPr>
          </w:p>
        </w:tc>
        <w:tc>
          <w:tcPr>
            <w:tcW w:w="60" w:type="dxa"/>
            <w:vAlign w:val="bottom"/>
            <w:tcBorders>
              <w:bottom w:val="single" w:sz="8" w:color="D2DCE5"/>
            </w:tcBorders>
          </w:tcPr>
          <w:p>
            <w:pPr>
              <w:spacing w:after="0" w:line="20" w:lineRule="exact"/>
              <w:rPr>
                <w:sz w:val="1"/>
                <w:szCs w:val="1"/>
                <w:color w:val="auto"/>
              </w:rPr>
            </w:pPr>
          </w:p>
        </w:tc>
        <w:tc>
          <w:tcPr>
            <w:tcW w:w="20" w:type="dxa"/>
            <w:vAlign w:val="bottom"/>
            <w:tcBorders>
              <w:bottom w:val="single" w:sz="8" w:color="D2DCE5"/>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83"/>
        </w:trPr>
        <w:tc>
          <w:tcPr>
            <w:tcW w:w="73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Weighted-average remaining lease term (years)</w:t>
            </w:r>
          </w:p>
        </w:tc>
        <w:tc>
          <w:tcPr>
            <w:tcW w:w="400" w:type="dxa"/>
            <w:vAlign w:val="bottom"/>
            <w:tcBorders>
              <w:bottom w:val="single" w:sz="8" w:color="D2DCE5"/>
            </w:tcBorders>
            <w:shd w:val="clear" w:color="auto" w:fill="D2DCE5"/>
          </w:tcPr>
          <w:p>
            <w:pPr>
              <w:spacing w:after="0"/>
              <w:rPr>
                <w:sz w:val="15"/>
                <w:szCs w:val="15"/>
                <w:color w:val="auto"/>
              </w:rPr>
            </w:pPr>
          </w:p>
        </w:tc>
        <w:tc>
          <w:tcPr>
            <w:tcW w:w="1520" w:type="dxa"/>
            <w:vAlign w:val="bottom"/>
            <w:tcBorders>
              <w:bottom w:val="single" w:sz="8" w:color="D2DCE5"/>
            </w:tcBorders>
            <w:shd w:val="clear" w:color="auto" w:fill="D2DCE5"/>
          </w:tcPr>
          <w:p>
            <w:pPr>
              <w:spacing w:after="0"/>
              <w:rPr>
                <w:sz w:val="15"/>
                <w:szCs w:val="15"/>
                <w:color w:val="auto"/>
              </w:rPr>
            </w:pPr>
          </w:p>
        </w:tc>
        <w:tc>
          <w:tcPr>
            <w:tcW w:w="40" w:type="dxa"/>
            <w:vAlign w:val="bottom"/>
            <w:tcBorders>
              <w:bottom w:val="single" w:sz="8" w:color="D2DCE5"/>
            </w:tcBorders>
            <w:shd w:val="clear" w:color="auto" w:fill="D2DCE5"/>
          </w:tcPr>
          <w:p>
            <w:pPr>
              <w:spacing w:after="0"/>
              <w:rPr>
                <w:sz w:val="15"/>
                <w:szCs w:val="15"/>
                <w:color w:val="auto"/>
              </w:rPr>
            </w:pPr>
          </w:p>
        </w:tc>
        <w:tc>
          <w:tcPr>
            <w:tcW w:w="60" w:type="dxa"/>
            <w:vAlign w:val="bottom"/>
            <w:tcBorders>
              <w:bottom w:val="single" w:sz="8" w:color="D2DCE5"/>
            </w:tcBorders>
            <w:shd w:val="clear" w:color="auto" w:fill="D2DCE5"/>
          </w:tcPr>
          <w:p>
            <w:pPr>
              <w:spacing w:after="0"/>
              <w:rPr>
                <w:sz w:val="15"/>
                <w:szCs w:val="15"/>
                <w:color w:val="auto"/>
              </w:rPr>
            </w:pPr>
          </w:p>
        </w:tc>
        <w:tc>
          <w:tcPr>
            <w:tcW w:w="20" w:type="dxa"/>
            <w:vAlign w:val="bottom"/>
            <w:tcBorders>
              <w:bottom w:val="single" w:sz="8" w:color="D2DCE5"/>
            </w:tcBorders>
            <w:shd w:val="clear" w:color="auto" w:fill="D2DCE5"/>
          </w:tcPr>
          <w:p>
            <w:pPr>
              <w:spacing w:after="0"/>
              <w:rPr>
                <w:sz w:val="15"/>
                <w:szCs w:val="15"/>
                <w:color w:val="auto"/>
              </w:rPr>
            </w:pPr>
          </w:p>
        </w:tc>
        <w:tc>
          <w:tcPr>
            <w:tcW w:w="200" w:type="dxa"/>
            <w:vAlign w:val="bottom"/>
            <w:tcBorders>
              <w:bottom w:val="single" w:sz="8" w:color="D2DCE5"/>
            </w:tcBorders>
            <w:shd w:val="clear" w:color="auto" w:fill="D2DCE5"/>
          </w:tcPr>
          <w:p>
            <w:pPr>
              <w:spacing w:after="0"/>
              <w:rPr>
                <w:sz w:val="15"/>
                <w:szCs w:val="15"/>
                <w:color w:val="auto"/>
              </w:rPr>
            </w:pPr>
          </w:p>
        </w:tc>
        <w:tc>
          <w:tcPr>
            <w:tcW w:w="1700" w:type="dxa"/>
            <w:vAlign w:val="bottom"/>
            <w:tcBorders>
              <w:bottom w:val="single" w:sz="8" w:color="D2DCE5"/>
            </w:tcBorders>
            <w:shd w:val="clear" w:color="auto" w:fill="D2DCE5"/>
          </w:tcPr>
          <w:p>
            <w:pPr>
              <w:spacing w:after="0"/>
              <w:rPr>
                <w:sz w:val="15"/>
                <w:szCs w:val="15"/>
                <w:color w:val="auto"/>
              </w:rPr>
            </w:pPr>
          </w:p>
        </w:tc>
      </w:tr>
      <w:tr>
        <w:trPr>
          <w:trHeight w:val="191"/>
        </w:trPr>
        <w:tc>
          <w:tcPr>
            <w:tcW w:w="7340" w:type="dxa"/>
            <w:vAlign w:val="bottom"/>
            <w:gridSpan w:val="2"/>
          </w:tcPr>
          <w:p>
            <w:pPr>
              <w:ind w:left="140"/>
              <w:spacing w:after="0"/>
              <w:rPr>
                <w:sz w:val="20"/>
                <w:szCs w:val="20"/>
                <w:color w:val="auto"/>
              </w:rPr>
            </w:pPr>
            <w:r>
              <w:rPr>
                <w:rFonts w:ascii="Arial" w:cs="Arial" w:eastAsia="Arial" w:hAnsi="Arial"/>
                <w:sz w:val="14"/>
                <w:szCs w:val="14"/>
                <w:color w:val="131E29"/>
              </w:rPr>
              <w:t>Finance leases</w:t>
            </w:r>
          </w:p>
        </w:tc>
        <w:tc>
          <w:tcPr>
            <w:tcW w:w="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jc w:val="center"/>
              <w:ind w:right="109"/>
              <w:spacing w:after="0"/>
              <w:rPr>
                <w:sz w:val="20"/>
                <w:szCs w:val="20"/>
                <w:color w:val="auto"/>
              </w:rPr>
            </w:pPr>
            <w:r>
              <w:rPr>
                <w:rFonts w:ascii="Arial" w:cs="Arial" w:eastAsia="Arial" w:hAnsi="Arial"/>
                <w:sz w:val="14"/>
                <w:szCs w:val="14"/>
                <w:color w:val="131E29"/>
              </w:rPr>
              <w:t>16.1</w:t>
            </w:r>
          </w:p>
        </w:tc>
      </w:tr>
      <w:tr>
        <w:trPr>
          <w:trHeight w:val="22"/>
        </w:trPr>
        <w:tc>
          <w:tcPr>
            <w:tcW w:w="7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2"/>
        </w:trPr>
        <w:tc>
          <w:tcPr>
            <w:tcW w:w="734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Operating leases</w:t>
            </w:r>
          </w:p>
        </w:tc>
        <w:tc>
          <w:tcPr>
            <w:tcW w:w="400" w:type="dxa"/>
            <w:vAlign w:val="bottom"/>
            <w:tcBorders>
              <w:bottom w:val="single" w:sz="8" w:color="D2DCE5"/>
            </w:tcBorders>
            <w:shd w:val="clear" w:color="auto" w:fill="D2DCE5"/>
          </w:tcPr>
          <w:p>
            <w:pPr>
              <w:spacing w:after="0"/>
              <w:rPr>
                <w:sz w:val="16"/>
                <w:szCs w:val="16"/>
                <w:color w:val="auto"/>
              </w:rPr>
            </w:pPr>
          </w:p>
        </w:tc>
        <w:tc>
          <w:tcPr>
            <w:tcW w:w="1520" w:type="dxa"/>
            <w:vAlign w:val="bottom"/>
            <w:tcBorders>
              <w:bottom w:val="single" w:sz="8" w:color="D2DCE5"/>
            </w:tcBorders>
            <w:shd w:val="clear" w:color="auto" w:fill="D2DCE5"/>
          </w:tcPr>
          <w:p>
            <w:pPr>
              <w:spacing w:after="0"/>
              <w:rPr>
                <w:sz w:val="16"/>
                <w:szCs w:val="16"/>
                <w:color w:val="auto"/>
              </w:rPr>
            </w:pPr>
          </w:p>
        </w:tc>
        <w:tc>
          <w:tcPr>
            <w:tcW w:w="40" w:type="dxa"/>
            <w:vAlign w:val="bottom"/>
            <w:tcBorders>
              <w:bottom w:val="single" w:sz="8" w:color="D2DCE5"/>
            </w:tcBorders>
            <w:shd w:val="clear" w:color="auto" w:fill="D2DCE5"/>
          </w:tcPr>
          <w:p>
            <w:pPr>
              <w:spacing w:after="0"/>
              <w:rPr>
                <w:sz w:val="16"/>
                <w:szCs w:val="16"/>
                <w:color w:val="auto"/>
              </w:rPr>
            </w:pPr>
          </w:p>
        </w:tc>
        <w:tc>
          <w:tcPr>
            <w:tcW w:w="60" w:type="dxa"/>
            <w:vAlign w:val="bottom"/>
            <w:tcBorders>
              <w:bottom w:val="single" w:sz="8" w:color="D2DCE5"/>
            </w:tcBorders>
            <w:shd w:val="clear" w:color="auto" w:fill="D2DCE5"/>
          </w:tcPr>
          <w:p>
            <w:pPr>
              <w:spacing w:after="0"/>
              <w:rPr>
                <w:sz w:val="16"/>
                <w:szCs w:val="16"/>
                <w:color w:val="auto"/>
              </w:rPr>
            </w:pPr>
          </w:p>
        </w:tc>
        <w:tc>
          <w:tcPr>
            <w:tcW w:w="20" w:type="dxa"/>
            <w:vAlign w:val="bottom"/>
            <w:tcBorders>
              <w:bottom w:val="single" w:sz="8" w:color="D2DCE5"/>
            </w:tcBorders>
            <w:shd w:val="clear" w:color="auto" w:fill="D2DCE5"/>
          </w:tcPr>
          <w:p>
            <w:pPr>
              <w:spacing w:after="0"/>
              <w:rPr>
                <w:sz w:val="16"/>
                <w:szCs w:val="16"/>
                <w:color w:val="auto"/>
              </w:rPr>
            </w:pPr>
          </w:p>
        </w:tc>
        <w:tc>
          <w:tcPr>
            <w:tcW w:w="200" w:type="dxa"/>
            <w:vAlign w:val="bottom"/>
            <w:tcBorders>
              <w:bottom w:val="single" w:sz="8" w:color="D2DCE5"/>
            </w:tcBorders>
            <w:shd w:val="clear" w:color="auto" w:fill="D2DCE5"/>
          </w:tcPr>
          <w:p>
            <w:pPr>
              <w:spacing w:after="0"/>
              <w:rPr>
                <w:sz w:val="16"/>
                <w:szCs w:val="16"/>
                <w:color w:val="auto"/>
              </w:rPr>
            </w:pPr>
          </w:p>
        </w:tc>
        <w:tc>
          <w:tcPr>
            <w:tcW w:w="1700" w:type="dxa"/>
            <w:vAlign w:val="bottom"/>
            <w:tcBorders>
              <w:bottom w:val="single" w:sz="8" w:color="D2DCE5"/>
            </w:tcBorders>
            <w:shd w:val="clear" w:color="auto" w:fill="D2DCE5"/>
          </w:tcPr>
          <w:p>
            <w:pPr>
              <w:jc w:val="center"/>
              <w:ind w:right="109"/>
              <w:spacing w:after="0"/>
              <w:rPr>
                <w:sz w:val="20"/>
                <w:szCs w:val="20"/>
                <w:color w:val="auto"/>
              </w:rPr>
            </w:pPr>
            <w:r>
              <w:rPr>
                <w:rFonts w:ascii="Arial" w:cs="Arial" w:eastAsia="Arial" w:hAnsi="Arial"/>
                <w:sz w:val="14"/>
                <w:szCs w:val="14"/>
                <w:color w:val="131E29"/>
              </w:rPr>
              <w:t>14.9</w:t>
            </w:r>
          </w:p>
        </w:tc>
      </w:tr>
      <w:tr>
        <w:trPr>
          <w:trHeight w:val="212"/>
        </w:trPr>
        <w:tc>
          <w:tcPr>
            <w:tcW w:w="734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192"/>
        </w:trPr>
        <w:tc>
          <w:tcPr>
            <w:tcW w:w="73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Weighted-average discount rate (percentages)</w:t>
            </w:r>
          </w:p>
        </w:tc>
        <w:tc>
          <w:tcPr>
            <w:tcW w:w="400" w:type="dxa"/>
            <w:vAlign w:val="bottom"/>
            <w:tcBorders>
              <w:bottom w:val="single" w:sz="8" w:color="D2DCE5"/>
            </w:tcBorders>
            <w:shd w:val="clear" w:color="auto" w:fill="D2DCE5"/>
          </w:tcPr>
          <w:p>
            <w:pPr>
              <w:spacing w:after="0"/>
              <w:rPr>
                <w:sz w:val="16"/>
                <w:szCs w:val="16"/>
                <w:color w:val="auto"/>
              </w:rPr>
            </w:pPr>
          </w:p>
        </w:tc>
        <w:tc>
          <w:tcPr>
            <w:tcW w:w="1520" w:type="dxa"/>
            <w:vAlign w:val="bottom"/>
            <w:tcBorders>
              <w:bottom w:val="single" w:sz="8" w:color="D2DCE5"/>
            </w:tcBorders>
            <w:shd w:val="clear" w:color="auto" w:fill="D2DCE5"/>
          </w:tcPr>
          <w:p>
            <w:pPr>
              <w:spacing w:after="0"/>
              <w:rPr>
                <w:sz w:val="16"/>
                <w:szCs w:val="16"/>
                <w:color w:val="auto"/>
              </w:rPr>
            </w:pPr>
          </w:p>
        </w:tc>
        <w:tc>
          <w:tcPr>
            <w:tcW w:w="40" w:type="dxa"/>
            <w:vAlign w:val="bottom"/>
            <w:tcBorders>
              <w:bottom w:val="single" w:sz="8" w:color="D2DCE5"/>
            </w:tcBorders>
            <w:shd w:val="clear" w:color="auto" w:fill="D2DCE5"/>
          </w:tcPr>
          <w:p>
            <w:pPr>
              <w:spacing w:after="0"/>
              <w:rPr>
                <w:sz w:val="16"/>
                <w:szCs w:val="16"/>
                <w:color w:val="auto"/>
              </w:rPr>
            </w:pPr>
          </w:p>
        </w:tc>
        <w:tc>
          <w:tcPr>
            <w:tcW w:w="60" w:type="dxa"/>
            <w:vAlign w:val="bottom"/>
            <w:tcBorders>
              <w:bottom w:val="single" w:sz="8" w:color="D2DCE5"/>
            </w:tcBorders>
            <w:shd w:val="clear" w:color="auto" w:fill="D2DCE5"/>
          </w:tcPr>
          <w:p>
            <w:pPr>
              <w:spacing w:after="0"/>
              <w:rPr>
                <w:sz w:val="16"/>
                <w:szCs w:val="16"/>
                <w:color w:val="auto"/>
              </w:rPr>
            </w:pPr>
          </w:p>
        </w:tc>
        <w:tc>
          <w:tcPr>
            <w:tcW w:w="20" w:type="dxa"/>
            <w:vAlign w:val="bottom"/>
            <w:tcBorders>
              <w:bottom w:val="single" w:sz="8" w:color="D2DCE5"/>
            </w:tcBorders>
            <w:shd w:val="clear" w:color="auto" w:fill="D2DCE5"/>
          </w:tcPr>
          <w:p>
            <w:pPr>
              <w:spacing w:after="0"/>
              <w:rPr>
                <w:sz w:val="16"/>
                <w:szCs w:val="16"/>
                <w:color w:val="auto"/>
              </w:rPr>
            </w:pPr>
          </w:p>
        </w:tc>
        <w:tc>
          <w:tcPr>
            <w:tcW w:w="200" w:type="dxa"/>
            <w:vAlign w:val="bottom"/>
            <w:tcBorders>
              <w:bottom w:val="single" w:sz="8" w:color="D2DCE5"/>
            </w:tcBorders>
            <w:shd w:val="clear" w:color="auto" w:fill="D2DCE5"/>
          </w:tcPr>
          <w:p>
            <w:pPr>
              <w:spacing w:after="0"/>
              <w:rPr>
                <w:sz w:val="16"/>
                <w:szCs w:val="16"/>
                <w:color w:val="auto"/>
              </w:rPr>
            </w:pPr>
          </w:p>
        </w:tc>
        <w:tc>
          <w:tcPr>
            <w:tcW w:w="1700" w:type="dxa"/>
            <w:vAlign w:val="bottom"/>
            <w:tcBorders>
              <w:bottom w:val="single" w:sz="8" w:color="D2DCE5"/>
            </w:tcBorders>
            <w:shd w:val="clear" w:color="auto" w:fill="D2DCE5"/>
          </w:tcPr>
          <w:p>
            <w:pPr>
              <w:spacing w:after="0"/>
              <w:rPr>
                <w:sz w:val="16"/>
                <w:szCs w:val="16"/>
                <w:color w:val="auto"/>
              </w:rPr>
            </w:pPr>
          </w:p>
        </w:tc>
      </w:tr>
      <w:tr>
        <w:trPr>
          <w:trHeight w:val="191"/>
        </w:trPr>
        <w:tc>
          <w:tcPr>
            <w:tcW w:w="7340" w:type="dxa"/>
            <w:vAlign w:val="bottom"/>
            <w:gridSpan w:val="2"/>
          </w:tcPr>
          <w:p>
            <w:pPr>
              <w:ind w:left="140"/>
              <w:spacing w:after="0"/>
              <w:rPr>
                <w:sz w:val="20"/>
                <w:szCs w:val="20"/>
                <w:color w:val="auto"/>
              </w:rPr>
            </w:pPr>
            <w:r>
              <w:rPr>
                <w:rFonts w:ascii="Arial" w:cs="Arial" w:eastAsia="Arial" w:hAnsi="Arial"/>
                <w:sz w:val="14"/>
                <w:szCs w:val="14"/>
                <w:color w:val="131E29"/>
              </w:rPr>
              <w:t>Finance leases</w:t>
            </w:r>
          </w:p>
        </w:tc>
        <w:tc>
          <w:tcPr>
            <w:tcW w:w="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jc w:val="center"/>
              <w:ind w:right="109"/>
              <w:spacing w:after="0"/>
              <w:rPr>
                <w:sz w:val="20"/>
                <w:szCs w:val="20"/>
                <w:color w:val="auto"/>
              </w:rPr>
            </w:pPr>
            <w:r>
              <w:rPr>
                <w:rFonts w:ascii="Arial" w:cs="Arial" w:eastAsia="Arial" w:hAnsi="Arial"/>
                <w:sz w:val="14"/>
                <w:szCs w:val="14"/>
                <w:color w:val="131E29"/>
              </w:rPr>
              <w:t>5.3%</w:t>
            </w:r>
          </w:p>
        </w:tc>
      </w:tr>
      <w:tr>
        <w:trPr>
          <w:trHeight w:val="22"/>
        </w:trPr>
        <w:tc>
          <w:tcPr>
            <w:tcW w:w="7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1"/>
        </w:trPr>
        <w:tc>
          <w:tcPr>
            <w:tcW w:w="734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Operating leases</w:t>
            </w:r>
          </w:p>
        </w:tc>
        <w:tc>
          <w:tcPr>
            <w:tcW w:w="400" w:type="dxa"/>
            <w:vAlign w:val="bottom"/>
            <w:shd w:val="clear" w:color="auto" w:fill="D2DCE5"/>
          </w:tcPr>
          <w:p>
            <w:pPr>
              <w:spacing w:after="0"/>
              <w:rPr>
                <w:sz w:val="16"/>
                <w:szCs w:val="16"/>
                <w:color w:val="auto"/>
              </w:rPr>
            </w:pPr>
          </w:p>
        </w:tc>
        <w:tc>
          <w:tcPr>
            <w:tcW w:w="1520" w:type="dxa"/>
            <w:vAlign w:val="bottom"/>
            <w:shd w:val="clear" w:color="auto" w:fill="D2DCE5"/>
          </w:tcPr>
          <w:p>
            <w:pPr>
              <w:spacing w:after="0"/>
              <w:rPr>
                <w:sz w:val="16"/>
                <w:szCs w:val="16"/>
                <w:color w:val="auto"/>
              </w:rPr>
            </w:pPr>
          </w:p>
        </w:tc>
        <w:tc>
          <w:tcPr>
            <w:tcW w:w="40" w:type="dxa"/>
            <w:vAlign w:val="bottom"/>
            <w:shd w:val="clear" w:color="auto" w:fill="D2DCE5"/>
          </w:tcPr>
          <w:p>
            <w:pPr>
              <w:spacing w:after="0"/>
              <w:rPr>
                <w:sz w:val="16"/>
                <w:szCs w:val="16"/>
                <w:color w:val="auto"/>
              </w:rPr>
            </w:pPr>
          </w:p>
        </w:tc>
        <w:tc>
          <w:tcPr>
            <w:tcW w:w="60" w:type="dxa"/>
            <w:vAlign w:val="bottom"/>
            <w:shd w:val="clear" w:color="auto" w:fill="D2DCE5"/>
          </w:tcPr>
          <w:p>
            <w:pPr>
              <w:spacing w:after="0"/>
              <w:rPr>
                <w:sz w:val="16"/>
                <w:szCs w:val="16"/>
                <w:color w:val="auto"/>
              </w:rPr>
            </w:pPr>
          </w:p>
        </w:tc>
        <w:tc>
          <w:tcPr>
            <w:tcW w:w="20" w:type="dxa"/>
            <w:vAlign w:val="bottom"/>
            <w:shd w:val="clear" w:color="auto" w:fill="D2DCE5"/>
          </w:tcPr>
          <w:p>
            <w:pPr>
              <w:spacing w:after="0"/>
              <w:rPr>
                <w:sz w:val="16"/>
                <w:szCs w:val="16"/>
                <w:color w:val="auto"/>
              </w:rPr>
            </w:pPr>
          </w:p>
        </w:tc>
        <w:tc>
          <w:tcPr>
            <w:tcW w:w="200" w:type="dxa"/>
            <w:vAlign w:val="bottom"/>
            <w:shd w:val="clear" w:color="auto" w:fill="D2DCE5"/>
          </w:tcPr>
          <w:p>
            <w:pPr>
              <w:spacing w:after="0"/>
              <w:rPr>
                <w:sz w:val="16"/>
                <w:szCs w:val="16"/>
                <w:color w:val="auto"/>
              </w:rPr>
            </w:pPr>
          </w:p>
        </w:tc>
        <w:tc>
          <w:tcPr>
            <w:tcW w:w="1700" w:type="dxa"/>
            <w:vAlign w:val="bottom"/>
            <w:shd w:val="clear" w:color="auto" w:fill="D2DCE5"/>
          </w:tcPr>
          <w:p>
            <w:pPr>
              <w:jc w:val="center"/>
              <w:ind w:right="109"/>
              <w:spacing w:after="0"/>
              <w:rPr>
                <w:sz w:val="20"/>
                <w:szCs w:val="20"/>
                <w:color w:val="auto"/>
              </w:rPr>
            </w:pPr>
            <w:r>
              <w:rPr>
                <w:rFonts w:ascii="Arial" w:cs="Arial" w:eastAsia="Arial" w:hAnsi="Arial"/>
                <w:sz w:val="14"/>
                <w:szCs w:val="14"/>
                <w:color w:val="131E29"/>
              </w:rPr>
              <w:t>4.2%</w:t>
            </w:r>
          </w:p>
        </w:tc>
      </w:tr>
      <w:tr>
        <w:trPr>
          <w:trHeight w:val="22"/>
        </w:trPr>
        <w:tc>
          <w:tcPr>
            <w:tcW w:w="7260" w:type="dxa"/>
            <w:vAlign w:val="bottom"/>
            <w:shd w:val="clear" w:color="auto" w:fill="D2DCE5"/>
          </w:tcPr>
          <w:p>
            <w:pPr>
              <w:spacing w:after="0" w:line="20" w:lineRule="exact"/>
              <w:rPr>
                <w:sz w:val="1"/>
                <w:szCs w:val="1"/>
                <w:color w:val="auto"/>
              </w:rPr>
            </w:pPr>
          </w:p>
        </w:tc>
        <w:tc>
          <w:tcPr>
            <w:tcW w:w="80" w:type="dxa"/>
            <w:vAlign w:val="bottom"/>
            <w:shd w:val="clear" w:color="auto" w:fill="D2DCE5"/>
          </w:tcPr>
          <w:p>
            <w:pPr>
              <w:spacing w:after="0" w:line="20" w:lineRule="exact"/>
              <w:rPr>
                <w:sz w:val="1"/>
                <w:szCs w:val="1"/>
                <w:color w:val="auto"/>
              </w:rPr>
            </w:pPr>
          </w:p>
        </w:tc>
        <w:tc>
          <w:tcPr>
            <w:tcW w:w="400" w:type="dxa"/>
            <w:vAlign w:val="bottom"/>
            <w:shd w:val="clear" w:color="auto" w:fill="D2DCE5"/>
          </w:tcPr>
          <w:p>
            <w:pPr>
              <w:spacing w:after="0" w:line="20" w:lineRule="exact"/>
              <w:rPr>
                <w:sz w:val="1"/>
                <w:szCs w:val="1"/>
                <w:color w:val="auto"/>
              </w:rPr>
            </w:pPr>
          </w:p>
        </w:tc>
        <w:tc>
          <w:tcPr>
            <w:tcW w:w="1520" w:type="dxa"/>
            <w:vAlign w:val="bottom"/>
            <w:shd w:val="clear" w:color="auto" w:fill="D2DCE5"/>
          </w:tcPr>
          <w:p>
            <w:pPr>
              <w:spacing w:after="0" w:line="20" w:lineRule="exact"/>
              <w:rPr>
                <w:sz w:val="1"/>
                <w:szCs w:val="1"/>
                <w:color w:val="auto"/>
              </w:rPr>
            </w:pPr>
          </w:p>
        </w:tc>
        <w:tc>
          <w:tcPr>
            <w:tcW w:w="40" w:type="dxa"/>
            <w:vAlign w:val="bottom"/>
            <w:shd w:val="clear" w:color="auto" w:fill="D2DCE5"/>
          </w:tcPr>
          <w:p>
            <w:pPr>
              <w:spacing w:after="0" w:line="20" w:lineRule="exact"/>
              <w:rPr>
                <w:sz w:val="1"/>
                <w:szCs w:val="1"/>
                <w:color w:val="auto"/>
              </w:rPr>
            </w:pPr>
          </w:p>
        </w:tc>
        <w:tc>
          <w:tcPr>
            <w:tcW w:w="60" w:type="dxa"/>
            <w:vAlign w:val="bottom"/>
            <w:shd w:val="clear" w:color="auto" w:fill="D2DCE5"/>
          </w:tcPr>
          <w:p>
            <w:pPr>
              <w:spacing w:after="0" w:line="20" w:lineRule="exact"/>
              <w:rPr>
                <w:sz w:val="1"/>
                <w:szCs w:val="1"/>
                <w:color w:val="auto"/>
              </w:rPr>
            </w:pPr>
          </w:p>
        </w:tc>
        <w:tc>
          <w:tcPr>
            <w:tcW w:w="20" w:type="dxa"/>
            <w:vAlign w:val="bottom"/>
            <w:shd w:val="clear" w:color="auto" w:fill="D2DCE5"/>
          </w:tcPr>
          <w:p>
            <w:pPr>
              <w:spacing w:after="0" w:line="20" w:lineRule="exact"/>
              <w:rPr>
                <w:sz w:val="1"/>
                <w:szCs w:val="1"/>
                <w:color w:val="auto"/>
              </w:rPr>
            </w:pPr>
          </w:p>
        </w:tc>
        <w:tc>
          <w:tcPr>
            <w:tcW w:w="200" w:type="dxa"/>
            <w:vAlign w:val="bottom"/>
            <w:shd w:val="clear" w:color="auto" w:fill="D2DCE5"/>
          </w:tcPr>
          <w:p>
            <w:pPr>
              <w:spacing w:after="0" w:line="20" w:lineRule="exact"/>
              <w:rPr>
                <w:sz w:val="1"/>
                <w:szCs w:val="1"/>
                <w:color w:val="auto"/>
              </w:rPr>
            </w:pPr>
          </w:p>
        </w:tc>
        <w:tc>
          <w:tcPr>
            <w:tcW w:w="1700" w:type="dxa"/>
            <w:vAlign w:val="bottom"/>
            <w:shd w:val="clear" w:color="auto" w:fill="D2DCE5"/>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123" w:name="page124"/>
    <w:bookmarkEnd w:id="123"/>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940" w:type="dxa"/>
            <w:vAlign w:val="bottom"/>
            <w:gridSpan w:val="2"/>
          </w:tcPr>
          <w:p>
            <w:pPr>
              <w:spacing w:after="0"/>
              <w:rPr>
                <w:sz w:val="20"/>
                <w:szCs w:val="20"/>
                <w:color w:val="auto"/>
              </w:rPr>
            </w:pPr>
            <w:r>
              <w:rPr>
                <w:rFonts w:ascii="Arial" w:cs="Arial" w:eastAsia="Arial" w:hAnsi="Arial"/>
                <w:sz w:val="14"/>
                <w:szCs w:val="14"/>
                <w:color w:val="131E29"/>
              </w:rPr>
              <w:t>Supplemental cash flow information related to leases as of December 31, 2022 is as follows for the period presented:</w:t>
            </w:r>
          </w:p>
        </w:tc>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352"/>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131E29"/>
              </w:rPr>
              <w:t>Year Ended December 31, 2022</w:t>
            </w:r>
          </w:p>
        </w:tc>
      </w:tr>
      <w:tr>
        <w:trPr>
          <w:trHeight w:val="192"/>
        </w:trPr>
        <w:tc>
          <w:tcPr>
            <w:tcW w:w="89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Cash paid for amounts included in the measurement of lease liabilities:</w:t>
            </w:r>
          </w:p>
        </w:tc>
        <w:tc>
          <w:tcPr>
            <w:tcW w:w="120" w:type="dxa"/>
            <w:vAlign w:val="bottom"/>
            <w:tcBorders>
              <w:bottom w:val="single" w:sz="8" w:color="D2DCE5"/>
            </w:tcBorders>
            <w:shd w:val="clear" w:color="auto" w:fill="D2DCE5"/>
          </w:tcPr>
          <w:p>
            <w:pPr>
              <w:spacing w:after="0"/>
              <w:rPr>
                <w:sz w:val="16"/>
                <w:szCs w:val="16"/>
                <w:color w:val="auto"/>
              </w:rPr>
            </w:pPr>
          </w:p>
        </w:tc>
        <w:tc>
          <w:tcPr>
            <w:tcW w:w="2220" w:type="dxa"/>
            <w:vAlign w:val="bottom"/>
            <w:tcBorders>
              <w:bottom w:val="single" w:sz="8" w:color="D2DCE5"/>
            </w:tcBorders>
            <w:shd w:val="clear" w:color="auto" w:fill="D2DCE5"/>
          </w:tcPr>
          <w:p>
            <w:pPr>
              <w:spacing w:after="0"/>
              <w:rPr>
                <w:sz w:val="16"/>
                <w:szCs w:val="16"/>
                <w:color w:val="auto"/>
              </w:rPr>
            </w:pPr>
          </w:p>
        </w:tc>
      </w:tr>
      <w:tr>
        <w:trPr>
          <w:trHeight w:val="191"/>
        </w:trPr>
        <w:tc>
          <w:tcPr>
            <w:tcW w:w="8940" w:type="dxa"/>
            <w:vAlign w:val="bottom"/>
            <w:gridSpan w:val="2"/>
          </w:tcPr>
          <w:p>
            <w:pPr>
              <w:ind w:left="140"/>
              <w:spacing w:after="0"/>
              <w:rPr>
                <w:sz w:val="20"/>
                <w:szCs w:val="20"/>
                <w:color w:val="auto"/>
              </w:rPr>
            </w:pPr>
            <w:r>
              <w:rPr>
                <w:rFonts w:ascii="Arial" w:cs="Arial" w:eastAsia="Arial" w:hAnsi="Arial"/>
                <w:sz w:val="14"/>
                <w:szCs w:val="14"/>
                <w:color w:val="131E29"/>
              </w:rPr>
              <w:t>Operating cash flows from finance leases</w:t>
            </w:r>
          </w:p>
        </w:tc>
        <w:tc>
          <w:tcPr>
            <w:tcW w:w="120" w:type="dxa"/>
            <w:vAlign w:val="bottom"/>
          </w:tcPr>
          <w:p>
            <w:pPr>
              <w:jc w:val="right"/>
              <w:spacing w:after="0"/>
              <w:rPr>
                <w:sz w:val="20"/>
                <w:szCs w:val="20"/>
                <w:color w:val="auto"/>
              </w:rPr>
            </w:pPr>
            <w:r>
              <w:rPr>
                <w:rFonts w:ascii="Arial" w:cs="Arial" w:eastAsia="Arial" w:hAnsi="Arial"/>
                <w:sz w:val="14"/>
                <w:szCs w:val="14"/>
                <w:color w:val="131E29"/>
              </w:rPr>
              <w:t>$</w:t>
            </w:r>
          </w:p>
        </w:tc>
        <w:tc>
          <w:tcPr>
            <w:tcW w:w="2220" w:type="dxa"/>
            <w:vAlign w:val="bottom"/>
          </w:tcPr>
          <w:p>
            <w:pPr>
              <w:jc w:val="right"/>
              <w:spacing w:after="0"/>
              <w:rPr>
                <w:sz w:val="20"/>
                <w:szCs w:val="20"/>
                <w:color w:val="auto"/>
              </w:rPr>
            </w:pPr>
            <w:r>
              <w:rPr>
                <w:rFonts w:ascii="Arial" w:cs="Arial" w:eastAsia="Arial" w:hAnsi="Arial"/>
                <w:sz w:val="14"/>
                <w:szCs w:val="14"/>
                <w:color w:val="131E29"/>
              </w:rPr>
              <w:t>9,264</w:t>
            </w:r>
          </w:p>
        </w:tc>
      </w:tr>
      <w:tr>
        <w:trPr>
          <w:trHeight w:val="22"/>
        </w:trPr>
        <w:tc>
          <w:tcPr>
            <w:tcW w:w="8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2"/>
        </w:trPr>
        <w:tc>
          <w:tcPr>
            <w:tcW w:w="894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Operating cash flows from operating leases</w:t>
            </w:r>
          </w:p>
        </w:tc>
        <w:tc>
          <w:tcPr>
            <w:tcW w:w="120" w:type="dxa"/>
            <w:vAlign w:val="bottom"/>
            <w:tcBorders>
              <w:bottom w:val="single" w:sz="8" w:color="D2DCE5"/>
            </w:tcBorders>
            <w:shd w:val="clear" w:color="auto" w:fill="D2DCE5"/>
          </w:tcPr>
          <w:p>
            <w:pPr>
              <w:spacing w:after="0"/>
              <w:rPr>
                <w:sz w:val="16"/>
                <w:szCs w:val="16"/>
                <w:color w:val="auto"/>
              </w:rPr>
            </w:pPr>
          </w:p>
        </w:tc>
        <w:tc>
          <w:tcPr>
            <w:tcW w:w="2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16,269</w:t>
            </w:r>
          </w:p>
        </w:tc>
      </w:tr>
      <w:tr>
        <w:trPr>
          <w:trHeight w:val="191"/>
        </w:trPr>
        <w:tc>
          <w:tcPr>
            <w:tcW w:w="8940" w:type="dxa"/>
            <w:vAlign w:val="bottom"/>
            <w:gridSpan w:val="2"/>
          </w:tcPr>
          <w:p>
            <w:pPr>
              <w:ind w:left="140"/>
              <w:spacing w:after="0"/>
              <w:rPr>
                <w:sz w:val="20"/>
                <w:szCs w:val="20"/>
                <w:color w:val="auto"/>
              </w:rPr>
            </w:pPr>
            <w:r>
              <w:rPr>
                <w:rFonts w:ascii="Arial" w:cs="Arial" w:eastAsia="Arial" w:hAnsi="Arial"/>
                <w:sz w:val="14"/>
                <w:szCs w:val="14"/>
                <w:color w:val="131E29"/>
              </w:rPr>
              <w:t>Financing cash flows from finance leases</w:t>
            </w:r>
          </w:p>
        </w:tc>
        <w:tc>
          <w:tcPr>
            <w:tcW w:w="120" w:type="dxa"/>
            <w:vAlign w:val="bottom"/>
          </w:tcPr>
          <w:p>
            <w:pPr>
              <w:spacing w:after="0"/>
              <w:rPr>
                <w:sz w:val="16"/>
                <w:szCs w:val="16"/>
                <w:color w:val="auto"/>
              </w:rPr>
            </w:pPr>
          </w:p>
        </w:tc>
        <w:tc>
          <w:tcPr>
            <w:tcW w:w="2220" w:type="dxa"/>
            <w:vAlign w:val="bottom"/>
          </w:tcPr>
          <w:p>
            <w:pPr>
              <w:jc w:val="right"/>
              <w:spacing w:after="0"/>
              <w:rPr>
                <w:sz w:val="20"/>
                <w:szCs w:val="20"/>
                <w:color w:val="auto"/>
              </w:rPr>
            </w:pPr>
            <w:r>
              <w:rPr>
                <w:rFonts w:ascii="Arial" w:cs="Arial" w:eastAsia="Arial" w:hAnsi="Arial"/>
                <w:sz w:val="14"/>
                <w:szCs w:val="14"/>
                <w:color w:val="131E29"/>
              </w:rPr>
              <w:t>5,838</w:t>
            </w:r>
          </w:p>
        </w:tc>
      </w:tr>
      <w:tr>
        <w:trPr>
          <w:trHeight w:val="22"/>
        </w:trPr>
        <w:tc>
          <w:tcPr>
            <w:tcW w:w="8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12"/>
        </w:trPr>
        <w:tc>
          <w:tcPr>
            <w:tcW w:w="894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 xml:space="preserve">Right-of-use assets obtained in exchange for lease obligations </w:t>
            </w:r>
            <w:r>
              <w:rPr>
                <w:rFonts w:ascii="Arial" w:cs="Arial" w:eastAsia="Arial" w:hAnsi="Arial"/>
                <w:sz w:val="18"/>
                <w:szCs w:val="18"/>
                <w:b w:val="1"/>
                <w:bCs w:val="1"/>
                <w:color w:val="131E29"/>
                <w:vertAlign w:val="superscript"/>
              </w:rPr>
              <w:t>1</w:t>
            </w:r>
            <w:r>
              <w:rPr>
                <w:rFonts w:ascii="Arial" w:cs="Arial" w:eastAsia="Arial" w:hAnsi="Arial"/>
                <w:sz w:val="14"/>
                <w:szCs w:val="14"/>
                <w:b w:val="1"/>
                <w:bCs w:val="1"/>
                <w:color w:val="131E29"/>
              </w:rPr>
              <w:t>:</w:t>
            </w:r>
          </w:p>
        </w:tc>
        <w:tc>
          <w:tcPr>
            <w:tcW w:w="120" w:type="dxa"/>
            <w:vAlign w:val="bottom"/>
            <w:shd w:val="clear" w:color="auto" w:fill="D2DCE5"/>
          </w:tcPr>
          <w:p>
            <w:pPr>
              <w:spacing w:after="0"/>
              <w:rPr>
                <w:sz w:val="18"/>
                <w:szCs w:val="18"/>
                <w:color w:val="auto"/>
              </w:rPr>
            </w:pPr>
          </w:p>
        </w:tc>
        <w:tc>
          <w:tcPr>
            <w:tcW w:w="2220" w:type="dxa"/>
            <w:vAlign w:val="bottom"/>
            <w:shd w:val="clear" w:color="auto" w:fill="D2DCE5"/>
          </w:tcPr>
          <w:p>
            <w:pPr>
              <w:spacing w:after="0"/>
              <w:rPr>
                <w:sz w:val="18"/>
                <w:szCs w:val="18"/>
                <w:color w:val="auto"/>
              </w:rPr>
            </w:pPr>
          </w:p>
        </w:tc>
      </w:tr>
      <w:tr>
        <w:trPr>
          <w:trHeight w:val="191"/>
        </w:trPr>
        <w:tc>
          <w:tcPr>
            <w:tcW w:w="8940" w:type="dxa"/>
            <w:vAlign w:val="bottom"/>
            <w:gridSpan w:val="2"/>
          </w:tcPr>
          <w:p>
            <w:pPr>
              <w:ind w:left="140"/>
              <w:spacing w:after="0"/>
              <w:rPr>
                <w:sz w:val="20"/>
                <w:szCs w:val="20"/>
                <w:color w:val="auto"/>
              </w:rPr>
            </w:pPr>
            <w:r>
              <w:rPr>
                <w:rFonts w:ascii="Arial" w:cs="Arial" w:eastAsia="Arial" w:hAnsi="Arial"/>
                <w:sz w:val="14"/>
                <w:szCs w:val="14"/>
                <w:color w:val="131E29"/>
              </w:rPr>
              <w:t>Finance leases</w:t>
            </w:r>
          </w:p>
        </w:tc>
        <w:tc>
          <w:tcPr>
            <w:tcW w:w="120" w:type="dxa"/>
            <w:vAlign w:val="bottom"/>
          </w:tcPr>
          <w:p>
            <w:pPr>
              <w:spacing w:after="0"/>
              <w:rPr>
                <w:sz w:val="16"/>
                <w:szCs w:val="16"/>
                <w:color w:val="auto"/>
              </w:rPr>
            </w:pPr>
          </w:p>
        </w:tc>
        <w:tc>
          <w:tcPr>
            <w:tcW w:w="2220" w:type="dxa"/>
            <w:vAlign w:val="bottom"/>
          </w:tcPr>
          <w:p>
            <w:pPr>
              <w:jc w:val="right"/>
              <w:spacing w:after="0"/>
              <w:rPr>
                <w:sz w:val="20"/>
                <w:szCs w:val="20"/>
                <w:color w:val="auto"/>
              </w:rPr>
            </w:pPr>
            <w:r>
              <w:rPr>
                <w:rFonts w:ascii="Arial" w:cs="Arial" w:eastAsia="Arial" w:hAnsi="Arial"/>
                <w:sz w:val="14"/>
                <w:szCs w:val="14"/>
                <w:color w:val="131E29"/>
              </w:rPr>
              <w:t>167,687</w:t>
            </w:r>
          </w:p>
        </w:tc>
      </w:tr>
      <w:tr>
        <w:trPr>
          <w:trHeight w:val="22"/>
        </w:trPr>
        <w:tc>
          <w:tcPr>
            <w:tcW w:w="8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2"/>
        </w:trPr>
        <w:tc>
          <w:tcPr>
            <w:tcW w:w="894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Operating leases</w:t>
            </w:r>
          </w:p>
        </w:tc>
        <w:tc>
          <w:tcPr>
            <w:tcW w:w="120" w:type="dxa"/>
            <w:vAlign w:val="bottom"/>
            <w:tcBorders>
              <w:bottom w:val="single" w:sz="8" w:color="D2DCE5"/>
            </w:tcBorders>
            <w:shd w:val="clear" w:color="auto" w:fill="D2DCE5"/>
          </w:tcPr>
          <w:p>
            <w:pPr>
              <w:spacing w:after="0"/>
              <w:rPr>
                <w:sz w:val="16"/>
                <w:szCs w:val="16"/>
                <w:color w:val="auto"/>
              </w:rPr>
            </w:pPr>
          </w:p>
        </w:tc>
        <w:tc>
          <w:tcPr>
            <w:tcW w:w="2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178,138</w:t>
            </w:r>
          </w:p>
        </w:tc>
      </w:tr>
      <w:tr>
        <w:trPr>
          <w:trHeight w:val="244"/>
        </w:trPr>
        <w:tc>
          <w:tcPr>
            <w:tcW w:w="8860" w:type="dxa"/>
            <w:vAlign w:val="bottom"/>
          </w:tcPr>
          <w:p>
            <w:pPr>
              <w:spacing w:after="0"/>
              <w:rPr>
                <w:sz w:val="20"/>
                <w:szCs w:val="20"/>
                <w:color w:val="auto"/>
              </w:rPr>
            </w:pPr>
            <w:r>
              <w:rPr>
                <w:rFonts w:ascii="Arial" w:cs="Arial" w:eastAsia="Arial" w:hAnsi="Arial"/>
                <w:sz w:val="14"/>
                <w:szCs w:val="14"/>
                <w:color w:val="131E29"/>
              </w:rPr>
              <w:t>_________________</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20" w:type="dxa"/>
            <w:vAlign w:val="bottom"/>
          </w:tcPr>
          <w:p>
            <w:pPr>
              <w:spacing w:after="0"/>
              <w:rPr>
                <w:sz w:val="21"/>
                <w:szCs w:val="21"/>
                <w:color w:val="auto"/>
              </w:rPr>
            </w:pPr>
          </w:p>
        </w:tc>
      </w:tr>
    </w:tbl>
    <w:p>
      <w:pPr>
        <w:spacing w:after="0" w:line="89" w:lineRule="exact"/>
        <w:rPr>
          <w:sz w:val="20"/>
          <w:szCs w:val="20"/>
          <w:color w:val="auto"/>
        </w:rPr>
      </w:pPr>
    </w:p>
    <w:p>
      <w:pPr>
        <w:spacing w:after="0"/>
        <w:tabs>
          <w:tab w:leader="none" w:pos="100" w:val="left"/>
        </w:tabs>
        <w:rPr>
          <w:sz w:val="20"/>
          <w:szCs w:val="20"/>
          <w:color w:val="auto"/>
        </w:rPr>
      </w:pPr>
      <w:r>
        <w:rPr>
          <w:rFonts w:ascii="Arial" w:cs="Arial" w:eastAsia="Arial" w:hAnsi="Arial"/>
          <w:sz w:val="15"/>
          <w:szCs w:val="15"/>
          <w:color w:val="auto"/>
          <w:vertAlign w:val="superscript"/>
        </w:rPr>
        <w:t>1</w:t>
      </w:r>
      <w:r>
        <w:rPr>
          <w:sz w:val="20"/>
          <w:szCs w:val="20"/>
          <w:color w:val="auto"/>
        </w:rPr>
        <w:tab/>
      </w:r>
      <w:r>
        <w:rPr>
          <w:rFonts w:ascii="Arial" w:cs="Arial" w:eastAsia="Arial" w:hAnsi="Arial"/>
          <w:sz w:val="11"/>
          <w:szCs w:val="11"/>
          <w:color w:val="auto"/>
        </w:rPr>
        <w:t>Amounts include the transition adjustment for the adoption of ASU 2016-02, as amended.</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9 — Debt</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Credit Facility</w:t>
      </w:r>
    </w:p>
    <w:p>
      <w:pPr>
        <w:spacing w:after="0" w:line="15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On February 28, 2022 (the Effective Date) the Company amended its credit facility entered into on May 12, 2021 with JPMorgan Chase, N.A. (the Senior Secured Credit Facility). The amended facility (the 2022 Credit Facility) has a total capacity of $500 million, consisting of a $ 250 million revolving credit facility, a delayed draw term loan facility of up to $150 million, and a term loan facility of up to $100 million. The revolving credit facility includes sub-limits for issuance of letters of credit and swing line loans of up to $50 million and $15 million, respectively. The 2022 Credit Facility also contains an option allowing the Company to increase the size of the 2022 Credit Facility by up to an additional $150 million, with the agreement of the committing lenders. The 2022 Credit Facility expires five years after the Effective Date.</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Upon entering into the 2022 Credit Facility, in February 2022, the Company drew the full $100 million term loan facility and approximately $28 million in revolving loans, and the existing credit facility was repaid and terminated.</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Interest on borrowings under the 2022 Credit Facility is based on (a) the Alternate Base Rate plus an applicable margin, or (b) the Adjusted Term SOFR Rate plus an applicable margin, and is payable in accordance with the selected interest rate period (at least quarterly) and upon maturity. Principal payments for the term loans are required on a quarterly basis in accordance with an amortization schedule and upon certain disposition of assets.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The Company is required to pay a commitment fee on a quarterly basis, at a per annum rate of between 0.20% and 0.45% (depending on the Company’s maximum net lease-adjusted total leverage ratio) based on the (i) average daily unused portion of the revolving credit facility, and (ii) the daily undrawn amount of the delayed draw term loan facility. These fees are recorded as interest expense on the Company’s consolidated statements of operations.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The 2022 Credit Facility contains financial covenants that require the Company to not exceed a maximum net lease-adjusted total leverage ratio and maintain a minimum fixed charge coverage ratio. The 2022 Credit Facility also contains certain negative covenants that, among other things, limit the Company’s ability to incur additional debt, grant liens on assets, merge with or acquire other companies, make other investments, dispose of assets, and enter into sale and leaseback transactions and swap agreements. Obligations under the 2022 Credit Facility are guaranteed by Dutch Bros OpCo and its subsidiaries, and secured by a first priority perfected security interest in substantially all of the assets of the guarantors.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124" w:name="page125"/>
    <w:bookmarkEnd w:id="124"/>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As of December 31, 2022, approximately $98.1 million and $112.7 million were outstanding on the term loan and revolving loans, respectively, and $137.3 million was available for borrowing on the revolving loans. The term loan bears interest at 6.92% and revolving loans bear interest at approximately 6.87% as of December 31, 2022. The Company was in compliance with its financial covenants as of that date.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gridSpan w:val="2"/>
          </w:tcPr>
          <w:p>
            <w:pPr>
              <w:spacing w:after="0"/>
              <w:rPr>
                <w:sz w:val="20"/>
                <w:szCs w:val="20"/>
                <w:color w:val="auto"/>
              </w:rPr>
            </w:pPr>
            <w:r>
              <w:rPr>
                <w:rFonts w:ascii="Arial" w:cs="Arial" w:eastAsia="Arial" w:hAnsi="Arial"/>
                <w:sz w:val="14"/>
                <w:szCs w:val="14"/>
                <w:b w:val="1"/>
                <w:bCs w:val="1"/>
                <w:i w:val="1"/>
                <w:iCs w:val="1"/>
                <w:color w:val="006098"/>
              </w:rPr>
              <w:t>Long-Term Debt</w:t>
            </w: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7680" w:type="dxa"/>
            <w:vAlign w:val="bottom"/>
            <w:gridSpan w:val="2"/>
          </w:tcPr>
          <w:p>
            <w:pPr>
              <w:spacing w:after="0"/>
              <w:rPr>
                <w:sz w:val="20"/>
                <w:szCs w:val="20"/>
                <w:color w:val="auto"/>
              </w:rPr>
            </w:pPr>
            <w:r>
              <w:rPr>
                <w:rFonts w:ascii="Arial" w:cs="Arial" w:eastAsia="Arial" w:hAnsi="Arial"/>
                <w:sz w:val="14"/>
                <w:szCs w:val="14"/>
                <w:color w:val="131E29"/>
              </w:rPr>
              <w:t>The Company’s long-term debt consisted of the following for the periods presented:</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24"/>
                <w:szCs w:val="24"/>
                <w:color w:val="auto"/>
              </w:rPr>
            </w:pPr>
          </w:p>
        </w:tc>
        <w:tc>
          <w:tcPr>
            <w:tcW w:w="180" w:type="dxa"/>
            <w:vAlign w:val="bottom"/>
            <w:tcBorders>
              <w:bottom w:val="single" w:sz="8" w:color="131E29"/>
            </w:tcBorders>
          </w:tcPr>
          <w:p>
            <w:pPr>
              <w:spacing w:after="0"/>
              <w:rPr>
                <w:sz w:val="24"/>
                <w:szCs w:val="24"/>
                <w:color w:val="auto"/>
              </w:rPr>
            </w:pPr>
          </w:p>
        </w:tc>
        <w:tc>
          <w:tcPr>
            <w:tcW w:w="1620" w:type="dxa"/>
            <w:vAlign w:val="bottom"/>
            <w:tcBorders>
              <w:bottom w:val="single" w:sz="8" w:color="131E29"/>
            </w:tcBorders>
          </w:tcPr>
          <w:p>
            <w:pPr>
              <w:jc w:val="right"/>
              <w:ind w:right="189"/>
              <w:spacing w:after="0"/>
              <w:rPr>
                <w:sz w:val="20"/>
                <w:szCs w:val="20"/>
                <w:color w:val="auto"/>
              </w:rPr>
            </w:pPr>
            <w:r>
              <w:rPr>
                <w:rFonts w:ascii="Arial" w:cs="Arial" w:eastAsia="Arial" w:hAnsi="Arial"/>
                <w:sz w:val="14"/>
                <w:szCs w:val="14"/>
                <w:b w:val="1"/>
                <w:bCs w:val="1"/>
                <w:color w:val="131E29"/>
              </w:rPr>
              <w:t>December 31, 2022</w:t>
            </w:r>
          </w:p>
        </w:tc>
        <w:tc>
          <w:tcPr>
            <w:tcW w:w="80" w:type="dxa"/>
            <w:vAlign w:val="bottom"/>
            <w:tcBorders>
              <w:bottom w:val="single" w:sz="8" w:color="D2DCE5"/>
            </w:tcBorders>
          </w:tcPr>
          <w:p>
            <w:pPr>
              <w:spacing w:after="0"/>
              <w:rPr>
                <w:sz w:val="24"/>
                <w:szCs w:val="24"/>
                <w:color w:val="auto"/>
              </w:rPr>
            </w:pPr>
          </w:p>
        </w:tc>
        <w:tc>
          <w:tcPr>
            <w:tcW w:w="160" w:type="dxa"/>
            <w:vAlign w:val="bottom"/>
            <w:tcBorders>
              <w:bottom w:val="single" w:sz="8" w:color="131E29"/>
            </w:tcBorders>
          </w:tcPr>
          <w:p>
            <w:pPr>
              <w:spacing w:after="0"/>
              <w:rPr>
                <w:sz w:val="24"/>
                <w:szCs w:val="24"/>
                <w:color w:val="auto"/>
              </w:rPr>
            </w:pPr>
          </w:p>
        </w:tc>
        <w:tc>
          <w:tcPr>
            <w:tcW w:w="1560" w:type="dxa"/>
            <w:vAlign w:val="bottom"/>
            <w:tcBorders>
              <w:bottom w:val="single" w:sz="8" w:color="131E29"/>
            </w:tcBorders>
          </w:tcPr>
          <w:p>
            <w:pPr>
              <w:jc w:val="right"/>
              <w:ind w:right="149"/>
              <w:spacing w:after="0"/>
              <w:rPr>
                <w:sz w:val="20"/>
                <w:szCs w:val="20"/>
                <w:color w:val="auto"/>
              </w:rPr>
            </w:pPr>
            <w:r>
              <w:rPr>
                <w:rFonts w:ascii="Arial" w:cs="Arial" w:eastAsia="Arial" w:hAnsi="Arial"/>
                <w:sz w:val="14"/>
                <w:szCs w:val="14"/>
                <w:b w:val="1"/>
                <w:bCs w:val="1"/>
                <w:color w:val="131E29"/>
              </w:rPr>
              <w:t>December 31, 2021</w:t>
            </w:r>
          </w:p>
        </w:tc>
        <w:tc>
          <w:tcPr>
            <w:tcW w:w="0" w:type="dxa"/>
            <w:vAlign w:val="bottom"/>
          </w:tcPr>
          <w:p>
            <w:pPr>
              <w:spacing w:after="0"/>
              <w:rPr>
                <w:sz w:val="1"/>
                <w:szCs w:val="1"/>
                <w:color w:val="auto"/>
              </w:rPr>
            </w:pPr>
          </w:p>
        </w:tc>
      </w:tr>
      <w:tr>
        <w:trPr>
          <w:trHeight w:val="192"/>
        </w:trPr>
        <w:tc>
          <w:tcPr>
            <w:tcW w:w="76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Terms loan under credit facility</w:t>
            </w:r>
          </w:p>
        </w:tc>
        <w:tc>
          <w:tcPr>
            <w:tcW w:w="180" w:type="dxa"/>
            <w:vAlign w:val="bottom"/>
            <w:tcBorders>
              <w:bottom w:val="single" w:sz="8" w:color="D2DCE5"/>
            </w:tcBorders>
            <w:shd w:val="clear" w:color="auto" w:fill="D2DCE5"/>
          </w:tcPr>
          <w:p>
            <w:pPr>
              <w:jc w:val="right"/>
              <w:ind w:right="29"/>
              <w:spacing w:after="0"/>
              <w:rPr>
                <w:sz w:val="20"/>
                <w:szCs w:val="20"/>
                <w:color w:val="auto"/>
              </w:rPr>
            </w:pPr>
            <w:r>
              <w:rPr>
                <w:rFonts w:ascii="Arial" w:cs="Arial" w:eastAsia="Arial" w:hAnsi="Arial"/>
                <w:sz w:val="14"/>
                <w:szCs w:val="14"/>
                <w:color w:val="131E29"/>
                <w:w w:val="76"/>
              </w:rPr>
              <w:t>$</w:t>
            </w:r>
          </w:p>
        </w:tc>
        <w:tc>
          <w:tcPr>
            <w:tcW w:w="16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98,125</w:t>
            </w:r>
          </w:p>
        </w:tc>
        <w:tc>
          <w:tcPr>
            <w:tcW w:w="80" w:type="dxa"/>
            <w:vAlign w:val="bottom"/>
            <w:tcBorders>
              <w:bottom w:val="single" w:sz="8" w:color="D2DCE5"/>
            </w:tcBorders>
            <w:shd w:val="clear" w:color="auto" w:fill="D2DCE5"/>
          </w:tcPr>
          <w:p>
            <w:pPr>
              <w:spacing w:after="0"/>
              <w:rPr>
                <w:sz w:val="16"/>
                <w:szCs w:val="16"/>
                <w:color w:val="auto"/>
              </w:rPr>
            </w:pPr>
          </w:p>
        </w:tc>
        <w:tc>
          <w:tcPr>
            <w:tcW w:w="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212"/>
        </w:trPr>
        <w:tc>
          <w:tcPr>
            <w:tcW w:w="7680" w:type="dxa"/>
            <w:vAlign w:val="bottom"/>
            <w:gridSpan w:val="2"/>
          </w:tcPr>
          <w:p>
            <w:pPr>
              <w:ind w:left="20"/>
              <w:spacing w:after="0"/>
              <w:rPr>
                <w:sz w:val="20"/>
                <w:szCs w:val="20"/>
                <w:color w:val="auto"/>
              </w:rPr>
            </w:pPr>
            <w:r>
              <w:rPr>
                <w:rFonts w:ascii="Arial" w:cs="Arial" w:eastAsia="Arial" w:hAnsi="Arial"/>
                <w:sz w:val="14"/>
                <w:szCs w:val="14"/>
                <w:color w:val="131E29"/>
              </w:rPr>
              <w:t>Finance obligation</w:t>
            </w:r>
            <w:r>
              <w:rPr>
                <w:rFonts w:ascii="Arial" w:cs="Arial" w:eastAsia="Arial" w:hAnsi="Arial"/>
                <w:sz w:val="18"/>
                <w:szCs w:val="18"/>
                <w:color w:val="131E29"/>
                <w:vertAlign w:val="superscript"/>
              </w:rPr>
              <w:t>1</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131E29"/>
              </w:rPr>
              <w:t>1,379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131E29"/>
              </w:rPr>
              <w:t>2,978</w:t>
            </w:r>
          </w:p>
        </w:tc>
        <w:tc>
          <w:tcPr>
            <w:tcW w:w="0" w:type="dxa"/>
            <w:vAlign w:val="bottom"/>
          </w:tcPr>
          <w:p>
            <w:pPr>
              <w:spacing w:after="0"/>
              <w:rPr>
                <w:sz w:val="1"/>
                <w:szCs w:val="1"/>
                <w:color w:val="auto"/>
              </w:rPr>
            </w:pPr>
          </w:p>
        </w:tc>
      </w:tr>
      <w:tr>
        <w:trPr>
          <w:trHeight w:val="212"/>
        </w:trPr>
        <w:tc>
          <w:tcPr>
            <w:tcW w:w="76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Unsecured note payable</w:t>
            </w:r>
          </w:p>
        </w:tc>
        <w:tc>
          <w:tcPr>
            <w:tcW w:w="180" w:type="dxa"/>
            <w:vAlign w:val="bottom"/>
            <w:tcBorders>
              <w:bottom w:val="single" w:sz="8" w:color="D2DCE5"/>
            </w:tcBorders>
            <w:shd w:val="clear" w:color="auto" w:fill="D2DCE5"/>
          </w:tcPr>
          <w:p>
            <w:pPr>
              <w:spacing w:after="0"/>
              <w:rPr>
                <w:sz w:val="18"/>
                <w:szCs w:val="18"/>
                <w:color w:val="auto"/>
              </w:rPr>
            </w:pPr>
          </w:p>
        </w:tc>
        <w:tc>
          <w:tcPr>
            <w:tcW w:w="16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524</w:t>
            </w:r>
          </w:p>
        </w:tc>
        <w:tc>
          <w:tcPr>
            <w:tcW w:w="80" w:type="dxa"/>
            <w:vAlign w:val="bottom"/>
            <w:tcBorders>
              <w:bottom w:val="single" w:sz="8" w:color="D2DCE5"/>
            </w:tcBorders>
            <w:shd w:val="clear" w:color="auto" w:fill="D2DCE5"/>
          </w:tcPr>
          <w:p>
            <w:pPr>
              <w:spacing w:after="0"/>
              <w:rPr>
                <w:sz w:val="18"/>
                <w:szCs w:val="18"/>
                <w:color w:val="auto"/>
              </w:rPr>
            </w:pPr>
          </w:p>
        </w:tc>
        <w:tc>
          <w:tcPr>
            <w:tcW w:w="160" w:type="dxa"/>
            <w:vAlign w:val="bottom"/>
            <w:tcBorders>
              <w:bottom w:val="single" w:sz="8" w:color="D2DCE5"/>
            </w:tcBorders>
            <w:shd w:val="clear" w:color="auto" w:fill="D2DCE5"/>
          </w:tcPr>
          <w:p>
            <w:pPr>
              <w:spacing w:after="0"/>
              <w:rPr>
                <w:sz w:val="18"/>
                <w:szCs w:val="18"/>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628</w:t>
            </w:r>
          </w:p>
        </w:tc>
        <w:tc>
          <w:tcPr>
            <w:tcW w:w="0" w:type="dxa"/>
            <w:vAlign w:val="bottom"/>
          </w:tcPr>
          <w:p>
            <w:pPr>
              <w:spacing w:after="0"/>
              <w:rPr>
                <w:sz w:val="1"/>
                <w:szCs w:val="1"/>
                <w:color w:val="auto"/>
              </w:rPr>
            </w:pPr>
          </w:p>
        </w:tc>
      </w:tr>
      <w:tr>
        <w:trPr>
          <w:trHeight w:val="181"/>
        </w:trPr>
        <w:tc>
          <w:tcPr>
            <w:tcW w:w="7680" w:type="dxa"/>
            <w:vAlign w:val="bottom"/>
            <w:gridSpan w:val="2"/>
          </w:tcPr>
          <w:p>
            <w:pPr>
              <w:ind w:left="140"/>
              <w:spacing w:after="0"/>
              <w:rPr>
                <w:sz w:val="20"/>
                <w:szCs w:val="20"/>
                <w:color w:val="auto"/>
              </w:rPr>
            </w:pPr>
            <w:r>
              <w:rPr>
                <w:rFonts w:ascii="Arial" w:cs="Arial" w:eastAsia="Arial" w:hAnsi="Arial"/>
                <w:sz w:val="14"/>
                <w:szCs w:val="14"/>
                <w:color w:val="131E29"/>
              </w:rPr>
              <w:t>Total debt</w:t>
            </w:r>
          </w:p>
        </w:tc>
        <w:tc>
          <w:tcPr>
            <w:tcW w:w="18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100,028</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3,606</w:t>
            </w:r>
          </w:p>
        </w:tc>
        <w:tc>
          <w:tcPr>
            <w:tcW w:w="0" w:type="dxa"/>
            <w:vAlign w:val="bottom"/>
          </w:tcPr>
          <w:p>
            <w:pPr>
              <w:spacing w:after="0"/>
              <w:rPr>
                <w:sz w:val="1"/>
                <w:szCs w:val="1"/>
                <w:color w:val="auto"/>
              </w:rPr>
            </w:pPr>
          </w:p>
        </w:tc>
      </w:tr>
      <w:tr>
        <w:trPr>
          <w:trHeight w:val="22"/>
        </w:trPr>
        <w:tc>
          <w:tcPr>
            <w:tcW w:w="7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6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Less: loan origination fees</w:t>
            </w:r>
          </w:p>
        </w:tc>
        <w:tc>
          <w:tcPr>
            <w:tcW w:w="180" w:type="dxa"/>
            <w:vAlign w:val="bottom"/>
            <w:tcBorders>
              <w:bottom w:val="single" w:sz="8" w:color="D2DCE5"/>
            </w:tcBorders>
            <w:shd w:val="clear" w:color="auto" w:fill="D2DCE5"/>
          </w:tcPr>
          <w:p>
            <w:pPr>
              <w:spacing w:after="0"/>
              <w:rPr>
                <w:sz w:val="16"/>
                <w:szCs w:val="16"/>
                <w:color w:val="auto"/>
              </w:rPr>
            </w:pPr>
          </w:p>
        </w:tc>
        <w:tc>
          <w:tcPr>
            <w:tcW w:w="16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(1,122)</w:t>
            </w:r>
          </w:p>
        </w:tc>
        <w:tc>
          <w:tcPr>
            <w:tcW w:w="80" w:type="dxa"/>
            <w:vAlign w:val="bottom"/>
            <w:tcBorders>
              <w:bottom w:val="single" w:sz="8" w:color="D2DCE5"/>
            </w:tcBorders>
            <w:shd w:val="clear" w:color="auto" w:fill="D2DCE5"/>
          </w:tcPr>
          <w:p>
            <w:pPr>
              <w:spacing w:after="0"/>
              <w:rPr>
                <w:sz w:val="16"/>
                <w:szCs w:val="16"/>
                <w:color w:val="auto"/>
              </w:rPr>
            </w:pPr>
          </w:p>
        </w:tc>
        <w:tc>
          <w:tcPr>
            <w:tcW w:w="160" w:type="dxa"/>
            <w:vAlign w:val="bottom"/>
            <w:tcBorders>
              <w:bottom w:val="single" w:sz="8" w:color="D2DCE5"/>
            </w:tcBorders>
            <w:shd w:val="clear" w:color="auto" w:fill="D2DCE5"/>
          </w:tcPr>
          <w:p>
            <w:pPr>
              <w:spacing w:after="0"/>
              <w:rPr>
                <w:sz w:val="16"/>
                <w:szCs w:val="16"/>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191"/>
        </w:trPr>
        <w:tc>
          <w:tcPr>
            <w:tcW w:w="7680" w:type="dxa"/>
            <w:vAlign w:val="bottom"/>
            <w:gridSpan w:val="2"/>
          </w:tcPr>
          <w:p>
            <w:pPr>
              <w:ind w:left="20"/>
              <w:spacing w:after="0"/>
              <w:rPr>
                <w:sz w:val="20"/>
                <w:szCs w:val="20"/>
                <w:color w:val="auto"/>
              </w:rPr>
            </w:pPr>
            <w:r>
              <w:rPr>
                <w:rFonts w:ascii="Arial" w:cs="Arial" w:eastAsia="Arial" w:hAnsi="Arial"/>
                <w:sz w:val="14"/>
                <w:szCs w:val="14"/>
                <w:color w:val="131E29"/>
              </w:rPr>
              <w:t>Less: current portion</w:t>
            </w:r>
          </w:p>
        </w:tc>
        <w:tc>
          <w:tcPr>
            <w:tcW w:w="1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131E29"/>
              </w:rPr>
              <w:t>(2,609)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131E29"/>
              </w:rPr>
              <w:t>(103)</w:t>
            </w:r>
          </w:p>
        </w:tc>
        <w:tc>
          <w:tcPr>
            <w:tcW w:w="0" w:type="dxa"/>
            <w:vAlign w:val="bottom"/>
          </w:tcPr>
          <w:p>
            <w:pPr>
              <w:spacing w:after="0"/>
              <w:rPr>
                <w:sz w:val="1"/>
                <w:szCs w:val="1"/>
                <w:color w:val="auto"/>
              </w:rPr>
            </w:pPr>
          </w:p>
        </w:tc>
      </w:tr>
      <w:tr>
        <w:trPr>
          <w:trHeight w:val="22"/>
        </w:trPr>
        <w:tc>
          <w:tcPr>
            <w:tcW w:w="760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768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Total long-term debt, net of current portion</w:t>
            </w:r>
          </w:p>
        </w:tc>
        <w:tc>
          <w:tcPr>
            <w:tcW w:w="180" w:type="dxa"/>
            <w:vAlign w:val="bottom"/>
            <w:tcBorders>
              <w:bottom w:val="single" w:sz="8" w:color="auto"/>
            </w:tcBorders>
            <w:shd w:val="clear" w:color="auto" w:fill="D2DCE5"/>
          </w:tcPr>
          <w:p>
            <w:pPr>
              <w:jc w:val="right"/>
              <w:ind w:right="29"/>
              <w:spacing w:after="0"/>
              <w:rPr>
                <w:sz w:val="20"/>
                <w:szCs w:val="20"/>
                <w:color w:val="auto"/>
              </w:rPr>
            </w:pPr>
            <w:r>
              <w:rPr>
                <w:rFonts w:ascii="Arial" w:cs="Arial" w:eastAsia="Arial" w:hAnsi="Arial"/>
                <w:sz w:val="14"/>
                <w:szCs w:val="14"/>
                <w:color w:val="131E29"/>
                <w:w w:val="76"/>
              </w:rPr>
              <w:t>$</w:t>
            </w:r>
          </w:p>
        </w:tc>
        <w:tc>
          <w:tcPr>
            <w:tcW w:w="16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96,297</w:t>
            </w:r>
          </w:p>
        </w:tc>
        <w:tc>
          <w:tcPr>
            <w:tcW w:w="80" w:type="dxa"/>
            <w:vAlign w:val="bottom"/>
            <w:tcBorders>
              <w:bottom w:val="single" w:sz="8" w:color="D2DCE5"/>
            </w:tcBorders>
            <w:shd w:val="clear" w:color="auto" w:fill="D2DCE5"/>
          </w:tcPr>
          <w:p>
            <w:pPr>
              <w:spacing w:after="0"/>
              <w:rPr>
                <w:sz w:val="19"/>
                <w:szCs w:val="19"/>
                <w:color w:val="auto"/>
              </w:rPr>
            </w:pPr>
          </w:p>
        </w:tc>
        <w:tc>
          <w:tcPr>
            <w:tcW w:w="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5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3,503</w:t>
            </w:r>
          </w:p>
        </w:tc>
        <w:tc>
          <w:tcPr>
            <w:tcW w:w="0" w:type="dxa"/>
            <w:vAlign w:val="bottom"/>
          </w:tcPr>
          <w:p>
            <w:pPr>
              <w:spacing w:after="0"/>
              <w:rPr>
                <w:sz w:val="1"/>
                <w:szCs w:val="1"/>
                <w:color w:val="auto"/>
              </w:rPr>
            </w:pPr>
          </w:p>
        </w:tc>
      </w:tr>
      <w:tr>
        <w:trPr>
          <w:trHeight w:val="20"/>
        </w:trPr>
        <w:tc>
          <w:tcPr>
            <w:tcW w:w="7600" w:type="dxa"/>
            <w:vAlign w:val="bottom"/>
            <w:tcBorders>
              <w:top w:val="single" w:sz="8" w:color="D2DCE5"/>
              <w:bottom w:val="single" w:sz="8" w:color="D2DCE5"/>
            </w:tcBorders>
            <w:vMerge w:val="restart"/>
          </w:tcPr>
          <w:p>
            <w:pPr>
              <w:spacing w:after="0"/>
              <w:rPr>
                <w:sz w:val="20"/>
                <w:szCs w:val="20"/>
                <w:color w:val="auto"/>
              </w:rPr>
            </w:pPr>
            <w:r>
              <w:rPr>
                <w:rFonts w:ascii="Arial" w:cs="Arial" w:eastAsia="Arial" w:hAnsi="Arial"/>
                <w:sz w:val="14"/>
                <w:szCs w:val="14"/>
                <w:color w:val="131E29"/>
              </w:rPr>
              <w:t>_______________</w:t>
            </w:r>
          </w:p>
        </w:tc>
        <w:tc>
          <w:tcPr>
            <w:tcW w:w="80" w:type="dxa"/>
            <w:vAlign w:val="bottom"/>
            <w:tcBorders>
              <w:top w:val="single" w:sz="8" w:color="D2DCE5"/>
            </w:tcBorders>
          </w:tcPr>
          <w:p>
            <w:pPr>
              <w:spacing w:after="0" w:line="20" w:lineRule="exact"/>
              <w:rPr>
                <w:sz w:val="1"/>
                <w:szCs w:val="1"/>
                <w:color w:val="auto"/>
              </w:rPr>
            </w:pPr>
          </w:p>
        </w:tc>
        <w:tc>
          <w:tcPr>
            <w:tcW w:w="180" w:type="dxa"/>
            <w:vAlign w:val="bottom"/>
            <w:tcBorders>
              <w:top w:val="single" w:sz="8" w:color="D2DCE5"/>
              <w:bottom w:val="single" w:sz="8" w:color="auto"/>
            </w:tcBorders>
          </w:tcPr>
          <w:p>
            <w:pPr>
              <w:spacing w:after="0" w:line="20" w:lineRule="exact"/>
              <w:rPr>
                <w:sz w:val="1"/>
                <w:szCs w:val="1"/>
                <w:color w:val="auto"/>
              </w:rPr>
            </w:pPr>
          </w:p>
        </w:tc>
        <w:tc>
          <w:tcPr>
            <w:tcW w:w="162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D2DCE5"/>
              <w:bottom w:val="single" w:sz="8" w:color="auto"/>
            </w:tcBorders>
          </w:tcPr>
          <w:p>
            <w:pPr>
              <w:spacing w:after="0" w:line="20" w:lineRule="exact"/>
              <w:rPr>
                <w:sz w:val="1"/>
                <w:szCs w:val="1"/>
                <w:color w:val="auto"/>
              </w:rPr>
            </w:pPr>
          </w:p>
        </w:tc>
        <w:tc>
          <w:tcPr>
            <w:tcW w:w="156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140" w:hanging="135"/>
        <w:spacing w:after="0" w:line="221" w:lineRule="auto"/>
        <w:tabs>
          <w:tab w:leader="none" w:pos="146" w:val="left"/>
        </w:tabs>
        <w:numPr>
          <w:ilvl w:val="0"/>
          <w:numId w:val="78"/>
        </w:numPr>
        <w:rPr>
          <w:rFonts w:ascii="Arial" w:cs="Arial" w:eastAsia="Arial" w:hAnsi="Arial"/>
          <w:sz w:val="15"/>
          <w:szCs w:val="15"/>
          <w:color w:val="auto"/>
          <w:vertAlign w:val="superscript"/>
        </w:rPr>
      </w:pPr>
      <w:r>
        <w:rPr>
          <w:rFonts w:ascii="Arial" w:cs="Arial" w:eastAsia="Arial" w:hAnsi="Arial"/>
          <w:sz w:val="11"/>
          <w:szCs w:val="11"/>
          <w:color w:val="auto"/>
        </w:rPr>
        <w:t>Effective January 1, 2022, with our adoption of ASC 842 (</w:t>
      </w:r>
      <w:r>
        <w:rPr>
          <w:rFonts w:ascii="Arial" w:cs="Arial" w:eastAsia="Arial" w:hAnsi="Arial"/>
          <w:sz w:val="11"/>
          <w:szCs w:val="11"/>
          <w:i w:val="1"/>
          <w:iCs w:val="1"/>
          <w:color w:val="auto"/>
        </w:rPr>
        <w:t>Leases</w:t>
      </w:r>
      <w:r>
        <w:rPr>
          <w:rFonts w:ascii="Arial" w:cs="Arial" w:eastAsia="Arial" w:hAnsi="Arial"/>
          <w:sz w:val="11"/>
          <w:szCs w:val="11"/>
          <w:color w:val="auto"/>
        </w:rPr>
        <w:t>), the 2021 failed sale-leaseback transactions were remeasured and included in our lease obligations. Subsequently we entered into a failed sale-leaseback arrangement under ASC 842 during the first half of 2022.</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131E29"/>
        </w:rPr>
        <w:t>Future annual maturities of long-term debt as of December 31, 2022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9720" w:type="dxa"/>
            <w:vAlign w:val="bottom"/>
            <w:gridSpan w:val="2"/>
          </w:tcPr>
          <w:p>
            <w:pPr>
              <w:ind w:left="20"/>
              <w:spacing w:after="0"/>
              <w:rPr>
                <w:sz w:val="20"/>
                <w:szCs w:val="20"/>
                <w:color w:val="auto"/>
              </w:rPr>
            </w:pPr>
            <w:r>
              <w:rPr>
                <w:rFonts w:ascii="Arial" w:cs="Arial" w:eastAsia="Arial" w:hAnsi="Arial"/>
                <w:sz w:val="11"/>
                <w:szCs w:val="11"/>
                <w:color w:val="131E29"/>
              </w:rPr>
              <w:t>(in thousands)</w:t>
            </w: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92"/>
        </w:trPr>
        <w:tc>
          <w:tcPr>
            <w:tcW w:w="9620" w:type="dxa"/>
            <w:vAlign w:val="bottom"/>
            <w:tcBorders>
              <w:top w:val="single" w:sz="8" w:color="auto"/>
              <w:bottom w:val="single" w:sz="8" w:color="D2DCE5"/>
            </w:tcBorders>
            <w:shd w:val="clear" w:color="auto" w:fill="D2DCE5"/>
          </w:tcPr>
          <w:p>
            <w:pPr>
              <w:ind w:left="20"/>
              <w:spacing w:after="0"/>
              <w:rPr>
                <w:sz w:val="20"/>
                <w:szCs w:val="20"/>
                <w:color w:val="auto"/>
              </w:rPr>
            </w:pPr>
            <w:r>
              <w:rPr>
                <w:rFonts w:ascii="Arial" w:cs="Arial" w:eastAsia="Arial" w:hAnsi="Arial"/>
                <w:sz w:val="14"/>
                <w:szCs w:val="14"/>
                <w:color w:val="131E29"/>
              </w:rPr>
              <w:t>2023</w:t>
            </w:r>
          </w:p>
        </w:tc>
        <w:tc>
          <w:tcPr>
            <w:tcW w:w="100" w:type="dxa"/>
            <w:vAlign w:val="bottom"/>
            <w:tcBorders>
              <w:top w:val="single" w:sz="8" w:color="D2DCE5"/>
              <w:bottom w:val="single" w:sz="8" w:color="D2DCE5"/>
            </w:tcBorders>
            <w:shd w:val="clear" w:color="auto" w:fill="D2DCE5"/>
          </w:tcPr>
          <w:p>
            <w:pPr>
              <w:spacing w:after="0"/>
              <w:rPr>
                <w:sz w:val="16"/>
                <w:szCs w:val="16"/>
                <w:color w:val="auto"/>
              </w:rPr>
            </w:pPr>
          </w:p>
        </w:tc>
        <w:tc>
          <w:tcPr>
            <w:tcW w:w="540" w:type="dxa"/>
            <w:vAlign w:val="bottom"/>
            <w:tcBorders>
              <w:top w:val="single" w:sz="8" w:color="auto"/>
              <w:bottom w:val="single" w:sz="8" w:color="D2DCE5"/>
            </w:tcBorders>
            <w:shd w:val="clear" w:color="auto" w:fill="D2DCE5"/>
          </w:tcPr>
          <w:p>
            <w:pPr>
              <w:jc w:val="right"/>
              <w:ind w:right="389"/>
              <w:spacing w:after="0"/>
              <w:rPr>
                <w:sz w:val="20"/>
                <w:szCs w:val="20"/>
                <w:color w:val="auto"/>
              </w:rPr>
            </w:pPr>
            <w:r>
              <w:rPr>
                <w:rFonts w:ascii="Arial" w:cs="Arial" w:eastAsia="Arial" w:hAnsi="Arial"/>
                <w:sz w:val="14"/>
                <w:szCs w:val="14"/>
                <w:color w:val="131E29"/>
                <w:w w:val="76"/>
              </w:rPr>
              <w:t>$</w:t>
            </w:r>
          </w:p>
        </w:tc>
        <w:tc>
          <w:tcPr>
            <w:tcW w:w="1020" w:type="dxa"/>
            <w:vAlign w:val="bottom"/>
            <w:tcBorders>
              <w:top w:val="single" w:sz="8" w:color="auto"/>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2,609</w:t>
            </w:r>
          </w:p>
        </w:tc>
      </w:tr>
      <w:tr>
        <w:trPr>
          <w:trHeight w:val="191"/>
        </w:trPr>
        <w:tc>
          <w:tcPr>
            <w:tcW w:w="9620" w:type="dxa"/>
            <w:vAlign w:val="bottom"/>
          </w:tcPr>
          <w:p>
            <w:pPr>
              <w:ind w:left="20"/>
              <w:spacing w:after="0"/>
              <w:rPr>
                <w:sz w:val="20"/>
                <w:szCs w:val="20"/>
                <w:color w:val="auto"/>
              </w:rPr>
            </w:pPr>
            <w:r>
              <w:rPr>
                <w:rFonts w:ascii="Arial" w:cs="Arial" w:eastAsia="Arial" w:hAnsi="Arial"/>
                <w:sz w:val="14"/>
                <w:szCs w:val="14"/>
                <w:color w:val="131E29"/>
              </w:rPr>
              <w:t>2024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4,491</w:t>
            </w:r>
          </w:p>
        </w:tc>
      </w:tr>
      <w:tr>
        <w:trPr>
          <w:trHeight w:val="22"/>
        </w:trPr>
        <w:tc>
          <w:tcPr>
            <w:tcW w:w="9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2"/>
        </w:trPr>
        <w:tc>
          <w:tcPr>
            <w:tcW w:w="962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4"/>
                <w:szCs w:val="14"/>
                <w:color w:val="131E29"/>
              </w:rPr>
              <w:t>2025</w:t>
            </w:r>
          </w:p>
        </w:tc>
        <w:tc>
          <w:tcPr>
            <w:tcW w:w="100" w:type="dxa"/>
            <w:vAlign w:val="bottom"/>
            <w:tcBorders>
              <w:bottom w:val="single" w:sz="8" w:color="D2DCE5"/>
            </w:tcBorders>
            <w:shd w:val="clear" w:color="auto" w:fill="D2DCE5"/>
          </w:tcPr>
          <w:p>
            <w:pPr>
              <w:spacing w:after="0"/>
              <w:rPr>
                <w:sz w:val="16"/>
                <w:szCs w:val="16"/>
                <w:color w:val="auto"/>
              </w:rPr>
            </w:pPr>
          </w:p>
        </w:tc>
        <w:tc>
          <w:tcPr>
            <w:tcW w:w="540" w:type="dxa"/>
            <w:vAlign w:val="bottom"/>
            <w:tcBorders>
              <w:bottom w:val="single" w:sz="8" w:color="D2DCE5"/>
            </w:tcBorders>
            <w:shd w:val="clear" w:color="auto" w:fill="D2DCE5"/>
          </w:tcPr>
          <w:p>
            <w:pPr>
              <w:spacing w:after="0"/>
              <w:rPr>
                <w:sz w:val="16"/>
                <w:szCs w:val="16"/>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6,998</w:t>
            </w:r>
          </w:p>
        </w:tc>
      </w:tr>
      <w:tr>
        <w:trPr>
          <w:trHeight w:val="191"/>
        </w:trPr>
        <w:tc>
          <w:tcPr>
            <w:tcW w:w="9620" w:type="dxa"/>
            <w:vAlign w:val="bottom"/>
          </w:tcPr>
          <w:p>
            <w:pPr>
              <w:ind w:left="20"/>
              <w:spacing w:after="0"/>
              <w:rPr>
                <w:sz w:val="20"/>
                <w:szCs w:val="20"/>
                <w:color w:val="auto"/>
              </w:rPr>
            </w:pPr>
            <w:r>
              <w:rPr>
                <w:rFonts w:ascii="Arial" w:cs="Arial" w:eastAsia="Arial" w:hAnsi="Arial"/>
                <w:sz w:val="14"/>
                <w:szCs w:val="14"/>
                <w:color w:val="131E29"/>
              </w:rPr>
              <w:t>2026</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13,256</w:t>
            </w:r>
          </w:p>
        </w:tc>
      </w:tr>
      <w:tr>
        <w:trPr>
          <w:trHeight w:val="22"/>
        </w:trPr>
        <w:tc>
          <w:tcPr>
            <w:tcW w:w="9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2"/>
        </w:trPr>
        <w:tc>
          <w:tcPr>
            <w:tcW w:w="962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4"/>
                <w:szCs w:val="14"/>
                <w:color w:val="131E29"/>
              </w:rPr>
              <w:t>2027</w:t>
            </w:r>
          </w:p>
        </w:tc>
        <w:tc>
          <w:tcPr>
            <w:tcW w:w="100" w:type="dxa"/>
            <w:vAlign w:val="bottom"/>
            <w:tcBorders>
              <w:bottom w:val="single" w:sz="8" w:color="D2DCE5"/>
            </w:tcBorders>
            <w:shd w:val="clear" w:color="auto" w:fill="D2DCE5"/>
          </w:tcPr>
          <w:p>
            <w:pPr>
              <w:spacing w:after="0"/>
              <w:rPr>
                <w:sz w:val="16"/>
                <w:szCs w:val="16"/>
                <w:color w:val="auto"/>
              </w:rPr>
            </w:pPr>
          </w:p>
        </w:tc>
        <w:tc>
          <w:tcPr>
            <w:tcW w:w="540" w:type="dxa"/>
            <w:vAlign w:val="bottom"/>
            <w:tcBorders>
              <w:bottom w:val="single" w:sz="8" w:color="D2DCE5"/>
            </w:tcBorders>
            <w:shd w:val="clear" w:color="auto" w:fill="D2DCE5"/>
          </w:tcPr>
          <w:p>
            <w:pPr>
              <w:spacing w:after="0"/>
              <w:rPr>
                <w:sz w:val="16"/>
                <w:szCs w:val="16"/>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71,295</w:t>
            </w:r>
          </w:p>
        </w:tc>
      </w:tr>
      <w:tr>
        <w:trPr>
          <w:trHeight w:val="191"/>
        </w:trPr>
        <w:tc>
          <w:tcPr>
            <w:tcW w:w="9720" w:type="dxa"/>
            <w:vAlign w:val="bottom"/>
            <w:gridSpan w:val="2"/>
          </w:tcPr>
          <w:p>
            <w:pPr>
              <w:ind w:left="20"/>
              <w:spacing w:after="0"/>
              <w:rPr>
                <w:sz w:val="20"/>
                <w:szCs w:val="20"/>
                <w:color w:val="auto"/>
              </w:rPr>
            </w:pPr>
            <w:r>
              <w:rPr>
                <w:rFonts w:ascii="Arial" w:cs="Arial" w:eastAsia="Arial" w:hAnsi="Arial"/>
                <w:sz w:val="14"/>
                <w:szCs w:val="14"/>
                <w:color w:val="131E29"/>
              </w:rPr>
              <w:t>Thereafter</w:t>
            </w:r>
          </w:p>
        </w:tc>
        <w:tc>
          <w:tcPr>
            <w:tcW w:w="5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1,379</w:t>
            </w:r>
          </w:p>
        </w:tc>
      </w:tr>
      <w:tr>
        <w:trPr>
          <w:trHeight w:val="22"/>
        </w:trPr>
        <w:tc>
          <w:tcPr>
            <w:tcW w:w="9620" w:type="dxa"/>
            <w:vAlign w:val="bottom"/>
            <w:tcBorders>
              <w:bottom w:val="single" w:sz="8" w:color="D2DCE5"/>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8"/>
        </w:trPr>
        <w:tc>
          <w:tcPr>
            <w:tcW w:w="972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Total</w:t>
            </w:r>
          </w:p>
        </w:tc>
        <w:tc>
          <w:tcPr>
            <w:tcW w:w="540" w:type="dxa"/>
            <w:vAlign w:val="bottom"/>
            <w:tcBorders>
              <w:bottom w:val="single" w:sz="8" w:color="auto"/>
            </w:tcBorders>
            <w:shd w:val="clear" w:color="auto" w:fill="D2DCE5"/>
          </w:tcPr>
          <w:p>
            <w:pPr>
              <w:jc w:val="right"/>
              <w:ind w:right="389"/>
              <w:spacing w:after="0"/>
              <w:rPr>
                <w:sz w:val="20"/>
                <w:szCs w:val="20"/>
                <w:color w:val="auto"/>
              </w:rPr>
            </w:pPr>
            <w:r>
              <w:rPr>
                <w:rFonts w:ascii="Arial" w:cs="Arial" w:eastAsia="Arial" w:hAnsi="Arial"/>
                <w:sz w:val="14"/>
                <w:szCs w:val="14"/>
                <w:color w:val="131E29"/>
                <w:w w:val="76"/>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100,028</w:t>
            </w:r>
          </w:p>
        </w:tc>
      </w:tr>
      <w:tr>
        <w:trPr>
          <w:trHeight w:val="20"/>
        </w:trPr>
        <w:tc>
          <w:tcPr>
            <w:tcW w:w="962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54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10 — Fair Value Measurements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The Company’s consolidated financial statements include cash and cash equivalents, accounts receivable, accounts payable, accrued expenses and other current liabilities, for which the carrying amounts approximate fair value due to their short-term maturity. The fair value of the Company’s variable-rate term loan and revolving loans approximate their carrying amounts; these debt instruments are designated as Level 2 within the fair value hierarchy, as the Company’s cost of borrowing is variable and approximates current market rates.</w:t>
      </w:r>
    </w:p>
    <w:p>
      <w:pPr>
        <w:spacing w:after="0" w:line="28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The Company has an interest rate swap, which is required to be measured at fair value on a recurring basis. Designated as a Level 2 instrument within the fair value hierarchy, the interest rate swap as of December 31, 2022 had a fair value of $3.2 million, and is recorded as an asset on the Company’s consolidated balance sheet.</w:t>
      </w:r>
    </w:p>
    <w:p>
      <w:pPr>
        <w:spacing w:after="0" w:line="11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The fair value of the Company’s interest rate swap was determined based on the present value of expected future cash flows considering the risks involved, including nonperformance risk, and using discount rates appropriate for the duration based on observable inputs.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125" w:name="page126"/>
    <w:bookmarkEnd w:id="125"/>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131E29"/>
        </w:rPr>
        <w:t>See NOTE 11 — Derivative Financial Instruments for additional details related to the interest rate swap.</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11 — Derivative Financial Instruments</w:t>
      </w:r>
    </w:p>
    <w:p>
      <w:pPr>
        <w:spacing w:after="0" w:line="14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From time to time, the Company may enter into interest rate swaps to fix a portion of interest expense. The Company does not enter into derivative instruments for any other purpose other than to manage its risks related to fluctuations in interest rates, and does not engage in interest rate speculation using derivative instruments.</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During 2022, the Company entered into a $70 million receive-variable (Receive Leg), pay-fixed (Pay Leg) interest rate swap with JPMorgan Chase Bank, N.A. The interest rate swap matures on February 28, 2027 and has a fixed rate of 2.67% per annum for the Pay Leg. The variable rate on the Receive Leg of the interest rate swap is the one-month adjusted term SOFR rate plus an applicable margin. As of December 31, 2022, the one-month adjusted term SOFR rate was 4.32%. The Company had no derivatives prior to 2022, and as such, no comparable prior years’ information is presented.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The Company typically designates all interest rate swaps as cash flow hedges, and accordingly, records the change in fair value for the effective portion of the interest rate swap in AOCI rather than in current period earnings until the underlying hedged transaction affects earnings. As of December 31, 2022, the Company expects to reclassify a gain of approximately $1.5 million from AOCI to earnings within the next twelve months.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131E29"/>
        </w:rPr>
        <w:t>The fair value and effect of the derivative instrument included in the Company’s consolidated financial statements was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7"/>
                <w:szCs w:val="17"/>
                <w:color w:val="auto"/>
              </w:rPr>
            </w:pPr>
          </w:p>
        </w:tc>
        <w:tc>
          <w:tcPr>
            <w:tcW w:w="4740" w:type="dxa"/>
            <w:vAlign w:val="bottom"/>
            <w:tcBorders>
              <w:bottom w:val="single" w:sz="8" w:color="auto"/>
            </w:tcBorders>
          </w:tcPr>
          <w:p>
            <w:pPr>
              <w:ind w:left="1420"/>
              <w:spacing w:after="0"/>
              <w:rPr>
                <w:sz w:val="20"/>
                <w:szCs w:val="20"/>
                <w:color w:val="auto"/>
              </w:rPr>
            </w:pPr>
            <w:r>
              <w:rPr>
                <w:rFonts w:ascii="Arial" w:cs="Arial" w:eastAsia="Arial" w:hAnsi="Arial"/>
                <w:sz w:val="14"/>
                <w:szCs w:val="14"/>
                <w:b w:val="1"/>
                <w:bCs w:val="1"/>
                <w:color w:val="131E29"/>
              </w:rPr>
              <w:t>Balance Sheet Classification</w:t>
            </w:r>
          </w:p>
        </w:tc>
        <w:tc>
          <w:tcPr>
            <w:tcW w:w="80" w:type="dxa"/>
            <w:vAlign w:val="bottom"/>
            <w:tcBorders>
              <w:bottom w:val="single" w:sz="8" w:color="D2DCE5"/>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131E29"/>
              </w:rPr>
              <w:t>December 31, 2022</w:t>
            </w:r>
          </w:p>
        </w:tc>
      </w:tr>
      <w:tr>
        <w:trPr>
          <w:trHeight w:val="192"/>
        </w:trPr>
        <w:tc>
          <w:tcPr>
            <w:tcW w:w="41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Derivative instrument designated as cash flow hedge:</w:t>
            </w:r>
          </w:p>
        </w:tc>
        <w:tc>
          <w:tcPr>
            <w:tcW w:w="474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320" w:type="dxa"/>
            <w:vAlign w:val="bottom"/>
            <w:tcBorders>
              <w:bottom w:val="single" w:sz="8" w:color="D2DCE5"/>
            </w:tcBorders>
            <w:shd w:val="clear" w:color="auto" w:fill="D2DCE5"/>
          </w:tcPr>
          <w:p>
            <w:pPr>
              <w:spacing w:after="0"/>
              <w:rPr>
                <w:sz w:val="16"/>
                <w:szCs w:val="16"/>
                <w:color w:val="auto"/>
              </w:rPr>
            </w:pPr>
          </w:p>
        </w:tc>
        <w:tc>
          <w:tcPr>
            <w:tcW w:w="2000" w:type="dxa"/>
            <w:vAlign w:val="bottom"/>
            <w:tcBorders>
              <w:bottom w:val="single" w:sz="8" w:color="D2DCE5"/>
            </w:tcBorders>
            <w:shd w:val="clear" w:color="auto" w:fill="D2DCE5"/>
          </w:tcPr>
          <w:p>
            <w:pPr>
              <w:spacing w:after="0"/>
              <w:rPr>
                <w:sz w:val="16"/>
                <w:szCs w:val="16"/>
                <w:color w:val="auto"/>
              </w:rPr>
            </w:pPr>
          </w:p>
        </w:tc>
      </w:tr>
      <w:tr>
        <w:trPr>
          <w:trHeight w:val="191"/>
        </w:trPr>
        <w:tc>
          <w:tcPr>
            <w:tcW w:w="4120" w:type="dxa"/>
            <w:vAlign w:val="bottom"/>
            <w:gridSpan w:val="2"/>
          </w:tcPr>
          <w:p>
            <w:pPr>
              <w:ind w:left="100"/>
              <w:spacing w:after="0"/>
              <w:rPr>
                <w:sz w:val="20"/>
                <w:szCs w:val="20"/>
                <w:color w:val="auto"/>
              </w:rPr>
            </w:pPr>
            <w:r>
              <w:rPr>
                <w:rFonts w:ascii="Arial" w:cs="Arial" w:eastAsia="Arial" w:hAnsi="Arial"/>
                <w:sz w:val="14"/>
                <w:szCs w:val="14"/>
                <w:color w:val="131E29"/>
              </w:rPr>
              <w:t>Interest rate swap contract</w:t>
            </w:r>
          </w:p>
        </w:tc>
        <w:tc>
          <w:tcPr>
            <w:tcW w:w="4820" w:type="dxa"/>
            <w:vAlign w:val="bottom"/>
            <w:gridSpan w:val="2"/>
          </w:tcPr>
          <w:p>
            <w:pPr>
              <w:ind w:left="20"/>
              <w:spacing w:after="0"/>
              <w:rPr>
                <w:sz w:val="20"/>
                <w:szCs w:val="20"/>
                <w:color w:val="auto"/>
              </w:rPr>
            </w:pPr>
            <w:r>
              <w:rPr>
                <w:rFonts w:ascii="Arial" w:cs="Arial" w:eastAsia="Arial" w:hAnsi="Arial"/>
                <w:sz w:val="14"/>
                <w:szCs w:val="14"/>
                <w:color w:val="131E29"/>
              </w:rPr>
              <w:t>Prepaid expenses and other current assets</w:t>
            </w:r>
          </w:p>
        </w:tc>
        <w:tc>
          <w:tcPr>
            <w:tcW w:w="320" w:type="dxa"/>
            <w:vAlign w:val="bottom"/>
          </w:tcPr>
          <w:p>
            <w:pPr>
              <w:jc w:val="right"/>
              <w:ind w:right="149"/>
              <w:spacing w:after="0"/>
              <w:rPr>
                <w:sz w:val="20"/>
                <w:szCs w:val="20"/>
                <w:color w:val="auto"/>
              </w:rPr>
            </w:pPr>
            <w:r>
              <w:rPr>
                <w:rFonts w:ascii="Arial" w:cs="Arial" w:eastAsia="Arial" w:hAnsi="Arial"/>
                <w:sz w:val="14"/>
                <w:szCs w:val="14"/>
                <w:color w:val="131E29"/>
              </w:rPr>
              <w:t>$</w:t>
            </w:r>
          </w:p>
        </w:tc>
        <w:tc>
          <w:tcPr>
            <w:tcW w:w="2000" w:type="dxa"/>
            <w:vAlign w:val="bottom"/>
          </w:tcPr>
          <w:p>
            <w:pPr>
              <w:jc w:val="right"/>
              <w:spacing w:after="0"/>
              <w:rPr>
                <w:sz w:val="20"/>
                <w:szCs w:val="20"/>
                <w:color w:val="auto"/>
              </w:rPr>
            </w:pPr>
            <w:r>
              <w:rPr>
                <w:rFonts w:ascii="Arial" w:cs="Arial" w:eastAsia="Arial" w:hAnsi="Arial"/>
                <w:sz w:val="14"/>
                <w:szCs w:val="14"/>
                <w:color w:val="131E29"/>
              </w:rPr>
              <w:t>1,457</w:t>
            </w:r>
          </w:p>
        </w:tc>
      </w:tr>
      <w:tr>
        <w:trPr>
          <w:trHeight w:val="22"/>
        </w:trPr>
        <w:tc>
          <w:tcPr>
            <w:tcW w:w="4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12"/>
        </w:trPr>
        <w:tc>
          <w:tcPr>
            <w:tcW w:w="4040" w:type="dxa"/>
            <w:vAlign w:val="bottom"/>
            <w:tcBorders>
              <w:bottom w:val="single" w:sz="8" w:color="D2DCE5"/>
            </w:tcBorders>
            <w:shd w:val="clear" w:color="auto" w:fill="D2DCE5"/>
          </w:tcPr>
          <w:p>
            <w:pPr>
              <w:spacing w:after="0"/>
              <w:rPr>
                <w:sz w:val="18"/>
                <w:szCs w:val="18"/>
                <w:color w:val="auto"/>
              </w:rPr>
            </w:pPr>
          </w:p>
        </w:tc>
        <w:tc>
          <w:tcPr>
            <w:tcW w:w="80" w:type="dxa"/>
            <w:vAlign w:val="bottom"/>
            <w:tcBorders>
              <w:bottom w:val="single" w:sz="8" w:color="D2DCE5"/>
            </w:tcBorders>
            <w:shd w:val="clear" w:color="auto" w:fill="D2DCE5"/>
          </w:tcPr>
          <w:p>
            <w:pPr>
              <w:spacing w:after="0"/>
              <w:rPr>
                <w:sz w:val="18"/>
                <w:szCs w:val="18"/>
                <w:color w:val="auto"/>
              </w:rPr>
            </w:pPr>
          </w:p>
        </w:tc>
        <w:tc>
          <w:tcPr>
            <w:tcW w:w="48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Other long-term assets</w:t>
            </w:r>
          </w:p>
        </w:tc>
        <w:tc>
          <w:tcPr>
            <w:tcW w:w="320" w:type="dxa"/>
            <w:vAlign w:val="bottom"/>
            <w:tcBorders>
              <w:bottom w:val="single" w:sz="8" w:color="D2DCE5"/>
            </w:tcBorders>
            <w:shd w:val="clear" w:color="auto" w:fill="D2DCE5"/>
          </w:tcPr>
          <w:p>
            <w:pPr>
              <w:spacing w:after="0"/>
              <w:rPr>
                <w:sz w:val="18"/>
                <w:szCs w:val="18"/>
                <w:color w:val="auto"/>
              </w:rPr>
            </w:pPr>
          </w:p>
        </w:tc>
        <w:tc>
          <w:tcPr>
            <w:tcW w:w="20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1,706</w:t>
            </w:r>
          </w:p>
        </w:tc>
      </w:tr>
      <w:tr>
        <w:trPr>
          <w:trHeight w:val="203"/>
        </w:trPr>
        <w:tc>
          <w:tcPr>
            <w:tcW w:w="4120" w:type="dxa"/>
            <w:vAlign w:val="bottom"/>
            <w:gridSpan w:val="2"/>
          </w:tcPr>
          <w:p>
            <w:pPr>
              <w:ind w:left="20"/>
              <w:spacing w:after="0"/>
              <w:rPr>
                <w:sz w:val="20"/>
                <w:szCs w:val="20"/>
                <w:color w:val="auto"/>
              </w:rPr>
            </w:pPr>
            <w:r>
              <w:rPr>
                <w:rFonts w:ascii="Arial" w:cs="Arial" w:eastAsia="Arial" w:hAnsi="Arial"/>
                <w:sz w:val="14"/>
                <w:szCs w:val="14"/>
                <w:b w:val="1"/>
                <w:bCs w:val="1"/>
                <w:color w:val="131E29"/>
              </w:rPr>
              <w:t>Total derivative instrument designated as cash flow hedge</w:t>
            </w:r>
          </w:p>
        </w:tc>
        <w:tc>
          <w:tcPr>
            <w:tcW w:w="4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color w:val="131E29"/>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rPr>
              <w:t>3,163</w:t>
            </w:r>
          </w:p>
        </w:tc>
      </w:tr>
      <w:tr>
        <w:trPr>
          <w:trHeight w:val="20"/>
        </w:trPr>
        <w:tc>
          <w:tcPr>
            <w:tcW w:w="4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7"/>
                <w:szCs w:val="17"/>
                <w:color w:val="auto"/>
              </w:rPr>
            </w:pPr>
          </w:p>
        </w:tc>
        <w:tc>
          <w:tcPr>
            <w:tcW w:w="364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131E29"/>
              </w:rPr>
              <w:t>Financial Statements Classification</w:t>
            </w:r>
          </w:p>
        </w:tc>
        <w:tc>
          <w:tcPr>
            <w:tcW w:w="80" w:type="dxa"/>
            <w:vAlign w:val="bottom"/>
            <w:tcBorders>
              <w:bottom w:val="single" w:sz="8" w:color="D2DCE5"/>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131E29"/>
              </w:rPr>
              <w:t>Year Ended December 31, 2022</w:t>
            </w:r>
          </w:p>
        </w:tc>
      </w:tr>
      <w:tr>
        <w:trPr>
          <w:trHeight w:val="192"/>
        </w:trPr>
        <w:tc>
          <w:tcPr>
            <w:tcW w:w="51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Derivative instrument designated as cash flow hedge:</w:t>
            </w:r>
          </w:p>
        </w:tc>
        <w:tc>
          <w:tcPr>
            <w:tcW w:w="364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120" w:type="dxa"/>
            <w:vAlign w:val="bottom"/>
            <w:tcBorders>
              <w:bottom w:val="single" w:sz="8" w:color="D2DCE5"/>
            </w:tcBorders>
            <w:shd w:val="clear" w:color="auto" w:fill="D2DCE5"/>
          </w:tcPr>
          <w:p>
            <w:pPr>
              <w:spacing w:after="0"/>
              <w:rPr>
                <w:sz w:val="16"/>
                <w:szCs w:val="16"/>
                <w:color w:val="auto"/>
              </w:rPr>
            </w:pPr>
          </w:p>
        </w:tc>
        <w:tc>
          <w:tcPr>
            <w:tcW w:w="2260" w:type="dxa"/>
            <w:vAlign w:val="bottom"/>
            <w:tcBorders>
              <w:bottom w:val="single" w:sz="8" w:color="D2DCE5"/>
            </w:tcBorders>
            <w:shd w:val="clear" w:color="auto" w:fill="D2DCE5"/>
          </w:tcPr>
          <w:p>
            <w:pPr>
              <w:spacing w:after="0"/>
              <w:rPr>
                <w:sz w:val="16"/>
                <w:szCs w:val="16"/>
                <w:color w:val="auto"/>
              </w:rPr>
            </w:pPr>
          </w:p>
        </w:tc>
      </w:tr>
      <w:tr>
        <w:trPr>
          <w:trHeight w:val="191"/>
        </w:trPr>
        <w:tc>
          <w:tcPr>
            <w:tcW w:w="5180" w:type="dxa"/>
            <w:vAlign w:val="bottom"/>
            <w:gridSpan w:val="2"/>
          </w:tcPr>
          <w:p>
            <w:pPr>
              <w:ind w:left="100"/>
              <w:spacing w:after="0"/>
              <w:rPr>
                <w:sz w:val="20"/>
                <w:szCs w:val="20"/>
                <w:color w:val="auto"/>
              </w:rPr>
            </w:pPr>
            <w:r>
              <w:rPr>
                <w:rFonts w:ascii="Arial" w:cs="Arial" w:eastAsia="Arial" w:hAnsi="Arial"/>
                <w:sz w:val="14"/>
                <w:szCs w:val="14"/>
                <w:color w:val="131E29"/>
              </w:rPr>
              <w:t>Income recognized in other comprehensive income before reclassifications</w:t>
            </w:r>
          </w:p>
        </w:tc>
        <w:tc>
          <w:tcPr>
            <w:tcW w:w="3720" w:type="dxa"/>
            <w:vAlign w:val="bottom"/>
            <w:gridSpan w:val="2"/>
          </w:tcPr>
          <w:p>
            <w:pPr>
              <w:ind w:left="20"/>
              <w:spacing w:after="0"/>
              <w:rPr>
                <w:sz w:val="20"/>
                <w:szCs w:val="20"/>
                <w:color w:val="auto"/>
              </w:rPr>
            </w:pPr>
            <w:r>
              <w:rPr>
                <w:rFonts w:ascii="Arial" w:cs="Arial" w:eastAsia="Arial" w:hAnsi="Arial"/>
                <w:sz w:val="14"/>
                <w:szCs w:val="14"/>
                <w:color w:val="131E29"/>
              </w:rPr>
              <w:t>Statement of Comprehensive Income</w:t>
            </w:r>
          </w:p>
        </w:tc>
        <w:tc>
          <w:tcPr>
            <w:tcW w:w="120" w:type="dxa"/>
            <w:vAlign w:val="bottom"/>
          </w:tcPr>
          <w:p>
            <w:pPr>
              <w:jc w:val="right"/>
              <w:spacing w:after="0"/>
              <w:rPr>
                <w:sz w:val="20"/>
                <w:szCs w:val="20"/>
                <w:color w:val="auto"/>
              </w:rPr>
            </w:pPr>
            <w:r>
              <w:rPr>
                <w:rFonts w:ascii="Arial" w:cs="Arial" w:eastAsia="Arial" w:hAnsi="Arial"/>
                <w:sz w:val="14"/>
                <w:szCs w:val="14"/>
                <w:color w:val="131E29"/>
                <w:w w:val="76"/>
              </w:rPr>
              <w:t>$</w:t>
            </w:r>
          </w:p>
        </w:tc>
        <w:tc>
          <w:tcPr>
            <w:tcW w:w="2260" w:type="dxa"/>
            <w:vAlign w:val="bottom"/>
          </w:tcPr>
          <w:p>
            <w:pPr>
              <w:jc w:val="right"/>
              <w:spacing w:after="0"/>
              <w:rPr>
                <w:sz w:val="20"/>
                <w:szCs w:val="20"/>
                <w:color w:val="auto"/>
              </w:rPr>
            </w:pPr>
            <w:r>
              <w:rPr>
                <w:rFonts w:ascii="Arial" w:cs="Arial" w:eastAsia="Arial" w:hAnsi="Arial"/>
                <w:sz w:val="14"/>
                <w:szCs w:val="14"/>
                <w:color w:val="131E29"/>
              </w:rPr>
              <w:t>2,966</w:t>
            </w:r>
          </w:p>
        </w:tc>
      </w:tr>
      <w:tr>
        <w:trPr>
          <w:trHeight w:val="22"/>
        </w:trPr>
        <w:tc>
          <w:tcPr>
            <w:tcW w:w="5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0"/>
        </w:trPr>
        <w:tc>
          <w:tcPr>
            <w:tcW w:w="5180" w:type="dxa"/>
            <w:vAlign w:val="bottom"/>
            <w:gridSpan w:val="2"/>
            <w:shd w:val="clear" w:color="auto" w:fill="D2DCE5"/>
          </w:tcPr>
          <w:p>
            <w:pPr>
              <w:ind w:left="100"/>
              <w:spacing w:after="0"/>
              <w:rPr>
                <w:sz w:val="20"/>
                <w:szCs w:val="20"/>
                <w:color w:val="auto"/>
              </w:rPr>
            </w:pPr>
            <w:r>
              <w:rPr>
                <w:rFonts w:ascii="Arial" w:cs="Arial" w:eastAsia="Arial" w:hAnsi="Arial"/>
                <w:sz w:val="14"/>
                <w:szCs w:val="14"/>
                <w:color w:val="131E29"/>
              </w:rPr>
              <w:t>Reclassification from accumulated other comprehensive income to earnings for</w:t>
            </w:r>
          </w:p>
        </w:tc>
        <w:tc>
          <w:tcPr>
            <w:tcW w:w="36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20" w:type="dxa"/>
            <w:vAlign w:val="bottom"/>
            <w:shd w:val="clear" w:color="auto" w:fill="D2DCE5"/>
          </w:tcPr>
          <w:p>
            <w:pPr>
              <w:spacing w:after="0"/>
              <w:rPr>
                <w:sz w:val="16"/>
                <w:szCs w:val="16"/>
                <w:color w:val="auto"/>
              </w:rPr>
            </w:pPr>
          </w:p>
        </w:tc>
        <w:tc>
          <w:tcPr>
            <w:tcW w:w="2260" w:type="dxa"/>
            <w:vAlign w:val="bottom"/>
            <w:shd w:val="clear" w:color="auto" w:fill="D2DCE5"/>
          </w:tcPr>
          <w:p>
            <w:pPr>
              <w:spacing w:after="0"/>
              <w:rPr>
                <w:sz w:val="16"/>
                <w:szCs w:val="16"/>
                <w:color w:val="auto"/>
              </w:rPr>
            </w:pPr>
          </w:p>
        </w:tc>
      </w:tr>
      <w:tr>
        <w:trPr>
          <w:trHeight w:val="172"/>
        </w:trPr>
        <w:tc>
          <w:tcPr>
            <w:tcW w:w="5180" w:type="dxa"/>
            <w:vAlign w:val="bottom"/>
            <w:tcBorders>
              <w:bottom w:val="single" w:sz="8" w:color="D2DCE5"/>
            </w:tcBorders>
            <w:gridSpan w:val="2"/>
            <w:shd w:val="clear" w:color="auto" w:fill="D2DCE5"/>
          </w:tcPr>
          <w:p>
            <w:pPr>
              <w:ind w:left="100"/>
              <w:spacing w:after="0"/>
              <w:rPr>
                <w:sz w:val="20"/>
                <w:szCs w:val="20"/>
                <w:color w:val="auto"/>
              </w:rPr>
            </w:pPr>
            <w:r>
              <w:rPr>
                <w:rFonts w:ascii="Arial" w:cs="Arial" w:eastAsia="Arial" w:hAnsi="Arial"/>
                <w:sz w:val="14"/>
                <w:szCs w:val="14"/>
                <w:color w:val="131E29"/>
              </w:rPr>
              <w:t>the effective portion</w:t>
            </w:r>
          </w:p>
        </w:tc>
        <w:tc>
          <w:tcPr>
            <w:tcW w:w="37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Statement of Operations - Interest expense, net</w:t>
            </w:r>
          </w:p>
        </w:tc>
        <w:tc>
          <w:tcPr>
            <w:tcW w:w="1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w w:val="76"/>
              </w:rPr>
              <w:t>$</w:t>
            </w:r>
          </w:p>
        </w:tc>
        <w:tc>
          <w:tcPr>
            <w:tcW w:w="22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215</w:t>
            </w:r>
          </w:p>
        </w:tc>
      </w:tr>
      <w:tr>
        <w:trPr>
          <w:trHeight w:val="191"/>
        </w:trPr>
        <w:tc>
          <w:tcPr>
            <w:tcW w:w="5180" w:type="dxa"/>
            <w:vAlign w:val="bottom"/>
            <w:gridSpan w:val="2"/>
          </w:tcPr>
          <w:p>
            <w:pPr>
              <w:ind w:left="100"/>
              <w:spacing w:after="0"/>
              <w:rPr>
                <w:sz w:val="20"/>
                <w:szCs w:val="20"/>
                <w:color w:val="auto"/>
              </w:rPr>
            </w:pPr>
            <w:r>
              <w:rPr>
                <w:rFonts w:ascii="Arial" w:cs="Arial" w:eastAsia="Arial" w:hAnsi="Arial"/>
                <w:sz w:val="14"/>
                <w:szCs w:val="14"/>
                <w:color w:val="131E29"/>
              </w:rPr>
              <w:t>Income tax expense</w:t>
            </w:r>
          </w:p>
        </w:tc>
        <w:tc>
          <w:tcPr>
            <w:tcW w:w="3720" w:type="dxa"/>
            <w:vAlign w:val="bottom"/>
            <w:gridSpan w:val="2"/>
          </w:tcPr>
          <w:p>
            <w:pPr>
              <w:ind w:left="20"/>
              <w:spacing w:after="0"/>
              <w:rPr>
                <w:sz w:val="20"/>
                <w:szCs w:val="20"/>
                <w:color w:val="auto"/>
              </w:rPr>
            </w:pPr>
            <w:r>
              <w:rPr>
                <w:rFonts w:ascii="Arial" w:cs="Arial" w:eastAsia="Arial" w:hAnsi="Arial"/>
                <w:sz w:val="14"/>
                <w:szCs w:val="14"/>
                <w:color w:val="131E29"/>
              </w:rPr>
              <w:t>Statement of Operations - Income tax expense</w:t>
            </w:r>
          </w:p>
        </w:tc>
        <w:tc>
          <w:tcPr>
            <w:tcW w:w="120" w:type="dxa"/>
            <w:vAlign w:val="bottom"/>
          </w:tcPr>
          <w:p>
            <w:pPr>
              <w:jc w:val="right"/>
              <w:spacing w:after="0"/>
              <w:rPr>
                <w:sz w:val="20"/>
                <w:szCs w:val="20"/>
                <w:color w:val="auto"/>
              </w:rPr>
            </w:pPr>
            <w:r>
              <w:rPr>
                <w:rFonts w:ascii="Arial" w:cs="Arial" w:eastAsia="Arial" w:hAnsi="Arial"/>
                <w:sz w:val="14"/>
                <w:szCs w:val="14"/>
                <w:color w:val="131E29"/>
                <w:w w:val="76"/>
              </w:rPr>
              <w:t>$</w:t>
            </w:r>
          </w:p>
        </w:tc>
        <w:tc>
          <w:tcPr>
            <w:tcW w:w="2260" w:type="dxa"/>
            <w:vAlign w:val="bottom"/>
          </w:tcPr>
          <w:p>
            <w:pPr>
              <w:jc w:val="right"/>
              <w:spacing w:after="0"/>
              <w:rPr>
                <w:sz w:val="20"/>
                <w:szCs w:val="20"/>
                <w:color w:val="auto"/>
              </w:rPr>
            </w:pPr>
            <w:r>
              <w:rPr>
                <w:rFonts w:ascii="Arial" w:cs="Arial" w:eastAsia="Arial" w:hAnsi="Arial"/>
                <w:sz w:val="14"/>
                <w:szCs w:val="14"/>
                <w:color w:val="131E29"/>
              </w:rPr>
              <w:t>(273)</w:t>
            </w:r>
          </w:p>
        </w:tc>
      </w:tr>
    </w:tbl>
    <w:p>
      <w:pPr>
        <w:spacing w:after="0" w:line="223" w:lineRule="exact"/>
        <w:rPr>
          <w:sz w:val="20"/>
          <w:szCs w:val="20"/>
          <w:color w:val="auto"/>
        </w:rPr>
      </w:pPr>
    </w:p>
    <w:p>
      <w:pPr>
        <w:ind w:right="220"/>
        <w:spacing w:after="0" w:line="266" w:lineRule="auto"/>
        <w:rPr>
          <w:sz w:val="20"/>
          <w:szCs w:val="20"/>
          <w:color w:val="auto"/>
        </w:rPr>
      </w:pPr>
      <w:r>
        <w:rPr>
          <w:rFonts w:ascii="Arial" w:cs="Arial" w:eastAsia="Arial" w:hAnsi="Arial"/>
          <w:sz w:val="14"/>
          <w:szCs w:val="14"/>
          <w:color w:val="131E29"/>
        </w:rPr>
        <w:t>For additional information related to the Company’s derivative, see NOTE 2 — Basis of Presentation and Summary of Significant Accounting Policies and NOTE 10 — Fair Value Measurements.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12 — Tax Receivable Agreements</w:t>
      </w:r>
    </w:p>
    <w:p>
      <w:pPr>
        <w:spacing w:after="0" w:line="147" w:lineRule="exact"/>
        <w:rPr>
          <w:sz w:val="20"/>
          <w:szCs w:val="20"/>
          <w:color w:val="auto"/>
        </w:rPr>
      </w:pPr>
    </w:p>
    <w:p>
      <w:pPr>
        <w:spacing w:after="0" w:line="266" w:lineRule="auto"/>
        <w:rPr>
          <w:sz w:val="20"/>
          <w:szCs w:val="20"/>
          <w:color w:val="auto"/>
        </w:rPr>
      </w:pPr>
      <w:r>
        <w:rPr>
          <w:rFonts w:ascii="Arial" w:cs="Arial" w:eastAsia="Arial" w:hAnsi="Arial"/>
          <w:sz w:val="14"/>
          <w:szCs w:val="14"/>
          <w:color w:val="131E29"/>
        </w:rPr>
        <w:t>In connection with the Reorganization Transactions and the IPO, the Company entered into (i) the Exchange Tax Receivable Agreement with the holders of Class B common stock and Class C common stock (the Exchange Reorganization Agreement), and (ii) the Reorganization Tax Receivable Agreement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126" w:name="page127"/>
    <w:bookmarkEnd w:id="126"/>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131E29"/>
        </w:rPr>
        <w:t>with the holders of Class D common stock (the Reorganization Tax Receivable Agreement and together with the Exchange Tax Receivable Agreement, the Tax Receivable Agreements or TRAs). These TRAs provide for the payment by Dutch Bros Inc. or any member of its affiliated, consolidated, combined, or unitary tax group (collectively, the Dutch Bros Tax Group) to such Pre-IPO Owners (pre-IPO Dutch Bros OpCo unitholders and Pre-IPO Blocker Holders) of 85.0% of the benefits, if any, the Dutch Bros Tax Group actually realizes, or is deemed to realize in certain circumstances, as a result of certain tax attributes and benefits covered by the Tax Receivable Agreements. The Exchange Tax Receivable Agreement provides for the payment by members of the Dutch Bros Tax Group to certain Pre-IPO Dutch Bros OpCo Unitholders of 85% of the benefits, if any, that the Dutch Bros Tax Group realizes as a result of (i) the Dutch Bros Tax Group’s allocable share of existing tax basis acquired in the IPO and (ii) increases in the Dutch Bros Tax Group’s allocable share of existing tax basis and tax basis adjustments that will increase the tax basis of the tangible and intangible assets of the Dutch Bros Tax Group as a result of sales or exchanges of OpCo Units for shares of Class A common stock after the IPO, (iii) disproportionate allocations (if any) of tax benefits to Dutch Bros Inc. under section 704(c) of the code as a result of Dutch Bros Inc.’s earlier acquisition of Dutch Bros OpCo Class A common units in connection with the IPO and (iv) certain other tax benefits, including tax benefits attributable to payments under the Exchange Tax Receivable Agreement. The Reorganization Tax Receivable Agreement provides for the payment by Dutch Bros Inc. to the Pre-IPO Blocker Holders of 85% of the benefits, if any, that the Dutch Bros Tax Group realizes as a result of the Dutch Bros Tax Group’s utilization of certain tax attributes of the Blocker Companies (including the Dutch Bros Tax Group’s allocable share of existing tax basis acquired in the Reorganization Transactions), and certain other tax benefits, including tax benefits attributable to payments under the Reorganization Tax Receivable Agreement. The Company expects to benefit from the remaining 15% of any cash savings that it realizes.</w:t>
      </w:r>
    </w:p>
    <w:p>
      <w:pPr>
        <w:spacing w:after="0" w:line="28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The Company expects to obtain an increase in its share of the tax basis in the net assets of Dutch Bros OpCo when OpCo Units are exchanged by Pre-IPO Dutch Bros OpCo Unitholders. The Company intends to treat any redemptions and exchanges of OpCo Units as direct purchases for U.S. federal income tax purposes. These increases in tax basis may reduce the amounts that it would otherwise pay in the future to various tax authorities. They may also decrease gains (or increase losses) on future dispositions of certain capital assets to the extent tax basis is allocated to those capital assets.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0" w:type="dxa"/>
            <w:vAlign w:val="bottom"/>
            <w:gridSpan w:val="2"/>
          </w:tcPr>
          <w:p>
            <w:pPr>
              <w:spacing w:after="0"/>
              <w:rPr>
                <w:sz w:val="20"/>
                <w:szCs w:val="20"/>
                <w:color w:val="auto"/>
              </w:rPr>
            </w:pPr>
            <w:r>
              <w:rPr>
                <w:rFonts w:ascii="Arial" w:cs="Arial" w:eastAsia="Arial" w:hAnsi="Arial"/>
                <w:sz w:val="14"/>
                <w:szCs w:val="14"/>
                <w:color w:val="131E29"/>
              </w:rPr>
              <w:t>The changes related to the Company’s TRAs were as follows:</w:t>
            </w: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2"/>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100" w:type="dxa"/>
            <w:vAlign w:val="bottom"/>
            <w:tcBorders>
              <w:bottom w:val="single" w:sz="8" w:color="D2DCE5"/>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131E29"/>
              </w:rPr>
              <w:t>December 31, 2022</w:t>
            </w:r>
          </w:p>
        </w:tc>
        <w:tc>
          <w:tcPr>
            <w:tcW w:w="80" w:type="dxa"/>
            <w:vAlign w:val="bottom"/>
            <w:tcBorders>
              <w:bottom w:val="single" w:sz="8" w:color="D2DCE5"/>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131E29"/>
              </w:rPr>
              <w:t>December 31, 2021</w:t>
            </w:r>
          </w:p>
        </w:tc>
        <w:tc>
          <w:tcPr>
            <w:tcW w:w="0" w:type="dxa"/>
            <w:vAlign w:val="bottom"/>
          </w:tcPr>
          <w:p>
            <w:pPr>
              <w:spacing w:after="0"/>
              <w:rPr>
                <w:sz w:val="1"/>
                <w:szCs w:val="1"/>
                <w:color w:val="auto"/>
              </w:rPr>
            </w:pPr>
          </w:p>
        </w:tc>
      </w:tr>
      <w:tr>
        <w:trPr>
          <w:trHeight w:val="192"/>
        </w:trPr>
        <w:tc>
          <w:tcPr>
            <w:tcW w:w="76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TRAs liability, beginning balance</w:t>
            </w:r>
          </w:p>
        </w:tc>
        <w:tc>
          <w:tcPr>
            <w:tcW w:w="160" w:type="dxa"/>
            <w:vAlign w:val="bottom"/>
            <w:tcBorders>
              <w:bottom w:val="single" w:sz="8" w:color="D2DCE5"/>
            </w:tcBorders>
            <w:shd w:val="clear" w:color="auto" w:fill="D2DCE5"/>
          </w:tcPr>
          <w:p>
            <w:pPr>
              <w:jc w:val="right"/>
              <w:ind w:right="9"/>
              <w:spacing w:after="0"/>
              <w:rPr>
                <w:sz w:val="20"/>
                <w:szCs w:val="20"/>
                <w:color w:val="auto"/>
              </w:rPr>
            </w:pPr>
            <w:r>
              <w:rPr>
                <w:rFonts w:ascii="Arial" w:cs="Arial" w:eastAsia="Arial" w:hAnsi="Arial"/>
                <w:sz w:val="14"/>
                <w:szCs w:val="14"/>
                <w:color w:val="131E29"/>
                <w:w w:val="76"/>
              </w:rPr>
              <w:t>$</w:t>
            </w:r>
          </w:p>
        </w:tc>
        <w:tc>
          <w:tcPr>
            <w:tcW w:w="16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109,733</w:t>
            </w:r>
          </w:p>
        </w:tc>
        <w:tc>
          <w:tcPr>
            <w:tcW w:w="80" w:type="dxa"/>
            <w:vAlign w:val="bottom"/>
            <w:tcBorders>
              <w:bottom w:val="single" w:sz="8" w:color="D2DCE5"/>
            </w:tcBorders>
            <w:shd w:val="clear" w:color="auto" w:fill="D2DCE5"/>
          </w:tcPr>
          <w:p>
            <w:pPr>
              <w:spacing w:after="0"/>
              <w:rPr>
                <w:sz w:val="16"/>
                <w:szCs w:val="16"/>
                <w:color w:val="auto"/>
              </w:rPr>
            </w:pPr>
          </w:p>
        </w:tc>
        <w:tc>
          <w:tcPr>
            <w:tcW w:w="180" w:type="dxa"/>
            <w:vAlign w:val="bottom"/>
            <w:tcBorders>
              <w:bottom w:val="single" w:sz="8" w:color="D2DCE5"/>
            </w:tcBorders>
            <w:shd w:val="clear" w:color="auto" w:fill="D2DCE5"/>
          </w:tcPr>
          <w:p>
            <w:pPr>
              <w:jc w:val="right"/>
              <w:ind w:right="9"/>
              <w:spacing w:after="0"/>
              <w:rPr>
                <w:sz w:val="20"/>
                <w:szCs w:val="20"/>
                <w:color w:val="auto"/>
              </w:rPr>
            </w:pPr>
            <w:r>
              <w:rPr>
                <w:rFonts w:ascii="Arial" w:cs="Arial" w:eastAsia="Arial" w:hAnsi="Arial"/>
                <w:sz w:val="14"/>
                <w:szCs w:val="14"/>
                <w:color w:val="131E29"/>
              </w:rPr>
              <w:t>$</w:t>
            </w:r>
          </w:p>
        </w:tc>
        <w:tc>
          <w:tcPr>
            <w:tcW w:w="16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191"/>
        </w:trPr>
        <w:tc>
          <w:tcPr>
            <w:tcW w:w="7600" w:type="dxa"/>
            <w:vAlign w:val="bottom"/>
            <w:gridSpan w:val="2"/>
          </w:tcPr>
          <w:p>
            <w:pPr>
              <w:ind w:left="20"/>
              <w:spacing w:after="0"/>
              <w:rPr>
                <w:sz w:val="20"/>
                <w:szCs w:val="20"/>
                <w:color w:val="auto"/>
              </w:rPr>
            </w:pPr>
            <w:r>
              <w:rPr>
                <w:rFonts w:ascii="Arial" w:cs="Arial" w:eastAsia="Arial" w:hAnsi="Arial"/>
                <w:sz w:val="14"/>
                <w:szCs w:val="14"/>
                <w:color w:val="131E29"/>
              </w:rPr>
              <w:t>Additions (reductions) to TRAs:</w:t>
            </w: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60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4"/>
                <w:szCs w:val="14"/>
                <w:color w:val="131E29"/>
              </w:rPr>
              <w:t>Exchange of Dutch Bros OpCo Class A common units for Class A common stock</w:t>
            </w:r>
          </w:p>
        </w:tc>
        <w:tc>
          <w:tcPr>
            <w:tcW w:w="160" w:type="dxa"/>
            <w:vAlign w:val="bottom"/>
            <w:tcBorders>
              <w:bottom w:val="single" w:sz="8" w:color="D2DCE5"/>
            </w:tcBorders>
            <w:shd w:val="clear" w:color="auto" w:fill="D2DCE5"/>
          </w:tcPr>
          <w:p>
            <w:pPr>
              <w:spacing w:after="0"/>
              <w:rPr>
                <w:sz w:val="16"/>
                <w:szCs w:val="16"/>
                <w:color w:val="auto"/>
              </w:rPr>
            </w:pPr>
          </w:p>
        </w:tc>
        <w:tc>
          <w:tcPr>
            <w:tcW w:w="16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114,656</w:t>
            </w:r>
          </w:p>
        </w:tc>
        <w:tc>
          <w:tcPr>
            <w:tcW w:w="80" w:type="dxa"/>
            <w:vAlign w:val="bottom"/>
            <w:tcBorders>
              <w:bottom w:val="single" w:sz="8" w:color="D2DCE5"/>
            </w:tcBorders>
            <w:shd w:val="clear" w:color="auto" w:fill="D2DCE5"/>
          </w:tcPr>
          <w:p>
            <w:pPr>
              <w:spacing w:after="0"/>
              <w:rPr>
                <w:sz w:val="16"/>
                <w:szCs w:val="16"/>
                <w:color w:val="auto"/>
              </w:rPr>
            </w:pPr>
          </w:p>
        </w:tc>
        <w:tc>
          <w:tcPr>
            <w:tcW w:w="180" w:type="dxa"/>
            <w:vAlign w:val="bottom"/>
            <w:tcBorders>
              <w:bottom w:val="single" w:sz="8" w:color="D2DCE5"/>
            </w:tcBorders>
            <w:shd w:val="clear" w:color="auto" w:fill="D2DCE5"/>
          </w:tcPr>
          <w:p>
            <w:pPr>
              <w:spacing w:after="0"/>
              <w:rPr>
                <w:sz w:val="16"/>
                <w:szCs w:val="16"/>
                <w:color w:val="auto"/>
              </w:rPr>
            </w:pPr>
          </w:p>
        </w:tc>
        <w:tc>
          <w:tcPr>
            <w:tcW w:w="16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109,733</w:t>
            </w:r>
          </w:p>
        </w:tc>
        <w:tc>
          <w:tcPr>
            <w:tcW w:w="0" w:type="dxa"/>
            <w:vAlign w:val="bottom"/>
          </w:tcPr>
          <w:p>
            <w:pPr>
              <w:spacing w:after="0"/>
              <w:rPr>
                <w:sz w:val="1"/>
                <w:szCs w:val="1"/>
                <w:color w:val="auto"/>
              </w:rPr>
            </w:pPr>
          </w:p>
        </w:tc>
      </w:tr>
      <w:tr>
        <w:trPr>
          <w:trHeight w:val="212"/>
        </w:trPr>
        <w:tc>
          <w:tcPr>
            <w:tcW w:w="7600" w:type="dxa"/>
            <w:vAlign w:val="bottom"/>
            <w:tcBorders>
              <w:bottom w:val="single" w:sz="8" w:color="D2DCE5"/>
            </w:tcBorders>
            <w:gridSpan w:val="2"/>
          </w:tcPr>
          <w:p>
            <w:pPr>
              <w:ind w:left="180"/>
              <w:spacing w:after="0"/>
              <w:rPr>
                <w:sz w:val="20"/>
                <w:szCs w:val="20"/>
                <w:color w:val="auto"/>
              </w:rPr>
            </w:pPr>
            <w:r>
              <w:rPr>
                <w:rFonts w:ascii="Arial" w:cs="Arial" w:eastAsia="Arial" w:hAnsi="Arial"/>
                <w:sz w:val="14"/>
                <w:szCs w:val="14"/>
                <w:color w:val="131E29"/>
              </w:rPr>
              <w:t xml:space="preserve">TRAs remeasurements </w:t>
            </w:r>
            <w:r>
              <w:rPr>
                <w:rFonts w:ascii="Arial" w:cs="Arial" w:eastAsia="Arial" w:hAnsi="Arial"/>
                <w:sz w:val="18"/>
                <w:szCs w:val="18"/>
                <w:color w:val="131E29"/>
                <w:vertAlign w:val="superscript"/>
              </w:rPr>
              <w:t>1</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(3,466)</w:t>
            </w:r>
          </w:p>
        </w:tc>
        <w:tc>
          <w:tcPr>
            <w:tcW w:w="80" w:type="dxa"/>
            <w:vAlign w:val="bottom"/>
            <w:tcBorders>
              <w:bottom w:val="single" w:sz="8" w:color="D2DCE5"/>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183"/>
        </w:trPr>
        <w:tc>
          <w:tcPr>
            <w:tcW w:w="7500" w:type="dxa"/>
            <w:vAlign w:val="bottom"/>
            <w:tcBorders>
              <w:bottom w:val="single" w:sz="8" w:color="D2DCE5"/>
            </w:tcBorders>
            <w:shd w:val="clear" w:color="auto" w:fill="D2DCE5"/>
          </w:tcPr>
          <w:p>
            <w:pPr>
              <w:spacing w:after="0"/>
              <w:rPr>
                <w:sz w:val="15"/>
                <w:szCs w:val="15"/>
                <w:color w:val="auto"/>
              </w:rPr>
            </w:pPr>
          </w:p>
        </w:tc>
        <w:tc>
          <w:tcPr>
            <w:tcW w:w="100" w:type="dxa"/>
            <w:vAlign w:val="bottom"/>
            <w:tcBorders>
              <w:bottom w:val="single" w:sz="8" w:color="D2DCE5"/>
            </w:tcBorders>
            <w:shd w:val="clear" w:color="auto" w:fill="D2DCE5"/>
          </w:tcPr>
          <w:p>
            <w:pPr>
              <w:spacing w:after="0"/>
              <w:rPr>
                <w:sz w:val="15"/>
                <w:szCs w:val="15"/>
                <w:color w:val="auto"/>
              </w:rPr>
            </w:pPr>
          </w:p>
        </w:tc>
        <w:tc>
          <w:tcPr>
            <w:tcW w:w="160" w:type="dxa"/>
            <w:vAlign w:val="bottom"/>
            <w:tcBorders>
              <w:bottom w:val="single" w:sz="8" w:color="D2DCE5"/>
            </w:tcBorders>
            <w:shd w:val="clear" w:color="auto" w:fill="D2DCE5"/>
          </w:tcPr>
          <w:p>
            <w:pPr>
              <w:jc w:val="right"/>
              <w:ind w:right="9"/>
              <w:spacing w:after="0"/>
              <w:rPr>
                <w:sz w:val="20"/>
                <w:szCs w:val="20"/>
                <w:color w:val="auto"/>
              </w:rPr>
            </w:pPr>
            <w:r>
              <w:rPr>
                <w:rFonts w:ascii="Arial" w:cs="Arial" w:eastAsia="Arial" w:hAnsi="Arial"/>
                <w:sz w:val="14"/>
                <w:szCs w:val="14"/>
                <w:color w:val="131E29"/>
                <w:w w:val="76"/>
              </w:rPr>
              <w:t>$</w:t>
            </w:r>
          </w:p>
        </w:tc>
        <w:tc>
          <w:tcPr>
            <w:tcW w:w="16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220,923</w:t>
            </w:r>
          </w:p>
        </w:tc>
        <w:tc>
          <w:tcPr>
            <w:tcW w:w="80" w:type="dxa"/>
            <w:vAlign w:val="bottom"/>
            <w:tcBorders>
              <w:bottom w:val="single" w:sz="8" w:color="D2DCE5"/>
            </w:tcBorders>
            <w:shd w:val="clear" w:color="auto" w:fill="D2DCE5"/>
          </w:tcPr>
          <w:p>
            <w:pPr>
              <w:spacing w:after="0"/>
              <w:rPr>
                <w:sz w:val="15"/>
                <w:szCs w:val="15"/>
                <w:color w:val="auto"/>
              </w:rPr>
            </w:pPr>
          </w:p>
        </w:tc>
        <w:tc>
          <w:tcPr>
            <w:tcW w:w="180" w:type="dxa"/>
            <w:vAlign w:val="bottom"/>
            <w:tcBorders>
              <w:bottom w:val="single" w:sz="8" w:color="D2DCE5"/>
            </w:tcBorders>
            <w:shd w:val="clear" w:color="auto" w:fill="D2DCE5"/>
          </w:tcPr>
          <w:p>
            <w:pPr>
              <w:jc w:val="right"/>
              <w:ind w:right="9"/>
              <w:spacing w:after="0"/>
              <w:rPr>
                <w:sz w:val="20"/>
                <w:szCs w:val="20"/>
                <w:color w:val="auto"/>
              </w:rPr>
            </w:pPr>
            <w:r>
              <w:rPr>
                <w:rFonts w:ascii="Arial" w:cs="Arial" w:eastAsia="Arial" w:hAnsi="Arial"/>
                <w:sz w:val="14"/>
                <w:szCs w:val="14"/>
                <w:color w:val="131E29"/>
              </w:rPr>
              <w:t>$</w:t>
            </w:r>
          </w:p>
        </w:tc>
        <w:tc>
          <w:tcPr>
            <w:tcW w:w="16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109,733</w:t>
            </w:r>
          </w:p>
        </w:tc>
        <w:tc>
          <w:tcPr>
            <w:tcW w:w="0" w:type="dxa"/>
            <w:vAlign w:val="bottom"/>
          </w:tcPr>
          <w:p>
            <w:pPr>
              <w:spacing w:after="0"/>
              <w:rPr>
                <w:sz w:val="1"/>
                <w:szCs w:val="1"/>
                <w:color w:val="auto"/>
              </w:rPr>
            </w:pPr>
          </w:p>
        </w:tc>
      </w:tr>
      <w:tr>
        <w:trPr>
          <w:trHeight w:val="191"/>
        </w:trPr>
        <w:tc>
          <w:tcPr>
            <w:tcW w:w="7600" w:type="dxa"/>
            <w:vAlign w:val="bottom"/>
            <w:gridSpan w:val="2"/>
          </w:tcPr>
          <w:p>
            <w:pPr>
              <w:ind w:left="20"/>
              <w:spacing w:after="0"/>
              <w:rPr>
                <w:sz w:val="20"/>
                <w:szCs w:val="20"/>
                <w:color w:val="auto"/>
              </w:rPr>
            </w:pPr>
            <w:r>
              <w:rPr>
                <w:rFonts w:ascii="Arial" w:cs="Arial" w:eastAsia="Arial" w:hAnsi="Arial"/>
                <w:sz w:val="14"/>
                <w:szCs w:val="14"/>
                <w:color w:val="131E29"/>
              </w:rPr>
              <w:t>Less: current portion under TRAs liability</w:t>
            </w:r>
          </w:p>
        </w:tc>
        <w:tc>
          <w:tcPr>
            <w:tcW w:w="160" w:type="dxa"/>
            <w:vAlign w:val="bottom"/>
          </w:tcPr>
          <w:p>
            <w:pPr>
              <w:spacing w:after="0"/>
              <w:rPr>
                <w:sz w:val="16"/>
                <w:szCs w:val="16"/>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131E29"/>
              </w:rPr>
              <w:t>(450)</w:t>
            </w:r>
          </w:p>
        </w:tc>
        <w:tc>
          <w:tcPr>
            <w:tcW w:w="0" w:type="dxa"/>
            <w:vAlign w:val="bottom"/>
          </w:tcPr>
          <w:p>
            <w:pPr>
              <w:spacing w:after="0"/>
              <w:rPr>
                <w:sz w:val="1"/>
                <w:szCs w:val="1"/>
                <w:color w:val="auto"/>
              </w:rPr>
            </w:pPr>
          </w:p>
        </w:tc>
      </w:tr>
      <w:tr>
        <w:trPr>
          <w:trHeight w:val="22"/>
        </w:trPr>
        <w:tc>
          <w:tcPr>
            <w:tcW w:w="7500" w:type="dxa"/>
            <w:vAlign w:val="bottom"/>
            <w:tcBorders>
              <w:bottom w:val="single" w:sz="8" w:color="D2DCE5"/>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76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TRAs liability, net of current portion, ending balance</w:t>
            </w:r>
          </w:p>
        </w:tc>
        <w:tc>
          <w:tcPr>
            <w:tcW w:w="160" w:type="dxa"/>
            <w:vAlign w:val="bottom"/>
            <w:tcBorders>
              <w:bottom w:val="single" w:sz="8" w:color="auto"/>
            </w:tcBorders>
            <w:shd w:val="clear" w:color="auto" w:fill="D2DCE5"/>
          </w:tcPr>
          <w:p>
            <w:pPr>
              <w:jc w:val="right"/>
              <w:ind w:right="9"/>
              <w:spacing w:after="0"/>
              <w:rPr>
                <w:sz w:val="20"/>
                <w:szCs w:val="20"/>
                <w:color w:val="auto"/>
              </w:rPr>
            </w:pPr>
            <w:r>
              <w:rPr>
                <w:rFonts w:ascii="Arial" w:cs="Arial" w:eastAsia="Arial" w:hAnsi="Arial"/>
                <w:sz w:val="14"/>
                <w:szCs w:val="14"/>
                <w:color w:val="131E29"/>
                <w:w w:val="76"/>
              </w:rPr>
              <w:t>$</w:t>
            </w:r>
          </w:p>
        </w:tc>
        <w:tc>
          <w:tcPr>
            <w:tcW w:w="16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220,923</w:t>
            </w:r>
          </w:p>
        </w:tc>
        <w:tc>
          <w:tcPr>
            <w:tcW w:w="80" w:type="dxa"/>
            <w:vAlign w:val="bottom"/>
            <w:tcBorders>
              <w:bottom w:val="single" w:sz="8" w:color="D2DCE5"/>
            </w:tcBorders>
            <w:shd w:val="clear" w:color="auto" w:fill="D2DCE5"/>
          </w:tcPr>
          <w:p>
            <w:pPr>
              <w:spacing w:after="0"/>
              <w:rPr>
                <w:sz w:val="19"/>
                <w:szCs w:val="19"/>
                <w:color w:val="auto"/>
              </w:rPr>
            </w:pPr>
          </w:p>
        </w:tc>
        <w:tc>
          <w:tcPr>
            <w:tcW w:w="180" w:type="dxa"/>
            <w:vAlign w:val="bottom"/>
            <w:tcBorders>
              <w:bottom w:val="single" w:sz="8" w:color="auto"/>
            </w:tcBorders>
            <w:shd w:val="clear" w:color="auto" w:fill="D2DCE5"/>
          </w:tcPr>
          <w:p>
            <w:pPr>
              <w:jc w:val="right"/>
              <w:ind w:right="9"/>
              <w:spacing w:after="0"/>
              <w:rPr>
                <w:sz w:val="20"/>
                <w:szCs w:val="20"/>
                <w:color w:val="auto"/>
              </w:rPr>
            </w:pPr>
            <w:r>
              <w:rPr>
                <w:rFonts w:ascii="Arial" w:cs="Arial" w:eastAsia="Arial" w:hAnsi="Arial"/>
                <w:sz w:val="14"/>
                <w:szCs w:val="14"/>
                <w:color w:val="131E29"/>
              </w:rPr>
              <w:t>$</w:t>
            </w:r>
          </w:p>
        </w:tc>
        <w:tc>
          <w:tcPr>
            <w:tcW w:w="16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109,283</w:t>
            </w:r>
          </w:p>
        </w:tc>
        <w:tc>
          <w:tcPr>
            <w:tcW w:w="0" w:type="dxa"/>
            <w:vAlign w:val="bottom"/>
          </w:tcPr>
          <w:p>
            <w:pPr>
              <w:spacing w:after="0"/>
              <w:rPr>
                <w:sz w:val="1"/>
                <w:szCs w:val="1"/>
                <w:color w:val="auto"/>
              </w:rPr>
            </w:pPr>
          </w:p>
        </w:tc>
      </w:tr>
      <w:tr>
        <w:trPr>
          <w:trHeight w:val="20"/>
        </w:trPr>
        <w:tc>
          <w:tcPr>
            <w:tcW w:w="7500" w:type="dxa"/>
            <w:vAlign w:val="bottom"/>
            <w:tcBorders>
              <w:top w:val="single" w:sz="8" w:color="D2DCE5"/>
              <w:bottom w:val="single" w:sz="8" w:color="D2DCE5"/>
            </w:tcBorders>
            <w:vMerge w:val="restart"/>
          </w:tcPr>
          <w:p>
            <w:pPr>
              <w:spacing w:after="0"/>
              <w:rPr>
                <w:sz w:val="20"/>
                <w:szCs w:val="20"/>
                <w:color w:val="auto"/>
              </w:rPr>
            </w:pPr>
            <w:r>
              <w:rPr>
                <w:rFonts w:ascii="Arial" w:cs="Arial" w:eastAsia="Arial" w:hAnsi="Arial"/>
                <w:sz w:val="14"/>
                <w:szCs w:val="14"/>
                <w:color w:val="131E29"/>
              </w:rPr>
              <w:t>_________________</w:t>
            </w:r>
          </w:p>
        </w:tc>
        <w:tc>
          <w:tcPr>
            <w:tcW w:w="10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D2DCE5"/>
              <w:bottom w:val="single" w:sz="8" w:color="auto"/>
            </w:tcBorders>
          </w:tcPr>
          <w:p>
            <w:pPr>
              <w:spacing w:after="0" w:line="20" w:lineRule="exact"/>
              <w:rPr>
                <w:sz w:val="1"/>
                <w:szCs w:val="1"/>
                <w:color w:val="auto"/>
              </w:rPr>
            </w:pPr>
          </w:p>
        </w:tc>
        <w:tc>
          <w:tcPr>
            <w:tcW w:w="164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80" w:type="dxa"/>
            <w:vAlign w:val="bottom"/>
            <w:tcBorders>
              <w:top w:val="single" w:sz="8" w:color="D2DCE5"/>
              <w:bottom w:val="single" w:sz="8" w:color="auto"/>
            </w:tcBorders>
          </w:tcPr>
          <w:p>
            <w:pPr>
              <w:spacing w:after="0" w:line="20" w:lineRule="exact"/>
              <w:rPr>
                <w:sz w:val="1"/>
                <w:szCs w:val="1"/>
                <w:color w:val="auto"/>
              </w:rPr>
            </w:pPr>
          </w:p>
        </w:tc>
        <w:tc>
          <w:tcPr>
            <w:tcW w:w="162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5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0" w:hanging="55"/>
        <w:spacing w:after="0"/>
        <w:tabs>
          <w:tab w:leader="none" w:pos="60" w:val="left"/>
        </w:tabs>
        <w:numPr>
          <w:ilvl w:val="0"/>
          <w:numId w:val="79"/>
        </w:numPr>
        <w:rPr>
          <w:rFonts w:ascii="Arial" w:cs="Arial" w:eastAsia="Arial" w:hAnsi="Arial"/>
          <w:sz w:val="14"/>
          <w:szCs w:val="14"/>
          <w:color w:val="131E29"/>
          <w:vertAlign w:val="superscript"/>
        </w:rPr>
      </w:pPr>
      <w:r>
        <w:rPr>
          <w:rFonts w:ascii="Arial" w:cs="Arial" w:eastAsia="Arial" w:hAnsi="Arial"/>
          <w:sz w:val="11"/>
          <w:szCs w:val="11"/>
          <w:color w:val="131E29"/>
        </w:rPr>
        <w:t>Impact primarily related to state tax rates and adjustments from previous estimates upon finalization of the tax attributes subject to the TRA.</w:t>
      </w:r>
    </w:p>
    <w:p>
      <w:pPr>
        <w:spacing w:after="0" w:line="114" w:lineRule="exact"/>
        <w:rPr>
          <w:sz w:val="20"/>
          <w:szCs w:val="20"/>
          <w:color w:val="auto"/>
        </w:rPr>
      </w:pPr>
    </w:p>
    <w:p>
      <w:pPr>
        <w:spacing w:after="0" w:line="266" w:lineRule="auto"/>
        <w:rPr>
          <w:sz w:val="20"/>
          <w:szCs w:val="20"/>
          <w:color w:val="auto"/>
        </w:rPr>
      </w:pPr>
      <w:r>
        <w:rPr>
          <w:rFonts w:ascii="Arial" w:cs="Arial" w:eastAsia="Arial" w:hAnsi="Arial"/>
          <w:sz w:val="14"/>
          <w:szCs w:val="14"/>
          <w:color w:val="131E29"/>
        </w:rPr>
        <w:t>TRA-related liabilities are classified on the Company’s consolidated balance sheets as current or non-current assets based on the expected date of payment under the captions “Current portion of tax receivable agreements liability” and “Tax receivable agreements liability, net of current portion,” respectively.</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127" w:name="page128"/>
    <w:bookmarkEnd w:id="127"/>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13 — Income Taxes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131E29"/>
        </w:rPr>
        <w:t>The Company’s income tax expense (benefit) consisted of the following:</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60" w:type="dxa"/>
            <w:vAlign w:val="bottom"/>
            <w:gridSpan w:val="9"/>
          </w:tcPr>
          <w:p>
            <w:pPr>
              <w:jc w:val="right"/>
              <w:ind w:right="109"/>
              <w:spacing w:after="0"/>
              <w:rPr>
                <w:sz w:val="20"/>
                <w:szCs w:val="20"/>
                <w:color w:val="auto"/>
              </w:rPr>
            </w:pPr>
            <w:r>
              <w:rPr>
                <w:rFonts w:ascii="Arial" w:cs="Arial" w:eastAsia="Arial" w:hAnsi="Arial"/>
                <w:sz w:val="14"/>
                <w:szCs w:val="14"/>
                <w:b w:val="1"/>
                <w:bCs w:val="1"/>
                <w:color w:val="131E29"/>
              </w:rPr>
              <w:t>Year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708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131E29"/>
              </w:rPr>
              <w:t>2022</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D2DCE5"/>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131E29"/>
              </w:rPr>
              <w:t>2021</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D2DCE5"/>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2020</w:t>
            </w:r>
          </w:p>
        </w:tc>
        <w:tc>
          <w:tcPr>
            <w:tcW w:w="0" w:type="dxa"/>
            <w:vAlign w:val="bottom"/>
          </w:tcPr>
          <w:p>
            <w:pPr>
              <w:spacing w:after="0"/>
              <w:rPr>
                <w:sz w:val="1"/>
                <w:szCs w:val="1"/>
                <w:color w:val="auto"/>
              </w:rPr>
            </w:pPr>
          </w:p>
        </w:tc>
      </w:tr>
      <w:tr>
        <w:trPr>
          <w:trHeight w:val="192"/>
        </w:trPr>
        <w:tc>
          <w:tcPr>
            <w:tcW w:w="7160" w:type="dxa"/>
            <w:vAlign w:val="bottom"/>
            <w:tcBorders>
              <w:bottom w:val="single" w:sz="8" w:color="D2DCE5"/>
            </w:tcBorders>
            <w:gridSpan w:val="4"/>
            <w:shd w:val="clear" w:color="auto" w:fill="D2DCE5"/>
          </w:tcPr>
          <w:p>
            <w:pPr>
              <w:ind w:left="20"/>
              <w:spacing w:after="0"/>
              <w:rPr>
                <w:sz w:val="20"/>
                <w:szCs w:val="20"/>
                <w:color w:val="auto"/>
              </w:rPr>
            </w:pPr>
            <w:r>
              <w:rPr>
                <w:rFonts w:ascii="Arial" w:cs="Arial" w:eastAsia="Arial" w:hAnsi="Arial"/>
                <w:sz w:val="14"/>
                <w:szCs w:val="14"/>
                <w:color w:val="131E29"/>
              </w:rPr>
              <w:t>Current tax provision</w:t>
            </w:r>
          </w:p>
        </w:tc>
        <w:tc>
          <w:tcPr>
            <w:tcW w:w="180" w:type="dxa"/>
            <w:vAlign w:val="bottom"/>
            <w:tcBorders>
              <w:bottom w:val="single" w:sz="8" w:color="D2DCE5"/>
            </w:tcBorders>
            <w:shd w:val="clear" w:color="auto" w:fill="D2DCE5"/>
          </w:tcPr>
          <w:p>
            <w:pPr>
              <w:spacing w:after="0"/>
              <w:rPr>
                <w:sz w:val="16"/>
                <w:szCs w:val="16"/>
                <w:color w:val="auto"/>
              </w:rPr>
            </w:pPr>
          </w:p>
        </w:tc>
        <w:tc>
          <w:tcPr>
            <w:tcW w:w="96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240" w:type="dxa"/>
            <w:vAlign w:val="bottom"/>
            <w:tcBorders>
              <w:bottom w:val="single" w:sz="8" w:color="D2DCE5"/>
            </w:tcBorders>
            <w:shd w:val="clear" w:color="auto" w:fill="D2DCE5"/>
          </w:tcPr>
          <w:p>
            <w:pPr>
              <w:spacing w:after="0"/>
              <w:rPr>
                <w:sz w:val="16"/>
                <w:szCs w:val="16"/>
                <w:color w:val="auto"/>
              </w:rPr>
            </w:pPr>
          </w:p>
        </w:tc>
        <w:tc>
          <w:tcPr>
            <w:tcW w:w="98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20" w:type="dxa"/>
            <w:vAlign w:val="bottom"/>
            <w:tcBorders>
              <w:bottom w:val="single" w:sz="8" w:color="D2DCE5"/>
            </w:tcBorders>
            <w:shd w:val="clear" w:color="auto" w:fill="D2DCE5"/>
          </w:tcPr>
          <w:p>
            <w:pPr>
              <w:spacing w:after="0"/>
              <w:rPr>
                <w:sz w:val="16"/>
                <w:szCs w:val="16"/>
                <w:color w:val="auto"/>
              </w:rPr>
            </w:pPr>
          </w:p>
        </w:tc>
        <w:tc>
          <w:tcPr>
            <w:tcW w:w="6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1020" w:type="dxa"/>
            <w:vAlign w:val="bottom"/>
            <w:tcBorders>
              <w:bottom w:val="single" w:sz="8" w:color="D2DCE5"/>
            </w:tcBorders>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160" w:type="dxa"/>
            <w:vAlign w:val="bottom"/>
            <w:gridSpan w:val="4"/>
          </w:tcPr>
          <w:p>
            <w:pPr>
              <w:ind w:left="180"/>
              <w:spacing w:after="0"/>
              <w:rPr>
                <w:sz w:val="20"/>
                <w:szCs w:val="20"/>
                <w:color w:val="auto"/>
              </w:rPr>
            </w:pPr>
            <w:r>
              <w:rPr>
                <w:rFonts w:ascii="Arial" w:cs="Arial" w:eastAsia="Arial" w:hAnsi="Arial"/>
                <w:sz w:val="14"/>
                <w:szCs w:val="14"/>
                <w:color w:val="131E29"/>
              </w:rPr>
              <w:t>Federal</w:t>
            </w:r>
          </w:p>
        </w:tc>
        <w:tc>
          <w:tcPr>
            <w:tcW w:w="180" w:type="dxa"/>
            <w:vAlign w:val="bottom"/>
          </w:tcPr>
          <w:p>
            <w:pPr>
              <w:jc w:val="right"/>
              <w:ind w:right="9"/>
              <w:spacing w:after="0"/>
              <w:rPr>
                <w:sz w:val="20"/>
                <w:szCs w:val="20"/>
                <w:color w:val="auto"/>
              </w:rPr>
            </w:pPr>
            <w:r>
              <w:rPr>
                <w:rFonts w:ascii="Arial" w:cs="Arial" w:eastAsia="Arial" w:hAnsi="Arial"/>
                <w:sz w:val="14"/>
                <w:szCs w:val="14"/>
                <w:color w:val="131E29"/>
              </w:rPr>
              <w:t>$</w:t>
            </w:r>
          </w:p>
        </w:tc>
        <w:tc>
          <w:tcPr>
            <w:tcW w:w="1140" w:type="dxa"/>
            <w:vAlign w:val="bottom"/>
            <w:gridSpan w:val="3"/>
          </w:tcPr>
          <w:p>
            <w:pPr>
              <w:jc w:val="right"/>
              <w:ind w:right="60"/>
              <w:spacing w:after="0"/>
              <w:rPr>
                <w:sz w:val="20"/>
                <w:szCs w:val="20"/>
                <w:color w:val="auto"/>
              </w:rPr>
            </w:pPr>
            <w:r>
              <w:rPr>
                <w:rFonts w:ascii="Arial" w:cs="Arial" w:eastAsia="Arial" w:hAnsi="Arial"/>
                <w:sz w:val="14"/>
                <w:szCs w:val="14"/>
                <w:color w:val="131E29"/>
              </w:rPr>
              <w:t>181</w:t>
            </w:r>
          </w:p>
        </w:tc>
        <w:tc>
          <w:tcPr>
            <w:tcW w:w="8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131E29"/>
              </w:rPr>
              <w:t>$</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131E29"/>
              </w:rPr>
              <w:t>170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Pr>
          <w:p>
            <w:pPr>
              <w:jc w:val="right"/>
              <w:spacing w:after="0"/>
              <w:rPr>
                <w:sz w:val="20"/>
                <w:szCs w:val="20"/>
                <w:color w:val="auto"/>
              </w:rPr>
            </w:pPr>
            <w:r>
              <w:rPr>
                <w:rFonts w:ascii="Arial" w:cs="Arial" w:eastAsia="Arial" w:hAnsi="Arial"/>
                <w:sz w:val="14"/>
                <w:szCs w:val="14"/>
                <w:color w:val="131E29"/>
              </w:rPr>
              <w:t>265</w:t>
            </w:r>
          </w:p>
        </w:tc>
        <w:tc>
          <w:tcPr>
            <w:tcW w:w="0" w:type="dxa"/>
            <w:vAlign w:val="bottom"/>
          </w:tcPr>
          <w:p>
            <w:pPr>
              <w:spacing w:after="0"/>
              <w:rPr>
                <w:sz w:val="1"/>
                <w:szCs w:val="1"/>
                <w:color w:val="auto"/>
              </w:rPr>
            </w:pPr>
          </w:p>
        </w:tc>
      </w:tr>
      <w:tr>
        <w:trPr>
          <w:trHeight w:val="22"/>
        </w:trPr>
        <w:tc>
          <w:tcPr>
            <w:tcW w:w="6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160" w:type="dxa"/>
            <w:vAlign w:val="bottom"/>
            <w:tcBorders>
              <w:bottom w:val="single" w:sz="8" w:color="D2DCE5"/>
            </w:tcBorders>
            <w:gridSpan w:val="4"/>
            <w:shd w:val="clear" w:color="auto" w:fill="D2DCE5"/>
          </w:tcPr>
          <w:p>
            <w:pPr>
              <w:ind w:left="180"/>
              <w:spacing w:after="0"/>
              <w:rPr>
                <w:sz w:val="20"/>
                <w:szCs w:val="20"/>
                <w:color w:val="auto"/>
              </w:rPr>
            </w:pPr>
            <w:r>
              <w:rPr>
                <w:rFonts w:ascii="Arial" w:cs="Arial" w:eastAsia="Arial" w:hAnsi="Arial"/>
                <w:sz w:val="14"/>
                <w:szCs w:val="14"/>
                <w:color w:val="131E29"/>
              </w:rPr>
              <w:t>State</w:t>
            </w:r>
          </w:p>
        </w:tc>
        <w:tc>
          <w:tcPr>
            <w:tcW w:w="180" w:type="dxa"/>
            <w:vAlign w:val="bottom"/>
            <w:tcBorders>
              <w:bottom w:val="single" w:sz="8" w:color="D2DCE5"/>
            </w:tcBorders>
            <w:shd w:val="clear" w:color="auto" w:fill="D2DCE5"/>
          </w:tcPr>
          <w:p>
            <w:pPr>
              <w:spacing w:after="0"/>
              <w:rPr>
                <w:sz w:val="18"/>
                <w:szCs w:val="18"/>
                <w:color w:val="auto"/>
              </w:rPr>
            </w:pPr>
          </w:p>
        </w:tc>
        <w:tc>
          <w:tcPr>
            <w:tcW w:w="1140" w:type="dxa"/>
            <w:vAlign w:val="bottom"/>
            <w:tcBorders>
              <w:bottom w:val="single" w:sz="8" w:color="D2DCE5"/>
            </w:tcBorders>
            <w:gridSpan w:val="3"/>
            <w:shd w:val="clear" w:color="auto" w:fill="D2DCE5"/>
          </w:tcPr>
          <w:p>
            <w:pPr>
              <w:jc w:val="right"/>
              <w:ind w:right="60"/>
              <w:spacing w:after="0"/>
              <w:rPr>
                <w:sz w:val="20"/>
                <w:szCs w:val="20"/>
                <w:color w:val="auto"/>
              </w:rPr>
            </w:pPr>
            <w:r>
              <w:rPr>
                <w:rFonts w:ascii="Arial" w:cs="Arial" w:eastAsia="Arial" w:hAnsi="Arial"/>
                <w:sz w:val="14"/>
                <w:szCs w:val="14"/>
                <w:color w:val="131E29"/>
              </w:rPr>
              <w:t>1,340</w:t>
            </w:r>
          </w:p>
        </w:tc>
        <w:tc>
          <w:tcPr>
            <w:tcW w:w="80" w:type="dxa"/>
            <w:vAlign w:val="bottom"/>
            <w:tcBorders>
              <w:bottom w:val="single" w:sz="8" w:color="D2DCE5"/>
            </w:tcBorders>
            <w:shd w:val="clear" w:color="auto" w:fill="D2DCE5"/>
          </w:tcPr>
          <w:p>
            <w:pPr>
              <w:spacing w:after="0"/>
              <w:rPr>
                <w:sz w:val="18"/>
                <w:szCs w:val="18"/>
                <w:color w:val="auto"/>
              </w:rPr>
            </w:pPr>
          </w:p>
        </w:tc>
        <w:tc>
          <w:tcPr>
            <w:tcW w:w="240" w:type="dxa"/>
            <w:vAlign w:val="bottom"/>
            <w:tcBorders>
              <w:bottom w:val="single" w:sz="8" w:color="D2DCE5"/>
            </w:tcBorders>
            <w:shd w:val="clear" w:color="auto" w:fill="D2DCE5"/>
          </w:tcPr>
          <w:p>
            <w:pPr>
              <w:spacing w:after="0"/>
              <w:rPr>
                <w:sz w:val="18"/>
                <w:szCs w:val="18"/>
                <w:color w:val="auto"/>
              </w:rPr>
            </w:pPr>
          </w:p>
        </w:tc>
        <w:tc>
          <w:tcPr>
            <w:tcW w:w="1080" w:type="dxa"/>
            <w:vAlign w:val="bottom"/>
            <w:tcBorders>
              <w:bottom w:val="single" w:sz="8" w:color="D2DCE5"/>
            </w:tcBorders>
            <w:gridSpan w:val="2"/>
            <w:shd w:val="clear" w:color="auto" w:fill="D2DCE5"/>
          </w:tcPr>
          <w:p>
            <w:pPr>
              <w:jc w:val="right"/>
              <w:ind w:right="60"/>
              <w:spacing w:after="0"/>
              <w:rPr>
                <w:sz w:val="20"/>
                <w:szCs w:val="20"/>
                <w:color w:val="auto"/>
              </w:rPr>
            </w:pPr>
            <w:r>
              <w:rPr>
                <w:rFonts w:ascii="Arial" w:cs="Arial" w:eastAsia="Arial" w:hAnsi="Arial"/>
                <w:sz w:val="14"/>
                <w:szCs w:val="14"/>
                <w:color w:val="131E29"/>
              </w:rPr>
              <w:t>865</w:t>
            </w:r>
          </w:p>
        </w:tc>
        <w:tc>
          <w:tcPr>
            <w:tcW w:w="20" w:type="dxa"/>
            <w:vAlign w:val="bottom"/>
            <w:tcBorders>
              <w:bottom w:val="single" w:sz="8" w:color="D2DCE5"/>
            </w:tcBorders>
            <w:shd w:val="clear" w:color="auto" w:fill="D2DCE5"/>
          </w:tcPr>
          <w:p>
            <w:pPr>
              <w:spacing w:after="0"/>
              <w:rPr>
                <w:sz w:val="18"/>
                <w:szCs w:val="18"/>
                <w:color w:val="auto"/>
              </w:rPr>
            </w:pPr>
          </w:p>
        </w:tc>
        <w:tc>
          <w:tcPr>
            <w:tcW w:w="60" w:type="dxa"/>
            <w:vAlign w:val="bottom"/>
            <w:tcBorders>
              <w:bottom w:val="single" w:sz="8" w:color="D2DCE5"/>
            </w:tcBorders>
            <w:shd w:val="clear" w:color="auto" w:fill="D2DCE5"/>
          </w:tcPr>
          <w:p>
            <w:pPr>
              <w:spacing w:after="0"/>
              <w:rPr>
                <w:sz w:val="18"/>
                <w:szCs w:val="18"/>
                <w:color w:val="auto"/>
              </w:rPr>
            </w:pPr>
          </w:p>
        </w:tc>
        <w:tc>
          <w:tcPr>
            <w:tcW w:w="300" w:type="dxa"/>
            <w:vAlign w:val="bottom"/>
            <w:tcBorders>
              <w:bottom w:val="single" w:sz="8" w:color="D2DCE5"/>
            </w:tcBorders>
            <w:shd w:val="clear" w:color="auto" w:fill="D2DCE5"/>
          </w:tcPr>
          <w:p>
            <w:pPr>
              <w:spacing w:after="0"/>
              <w:rPr>
                <w:sz w:val="18"/>
                <w:szCs w:val="18"/>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706</w:t>
            </w:r>
          </w:p>
        </w:tc>
        <w:tc>
          <w:tcPr>
            <w:tcW w:w="0" w:type="dxa"/>
            <w:vAlign w:val="bottom"/>
          </w:tcPr>
          <w:p>
            <w:pPr>
              <w:spacing w:after="0"/>
              <w:rPr>
                <w:sz w:val="1"/>
                <w:szCs w:val="1"/>
                <w:color w:val="auto"/>
              </w:rPr>
            </w:pPr>
          </w:p>
        </w:tc>
      </w:tr>
      <w:tr>
        <w:trPr>
          <w:trHeight w:val="181"/>
        </w:trPr>
        <w:tc>
          <w:tcPr>
            <w:tcW w:w="7160" w:type="dxa"/>
            <w:vAlign w:val="bottom"/>
            <w:gridSpan w:val="4"/>
          </w:tcPr>
          <w:p>
            <w:pPr>
              <w:ind w:left="20"/>
              <w:spacing w:after="0"/>
              <w:rPr>
                <w:sz w:val="20"/>
                <w:szCs w:val="20"/>
                <w:color w:val="auto"/>
              </w:rPr>
            </w:pPr>
            <w:r>
              <w:rPr>
                <w:rFonts w:ascii="Arial" w:cs="Arial" w:eastAsia="Arial" w:hAnsi="Arial"/>
                <w:sz w:val="14"/>
                <w:szCs w:val="14"/>
                <w:color w:val="131E29"/>
              </w:rPr>
              <w:t>Total current tax provision</w:t>
            </w: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4"/>
                <w:szCs w:val="14"/>
                <w:color w:val="131E29"/>
              </w:rPr>
              <w:t>1,521</w:t>
            </w: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4"/>
                <w:szCs w:val="14"/>
                <w:color w:val="131E29"/>
              </w:rPr>
              <w:t>1,035</w:t>
            </w:r>
          </w:p>
        </w:tc>
        <w:tc>
          <w:tcPr>
            <w:tcW w:w="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971</w:t>
            </w:r>
          </w:p>
        </w:tc>
        <w:tc>
          <w:tcPr>
            <w:tcW w:w="0" w:type="dxa"/>
            <w:vAlign w:val="bottom"/>
          </w:tcPr>
          <w:p>
            <w:pPr>
              <w:spacing w:after="0"/>
              <w:rPr>
                <w:sz w:val="1"/>
                <w:szCs w:val="1"/>
                <w:color w:val="auto"/>
              </w:rPr>
            </w:pPr>
          </w:p>
        </w:tc>
      </w:tr>
      <w:tr>
        <w:trPr>
          <w:trHeight w:val="22"/>
        </w:trPr>
        <w:tc>
          <w:tcPr>
            <w:tcW w:w="6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80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20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80" w:type="dxa"/>
            <w:vAlign w:val="bottom"/>
            <w:shd w:val="clear" w:color="auto" w:fill="D2DCE5"/>
          </w:tcPr>
          <w:p>
            <w:pPr>
              <w:spacing w:after="0"/>
              <w:rPr>
                <w:sz w:val="18"/>
                <w:szCs w:val="18"/>
                <w:color w:val="auto"/>
              </w:rPr>
            </w:pPr>
          </w:p>
        </w:tc>
        <w:tc>
          <w:tcPr>
            <w:tcW w:w="96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240" w:type="dxa"/>
            <w:vAlign w:val="bottom"/>
            <w:shd w:val="clear" w:color="auto" w:fill="D2DCE5"/>
          </w:tcPr>
          <w:p>
            <w:pPr>
              <w:spacing w:after="0"/>
              <w:rPr>
                <w:sz w:val="18"/>
                <w:szCs w:val="18"/>
                <w:color w:val="auto"/>
              </w:rPr>
            </w:pPr>
          </w:p>
        </w:tc>
        <w:tc>
          <w:tcPr>
            <w:tcW w:w="98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20" w:type="dxa"/>
            <w:vAlign w:val="bottom"/>
            <w:shd w:val="clear" w:color="auto" w:fill="D2DCE5"/>
          </w:tcPr>
          <w:p>
            <w:pPr>
              <w:spacing w:after="0"/>
              <w:rPr>
                <w:sz w:val="18"/>
                <w:szCs w:val="18"/>
                <w:color w:val="auto"/>
              </w:rPr>
            </w:pPr>
          </w:p>
        </w:tc>
        <w:tc>
          <w:tcPr>
            <w:tcW w:w="6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102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160" w:type="dxa"/>
            <w:vAlign w:val="bottom"/>
            <w:gridSpan w:val="4"/>
          </w:tcPr>
          <w:p>
            <w:pPr>
              <w:ind w:left="20"/>
              <w:spacing w:after="0"/>
              <w:rPr>
                <w:sz w:val="20"/>
                <w:szCs w:val="20"/>
                <w:color w:val="auto"/>
              </w:rPr>
            </w:pPr>
            <w:r>
              <w:rPr>
                <w:rFonts w:ascii="Arial" w:cs="Arial" w:eastAsia="Arial" w:hAnsi="Arial"/>
                <w:sz w:val="14"/>
                <w:szCs w:val="14"/>
                <w:color w:val="131E29"/>
              </w:rPr>
              <w:t>Deferred tax expense (benefit)</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160" w:type="dxa"/>
            <w:vAlign w:val="bottom"/>
            <w:tcBorders>
              <w:bottom w:val="single" w:sz="8" w:color="D2DCE5"/>
            </w:tcBorders>
            <w:gridSpan w:val="4"/>
            <w:shd w:val="clear" w:color="auto" w:fill="D2DCE5"/>
          </w:tcPr>
          <w:p>
            <w:pPr>
              <w:ind w:left="180"/>
              <w:spacing w:after="0"/>
              <w:rPr>
                <w:sz w:val="20"/>
                <w:szCs w:val="20"/>
                <w:color w:val="auto"/>
              </w:rPr>
            </w:pPr>
            <w:r>
              <w:rPr>
                <w:rFonts w:ascii="Arial" w:cs="Arial" w:eastAsia="Arial" w:hAnsi="Arial"/>
                <w:sz w:val="14"/>
                <w:szCs w:val="14"/>
                <w:color w:val="131E29"/>
              </w:rPr>
              <w:t>Federal</w:t>
            </w:r>
          </w:p>
        </w:tc>
        <w:tc>
          <w:tcPr>
            <w:tcW w:w="180" w:type="dxa"/>
            <w:vAlign w:val="bottom"/>
            <w:tcBorders>
              <w:bottom w:val="single" w:sz="8" w:color="D2DCE5"/>
            </w:tcBorders>
            <w:shd w:val="clear" w:color="auto" w:fill="D2DCE5"/>
          </w:tcPr>
          <w:p>
            <w:pPr>
              <w:spacing w:after="0"/>
              <w:rPr>
                <w:sz w:val="16"/>
                <w:szCs w:val="16"/>
                <w:color w:val="auto"/>
              </w:rPr>
            </w:pPr>
          </w:p>
        </w:tc>
        <w:tc>
          <w:tcPr>
            <w:tcW w:w="1140" w:type="dxa"/>
            <w:vAlign w:val="bottom"/>
            <w:tcBorders>
              <w:bottom w:val="single" w:sz="8" w:color="D2DCE5"/>
            </w:tcBorders>
            <w:gridSpan w:val="3"/>
            <w:shd w:val="clear" w:color="auto" w:fill="D2DCE5"/>
          </w:tcPr>
          <w:p>
            <w:pPr>
              <w:jc w:val="right"/>
              <w:ind w:right="20"/>
              <w:spacing w:after="0"/>
              <w:rPr>
                <w:sz w:val="20"/>
                <w:szCs w:val="20"/>
                <w:color w:val="auto"/>
              </w:rPr>
            </w:pPr>
            <w:r>
              <w:rPr>
                <w:rFonts w:ascii="Arial" w:cs="Arial" w:eastAsia="Arial" w:hAnsi="Arial"/>
                <w:sz w:val="14"/>
                <w:szCs w:val="14"/>
                <w:color w:val="131E29"/>
              </w:rPr>
              <w:t>(6,081)</w:t>
            </w:r>
          </w:p>
        </w:tc>
        <w:tc>
          <w:tcPr>
            <w:tcW w:w="80" w:type="dxa"/>
            <w:vAlign w:val="bottom"/>
            <w:tcBorders>
              <w:bottom w:val="single" w:sz="8" w:color="D2DCE5"/>
            </w:tcBorders>
            <w:shd w:val="clear" w:color="auto" w:fill="D2DCE5"/>
          </w:tcPr>
          <w:p>
            <w:pPr>
              <w:spacing w:after="0"/>
              <w:rPr>
                <w:sz w:val="16"/>
                <w:szCs w:val="16"/>
                <w:color w:val="auto"/>
              </w:rPr>
            </w:pPr>
          </w:p>
        </w:tc>
        <w:tc>
          <w:tcPr>
            <w:tcW w:w="240" w:type="dxa"/>
            <w:vAlign w:val="bottom"/>
            <w:tcBorders>
              <w:bottom w:val="single" w:sz="8" w:color="D2DCE5"/>
            </w:tcBorders>
            <w:shd w:val="clear" w:color="auto" w:fill="D2DCE5"/>
          </w:tcPr>
          <w:p>
            <w:pPr>
              <w:spacing w:after="0"/>
              <w:rPr>
                <w:sz w:val="16"/>
                <w:szCs w:val="16"/>
                <w:color w:val="auto"/>
              </w:rPr>
            </w:pPr>
          </w:p>
        </w:tc>
        <w:tc>
          <w:tcPr>
            <w:tcW w:w="1080" w:type="dxa"/>
            <w:vAlign w:val="bottom"/>
            <w:tcBorders>
              <w:bottom w:val="single" w:sz="8" w:color="D2DCE5"/>
            </w:tcBorders>
            <w:gridSpan w:val="2"/>
            <w:shd w:val="clear" w:color="auto" w:fill="D2DCE5"/>
          </w:tcPr>
          <w:p>
            <w:pPr>
              <w:jc w:val="right"/>
              <w:ind w:right="20"/>
              <w:spacing w:after="0"/>
              <w:rPr>
                <w:sz w:val="20"/>
                <w:szCs w:val="20"/>
                <w:color w:val="auto"/>
              </w:rPr>
            </w:pPr>
            <w:r>
              <w:rPr>
                <w:rFonts w:ascii="Arial" w:cs="Arial" w:eastAsia="Arial" w:hAnsi="Arial"/>
                <w:sz w:val="14"/>
                <w:szCs w:val="14"/>
                <w:color w:val="131E29"/>
              </w:rPr>
              <w:t>(2,265)</w:t>
            </w:r>
          </w:p>
        </w:tc>
        <w:tc>
          <w:tcPr>
            <w:tcW w:w="20" w:type="dxa"/>
            <w:vAlign w:val="bottom"/>
            <w:tcBorders>
              <w:bottom w:val="single" w:sz="8" w:color="D2DCE5"/>
            </w:tcBorders>
            <w:shd w:val="clear" w:color="auto" w:fill="D2DCE5"/>
          </w:tcPr>
          <w:p>
            <w:pPr>
              <w:spacing w:after="0"/>
              <w:rPr>
                <w:sz w:val="16"/>
                <w:szCs w:val="16"/>
                <w:color w:val="auto"/>
              </w:rPr>
            </w:pPr>
          </w:p>
        </w:tc>
        <w:tc>
          <w:tcPr>
            <w:tcW w:w="6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(107)</w:t>
            </w:r>
          </w:p>
        </w:tc>
        <w:tc>
          <w:tcPr>
            <w:tcW w:w="0" w:type="dxa"/>
            <w:vAlign w:val="bottom"/>
          </w:tcPr>
          <w:p>
            <w:pPr>
              <w:spacing w:after="0"/>
              <w:rPr>
                <w:sz w:val="1"/>
                <w:szCs w:val="1"/>
                <w:color w:val="auto"/>
              </w:rPr>
            </w:pPr>
          </w:p>
        </w:tc>
      </w:tr>
      <w:tr>
        <w:trPr>
          <w:trHeight w:val="191"/>
        </w:trPr>
        <w:tc>
          <w:tcPr>
            <w:tcW w:w="7160" w:type="dxa"/>
            <w:vAlign w:val="bottom"/>
            <w:gridSpan w:val="4"/>
          </w:tcPr>
          <w:p>
            <w:pPr>
              <w:ind w:left="180"/>
              <w:spacing w:after="0"/>
              <w:rPr>
                <w:sz w:val="20"/>
                <w:szCs w:val="20"/>
                <w:color w:val="auto"/>
              </w:rPr>
            </w:pPr>
            <w:r>
              <w:rPr>
                <w:rFonts w:ascii="Arial" w:cs="Arial" w:eastAsia="Arial" w:hAnsi="Arial"/>
                <w:sz w:val="14"/>
                <w:szCs w:val="14"/>
                <w:color w:val="131E29"/>
              </w:rPr>
              <w:t>State</w:t>
            </w:r>
          </w:p>
        </w:tc>
        <w:tc>
          <w:tcPr>
            <w:tcW w:w="180" w:type="dxa"/>
            <w:vAlign w:val="bottom"/>
          </w:tcPr>
          <w:p>
            <w:pPr>
              <w:spacing w:after="0"/>
              <w:rPr>
                <w:sz w:val="16"/>
                <w:szCs w:val="16"/>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4"/>
                <w:szCs w:val="14"/>
                <w:color w:val="131E29"/>
              </w:rPr>
              <w:t>7,159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131E29"/>
              </w:rPr>
              <w:t>(398)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(21)</w:t>
            </w:r>
          </w:p>
        </w:tc>
        <w:tc>
          <w:tcPr>
            <w:tcW w:w="0" w:type="dxa"/>
            <w:vAlign w:val="bottom"/>
          </w:tcPr>
          <w:p>
            <w:pPr>
              <w:spacing w:after="0"/>
              <w:rPr>
                <w:sz w:val="1"/>
                <w:szCs w:val="1"/>
                <w:color w:val="auto"/>
              </w:rPr>
            </w:pPr>
          </w:p>
        </w:tc>
      </w:tr>
      <w:tr>
        <w:trPr>
          <w:trHeight w:val="22"/>
        </w:trPr>
        <w:tc>
          <w:tcPr>
            <w:tcW w:w="680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20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160" w:type="dxa"/>
            <w:vAlign w:val="bottom"/>
            <w:tcBorders>
              <w:bottom w:val="single" w:sz="8" w:color="D2DCE5"/>
            </w:tcBorders>
            <w:gridSpan w:val="4"/>
            <w:shd w:val="clear" w:color="auto" w:fill="D2DCE5"/>
          </w:tcPr>
          <w:p>
            <w:pPr>
              <w:ind w:left="20"/>
              <w:spacing w:after="0"/>
              <w:rPr>
                <w:sz w:val="20"/>
                <w:szCs w:val="20"/>
                <w:color w:val="auto"/>
              </w:rPr>
            </w:pPr>
            <w:r>
              <w:rPr>
                <w:rFonts w:ascii="Arial" w:cs="Arial" w:eastAsia="Arial" w:hAnsi="Arial"/>
                <w:sz w:val="14"/>
                <w:szCs w:val="14"/>
                <w:color w:val="131E29"/>
              </w:rPr>
              <w:t>Total deferred tax provision</w:t>
            </w:r>
          </w:p>
        </w:tc>
        <w:tc>
          <w:tcPr>
            <w:tcW w:w="180" w:type="dxa"/>
            <w:vAlign w:val="bottom"/>
            <w:tcBorders>
              <w:bottom w:val="single" w:sz="8" w:color="D2DCE5"/>
            </w:tcBorders>
            <w:shd w:val="clear" w:color="auto" w:fill="D2DCE5"/>
          </w:tcPr>
          <w:p>
            <w:pPr>
              <w:spacing w:after="0"/>
              <w:rPr>
                <w:sz w:val="15"/>
                <w:szCs w:val="15"/>
                <w:color w:val="auto"/>
              </w:rPr>
            </w:pPr>
          </w:p>
        </w:tc>
        <w:tc>
          <w:tcPr>
            <w:tcW w:w="1140" w:type="dxa"/>
            <w:vAlign w:val="bottom"/>
            <w:tcBorders>
              <w:bottom w:val="single" w:sz="8" w:color="D2DCE5"/>
            </w:tcBorders>
            <w:gridSpan w:val="3"/>
            <w:shd w:val="clear" w:color="auto" w:fill="D2DCE5"/>
          </w:tcPr>
          <w:p>
            <w:pPr>
              <w:jc w:val="right"/>
              <w:ind w:right="60"/>
              <w:spacing w:after="0"/>
              <w:rPr>
                <w:sz w:val="20"/>
                <w:szCs w:val="20"/>
                <w:color w:val="auto"/>
              </w:rPr>
            </w:pPr>
            <w:r>
              <w:rPr>
                <w:rFonts w:ascii="Arial" w:cs="Arial" w:eastAsia="Arial" w:hAnsi="Arial"/>
                <w:sz w:val="14"/>
                <w:szCs w:val="14"/>
                <w:color w:val="131E29"/>
              </w:rPr>
              <w:t>1,078</w:t>
            </w:r>
          </w:p>
        </w:tc>
        <w:tc>
          <w:tcPr>
            <w:tcW w:w="80" w:type="dxa"/>
            <w:vAlign w:val="bottom"/>
            <w:tcBorders>
              <w:bottom w:val="single" w:sz="8" w:color="D2DCE5"/>
            </w:tcBorders>
            <w:shd w:val="clear" w:color="auto" w:fill="D2DCE5"/>
          </w:tcPr>
          <w:p>
            <w:pPr>
              <w:spacing w:after="0"/>
              <w:rPr>
                <w:sz w:val="15"/>
                <w:szCs w:val="15"/>
                <w:color w:val="auto"/>
              </w:rPr>
            </w:pPr>
          </w:p>
        </w:tc>
        <w:tc>
          <w:tcPr>
            <w:tcW w:w="240" w:type="dxa"/>
            <w:vAlign w:val="bottom"/>
            <w:tcBorders>
              <w:bottom w:val="single" w:sz="8" w:color="D2DCE5"/>
            </w:tcBorders>
            <w:shd w:val="clear" w:color="auto" w:fill="D2DCE5"/>
          </w:tcPr>
          <w:p>
            <w:pPr>
              <w:spacing w:after="0"/>
              <w:rPr>
                <w:sz w:val="15"/>
                <w:szCs w:val="15"/>
                <w:color w:val="auto"/>
              </w:rPr>
            </w:pPr>
          </w:p>
        </w:tc>
        <w:tc>
          <w:tcPr>
            <w:tcW w:w="1080" w:type="dxa"/>
            <w:vAlign w:val="bottom"/>
            <w:tcBorders>
              <w:bottom w:val="single" w:sz="8" w:color="D2DCE5"/>
            </w:tcBorders>
            <w:gridSpan w:val="2"/>
            <w:shd w:val="clear" w:color="auto" w:fill="D2DCE5"/>
          </w:tcPr>
          <w:p>
            <w:pPr>
              <w:jc w:val="right"/>
              <w:ind w:right="20"/>
              <w:spacing w:after="0"/>
              <w:rPr>
                <w:sz w:val="20"/>
                <w:szCs w:val="20"/>
                <w:color w:val="auto"/>
              </w:rPr>
            </w:pPr>
            <w:r>
              <w:rPr>
                <w:rFonts w:ascii="Arial" w:cs="Arial" w:eastAsia="Arial" w:hAnsi="Arial"/>
                <w:sz w:val="14"/>
                <w:szCs w:val="14"/>
                <w:color w:val="131E29"/>
              </w:rPr>
              <w:t>(2,663)</w:t>
            </w:r>
          </w:p>
        </w:tc>
        <w:tc>
          <w:tcPr>
            <w:tcW w:w="20" w:type="dxa"/>
            <w:vAlign w:val="bottom"/>
            <w:tcBorders>
              <w:bottom w:val="single" w:sz="8" w:color="D2DCE5"/>
            </w:tcBorders>
            <w:shd w:val="clear" w:color="auto" w:fill="D2DCE5"/>
          </w:tcPr>
          <w:p>
            <w:pPr>
              <w:spacing w:after="0"/>
              <w:rPr>
                <w:sz w:val="15"/>
                <w:szCs w:val="15"/>
                <w:color w:val="auto"/>
              </w:rPr>
            </w:pPr>
          </w:p>
        </w:tc>
        <w:tc>
          <w:tcPr>
            <w:tcW w:w="60" w:type="dxa"/>
            <w:vAlign w:val="bottom"/>
            <w:tcBorders>
              <w:bottom w:val="single" w:sz="8" w:color="D2DCE5"/>
            </w:tcBorders>
            <w:shd w:val="clear" w:color="auto" w:fill="D2DCE5"/>
          </w:tcPr>
          <w:p>
            <w:pPr>
              <w:spacing w:after="0"/>
              <w:rPr>
                <w:sz w:val="15"/>
                <w:szCs w:val="15"/>
                <w:color w:val="auto"/>
              </w:rPr>
            </w:pPr>
          </w:p>
        </w:tc>
        <w:tc>
          <w:tcPr>
            <w:tcW w:w="300" w:type="dxa"/>
            <w:vAlign w:val="bottom"/>
            <w:tcBorders>
              <w:bottom w:val="single" w:sz="8" w:color="D2DCE5"/>
            </w:tcBorders>
            <w:shd w:val="clear" w:color="auto" w:fill="D2DCE5"/>
          </w:tcPr>
          <w:p>
            <w:pPr>
              <w:spacing w:after="0"/>
              <w:rPr>
                <w:sz w:val="15"/>
                <w:szCs w:val="15"/>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(128)</w:t>
            </w:r>
          </w:p>
        </w:tc>
        <w:tc>
          <w:tcPr>
            <w:tcW w:w="0" w:type="dxa"/>
            <w:vAlign w:val="bottom"/>
          </w:tcPr>
          <w:p>
            <w:pPr>
              <w:spacing w:after="0"/>
              <w:rPr>
                <w:sz w:val="1"/>
                <w:szCs w:val="1"/>
                <w:color w:val="auto"/>
              </w:rPr>
            </w:pPr>
          </w:p>
        </w:tc>
      </w:tr>
      <w:tr>
        <w:trPr>
          <w:trHeight w:val="212"/>
        </w:trPr>
        <w:tc>
          <w:tcPr>
            <w:tcW w:w="6800" w:type="dxa"/>
            <w:vAlign w:val="bottom"/>
            <w:tcBorders>
              <w:bottom w:val="single" w:sz="8" w:color="D2DCE5"/>
            </w:tcBorders>
          </w:tcPr>
          <w:p>
            <w:pPr>
              <w:spacing w:after="0"/>
              <w:rPr>
                <w:sz w:val="18"/>
                <w:szCs w:val="18"/>
                <w:color w:val="auto"/>
              </w:rPr>
            </w:pPr>
          </w:p>
        </w:tc>
        <w:tc>
          <w:tcPr>
            <w:tcW w:w="80" w:type="dxa"/>
            <w:vAlign w:val="bottom"/>
            <w:tcBorders>
              <w:bottom w:val="single" w:sz="8" w:color="D2DCE5"/>
            </w:tcBorders>
          </w:tcPr>
          <w:p>
            <w:pPr>
              <w:spacing w:after="0"/>
              <w:rPr>
                <w:sz w:val="18"/>
                <w:szCs w:val="18"/>
                <w:color w:val="auto"/>
              </w:rPr>
            </w:pPr>
          </w:p>
        </w:tc>
        <w:tc>
          <w:tcPr>
            <w:tcW w:w="200" w:type="dxa"/>
            <w:vAlign w:val="bottom"/>
            <w:tcBorders>
              <w:bottom w:val="single" w:sz="8" w:color="D2DCE5"/>
            </w:tcBorders>
          </w:tcPr>
          <w:p>
            <w:pPr>
              <w:spacing w:after="0"/>
              <w:rPr>
                <w:sz w:val="18"/>
                <w:szCs w:val="18"/>
                <w:color w:val="auto"/>
              </w:rPr>
            </w:pPr>
          </w:p>
        </w:tc>
        <w:tc>
          <w:tcPr>
            <w:tcW w:w="80" w:type="dxa"/>
            <w:vAlign w:val="bottom"/>
            <w:tcBorders>
              <w:bottom w:val="single" w:sz="8" w:color="D2DCE5"/>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D2DCE5"/>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D2DCE5"/>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160" w:type="dxa"/>
            <w:vAlign w:val="bottom"/>
            <w:tcBorders>
              <w:bottom w:val="single" w:sz="8" w:color="D2DCE5"/>
            </w:tcBorders>
            <w:gridSpan w:val="4"/>
            <w:shd w:val="clear" w:color="auto" w:fill="D2DCE5"/>
          </w:tcPr>
          <w:p>
            <w:pPr>
              <w:ind w:left="20"/>
              <w:spacing w:after="0"/>
              <w:rPr>
                <w:sz w:val="20"/>
                <w:szCs w:val="20"/>
                <w:color w:val="auto"/>
              </w:rPr>
            </w:pPr>
            <w:r>
              <w:rPr>
                <w:rFonts w:ascii="Arial" w:cs="Arial" w:eastAsia="Arial" w:hAnsi="Arial"/>
                <w:sz w:val="14"/>
                <w:szCs w:val="14"/>
                <w:color w:val="131E29"/>
              </w:rPr>
              <w:t>Income tax expense (benefit)</w:t>
            </w:r>
          </w:p>
        </w:tc>
        <w:tc>
          <w:tcPr>
            <w:tcW w:w="180" w:type="dxa"/>
            <w:vAlign w:val="bottom"/>
            <w:tcBorders>
              <w:bottom w:val="single" w:sz="8" w:color="auto"/>
            </w:tcBorders>
            <w:shd w:val="clear" w:color="auto" w:fill="D2DCE5"/>
          </w:tcPr>
          <w:p>
            <w:pPr>
              <w:jc w:val="right"/>
              <w:ind w:right="9"/>
              <w:spacing w:after="0"/>
              <w:rPr>
                <w:sz w:val="20"/>
                <w:szCs w:val="20"/>
                <w:color w:val="auto"/>
              </w:rPr>
            </w:pPr>
            <w:r>
              <w:rPr>
                <w:rFonts w:ascii="Arial" w:cs="Arial" w:eastAsia="Arial" w:hAnsi="Arial"/>
                <w:sz w:val="14"/>
                <w:szCs w:val="14"/>
                <w:color w:val="131E29"/>
              </w:rPr>
              <w:t>$</w:t>
            </w:r>
          </w:p>
        </w:tc>
        <w:tc>
          <w:tcPr>
            <w:tcW w:w="1140" w:type="dxa"/>
            <w:vAlign w:val="bottom"/>
            <w:tcBorders>
              <w:bottom w:val="single" w:sz="8" w:color="auto"/>
            </w:tcBorders>
            <w:gridSpan w:val="3"/>
            <w:shd w:val="clear" w:color="auto" w:fill="D2DCE5"/>
          </w:tcPr>
          <w:p>
            <w:pPr>
              <w:jc w:val="right"/>
              <w:ind w:right="60"/>
              <w:spacing w:after="0"/>
              <w:rPr>
                <w:sz w:val="20"/>
                <w:szCs w:val="20"/>
                <w:color w:val="auto"/>
              </w:rPr>
            </w:pPr>
            <w:r>
              <w:rPr>
                <w:rFonts w:ascii="Arial" w:cs="Arial" w:eastAsia="Arial" w:hAnsi="Arial"/>
                <w:sz w:val="14"/>
                <w:szCs w:val="14"/>
                <w:color w:val="131E29"/>
              </w:rPr>
              <w:t>2,599</w:t>
            </w:r>
          </w:p>
        </w:tc>
        <w:tc>
          <w:tcPr>
            <w:tcW w:w="80" w:type="dxa"/>
            <w:vAlign w:val="bottom"/>
            <w:tcBorders>
              <w:bottom w:val="single" w:sz="8" w:color="D2DCE5"/>
            </w:tcBorders>
            <w:shd w:val="clear" w:color="auto" w:fill="D2DCE5"/>
          </w:tcPr>
          <w:p>
            <w:pPr>
              <w:spacing w:after="0"/>
              <w:rPr>
                <w:sz w:val="19"/>
                <w:szCs w:val="19"/>
                <w:color w:val="auto"/>
              </w:rPr>
            </w:pPr>
          </w:p>
        </w:tc>
        <w:tc>
          <w:tcPr>
            <w:tcW w:w="240" w:type="dxa"/>
            <w:vAlign w:val="bottom"/>
            <w:tcBorders>
              <w:bottom w:val="single" w:sz="8" w:color="auto"/>
            </w:tcBorders>
            <w:shd w:val="clear" w:color="auto" w:fill="D2DCE5"/>
          </w:tcPr>
          <w:p>
            <w:pPr>
              <w:jc w:val="right"/>
              <w:ind w:right="69"/>
              <w:spacing w:after="0"/>
              <w:rPr>
                <w:sz w:val="20"/>
                <w:szCs w:val="20"/>
                <w:color w:val="auto"/>
              </w:rPr>
            </w:pPr>
            <w:r>
              <w:rPr>
                <w:rFonts w:ascii="Arial" w:cs="Arial" w:eastAsia="Arial" w:hAnsi="Arial"/>
                <w:sz w:val="14"/>
                <w:szCs w:val="14"/>
                <w:color w:val="131E29"/>
              </w:rPr>
              <w:t>$</w:t>
            </w:r>
          </w:p>
        </w:tc>
        <w:tc>
          <w:tcPr>
            <w:tcW w:w="1080" w:type="dxa"/>
            <w:vAlign w:val="bottom"/>
            <w:tcBorders>
              <w:bottom w:val="single" w:sz="8" w:color="auto"/>
            </w:tcBorders>
            <w:gridSpan w:val="2"/>
            <w:shd w:val="clear" w:color="auto" w:fill="D2DCE5"/>
          </w:tcPr>
          <w:p>
            <w:pPr>
              <w:jc w:val="right"/>
              <w:ind w:right="20"/>
              <w:spacing w:after="0"/>
              <w:rPr>
                <w:sz w:val="20"/>
                <w:szCs w:val="20"/>
                <w:color w:val="auto"/>
              </w:rPr>
            </w:pPr>
            <w:r>
              <w:rPr>
                <w:rFonts w:ascii="Arial" w:cs="Arial" w:eastAsia="Arial" w:hAnsi="Arial"/>
                <w:sz w:val="14"/>
                <w:szCs w:val="14"/>
                <w:color w:val="131E29"/>
              </w:rPr>
              <w:t>(1,628)</w:t>
            </w:r>
          </w:p>
        </w:tc>
        <w:tc>
          <w:tcPr>
            <w:tcW w:w="20" w:type="dxa"/>
            <w:vAlign w:val="bottom"/>
            <w:tcBorders>
              <w:bottom w:val="single" w:sz="8" w:color="auto"/>
            </w:tcBorders>
            <w:shd w:val="clear" w:color="auto" w:fill="D2DCE5"/>
          </w:tcPr>
          <w:p>
            <w:pPr>
              <w:spacing w:after="0"/>
              <w:rPr>
                <w:sz w:val="19"/>
                <w:szCs w:val="19"/>
                <w:color w:val="auto"/>
              </w:rPr>
            </w:pPr>
          </w:p>
        </w:tc>
        <w:tc>
          <w:tcPr>
            <w:tcW w:w="60" w:type="dxa"/>
            <w:vAlign w:val="bottom"/>
            <w:tcBorders>
              <w:bottom w:val="single" w:sz="8" w:color="D2DCE5"/>
            </w:tcBorders>
            <w:shd w:val="clear" w:color="auto" w:fill="D2DCE5"/>
          </w:tcPr>
          <w:p>
            <w:pPr>
              <w:spacing w:after="0"/>
              <w:rPr>
                <w:sz w:val="19"/>
                <w:szCs w:val="19"/>
                <w:color w:val="auto"/>
              </w:rPr>
            </w:pPr>
          </w:p>
        </w:tc>
        <w:tc>
          <w:tcPr>
            <w:tcW w:w="300" w:type="dxa"/>
            <w:vAlign w:val="bottom"/>
            <w:tcBorders>
              <w:bottom w:val="single" w:sz="8" w:color="auto"/>
            </w:tcBorders>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843</w:t>
            </w:r>
          </w:p>
        </w:tc>
        <w:tc>
          <w:tcPr>
            <w:tcW w:w="0" w:type="dxa"/>
            <w:vAlign w:val="bottom"/>
          </w:tcPr>
          <w:p>
            <w:pPr>
              <w:spacing w:after="0"/>
              <w:rPr>
                <w:sz w:val="1"/>
                <w:szCs w:val="1"/>
                <w:color w:val="auto"/>
              </w:rPr>
            </w:pPr>
          </w:p>
        </w:tc>
      </w:tr>
      <w:tr>
        <w:trPr>
          <w:trHeight w:val="20"/>
        </w:trPr>
        <w:tc>
          <w:tcPr>
            <w:tcW w:w="7160" w:type="dxa"/>
            <w:vAlign w:val="bottom"/>
            <w:tcBorders>
              <w:top w:val="single" w:sz="8" w:color="D2DCE5"/>
              <w:bottom w:val="single" w:sz="8" w:color="D2DCE5"/>
            </w:tcBorders>
            <w:gridSpan w:val="4"/>
            <w:vMerge w:val="restart"/>
          </w:tcPr>
          <w:p>
            <w:pPr>
              <w:spacing w:after="0"/>
              <w:rPr>
                <w:sz w:val="20"/>
                <w:szCs w:val="20"/>
                <w:color w:val="auto"/>
              </w:rPr>
            </w:pPr>
            <w:r>
              <w:rPr>
                <w:rFonts w:ascii="Arial" w:cs="Arial" w:eastAsia="Arial" w:hAnsi="Arial"/>
                <w:sz w:val="14"/>
                <w:szCs w:val="14"/>
                <w:color w:val="131E29"/>
              </w:rPr>
              <w:t>The Company’s effective income tax rate differs from the U.S. federal statutory income tax rate as itemized below:</w:t>
            </w:r>
          </w:p>
        </w:tc>
        <w:tc>
          <w:tcPr>
            <w:tcW w:w="180" w:type="dxa"/>
            <w:vAlign w:val="bottom"/>
            <w:tcBorders>
              <w:top w:val="single" w:sz="8" w:color="D2DCE5"/>
              <w:bottom w:val="single" w:sz="8" w:color="auto"/>
            </w:tcBorders>
          </w:tcPr>
          <w:p>
            <w:pPr>
              <w:spacing w:after="0" w:line="20" w:lineRule="exact"/>
              <w:rPr>
                <w:sz w:val="1"/>
                <w:szCs w:val="1"/>
                <w:color w:val="auto"/>
              </w:rPr>
            </w:pPr>
          </w:p>
        </w:tc>
        <w:tc>
          <w:tcPr>
            <w:tcW w:w="9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40" w:type="dxa"/>
            <w:vAlign w:val="bottom"/>
            <w:tcBorders>
              <w:top w:val="single" w:sz="8" w:color="D2DCE5"/>
              <w:bottom w:val="single" w:sz="8" w:color="auto"/>
            </w:tcBorders>
          </w:tcPr>
          <w:p>
            <w:pPr>
              <w:spacing w:after="0" w:line="20" w:lineRule="exact"/>
              <w:rPr>
                <w:sz w:val="1"/>
                <w:szCs w:val="1"/>
                <w:color w:val="auto"/>
              </w:rPr>
            </w:pPr>
          </w:p>
        </w:tc>
        <w:tc>
          <w:tcPr>
            <w:tcW w:w="98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bottom w:val="single" w:sz="8" w:color="auto"/>
            </w:tcBorders>
          </w:tcPr>
          <w:p>
            <w:pPr>
              <w:spacing w:after="0" w:line="20" w:lineRule="exact"/>
              <w:rPr>
                <w:sz w:val="1"/>
                <w:szCs w:val="1"/>
                <w:color w:val="auto"/>
              </w:rPr>
            </w:pPr>
          </w:p>
        </w:tc>
        <w:tc>
          <w:tcPr>
            <w:tcW w:w="20" w:type="dxa"/>
            <w:vAlign w:val="bottom"/>
            <w:tcBorders>
              <w:top w:val="single" w:sz="8" w:color="D2DCE5"/>
              <w:bottom w:val="single" w:sz="8" w:color="auto"/>
            </w:tcBorders>
          </w:tcPr>
          <w:p>
            <w:pPr>
              <w:spacing w:after="0" w:line="20" w:lineRule="exact"/>
              <w:rPr>
                <w:sz w:val="1"/>
                <w:szCs w:val="1"/>
                <w:color w:val="auto"/>
              </w:rPr>
            </w:pPr>
          </w:p>
        </w:tc>
        <w:tc>
          <w:tcPr>
            <w:tcW w:w="6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716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gridSpan w:val="9"/>
          </w:tcPr>
          <w:p>
            <w:pPr>
              <w:ind w:left="880"/>
              <w:spacing w:after="0"/>
              <w:rPr>
                <w:sz w:val="20"/>
                <w:szCs w:val="20"/>
                <w:color w:val="auto"/>
              </w:rPr>
            </w:pPr>
            <w:r>
              <w:rPr>
                <w:rFonts w:ascii="Arial" w:cs="Arial" w:eastAsia="Arial" w:hAnsi="Arial"/>
                <w:sz w:val="14"/>
                <w:szCs w:val="14"/>
                <w:b w:val="1"/>
                <w:bCs w:val="1"/>
                <w:color w:val="131E29"/>
                <w:w w:val="99"/>
              </w:rPr>
              <w:t>Year Ended December 31,</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6880" w:type="dxa"/>
            <w:vAlign w:val="bottom"/>
            <w:gridSpan w:val="2"/>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6800" w:type="dxa"/>
            <w:vAlign w:val="bottom"/>
            <w:tcBorders>
              <w:bottom w:val="single" w:sz="8" w:color="131E29"/>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6"/>
                <w:szCs w:val="16"/>
                <w:color w:val="auto"/>
              </w:rPr>
            </w:pPr>
          </w:p>
        </w:tc>
        <w:tc>
          <w:tcPr>
            <w:tcW w:w="280" w:type="dxa"/>
            <w:vAlign w:val="bottom"/>
            <w:tcBorders>
              <w:bottom w:val="single" w:sz="8" w:color="auto"/>
            </w:tcBorders>
            <w:gridSpan w:val="2"/>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131E29"/>
              </w:rPr>
              <w:t>2022</w:t>
            </w:r>
          </w:p>
        </w:tc>
        <w:tc>
          <w:tcPr>
            <w:tcW w:w="80" w:type="dxa"/>
            <w:vAlign w:val="bottom"/>
            <w:tcBorders>
              <w:bottom w:val="single" w:sz="8" w:color="D2DCE5"/>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131E29"/>
              </w:rPr>
              <w:t>2021</w:t>
            </w:r>
          </w:p>
        </w:tc>
        <w:tc>
          <w:tcPr>
            <w:tcW w:w="100" w:type="dxa"/>
            <w:vAlign w:val="bottom"/>
            <w:tcBorders>
              <w:bottom w:val="single" w:sz="8" w:color="D2DCE5"/>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131E29"/>
              </w:rPr>
              <w:t>2020</w:t>
            </w:r>
          </w:p>
        </w:tc>
        <w:tc>
          <w:tcPr>
            <w:tcW w:w="0" w:type="dxa"/>
            <w:vAlign w:val="bottom"/>
          </w:tcPr>
          <w:p>
            <w:pPr>
              <w:spacing w:after="0"/>
              <w:rPr>
                <w:sz w:val="1"/>
                <w:szCs w:val="1"/>
                <w:color w:val="auto"/>
              </w:rPr>
            </w:pPr>
          </w:p>
        </w:tc>
      </w:tr>
      <w:tr>
        <w:trPr>
          <w:trHeight w:val="192"/>
        </w:trPr>
        <w:tc>
          <w:tcPr>
            <w:tcW w:w="7160" w:type="dxa"/>
            <w:vAlign w:val="bottom"/>
            <w:tcBorders>
              <w:bottom w:val="single" w:sz="8" w:color="D2DCE5"/>
            </w:tcBorders>
            <w:gridSpan w:val="4"/>
            <w:shd w:val="clear" w:color="auto" w:fill="D2DCE5"/>
          </w:tcPr>
          <w:p>
            <w:pPr>
              <w:ind w:left="20"/>
              <w:spacing w:after="0"/>
              <w:rPr>
                <w:sz w:val="20"/>
                <w:szCs w:val="20"/>
                <w:color w:val="auto"/>
              </w:rPr>
            </w:pPr>
            <w:r>
              <w:rPr>
                <w:rFonts w:ascii="Arial" w:cs="Arial" w:eastAsia="Arial" w:hAnsi="Arial"/>
                <w:sz w:val="14"/>
                <w:szCs w:val="14"/>
                <w:color w:val="131E29"/>
              </w:rPr>
              <w:t>U.S. federal statutory income tax rate</w:t>
            </w:r>
          </w:p>
        </w:tc>
        <w:tc>
          <w:tcPr>
            <w:tcW w:w="180" w:type="dxa"/>
            <w:vAlign w:val="bottom"/>
            <w:tcBorders>
              <w:bottom w:val="single" w:sz="8" w:color="D2DCE5"/>
            </w:tcBorders>
            <w:shd w:val="clear" w:color="auto" w:fill="D2DCE5"/>
          </w:tcPr>
          <w:p>
            <w:pPr>
              <w:spacing w:after="0"/>
              <w:rPr>
                <w:sz w:val="16"/>
                <w:szCs w:val="16"/>
                <w:color w:val="auto"/>
              </w:rPr>
            </w:pP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21.0 %</w:t>
            </w:r>
          </w:p>
        </w:tc>
        <w:tc>
          <w:tcPr>
            <w:tcW w:w="8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240" w:type="dxa"/>
            <w:vAlign w:val="bottom"/>
            <w:tcBorders>
              <w:bottom w:val="single" w:sz="8" w:color="D2DCE5"/>
            </w:tcBorders>
            <w:shd w:val="clear" w:color="auto" w:fill="D2DCE5"/>
          </w:tcPr>
          <w:p>
            <w:pPr>
              <w:spacing w:after="0"/>
              <w:rPr>
                <w:sz w:val="16"/>
                <w:szCs w:val="16"/>
                <w:color w:val="auto"/>
              </w:rPr>
            </w:pPr>
          </w:p>
        </w:tc>
        <w:tc>
          <w:tcPr>
            <w:tcW w:w="9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21.0 %</w:t>
            </w:r>
          </w:p>
        </w:tc>
        <w:tc>
          <w:tcPr>
            <w:tcW w:w="100" w:type="dxa"/>
            <w:vAlign w:val="bottom"/>
            <w:tcBorders>
              <w:bottom w:val="single" w:sz="8" w:color="D2DCE5"/>
            </w:tcBorders>
            <w:shd w:val="clear" w:color="auto" w:fill="D2DCE5"/>
          </w:tcPr>
          <w:p>
            <w:pPr>
              <w:spacing w:after="0"/>
              <w:rPr>
                <w:sz w:val="16"/>
                <w:szCs w:val="16"/>
                <w:color w:val="auto"/>
              </w:rPr>
            </w:pPr>
          </w:p>
        </w:tc>
        <w:tc>
          <w:tcPr>
            <w:tcW w:w="20" w:type="dxa"/>
            <w:vAlign w:val="bottom"/>
            <w:tcBorders>
              <w:bottom w:val="single" w:sz="8" w:color="D2DCE5"/>
            </w:tcBorders>
            <w:shd w:val="clear" w:color="auto" w:fill="D2DCE5"/>
          </w:tcPr>
          <w:p>
            <w:pPr>
              <w:spacing w:after="0"/>
              <w:rPr>
                <w:sz w:val="16"/>
                <w:szCs w:val="16"/>
                <w:color w:val="auto"/>
              </w:rPr>
            </w:pPr>
          </w:p>
        </w:tc>
        <w:tc>
          <w:tcPr>
            <w:tcW w:w="6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21.0 %</w:t>
            </w:r>
          </w:p>
        </w:tc>
        <w:tc>
          <w:tcPr>
            <w:tcW w:w="0" w:type="dxa"/>
            <w:vAlign w:val="bottom"/>
          </w:tcPr>
          <w:p>
            <w:pPr>
              <w:spacing w:after="0"/>
              <w:rPr>
                <w:sz w:val="1"/>
                <w:szCs w:val="1"/>
                <w:color w:val="auto"/>
              </w:rPr>
            </w:pPr>
          </w:p>
        </w:tc>
      </w:tr>
      <w:tr>
        <w:trPr>
          <w:trHeight w:val="191"/>
        </w:trPr>
        <w:tc>
          <w:tcPr>
            <w:tcW w:w="7160" w:type="dxa"/>
            <w:vAlign w:val="bottom"/>
            <w:gridSpan w:val="4"/>
          </w:tcPr>
          <w:p>
            <w:pPr>
              <w:ind w:left="20"/>
              <w:spacing w:after="0"/>
              <w:rPr>
                <w:sz w:val="20"/>
                <w:szCs w:val="20"/>
                <w:color w:val="auto"/>
              </w:rPr>
            </w:pPr>
            <w:r>
              <w:rPr>
                <w:rFonts w:ascii="Arial" w:cs="Arial" w:eastAsia="Arial" w:hAnsi="Arial"/>
                <w:sz w:val="14"/>
                <w:szCs w:val="14"/>
                <w:color w:val="131E29"/>
              </w:rPr>
              <w:t>Income allocable to non-controlling interests not subject to tax</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131E29"/>
              </w:rPr>
              <w:t>(32.9)%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131E29"/>
              </w:rPr>
              <w:t>(18.4)%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(18.7)%</w:t>
            </w:r>
          </w:p>
        </w:tc>
        <w:tc>
          <w:tcPr>
            <w:tcW w:w="0" w:type="dxa"/>
            <w:vAlign w:val="bottom"/>
          </w:tcPr>
          <w:p>
            <w:pPr>
              <w:spacing w:after="0"/>
              <w:rPr>
                <w:sz w:val="1"/>
                <w:szCs w:val="1"/>
                <w:color w:val="auto"/>
              </w:rPr>
            </w:pPr>
          </w:p>
        </w:tc>
      </w:tr>
      <w:tr>
        <w:trPr>
          <w:trHeight w:val="22"/>
        </w:trPr>
        <w:tc>
          <w:tcPr>
            <w:tcW w:w="6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160" w:type="dxa"/>
            <w:vAlign w:val="bottom"/>
            <w:tcBorders>
              <w:bottom w:val="single" w:sz="8" w:color="D2DCE5"/>
            </w:tcBorders>
            <w:gridSpan w:val="4"/>
            <w:shd w:val="clear" w:color="auto" w:fill="D2DCE5"/>
          </w:tcPr>
          <w:p>
            <w:pPr>
              <w:ind w:left="20"/>
              <w:spacing w:after="0"/>
              <w:rPr>
                <w:sz w:val="20"/>
                <w:szCs w:val="20"/>
                <w:color w:val="auto"/>
              </w:rPr>
            </w:pPr>
            <w:r>
              <w:rPr>
                <w:rFonts w:ascii="Arial" w:cs="Arial" w:eastAsia="Arial" w:hAnsi="Arial"/>
                <w:sz w:val="14"/>
                <w:szCs w:val="14"/>
                <w:color w:val="131E29"/>
              </w:rPr>
              <w:t>State and local income taxes, net of federal benefit</w:t>
            </w:r>
          </w:p>
        </w:tc>
        <w:tc>
          <w:tcPr>
            <w:tcW w:w="180" w:type="dxa"/>
            <w:vAlign w:val="bottom"/>
            <w:tcBorders>
              <w:bottom w:val="single" w:sz="8" w:color="D2DCE5"/>
            </w:tcBorders>
            <w:shd w:val="clear" w:color="auto" w:fill="D2DCE5"/>
          </w:tcPr>
          <w:p>
            <w:pPr>
              <w:spacing w:after="0"/>
              <w:rPr>
                <w:sz w:val="16"/>
                <w:szCs w:val="16"/>
                <w:color w:val="auto"/>
              </w:rPr>
            </w:pP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(9.5)%</w:t>
            </w:r>
          </w:p>
        </w:tc>
        <w:tc>
          <w:tcPr>
            <w:tcW w:w="8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240" w:type="dxa"/>
            <w:vAlign w:val="bottom"/>
            <w:tcBorders>
              <w:bottom w:val="single" w:sz="8" w:color="D2DCE5"/>
            </w:tcBorders>
            <w:shd w:val="clear" w:color="auto" w:fill="D2DCE5"/>
          </w:tcPr>
          <w:p>
            <w:pPr>
              <w:spacing w:after="0"/>
              <w:rPr>
                <w:sz w:val="16"/>
                <w:szCs w:val="16"/>
                <w:color w:val="auto"/>
              </w:rPr>
            </w:pPr>
          </w:p>
        </w:tc>
        <w:tc>
          <w:tcPr>
            <w:tcW w:w="9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(0.8)%</w:t>
            </w:r>
          </w:p>
        </w:tc>
        <w:tc>
          <w:tcPr>
            <w:tcW w:w="100" w:type="dxa"/>
            <w:vAlign w:val="bottom"/>
            <w:tcBorders>
              <w:bottom w:val="single" w:sz="8" w:color="D2DCE5"/>
            </w:tcBorders>
            <w:shd w:val="clear" w:color="auto" w:fill="D2DCE5"/>
          </w:tcPr>
          <w:p>
            <w:pPr>
              <w:spacing w:after="0"/>
              <w:rPr>
                <w:sz w:val="16"/>
                <w:szCs w:val="16"/>
                <w:color w:val="auto"/>
              </w:rPr>
            </w:pPr>
          </w:p>
        </w:tc>
        <w:tc>
          <w:tcPr>
            <w:tcW w:w="20" w:type="dxa"/>
            <w:vAlign w:val="bottom"/>
            <w:tcBorders>
              <w:bottom w:val="single" w:sz="8" w:color="D2DCE5"/>
            </w:tcBorders>
            <w:shd w:val="clear" w:color="auto" w:fill="D2DCE5"/>
          </w:tcPr>
          <w:p>
            <w:pPr>
              <w:spacing w:after="0"/>
              <w:rPr>
                <w:sz w:val="16"/>
                <w:szCs w:val="16"/>
                <w:color w:val="auto"/>
              </w:rPr>
            </w:pPr>
          </w:p>
        </w:tc>
        <w:tc>
          <w:tcPr>
            <w:tcW w:w="6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10.2 %</w:t>
            </w:r>
          </w:p>
        </w:tc>
        <w:tc>
          <w:tcPr>
            <w:tcW w:w="0" w:type="dxa"/>
            <w:vAlign w:val="bottom"/>
          </w:tcPr>
          <w:p>
            <w:pPr>
              <w:spacing w:after="0"/>
              <w:rPr>
                <w:sz w:val="1"/>
                <w:szCs w:val="1"/>
                <w:color w:val="auto"/>
              </w:rPr>
            </w:pPr>
          </w:p>
        </w:tc>
      </w:tr>
      <w:tr>
        <w:trPr>
          <w:trHeight w:val="191"/>
        </w:trPr>
        <w:tc>
          <w:tcPr>
            <w:tcW w:w="7160" w:type="dxa"/>
            <w:vAlign w:val="bottom"/>
            <w:gridSpan w:val="4"/>
          </w:tcPr>
          <w:p>
            <w:pPr>
              <w:ind w:left="20"/>
              <w:spacing w:after="0"/>
              <w:rPr>
                <w:sz w:val="20"/>
                <w:szCs w:val="20"/>
                <w:color w:val="auto"/>
              </w:rPr>
            </w:pPr>
            <w:r>
              <w:rPr>
                <w:rFonts w:ascii="Arial" w:cs="Arial" w:eastAsia="Arial" w:hAnsi="Arial"/>
                <w:sz w:val="14"/>
                <w:szCs w:val="14"/>
                <w:color w:val="131E29"/>
              </w:rPr>
              <w:t>State rate adjustment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131E29"/>
              </w:rPr>
              <w:t>(39.1)%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4"/>
          </w:tcPr>
          <w:p>
            <w:pPr>
              <w:jc w:val="right"/>
              <w:ind w:right="180"/>
              <w:spacing w:after="0"/>
              <w:rPr>
                <w:sz w:val="20"/>
                <w:szCs w:val="20"/>
                <w:color w:val="auto"/>
              </w:rPr>
            </w:pPr>
            <w:r>
              <w:rPr>
                <w:rFonts w:ascii="Arial" w:cs="Arial" w:eastAsia="Arial" w:hAnsi="Arial"/>
                <w:sz w:val="14"/>
                <w:szCs w:val="14"/>
                <w:color w:val="131E29"/>
              </w:rPr>
              <w:t>— %</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 %</w:t>
            </w:r>
          </w:p>
        </w:tc>
        <w:tc>
          <w:tcPr>
            <w:tcW w:w="0" w:type="dxa"/>
            <w:vAlign w:val="bottom"/>
          </w:tcPr>
          <w:p>
            <w:pPr>
              <w:spacing w:after="0"/>
              <w:rPr>
                <w:sz w:val="1"/>
                <w:szCs w:val="1"/>
                <w:color w:val="auto"/>
              </w:rPr>
            </w:pPr>
          </w:p>
        </w:tc>
      </w:tr>
      <w:tr>
        <w:trPr>
          <w:trHeight w:val="22"/>
        </w:trPr>
        <w:tc>
          <w:tcPr>
            <w:tcW w:w="6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160" w:type="dxa"/>
            <w:vAlign w:val="bottom"/>
            <w:tcBorders>
              <w:bottom w:val="single" w:sz="8" w:color="D2DCE5"/>
            </w:tcBorders>
            <w:gridSpan w:val="4"/>
            <w:shd w:val="clear" w:color="auto" w:fill="D2DCE5"/>
          </w:tcPr>
          <w:p>
            <w:pPr>
              <w:ind w:left="20"/>
              <w:spacing w:after="0"/>
              <w:rPr>
                <w:sz w:val="20"/>
                <w:szCs w:val="20"/>
                <w:color w:val="auto"/>
              </w:rPr>
            </w:pPr>
            <w:r>
              <w:rPr>
                <w:rFonts w:ascii="Arial" w:cs="Arial" w:eastAsia="Arial" w:hAnsi="Arial"/>
                <w:sz w:val="14"/>
                <w:szCs w:val="14"/>
                <w:color w:val="131E29"/>
              </w:rPr>
              <w:t>Net impact of GAAP basis shifts</w:t>
            </w:r>
          </w:p>
        </w:tc>
        <w:tc>
          <w:tcPr>
            <w:tcW w:w="180" w:type="dxa"/>
            <w:vAlign w:val="bottom"/>
            <w:tcBorders>
              <w:bottom w:val="single" w:sz="8" w:color="D2DCE5"/>
            </w:tcBorders>
            <w:shd w:val="clear" w:color="auto" w:fill="D2DCE5"/>
          </w:tcPr>
          <w:p>
            <w:pPr>
              <w:spacing w:after="0"/>
              <w:rPr>
                <w:sz w:val="16"/>
                <w:szCs w:val="16"/>
                <w:color w:val="auto"/>
              </w:rPr>
            </w:pPr>
          </w:p>
        </w:tc>
        <w:tc>
          <w:tcPr>
            <w:tcW w:w="1220" w:type="dxa"/>
            <w:vAlign w:val="bottom"/>
            <w:tcBorders>
              <w:bottom w:val="single" w:sz="8" w:color="D2DCE5"/>
            </w:tcBorders>
            <w:gridSpan w:val="4"/>
            <w:shd w:val="clear" w:color="auto" w:fill="D2DCE5"/>
          </w:tcPr>
          <w:p>
            <w:pPr>
              <w:jc w:val="right"/>
              <w:ind w:right="280"/>
              <w:spacing w:after="0"/>
              <w:rPr>
                <w:sz w:val="20"/>
                <w:szCs w:val="20"/>
                <w:color w:val="auto"/>
              </w:rPr>
            </w:pPr>
            <w:r>
              <w:rPr>
                <w:rFonts w:ascii="Arial" w:cs="Arial" w:eastAsia="Arial" w:hAnsi="Arial"/>
                <w:sz w:val="14"/>
                <w:szCs w:val="14"/>
                <w:color w:val="131E29"/>
              </w:rPr>
              <w:t>— %</w:t>
            </w:r>
          </w:p>
        </w:tc>
        <w:tc>
          <w:tcPr>
            <w:tcW w:w="240" w:type="dxa"/>
            <w:vAlign w:val="bottom"/>
            <w:tcBorders>
              <w:bottom w:val="single" w:sz="8" w:color="D2DCE5"/>
            </w:tcBorders>
            <w:shd w:val="clear" w:color="auto" w:fill="D2DCE5"/>
          </w:tcPr>
          <w:p>
            <w:pPr>
              <w:spacing w:after="0"/>
              <w:rPr>
                <w:sz w:val="16"/>
                <w:szCs w:val="16"/>
                <w:color w:val="auto"/>
              </w:rPr>
            </w:pPr>
          </w:p>
        </w:tc>
        <w:tc>
          <w:tcPr>
            <w:tcW w:w="9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(0.2)%</w:t>
            </w:r>
          </w:p>
        </w:tc>
        <w:tc>
          <w:tcPr>
            <w:tcW w:w="100" w:type="dxa"/>
            <w:vAlign w:val="bottom"/>
            <w:tcBorders>
              <w:bottom w:val="single" w:sz="8" w:color="D2DCE5"/>
            </w:tcBorders>
            <w:shd w:val="clear" w:color="auto" w:fill="D2DCE5"/>
          </w:tcPr>
          <w:p>
            <w:pPr>
              <w:spacing w:after="0"/>
              <w:rPr>
                <w:sz w:val="16"/>
                <w:szCs w:val="16"/>
                <w:color w:val="auto"/>
              </w:rPr>
            </w:pPr>
          </w:p>
        </w:tc>
        <w:tc>
          <w:tcPr>
            <w:tcW w:w="20" w:type="dxa"/>
            <w:vAlign w:val="bottom"/>
            <w:tcBorders>
              <w:bottom w:val="single" w:sz="8" w:color="D2DCE5"/>
            </w:tcBorders>
            <w:shd w:val="clear" w:color="auto" w:fill="D2DCE5"/>
          </w:tcPr>
          <w:p>
            <w:pPr>
              <w:spacing w:after="0"/>
              <w:rPr>
                <w:sz w:val="16"/>
                <w:szCs w:val="16"/>
                <w:color w:val="auto"/>
              </w:rPr>
            </w:pPr>
          </w:p>
        </w:tc>
        <w:tc>
          <w:tcPr>
            <w:tcW w:w="6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 %</w:t>
            </w:r>
          </w:p>
        </w:tc>
        <w:tc>
          <w:tcPr>
            <w:tcW w:w="0" w:type="dxa"/>
            <w:vAlign w:val="bottom"/>
          </w:tcPr>
          <w:p>
            <w:pPr>
              <w:spacing w:after="0"/>
              <w:rPr>
                <w:sz w:val="1"/>
                <w:szCs w:val="1"/>
                <w:color w:val="auto"/>
              </w:rPr>
            </w:pPr>
          </w:p>
        </w:tc>
      </w:tr>
      <w:tr>
        <w:trPr>
          <w:trHeight w:val="191"/>
        </w:trPr>
        <w:tc>
          <w:tcPr>
            <w:tcW w:w="7160" w:type="dxa"/>
            <w:vAlign w:val="bottom"/>
            <w:gridSpan w:val="4"/>
          </w:tcPr>
          <w:p>
            <w:pPr>
              <w:ind w:left="20"/>
              <w:spacing w:after="0"/>
              <w:rPr>
                <w:sz w:val="20"/>
                <w:szCs w:val="20"/>
                <w:color w:val="auto"/>
              </w:rPr>
            </w:pPr>
            <w:r>
              <w:rPr>
                <w:rFonts w:ascii="Arial" w:cs="Arial" w:eastAsia="Arial" w:hAnsi="Arial"/>
                <w:sz w:val="14"/>
                <w:szCs w:val="14"/>
                <w:color w:val="131E29"/>
              </w:rPr>
              <w:t>Non-deductible compensation</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131E29"/>
              </w:rPr>
              <w:t>(2.0)%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131E29"/>
              </w:rPr>
              <w:t>(0.2)%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 %</w:t>
            </w:r>
          </w:p>
        </w:tc>
        <w:tc>
          <w:tcPr>
            <w:tcW w:w="0" w:type="dxa"/>
            <w:vAlign w:val="bottom"/>
          </w:tcPr>
          <w:p>
            <w:pPr>
              <w:spacing w:after="0"/>
              <w:rPr>
                <w:sz w:val="1"/>
                <w:szCs w:val="1"/>
                <w:color w:val="auto"/>
              </w:rPr>
            </w:pPr>
          </w:p>
        </w:tc>
      </w:tr>
      <w:tr>
        <w:trPr>
          <w:trHeight w:val="22"/>
        </w:trPr>
        <w:tc>
          <w:tcPr>
            <w:tcW w:w="6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160" w:type="dxa"/>
            <w:vAlign w:val="bottom"/>
            <w:tcBorders>
              <w:bottom w:val="single" w:sz="8" w:color="D2DCE5"/>
            </w:tcBorders>
            <w:gridSpan w:val="4"/>
            <w:shd w:val="clear" w:color="auto" w:fill="D2DCE5"/>
          </w:tcPr>
          <w:p>
            <w:pPr>
              <w:ind w:left="20"/>
              <w:spacing w:after="0"/>
              <w:rPr>
                <w:sz w:val="20"/>
                <w:szCs w:val="20"/>
                <w:color w:val="auto"/>
              </w:rPr>
            </w:pPr>
            <w:r>
              <w:rPr>
                <w:rFonts w:ascii="Arial" w:cs="Arial" w:eastAsia="Arial" w:hAnsi="Arial"/>
                <w:sz w:val="14"/>
                <w:szCs w:val="14"/>
                <w:color w:val="131E29"/>
              </w:rPr>
              <w:t>Tax credits</w:t>
            </w:r>
          </w:p>
        </w:tc>
        <w:tc>
          <w:tcPr>
            <w:tcW w:w="180" w:type="dxa"/>
            <w:vAlign w:val="bottom"/>
            <w:tcBorders>
              <w:bottom w:val="single" w:sz="8" w:color="D2DCE5"/>
            </w:tcBorders>
            <w:shd w:val="clear" w:color="auto" w:fill="D2DCE5"/>
          </w:tcPr>
          <w:p>
            <w:pPr>
              <w:spacing w:after="0"/>
              <w:rPr>
                <w:sz w:val="16"/>
                <w:szCs w:val="16"/>
                <w:color w:val="auto"/>
              </w:rPr>
            </w:pP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10.1 %</w:t>
            </w:r>
          </w:p>
        </w:tc>
        <w:tc>
          <w:tcPr>
            <w:tcW w:w="8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240" w:type="dxa"/>
            <w:vAlign w:val="bottom"/>
            <w:tcBorders>
              <w:bottom w:val="single" w:sz="8" w:color="D2DCE5"/>
            </w:tcBorders>
            <w:shd w:val="clear" w:color="auto" w:fill="D2DCE5"/>
          </w:tcPr>
          <w:p>
            <w:pPr>
              <w:spacing w:after="0"/>
              <w:rPr>
                <w:sz w:val="16"/>
                <w:szCs w:val="16"/>
                <w:color w:val="auto"/>
              </w:rPr>
            </w:pPr>
          </w:p>
        </w:tc>
        <w:tc>
          <w:tcPr>
            <w:tcW w:w="9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0.3 %</w:t>
            </w:r>
          </w:p>
        </w:tc>
        <w:tc>
          <w:tcPr>
            <w:tcW w:w="100" w:type="dxa"/>
            <w:vAlign w:val="bottom"/>
            <w:tcBorders>
              <w:bottom w:val="single" w:sz="8" w:color="D2DCE5"/>
            </w:tcBorders>
            <w:shd w:val="clear" w:color="auto" w:fill="D2DCE5"/>
          </w:tcPr>
          <w:p>
            <w:pPr>
              <w:spacing w:after="0"/>
              <w:rPr>
                <w:sz w:val="16"/>
                <w:szCs w:val="16"/>
                <w:color w:val="auto"/>
              </w:rPr>
            </w:pPr>
          </w:p>
        </w:tc>
        <w:tc>
          <w:tcPr>
            <w:tcW w:w="20" w:type="dxa"/>
            <w:vAlign w:val="bottom"/>
            <w:tcBorders>
              <w:bottom w:val="single" w:sz="8" w:color="D2DCE5"/>
            </w:tcBorders>
            <w:shd w:val="clear" w:color="auto" w:fill="D2DCE5"/>
          </w:tcPr>
          <w:p>
            <w:pPr>
              <w:spacing w:after="0"/>
              <w:rPr>
                <w:sz w:val="16"/>
                <w:szCs w:val="16"/>
                <w:color w:val="auto"/>
              </w:rPr>
            </w:pPr>
          </w:p>
        </w:tc>
        <w:tc>
          <w:tcPr>
            <w:tcW w:w="6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 %</w:t>
            </w:r>
          </w:p>
        </w:tc>
        <w:tc>
          <w:tcPr>
            <w:tcW w:w="0" w:type="dxa"/>
            <w:vAlign w:val="bottom"/>
          </w:tcPr>
          <w:p>
            <w:pPr>
              <w:spacing w:after="0"/>
              <w:rPr>
                <w:sz w:val="1"/>
                <w:szCs w:val="1"/>
                <w:color w:val="auto"/>
              </w:rPr>
            </w:pPr>
          </w:p>
        </w:tc>
      </w:tr>
      <w:tr>
        <w:trPr>
          <w:trHeight w:val="191"/>
        </w:trPr>
        <w:tc>
          <w:tcPr>
            <w:tcW w:w="7160" w:type="dxa"/>
            <w:vAlign w:val="bottom"/>
            <w:gridSpan w:val="4"/>
          </w:tcPr>
          <w:p>
            <w:pPr>
              <w:ind w:left="20"/>
              <w:spacing w:after="0"/>
              <w:rPr>
                <w:sz w:val="20"/>
                <w:szCs w:val="20"/>
                <w:color w:val="auto"/>
              </w:rPr>
            </w:pPr>
            <w:r>
              <w:rPr>
                <w:rFonts w:ascii="Arial" w:cs="Arial" w:eastAsia="Arial" w:hAnsi="Arial"/>
                <w:sz w:val="14"/>
                <w:szCs w:val="14"/>
                <w:color w:val="131E29"/>
              </w:rPr>
              <w:t>TRA adjustments</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131E29"/>
              </w:rPr>
              <w:t>4.4 %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4"/>
          </w:tcPr>
          <w:p>
            <w:pPr>
              <w:jc w:val="right"/>
              <w:ind w:right="180"/>
              <w:spacing w:after="0"/>
              <w:rPr>
                <w:sz w:val="20"/>
                <w:szCs w:val="20"/>
                <w:color w:val="auto"/>
              </w:rPr>
            </w:pPr>
            <w:r>
              <w:rPr>
                <w:rFonts w:ascii="Arial" w:cs="Arial" w:eastAsia="Arial" w:hAnsi="Arial"/>
                <w:sz w:val="14"/>
                <w:szCs w:val="14"/>
                <w:color w:val="131E29"/>
              </w:rPr>
              <w:t>— %</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 %</w:t>
            </w:r>
          </w:p>
        </w:tc>
        <w:tc>
          <w:tcPr>
            <w:tcW w:w="0" w:type="dxa"/>
            <w:vAlign w:val="bottom"/>
          </w:tcPr>
          <w:p>
            <w:pPr>
              <w:spacing w:after="0"/>
              <w:rPr>
                <w:sz w:val="1"/>
                <w:szCs w:val="1"/>
                <w:color w:val="auto"/>
              </w:rPr>
            </w:pPr>
          </w:p>
        </w:tc>
      </w:tr>
      <w:tr>
        <w:trPr>
          <w:trHeight w:val="22"/>
        </w:trPr>
        <w:tc>
          <w:tcPr>
            <w:tcW w:w="6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160" w:type="dxa"/>
            <w:vAlign w:val="bottom"/>
            <w:tcBorders>
              <w:bottom w:val="single" w:sz="8" w:color="D2DCE5"/>
            </w:tcBorders>
            <w:gridSpan w:val="4"/>
            <w:shd w:val="clear" w:color="auto" w:fill="D2DCE5"/>
          </w:tcPr>
          <w:p>
            <w:pPr>
              <w:ind w:left="20"/>
              <w:spacing w:after="0"/>
              <w:rPr>
                <w:sz w:val="20"/>
                <w:szCs w:val="20"/>
                <w:color w:val="auto"/>
              </w:rPr>
            </w:pPr>
            <w:r>
              <w:rPr>
                <w:rFonts w:ascii="Arial" w:cs="Arial" w:eastAsia="Arial" w:hAnsi="Arial"/>
                <w:sz w:val="14"/>
                <w:szCs w:val="14"/>
                <w:color w:val="131E29"/>
              </w:rPr>
              <w:t>Return-to-provision adjustments</w:t>
            </w:r>
          </w:p>
        </w:tc>
        <w:tc>
          <w:tcPr>
            <w:tcW w:w="180" w:type="dxa"/>
            <w:vAlign w:val="bottom"/>
            <w:tcBorders>
              <w:bottom w:val="single" w:sz="8" w:color="D2DCE5"/>
            </w:tcBorders>
            <w:shd w:val="clear" w:color="auto" w:fill="D2DCE5"/>
          </w:tcPr>
          <w:p>
            <w:pPr>
              <w:spacing w:after="0"/>
              <w:rPr>
                <w:sz w:val="16"/>
                <w:szCs w:val="16"/>
                <w:color w:val="auto"/>
              </w:rPr>
            </w:pP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32.4 %</w:t>
            </w:r>
          </w:p>
        </w:tc>
        <w:tc>
          <w:tcPr>
            <w:tcW w:w="8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240" w:type="dxa"/>
            <w:vAlign w:val="bottom"/>
            <w:tcBorders>
              <w:bottom w:val="single" w:sz="8" w:color="D2DCE5"/>
            </w:tcBorders>
            <w:shd w:val="clear" w:color="auto" w:fill="D2DCE5"/>
          </w:tcPr>
          <w:p>
            <w:pPr>
              <w:spacing w:after="0"/>
              <w:rPr>
                <w:sz w:val="16"/>
                <w:szCs w:val="16"/>
                <w:color w:val="auto"/>
              </w:rPr>
            </w:pPr>
          </w:p>
        </w:tc>
        <w:tc>
          <w:tcPr>
            <w:tcW w:w="1160" w:type="dxa"/>
            <w:vAlign w:val="bottom"/>
            <w:tcBorders>
              <w:bottom w:val="single" w:sz="8" w:color="D2DCE5"/>
            </w:tcBorders>
            <w:gridSpan w:val="4"/>
            <w:shd w:val="clear" w:color="auto" w:fill="D2DCE5"/>
          </w:tcPr>
          <w:p>
            <w:pPr>
              <w:jc w:val="right"/>
              <w:ind w:right="180"/>
              <w:spacing w:after="0"/>
              <w:rPr>
                <w:sz w:val="20"/>
                <w:szCs w:val="20"/>
                <w:color w:val="auto"/>
              </w:rPr>
            </w:pPr>
            <w:r>
              <w:rPr>
                <w:rFonts w:ascii="Arial" w:cs="Arial" w:eastAsia="Arial" w:hAnsi="Arial"/>
                <w:sz w:val="14"/>
                <w:szCs w:val="14"/>
                <w:color w:val="131E29"/>
              </w:rPr>
              <w:t>— %</w:t>
            </w:r>
          </w:p>
        </w:tc>
        <w:tc>
          <w:tcPr>
            <w:tcW w:w="300" w:type="dxa"/>
            <w:vAlign w:val="bottom"/>
            <w:tcBorders>
              <w:bottom w:val="single" w:sz="8" w:color="D2DCE5"/>
            </w:tcBorders>
            <w:shd w:val="clear" w:color="auto" w:fill="D2DCE5"/>
          </w:tcPr>
          <w:p>
            <w:pPr>
              <w:spacing w:after="0"/>
              <w:rPr>
                <w:sz w:val="16"/>
                <w:szCs w:val="16"/>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 %</w:t>
            </w:r>
          </w:p>
        </w:tc>
        <w:tc>
          <w:tcPr>
            <w:tcW w:w="0" w:type="dxa"/>
            <w:vAlign w:val="bottom"/>
          </w:tcPr>
          <w:p>
            <w:pPr>
              <w:spacing w:after="0"/>
              <w:rPr>
                <w:sz w:val="1"/>
                <w:szCs w:val="1"/>
                <w:color w:val="auto"/>
              </w:rPr>
            </w:pPr>
          </w:p>
        </w:tc>
      </w:tr>
      <w:tr>
        <w:trPr>
          <w:trHeight w:val="191"/>
        </w:trPr>
        <w:tc>
          <w:tcPr>
            <w:tcW w:w="7160" w:type="dxa"/>
            <w:vAlign w:val="bottom"/>
            <w:gridSpan w:val="4"/>
          </w:tcPr>
          <w:p>
            <w:pPr>
              <w:ind w:left="20"/>
              <w:spacing w:after="0"/>
              <w:rPr>
                <w:sz w:val="20"/>
                <w:szCs w:val="20"/>
                <w:color w:val="auto"/>
              </w:rPr>
            </w:pPr>
            <w:r>
              <w:rPr>
                <w:rFonts w:ascii="Arial" w:cs="Arial" w:eastAsia="Arial" w:hAnsi="Arial"/>
                <w:sz w:val="14"/>
                <w:szCs w:val="14"/>
                <w:color w:val="131E29"/>
              </w:rPr>
              <w:t>Other</w:t>
            </w:r>
          </w:p>
        </w:tc>
        <w:tc>
          <w:tcPr>
            <w:tcW w:w="180" w:type="dxa"/>
            <w:vAlign w:val="bottom"/>
          </w:tcPr>
          <w:p>
            <w:pPr>
              <w:spacing w:after="0"/>
              <w:rPr>
                <w:sz w:val="16"/>
                <w:szCs w:val="16"/>
                <w:color w:val="auto"/>
              </w:rPr>
            </w:pPr>
          </w:p>
        </w:tc>
        <w:tc>
          <w:tcPr>
            <w:tcW w:w="1220" w:type="dxa"/>
            <w:vAlign w:val="bottom"/>
            <w:gridSpan w:val="4"/>
          </w:tcPr>
          <w:p>
            <w:pPr>
              <w:jc w:val="right"/>
              <w:ind w:right="280"/>
              <w:spacing w:after="0"/>
              <w:rPr>
                <w:sz w:val="20"/>
                <w:szCs w:val="20"/>
                <w:color w:val="auto"/>
              </w:rPr>
            </w:pPr>
            <w:r>
              <w:rPr>
                <w:rFonts w:ascii="Arial" w:cs="Arial" w:eastAsia="Arial" w:hAnsi="Arial"/>
                <w:sz w:val="14"/>
                <w:szCs w:val="14"/>
                <w:color w:val="131E29"/>
              </w:rPr>
              <w:t>— %</w:t>
            </w:r>
          </w:p>
        </w:tc>
        <w:tc>
          <w:tcPr>
            <w:tcW w:w="240" w:type="dxa"/>
            <w:vAlign w:val="bottom"/>
          </w:tcPr>
          <w:p>
            <w:pPr>
              <w:spacing w:after="0"/>
              <w:rPr>
                <w:sz w:val="16"/>
                <w:szCs w:val="16"/>
                <w:color w:val="auto"/>
              </w:rPr>
            </w:pPr>
          </w:p>
        </w:tc>
        <w:tc>
          <w:tcPr>
            <w:tcW w:w="1160" w:type="dxa"/>
            <w:vAlign w:val="bottom"/>
            <w:gridSpan w:val="4"/>
          </w:tcPr>
          <w:p>
            <w:pPr>
              <w:jc w:val="right"/>
              <w:ind w:right="180"/>
              <w:spacing w:after="0"/>
              <w:rPr>
                <w:sz w:val="20"/>
                <w:szCs w:val="20"/>
                <w:color w:val="auto"/>
              </w:rPr>
            </w:pPr>
            <w:r>
              <w:rPr>
                <w:rFonts w:ascii="Arial" w:cs="Arial" w:eastAsia="Arial" w:hAnsi="Arial"/>
                <w:sz w:val="14"/>
                <w:szCs w:val="14"/>
                <w:color w:val="131E29"/>
              </w:rPr>
              <w:t>— %</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(0.3)%</w:t>
            </w:r>
          </w:p>
        </w:tc>
        <w:tc>
          <w:tcPr>
            <w:tcW w:w="0" w:type="dxa"/>
            <w:vAlign w:val="bottom"/>
          </w:tcPr>
          <w:p>
            <w:pPr>
              <w:spacing w:after="0"/>
              <w:rPr>
                <w:sz w:val="1"/>
                <w:szCs w:val="1"/>
                <w:color w:val="auto"/>
              </w:rPr>
            </w:pPr>
          </w:p>
        </w:tc>
      </w:tr>
      <w:tr>
        <w:trPr>
          <w:trHeight w:val="22"/>
        </w:trPr>
        <w:tc>
          <w:tcPr>
            <w:tcW w:w="6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8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Valuation allowance</w:t>
            </w:r>
          </w:p>
        </w:tc>
        <w:tc>
          <w:tcPr>
            <w:tcW w:w="280" w:type="dxa"/>
            <w:vAlign w:val="bottom"/>
            <w:tcBorders>
              <w:bottom w:val="single" w:sz="8" w:color="D2DCE5"/>
            </w:tcBorders>
            <w:gridSpan w:val="2"/>
            <w:shd w:val="clear" w:color="auto" w:fill="D2DCE5"/>
          </w:tcPr>
          <w:p>
            <w:pPr>
              <w:spacing w:after="0"/>
              <w:rPr>
                <w:sz w:val="18"/>
                <w:szCs w:val="18"/>
                <w:color w:val="auto"/>
              </w:rPr>
            </w:pPr>
          </w:p>
        </w:tc>
        <w:tc>
          <w:tcPr>
            <w:tcW w:w="180" w:type="dxa"/>
            <w:vAlign w:val="bottom"/>
            <w:tcBorders>
              <w:bottom w:val="single" w:sz="8" w:color="D2DCE5"/>
            </w:tcBorders>
            <w:shd w:val="clear" w:color="auto" w:fill="D2DCE5"/>
          </w:tcPr>
          <w:p>
            <w:pPr>
              <w:spacing w:after="0"/>
              <w:rPr>
                <w:sz w:val="18"/>
                <w:szCs w:val="18"/>
                <w:color w:val="auto"/>
              </w:rPr>
            </w:pPr>
          </w:p>
        </w:tc>
        <w:tc>
          <w:tcPr>
            <w:tcW w:w="1220" w:type="dxa"/>
            <w:vAlign w:val="bottom"/>
            <w:tcBorders>
              <w:bottom w:val="single" w:sz="8" w:color="D2DCE5"/>
            </w:tcBorders>
            <w:gridSpan w:val="4"/>
            <w:shd w:val="clear" w:color="auto" w:fill="D2DCE5"/>
          </w:tcPr>
          <w:p>
            <w:pPr>
              <w:jc w:val="right"/>
              <w:ind w:right="280"/>
              <w:spacing w:after="0"/>
              <w:rPr>
                <w:sz w:val="20"/>
                <w:szCs w:val="20"/>
                <w:color w:val="auto"/>
              </w:rPr>
            </w:pPr>
            <w:r>
              <w:rPr>
                <w:rFonts w:ascii="Arial" w:cs="Arial" w:eastAsia="Arial" w:hAnsi="Arial"/>
                <w:sz w:val="14"/>
                <w:szCs w:val="14"/>
                <w:color w:val="131E29"/>
              </w:rPr>
              <w:t>— %</w:t>
            </w:r>
          </w:p>
        </w:tc>
        <w:tc>
          <w:tcPr>
            <w:tcW w:w="240" w:type="dxa"/>
            <w:vAlign w:val="bottom"/>
            <w:tcBorders>
              <w:bottom w:val="single" w:sz="8" w:color="D2DCE5"/>
            </w:tcBorders>
            <w:shd w:val="clear" w:color="auto" w:fill="D2DCE5"/>
          </w:tcPr>
          <w:p>
            <w:pPr>
              <w:spacing w:after="0"/>
              <w:rPr>
                <w:sz w:val="18"/>
                <w:szCs w:val="18"/>
                <w:color w:val="auto"/>
              </w:rPr>
            </w:pPr>
          </w:p>
        </w:tc>
        <w:tc>
          <w:tcPr>
            <w:tcW w:w="9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(0.3)%</w:t>
            </w:r>
          </w:p>
        </w:tc>
        <w:tc>
          <w:tcPr>
            <w:tcW w:w="100" w:type="dxa"/>
            <w:vAlign w:val="bottom"/>
            <w:tcBorders>
              <w:bottom w:val="single" w:sz="8" w:color="D2DCE5"/>
            </w:tcBorders>
            <w:shd w:val="clear" w:color="auto" w:fill="D2DCE5"/>
          </w:tcPr>
          <w:p>
            <w:pPr>
              <w:spacing w:after="0"/>
              <w:rPr>
                <w:sz w:val="18"/>
                <w:szCs w:val="18"/>
                <w:color w:val="auto"/>
              </w:rPr>
            </w:pPr>
          </w:p>
        </w:tc>
        <w:tc>
          <w:tcPr>
            <w:tcW w:w="20" w:type="dxa"/>
            <w:vAlign w:val="bottom"/>
            <w:tcBorders>
              <w:bottom w:val="single" w:sz="8" w:color="D2DCE5"/>
            </w:tcBorders>
            <w:shd w:val="clear" w:color="auto" w:fill="D2DCE5"/>
          </w:tcPr>
          <w:p>
            <w:pPr>
              <w:spacing w:after="0"/>
              <w:rPr>
                <w:sz w:val="18"/>
                <w:szCs w:val="18"/>
                <w:color w:val="auto"/>
              </w:rPr>
            </w:pPr>
          </w:p>
        </w:tc>
        <w:tc>
          <w:tcPr>
            <w:tcW w:w="60" w:type="dxa"/>
            <w:vAlign w:val="bottom"/>
            <w:tcBorders>
              <w:bottom w:val="single" w:sz="8" w:color="D2DCE5"/>
            </w:tcBorders>
            <w:shd w:val="clear" w:color="auto" w:fill="D2DCE5"/>
          </w:tcPr>
          <w:p>
            <w:pPr>
              <w:spacing w:after="0"/>
              <w:rPr>
                <w:sz w:val="18"/>
                <w:szCs w:val="18"/>
                <w:color w:val="auto"/>
              </w:rPr>
            </w:pPr>
          </w:p>
        </w:tc>
        <w:tc>
          <w:tcPr>
            <w:tcW w:w="300" w:type="dxa"/>
            <w:vAlign w:val="bottom"/>
            <w:tcBorders>
              <w:bottom w:val="single" w:sz="8" w:color="D2DCE5"/>
            </w:tcBorders>
            <w:shd w:val="clear" w:color="auto" w:fill="D2DCE5"/>
          </w:tcPr>
          <w:p>
            <w:pPr>
              <w:spacing w:after="0"/>
              <w:rPr>
                <w:sz w:val="18"/>
                <w:szCs w:val="18"/>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 %</w:t>
            </w:r>
          </w:p>
        </w:tc>
        <w:tc>
          <w:tcPr>
            <w:tcW w:w="0" w:type="dxa"/>
            <w:vAlign w:val="bottom"/>
          </w:tcPr>
          <w:p>
            <w:pPr>
              <w:spacing w:after="0"/>
              <w:rPr>
                <w:sz w:val="1"/>
                <w:szCs w:val="1"/>
                <w:color w:val="auto"/>
              </w:rPr>
            </w:pPr>
          </w:p>
        </w:tc>
      </w:tr>
      <w:tr>
        <w:trPr>
          <w:trHeight w:val="203"/>
        </w:trPr>
        <w:tc>
          <w:tcPr>
            <w:tcW w:w="6880" w:type="dxa"/>
            <w:vAlign w:val="bottom"/>
            <w:gridSpan w:val="2"/>
          </w:tcPr>
          <w:p>
            <w:pPr>
              <w:ind w:left="140"/>
              <w:spacing w:after="0"/>
              <w:rPr>
                <w:sz w:val="20"/>
                <w:szCs w:val="20"/>
                <w:color w:val="auto"/>
              </w:rPr>
            </w:pPr>
            <w:r>
              <w:rPr>
                <w:rFonts w:ascii="Arial" w:cs="Arial" w:eastAsia="Arial" w:hAnsi="Arial"/>
                <w:sz w:val="14"/>
                <w:szCs w:val="14"/>
                <w:color w:val="131E29"/>
              </w:rPr>
              <w:t>Effective income tax rate</w:t>
            </w:r>
          </w:p>
        </w:tc>
        <w:tc>
          <w:tcPr>
            <w:tcW w:w="280" w:type="dxa"/>
            <w:vAlign w:val="bottom"/>
            <w:tcBorders>
              <w:top w:val="single" w:sz="8" w:color="auto"/>
              <w:bottom w:val="single" w:sz="8" w:color="auto"/>
            </w:tcBorders>
            <w:gridSpan w:val="2"/>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rPr>
              <w:t>(15.6)%</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rPr>
              <w:t>1.4 %</w:t>
            </w:r>
          </w:p>
        </w:tc>
        <w:tc>
          <w:tcPr>
            <w:tcW w:w="10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rPr>
              <w:t>12.2 %</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128" w:name="page129"/>
    <w:bookmarkEnd w:id="128"/>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0" w:type="dxa"/>
            <w:vAlign w:val="bottom"/>
            <w:gridSpan w:val="2"/>
          </w:tcPr>
          <w:p>
            <w:pPr>
              <w:spacing w:after="0"/>
              <w:rPr>
                <w:sz w:val="20"/>
                <w:szCs w:val="20"/>
                <w:color w:val="auto"/>
              </w:rPr>
            </w:pPr>
            <w:r>
              <w:rPr>
                <w:rFonts w:ascii="Arial" w:cs="Arial" w:eastAsia="Arial" w:hAnsi="Arial"/>
                <w:sz w:val="14"/>
                <w:szCs w:val="14"/>
                <w:color w:val="131E29"/>
              </w:rPr>
              <w:t>The components of the Company’s deferred tax assets are as follows:</w:t>
            </w: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49"/>
        </w:trPr>
        <w:tc>
          <w:tcPr>
            <w:tcW w:w="7600" w:type="dxa"/>
            <w:vAlign w:val="bottom"/>
            <w:gridSpan w:val="2"/>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2"/>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r>
      <w:tr>
        <w:trPr>
          <w:trHeight w:val="193"/>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100" w:type="dxa"/>
            <w:vAlign w:val="bottom"/>
            <w:tcBorders>
              <w:bottom w:val="single" w:sz="8" w:color="D2DCE5"/>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131E29"/>
              </w:rPr>
              <w:t>December 31, 2022</w:t>
            </w:r>
          </w:p>
        </w:tc>
        <w:tc>
          <w:tcPr>
            <w:tcW w:w="80" w:type="dxa"/>
            <w:vAlign w:val="bottom"/>
            <w:tcBorders>
              <w:bottom w:val="single" w:sz="8" w:color="D2DCE5"/>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131E29"/>
              </w:rPr>
              <w:t>December 31, 2021</w:t>
            </w:r>
          </w:p>
        </w:tc>
      </w:tr>
      <w:tr>
        <w:trPr>
          <w:trHeight w:val="192"/>
        </w:trPr>
        <w:tc>
          <w:tcPr>
            <w:tcW w:w="76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Deferred tax assets</w:t>
            </w:r>
          </w:p>
        </w:tc>
        <w:tc>
          <w:tcPr>
            <w:tcW w:w="160" w:type="dxa"/>
            <w:vAlign w:val="bottom"/>
            <w:tcBorders>
              <w:bottom w:val="single" w:sz="8" w:color="D2DCE5"/>
            </w:tcBorders>
            <w:shd w:val="clear" w:color="auto" w:fill="D2DCE5"/>
          </w:tcPr>
          <w:p>
            <w:pPr>
              <w:spacing w:after="0"/>
              <w:rPr>
                <w:sz w:val="16"/>
                <w:szCs w:val="16"/>
                <w:color w:val="auto"/>
              </w:rPr>
            </w:pPr>
          </w:p>
        </w:tc>
        <w:tc>
          <w:tcPr>
            <w:tcW w:w="164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180" w:type="dxa"/>
            <w:vAlign w:val="bottom"/>
            <w:tcBorders>
              <w:bottom w:val="single" w:sz="8" w:color="D2DCE5"/>
            </w:tcBorders>
            <w:shd w:val="clear" w:color="auto" w:fill="D2DCE5"/>
          </w:tcPr>
          <w:p>
            <w:pPr>
              <w:spacing w:after="0"/>
              <w:rPr>
                <w:sz w:val="16"/>
                <w:szCs w:val="16"/>
                <w:color w:val="auto"/>
              </w:rPr>
            </w:pPr>
          </w:p>
        </w:tc>
        <w:tc>
          <w:tcPr>
            <w:tcW w:w="1620" w:type="dxa"/>
            <w:vAlign w:val="bottom"/>
            <w:tcBorders>
              <w:bottom w:val="single" w:sz="8" w:color="D2DCE5"/>
            </w:tcBorders>
            <w:shd w:val="clear" w:color="auto" w:fill="D2DCE5"/>
          </w:tcPr>
          <w:p>
            <w:pPr>
              <w:spacing w:after="0"/>
              <w:rPr>
                <w:sz w:val="16"/>
                <w:szCs w:val="16"/>
                <w:color w:val="auto"/>
              </w:rPr>
            </w:pPr>
          </w:p>
        </w:tc>
      </w:tr>
      <w:tr>
        <w:trPr>
          <w:trHeight w:val="191"/>
        </w:trPr>
        <w:tc>
          <w:tcPr>
            <w:tcW w:w="7600" w:type="dxa"/>
            <w:vAlign w:val="bottom"/>
            <w:gridSpan w:val="2"/>
          </w:tcPr>
          <w:p>
            <w:pPr>
              <w:ind w:left="180"/>
              <w:spacing w:after="0"/>
              <w:rPr>
                <w:sz w:val="20"/>
                <w:szCs w:val="20"/>
                <w:color w:val="auto"/>
              </w:rPr>
            </w:pPr>
            <w:r>
              <w:rPr>
                <w:rFonts w:ascii="Arial" w:cs="Arial" w:eastAsia="Arial" w:hAnsi="Arial"/>
                <w:sz w:val="14"/>
                <w:szCs w:val="14"/>
                <w:color w:val="131E29"/>
              </w:rPr>
              <w:t>Investment in Dutch Bros OpCo</w:t>
            </w:r>
          </w:p>
        </w:tc>
        <w:tc>
          <w:tcPr>
            <w:tcW w:w="160" w:type="dxa"/>
            <w:vAlign w:val="bottom"/>
          </w:tcPr>
          <w:p>
            <w:pPr>
              <w:jc w:val="right"/>
              <w:ind w:right="9"/>
              <w:spacing w:after="0"/>
              <w:rPr>
                <w:sz w:val="20"/>
                <w:szCs w:val="20"/>
                <w:color w:val="auto"/>
              </w:rPr>
            </w:pPr>
            <w:r>
              <w:rPr>
                <w:rFonts w:ascii="Arial" w:cs="Arial" w:eastAsia="Arial" w:hAnsi="Arial"/>
                <w:sz w:val="14"/>
                <w:szCs w:val="14"/>
                <w:color w:val="131E29"/>
                <w:w w:val="76"/>
              </w:rPr>
              <w:t>$</w:t>
            </w:r>
          </w:p>
        </w:tc>
        <w:tc>
          <w:tcPr>
            <w:tcW w:w="1640" w:type="dxa"/>
            <w:vAlign w:val="bottom"/>
          </w:tcPr>
          <w:p>
            <w:pPr>
              <w:jc w:val="right"/>
              <w:spacing w:after="0"/>
              <w:rPr>
                <w:sz w:val="20"/>
                <w:szCs w:val="20"/>
                <w:color w:val="auto"/>
              </w:rPr>
            </w:pPr>
            <w:r>
              <w:rPr>
                <w:rFonts w:ascii="Arial" w:cs="Arial" w:eastAsia="Arial" w:hAnsi="Arial"/>
                <w:sz w:val="14"/>
                <w:szCs w:val="14"/>
                <w:color w:val="131E29"/>
              </w:rPr>
              <w:t>255,763</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131E29"/>
              </w:rPr>
              <w:t>$</w:t>
            </w:r>
          </w:p>
        </w:tc>
        <w:tc>
          <w:tcPr>
            <w:tcW w:w="1620" w:type="dxa"/>
            <w:vAlign w:val="bottom"/>
          </w:tcPr>
          <w:p>
            <w:pPr>
              <w:jc w:val="right"/>
              <w:spacing w:after="0"/>
              <w:rPr>
                <w:sz w:val="20"/>
                <w:szCs w:val="20"/>
                <w:color w:val="auto"/>
              </w:rPr>
            </w:pPr>
            <w:r>
              <w:rPr>
                <w:rFonts w:ascii="Arial" w:cs="Arial" w:eastAsia="Arial" w:hAnsi="Arial"/>
                <w:sz w:val="14"/>
                <w:szCs w:val="14"/>
                <w:color w:val="131E29"/>
              </w:rPr>
              <w:t>148,699</w:t>
            </w:r>
          </w:p>
        </w:tc>
      </w:tr>
      <w:tr>
        <w:trPr>
          <w:trHeight w:val="22"/>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2"/>
        </w:trPr>
        <w:tc>
          <w:tcPr>
            <w:tcW w:w="760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4"/>
                <w:szCs w:val="14"/>
                <w:color w:val="131E29"/>
              </w:rPr>
              <w:t>Net operating loss carryforwards</w:t>
            </w:r>
          </w:p>
        </w:tc>
        <w:tc>
          <w:tcPr>
            <w:tcW w:w="160" w:type="dxa"/>
            <w:vAlign w:val="bottom"/>
            <w:tcBorders>
              <w:bottom w:val="single" w:sz="8" w:color="D2DCE5"/>
            </w:tcBorders>
            <w:shd w:val="clear" w:color="auto" w:fill="D2DCE5"/>
          </w:tcPr>
          <w:p>
            <w:pPr>
              <w:spacing w:after="0"/>
              <w:rPr>
                <w:sz w:val="16"/>
                <w:szCs w:val="16"/>
                <w:color w:val="auto"/>
              </w:rPr>
            </w:pPr>
          </w:p>
        </w:tc>
        <w:tc>
          <w:tcPr>
            <w:tcW w:w="16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19,356</w:t>
            </w:r>
          </w:p>
        </w:tc>
        <w:tc>
          <w:tcPr>
            <w:tcW w:w="80" w:type="dxa"/>
            <w:vAlign w:val="bottom"/>
            <w:tcBorders>
              <w:bottom w:val="single" w:sz="8" w:color="D2DCE5"/>
            </w:tcBorders>
            <w:shd w:val="clear" w:color="auto" w:fill="D2DCE5"/>
          </w:tcPr>
          <w:p>
            <w:pPr>
              <w:spacing w:after="0"/>
              <w:rPr>
                <w:sz w:val="16"/>
                <w:szCs w:val="16"/>
                <w:color w:val="auto"/>
              </w:rPr>
            </w:pPr>
          </w:p>
        </w:tc>
        <w:tc>
          <w:tcPr>
            <w:tcW w:w="180" w:type="dxa"/>
            <w:vAlign w:val="bottom"/>
            <w:tcBorders>
              <w:bottom w:val="single" w:sz="8" w:color="D2DCE5"/>
            </w:tcBorders>
            <w:shd w:val="clear" w:color="auto" w:fill="D2DCE5"/>
          </w:tcPr>
          <w:p>
            <w:pPr>
              <w:spacing w:after="0"/>
              <w:rPr>
                <w:sz w:val="16"/>
                <w:szCs w:val="16"/>
                <w:color w:val="auto"/>
              </w:rPr>
            </w:pPr>
          </w:p>
        </w:tc>
        <w:tc>
          <w:tcPr>
            <w:tcW w:w="16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6,163</w:t>
            </w:r>
          </w:p>
        </w:tc>
      </w:tr>
      <w:tr>
        <w:trPr>
          <w:trHeight w:val="191"/>
        </w:trPr>
        <w:tc>
          <w:tcPr>
            <w:tcW w:w="7600" w:type="dxa"/>
            <w:vAlign w:val="bottom"/>
            <w:gridSpan w:val="2"/>
          </w:tcPr>
          <w:p>
            <w:pPr>
              <w:ind w:left="180"/>
              <w:spacing w:after="0"/>
              <w:rPr>
                <w:sz w:val="20"/>
                <w:szCs w:val="20"/>
                <w:color w:val="auto"/>
              </w:rPr>
            </w:pPr>
            <w:r>
              <w:rPr>
                <w:rFonts w:ascii="Arial" w:cs="Arial" w:eastAsia="Arial" w:hAnsi="Arial"/>
                <w:sz w:val="14"/>
                <w:szCs w:val="14"/>
                <w:color w:val="131E29"/>
              </w:rPr>
              <w:t>Interest expense</w:t>
            </w: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7,781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131E29"/>
              </w:rPr>
              <w:t>3,007</w:t>
            </w:r>
          </w:p>
        </w:tc>
      </w:tr>
      <w:tr>
        <w:trPr>
          <w:trHeight w:val="22"/>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2"/>
        </w:trPr>
        <w:tc>
          <w:tcPr>
            <w:tcW w:w="760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4"/>
                <w:szCs w:val="14"/>
                <w:color w:val="131E29"/>
              </w:rPr>
              <w:t>Credit carryforwards</w:t>
            </w:r>
          </w:p>
        </w:tc>
        <w:tc>
          <w:tcPr>
            <w:tcW w:w="160" w:type="dxa"/>
            <w:vAlign w:val="bottom"/>
            <w:tcBorders>
              <w:bottom w:val="single" w:sz="8" w:color="D2DCE5"/>
            </w:tcBorders>
            <w:shd w:val="clear" w:color="auto" w:fill="D2DCE5"/>
          </w:tcPr>
          <w:p>
            <w:pPr>
              <w:spacing w:after="0"/>
              <w:rPr>
                <w:sz w:val="16"/>
                <w:szCs w:val="16"/>
                <w:color w:val="auto"/>
              </w:rPr>
            </w:pPr>
          </w:p>
        </w:tc>
        <w:tc>
          <w:tcPr>
            <w:tcW w:w="16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2,813</w:t>
            </w:r>
          </w:p>
        </w:tc>
        <w:tc>
          <w:tcPr>
            <w:tcW w:w="80" w:type="dxa"/>
            <w:vAlign w:val="bottom"/>
            <w:tcBorders>
              <w:bottom w:val="single" w:sz="8" w:color="D2DCE5"/>
            </w:tcBorders>
            <w:shd w:val="clear" w:color="auto" w:fill="D2DCE5"/>
          </w:tcPr>
          <w:p>
            <w:pPr>
              <w:spacing w:after="0"/>
              <w:rPr>
                <w:sz w:val="16"/>
                <w:szCs w:val="16"/>
                <w:color w:val="auto"/>
              </w:rPr>
            </w:pPr>
          </w:p>
        </w:tc>
        <w:tc>
          <w:tcPr>
            <w:tcW w:w="180" w:type="dxa"/>
            <w:vAlign w:val="bottom"/>
            <w:tcBorders>
              <w:bottom w:val="single" w:sz="8" w:color="D2DCE5"/>
            </w:tcBorders>
            <w:shd w:val="clear" w:color="auto" w:fill="D2DCE5"/>
          </w:tcPr>
          <w:p>
            <w:pPr>
              <w:spacing w:after="0"/>
              <w:rPr>
                <w:sz w:val="16"/>
                <w:szCs w:val="16"/>
                <w:color w:val="auto"/>
              </w:rPr>
            </w:pPr>
          </w:p>
        </w:tc>
        <w:tc>
          <w:tcPr>
            <w:tcW w:w="16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1,142</w:t>
            </w:r>
          </w:p>
        </w:tc>
      </w:tr>
      <w:tr>
        <w:trPr>
          <w:trHeight w:val="191"/>
        </w:trPr>
        <w:tc>
          <w:tcPr>
            <w:tcW w:w="7600" w:type="dxa"/>
            <w:vAlign w:val="bottom"/>
            <w:gridSpan w:val="2"/>
          </w:tcPr>
          <w:p>
            <w:pPr>
              <w:ind w:left="180"/>
              <w:spacing w:after="0"/>
              <w:rPr>
                <w:sz w:val="20"/>
                <w:szCs w:val="20"/>
                <w:color w:val="auto"/>
              </w:rPr>
            </w:pPr>
            <w:r>
              <w:rPr>
                <w:rFonts w:ascii="Arial" w:cs="Arial" w:eastAsia="Arial" w:hAnsi="Arial"/>
                <w:sz w:val="14"/>
                <w:szCs w:val="14"/>
                <w:color w:val="131E29"/>
              </w:rPr>
              <w:t>Charitable contribution carryforward</w:t>
            </w: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1,498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131E29"/>
              </w:rPr>
              <w:t>—</w:t>
            </w:r>
          </w:p>
        </w:tc>
      </w:tr>
      <w:tr>
        <w:trPr>
          <w:trHeight w:val="22"/>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2"/>
        </w:trPr>
        <w:tc>
          <w:tcPr>
            <w:tcW w:w="760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4"/>
                <w:szCs w:val="14"/>
                <w:color w:val="131E29"/>
              </w:rPr>
              <w:t>Other</w:t>
            </w:r>
          </w:p>
        </w:tc>
        <w:tc>
          <w:tcPr>
            <w:tcW w:w="160" w:type="dxa"/>
            <w:vAlign w:val="bottom"/>
            <w:tcBorders>
              <w:bottom w:val="single" w:sz="8" w:color="D2DCE5"/>
            </w:tcBorders>
            <w:shd w:val="clear" w:color="auto" w:fill="D2DCE5"/>
          </w:tcPr>
          <w:p>
            <w:pPr>
              <w:spacing w:after="0"/>
              <w:rPr>
                <w:sz w:val="18"/>
                <w:szCs w:val="18"/>
                <w:color w:val="auto"/>
              </w:rPr>
            </w:pPr>
          </w:p>
        </w:tc>
        <w:tc>
          <w:tcPr>
            <w:tcW w:w="16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2,661</w:t>
            </w:r>
          </w:p>
        </w:tc>
        <w:tc>
          <w:tcPr>
            <w:tcW w:w="80" w:type="dxa"/>
            <w:vAlign w:val="bottom"/>
            <w:tcBorders>
              <w:bottom w:val="single" w:sz="8" w:color="D2DCE5"/>
            </w:tcBorders>
            <w:shd w:val="clear" w:color="auto" w:fill="D2DCE5"/>
          </w:tcPr>
          <w:p>
            <w:pPr>
              <w:spacing w:after="0"/>
              <w:rPr>
                <w:sz w:val="18"/>
                <w:szCs w:val="18"/>
                <w:color w:val="auto"/>
              </w:rPr>
            </w:pPr>
          </w:p>
        </w:tc>
        <w:tc>
          <w:tcPr>
            <w:tcW w:w="180" w:type="dxa"/>
            <w:vAlign w:val="bottom"/>
            <w:tcBorders>
              <w:bottom w:val="single" w:sz="8" w:color="D2DCE5"/>
            </w:tcBorders>
            <w:shd w:val="clear" w:color="auto" w:fill="D2DCE5"/>
          </w:tcPr>
          <w:p>
            <w:pPr>
              <w:spacing w:after="0"/>
              <w:rPr>
                <w:sz w:val="18"/>
                <w:szCs w:val="18"/>
                <w:color w:val="auto"/>
              </w:rPr>
            </w:pPr>
          </w:p>
        </w:tc>
        <w:tc>
          <w:tcPr>
            <w:tcW w:w="16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1,315</w:t>
            </w:r>
          </w:p>
        </w:tc>
      </w:tr>
      <w:tr>
        <w:trPr>
          <w:trHeight w:val="181"/>
        </w:trPr>
        <w:tc>
          <w:tcPr>
            <w:tcW w:w="7600" w:type="dxa"/>
            <w:vAlign w:val="bottom"/>
            <w:gridSpan w:val="2"/>
          </w:tcPr>
          <w:p>
            <w:pPr>
              <w:ind w:left="20"/>
              <w:spacing w:after="0"/>
              <w:rPr>
                <w:sz w:val="20"/>
                <w:szCs w:val="20"/>
                <w:color w:val="auto"/>
              </w:rPr>
            </w:pPr>
            <w:r>
              <w:rPr>
                <w:rFonts w:ascii="Arial" w:cs="Arial" w:eastAsia="Arial" w:hAnsi="Arial"/>
                <w:sz w:val="14"/>
                <w:szCs w:val="14"/>
                <w:color w:val="131E29"/>
              </w:rPr>
              <w:t>Total deferred tax assets</w:t>
            </w:r>
          </w:p>
        </w:tc>
        <w:tc>
          <w:tcPr>
            <w:tcW w:w="16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289,872</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160,326</w:t>
            </w:r>
          </w:p>
        </w:tc>
      </w:tr>
      <w:tr>
        <w:trPr>
          <w:trHeight w:val="22"/>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2"/>
        </w:trPr>
        <w:tc>
          <w:tcPr>
            <w:tcW w:w="760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Less: valuation allowance</w:t>
            </w:r>
          </w:p>
        </w:tc>
        <w:tc>
          <w:tcPr>
            <w:tcW w:w="160" w:type="dxa"/>
            <w:vAlign w:val="bottom"/>
            <w:tcBorders>
              <w:bottom w:val="single" w:sz="8" w:color="D2DCE5"/>
            </w:tcBorders>
            <w:shd w:val="clear" w:color="auto" w:fill="D2DCE5"/>
          </w:tcPr>
          <w:p>
            <w:pPr>
              <w:spacing w:after="0"/>
              <w:rPr>
                <w:sz w:val="18"/>
                <w:szCs w:val="18"/>
                <w:color w:val="auto"/>
              </w:rPr>
            </w:pPr>
          </w:p>
        </w:tc>
        <w:tc>
          <w:tcPr>
            <w:tcW w:w="16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(1,107)</w:t>
            </w:r>
          </w:p>
        </w:tc>
        <w:tc>
          <w:tcPr>
            <w:tcW w:w="80" w:type="dxa"/>
            <w:vAlign w:val="bottom"/>
            <w:tcBorders>
              <w:bottom w:val="single" w:sz="8" w:color="D2DCE5"/>
            </w:tcBorders>
            <w:shd w:val="clear" w:color="auto" w:fill="D2DCE5"/>
          </w:tcPr>
          <w:p>
            <w:pPr>
              <w:spacing w:after="0"/>
              <w:rPr>
                <w:sz w:val="18"/>
                <w:szCs w:val="18"/>
                <w:color w:val="auto"/>
              </w:rPr>
            </w:pPr>
          </w:p>
        </w:tc>
        <w:tc>
          <w:tcPr>
            <w:tcW w:w="180" w:type="dxa"/>
            <w:vAlign w:val="bottom"/>
            <w:tcBorders>
              <w:bottom w:val="single" w:sz="8" w:color="D2DCE5"/>
            </w:tcBorders>
            <w:shd w:val="clear" w:color="auto" w:fill="D2DCE5"/>
          </w:tcPr>
          <w:p>
            <w:pPr>
              <w:spacing w:after="0"/>
              <w:rPr>
                <w:sz w:val="18"/>
                <w:szCs w:val="18"/>
                <w:color w:val="auto"/>
              </w:rPr>
            </w:pPr>
          </w:p>
        </w:tc>
        <w:tc>
          <w:tcPr>
            <w:tcW w:w="16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(1,295)</w:t>
            </w:r>
          </w:p>
        </w:tc>
      </w:tr>
      <w:tr>
        <w:trPr>
          <w:trHeight w:val="203"/>
        </w:trPr>
        <w:tc>
          <w:tcPr>
            <w:tcW w:w="7600" w:type="dxa"/>
            <w:vAlign w:val="bottom"/>
            <w:gridSpan w:val="2"/>
          </w:tcPr>
          <w:p>
            <w:pPr>
              <w:ind w:left="20"/>
              <w:spacing w:after="0"/>
              <w:rPr>
                <w:sz w:val="20"/>
                <w:szCs w:val="20"/>
                <w:color w:val="auto"/>
              </w:rPr>
            </w:pPr>
            <w:r>
              <w:rPr>
                <w:rFonts w:ascii="Arial" w:cs="Arial" w:eastAsia="Arial" w:hAnsi="Arial"/>
                <w:sz w:val="14"/>
                <w:szCs w:val="14"/>
                <w:color w:val="131E29"/>
              </w:rPr>
              <w:t>Net deferred tax assets</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131E29"/>
                <w:w w:val="76"/>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rPr>
              <w:t>288,765</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131E2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rPr>
              <w:t>159,031</w:t>
            </w:r>
          </w:p>
        </w:tc>
      </w:tr>
      <w:tr>
        <w:trPr>
          <w:trHeight w:val="20"/>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The Company recognizes deferred tax assets to the extent, based on available evidence, that it is more likely than not that they will be realized. In making such a determination, the Company considers all available positive and negative evidence, including future reversals of existing taxable temporary differences, projected future taxable income, tax planning strategies, and recent results of operations. For the year ended December 31, 2022, the Company recorded a valuation allowance on its deferred tax assets, primarily related to the Company’s charitable contributions, of which it does not expect to recognize the benefit from in the foreseeable future. The Company has no deferred tax liabilities.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As of December 31, 2022, the Company had U.S. federal net operating losses of $74.8 million and tax credit carryforwards of approximately $2.8 million. The Company’s federal net operating losses do not expire and tax credits will begin to expire in 2038 if not utilized. As of December 31, 2022, the Company had $64.7 million of state tax net operating losses and no state tax credits. Of the state tax net operating losses, $59.5 million will begin to expire in 2033 if not utilized and the remaining $5.1 million do not expire.</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Utilization of net operating losses, credit carryforwards, and certain deductions may be subject to a substantial annual limitation due to ownership change limitations provided by the Internal Revenue Code of 1986, as amended, and similar state provisions. The tax benefits related to future utilization of federal and state net operating losses, tax credit carryforwards, and other deferred tax assets may be limited or lost if cumulative changes in ownership exceeds 50% within any three-year period. Additional limitations on the use of these tax attributes could occur in the event of possible disputes arising in examinations from various taxing authorities.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There were no interest and penalties accrued for the years ended December 31, 2022, 2021 and 2020. The Company has assessed its tax positions taken and concluded there are no significant uncertain tax positions. The Company has no unrecognized tax benefits as of December 31, 2022 or 2021, that, if recognized, would affect the amount of income tax expense reported.</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The Company files returns with the Internal Revenue Service and multiple state jurisdictions, which are subject to examination by the taxing authorities for years 2018 and later. The earlier tax years are subject to examination due to the utilization of net operating losses in recent tax years. None of our federal or state income tax returns are currently under examination by federal or state taxing authorities.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129" w:name="page130"/>
    <w:bookmarkEnd w:id="129"/>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14 — Equity and Equity-Based Compensation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Equity Awards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131E29"/>
        </w:rPr>
        <w:t>As of December 31, 2022, the Company had equity-based compensation awards outstanding consisting of RSAs and RSUs.</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Unless indicated otherwise, the equity-based compensation awards described below are subject to time-based service requirements. The service vesting condition is currently a period of three years. For awards granted prior to 2022, vesting occurs in approximately one-third installments on each anniversary of the vesting commencement date. Beginning with awards granted in 2022, vesting occurs at 50% of the total award on each of the second and third anniversaries of the vesting commencement date. During 2022, a special grant was awarded to certain management employees with a 100% cliff vesting of the total award on the third anniversary of the vesting commencement date. Vesting of all awards granted are subject to the grantee’s continued service to the Company through the applicable vesting date.</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Restricted Stock Awards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131E29"/>
        </w:rPr>
        <w:t>Activity for the Company’s RSAs was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tcPr>
          <w:p>
            <w:pPr>
              <w:jc w:val="center"/>
              <w:ind w:right="29"/>
              <w:spacing w:after="0"/>
              <w:rPr>
                <w:sz w:val="20"/>
                <w:szCs w:val="20"/>
                <w:color w:val="auto"/>
              </w:rPr>
            </w:pPr>
            <w:r>
              <w:rPr>
                <w:rFonts w:ascii="Arial" w:cs="Arial" w:eastAsia="Arial" w:hAnsi="Arial"/>
                <w:sz w:val="14"/>
                <w:szCs w:val="14"/>
                <w:b w:val="1"/>
                <w:bCs w:val="1"/>
                <w:color w:val="131E29"/>
              </w:rPr>
              <w:t>Weighted-average grant date fair</w:t>
            </w:r>
          </w:p>
        </w:tc>
        <w:tc>
          <w:tcPr>
            <w:tcW w:w="0" w:type="dxa"/>
            <w:vAlign w:val="bottom"/>
          </w:tcPr>
          <w:p>
            <w:pPr>
              <w:spacing w:after="0"/>
              <w:rPr>
                <w:sz w:val="1"/>
                <w:szCs w:val="1"/>
                <w:color w:val="auto"/>
              </w:rPr>
            </w:pPr>
          </w:p>
        </w:tc>
      </w:tr>
      <w:tr>
        <w:trPr>
          <w:trHeight w:val="200"/>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except per share amounts)</w:t>
            </w:r>
          </w:p>
        </w:tc>
        <w:tc>
          <w:tcPr>
            <w:tcW w:w="80" w:type="dxa"/>
            <w:vAlign w:val="bottom"/>
            <w:tcBorders>
              <w:bottom w:val="single" w:sz="8" w:color="D2DCE5"/>
            </w:tcBorders>
          </w:tcPr>
          <w:p>
            <w:pPr>
              <w:spacing w:after="0"/>
              <w:rPr>
                <w:sz w:val="17"/>
                <w:szCs w:val="17"/>
                <w:color w:val="auto"/>
              </w:rPr>
            </w:pPr>
          </w:p>
        </w:tc>
        <w:tc>
          <w:tcPr>
            <w:tcW w:w="19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131E29"/>
              </w:rPr>
              <w:t>Restricted Stock Awards</w:t>
            </w:r>
          </w:p>
        </w:tc>
        <w:tc>
          <w:tcPr>
            <w:tcW w:w="80" w:type="dxa"/>
            <w:vAlign w:val="bottom"/>
            <w:tcBorders>
              <w:bottom w:val="single" w:sz="8" w:color="D2DCE5"/>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131E29"/>
              </w:rPr>
              <w:t>value per share</w:t>
            </w:r>
          </w:p>
        </w:tc>
        <w:tc>
          <w:tcPr>
            <w:tcW w:w="0" w:type="dxa"/>
            <w:vAlign w:val="bottom"/>
          </w:tcPr>
          <w:p>
            <w:pPr>
              <w:spacing w:after="0"/>
              <w:rPr>
                <w:sz w:val="1"/>
                <w:szCs w:val="1"/>
                <w:color w:val="auto"/>
              </w:rPr>
            </w:pPr>
          </w:p>
        </w:tc>
      </w:tr>
      <w:tr>
        <w:trPr>
          <w:trHeight w:val="192"/>
        </w:trPr>
        <w:tc>
          <w:tcPr>
            <w:tcW w:w="68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Balance, December 31, 2020</w:t>
            </w:r>
          </w:p>
        </w:tc>
        <w:tc>
          <w:tcPr>
            <w:tcW w:w="202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23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191"/>
        </w:trPr>
        <w:tc>
          <w:tcPr>
            <w:tcW w:w="6860" w:type="dxa"/>
            <w:vAlign w:val="bottom"/>
            <w:gridSpan w:val="2"/>
          </w:tcPr>
          <w:p>
            <w:pPr>
              <w:ind w:left="20"/>
              <w:spacing w:after="0"/>
              <w:rPr>
                <w:sz w:val="20"/>
                <w:szCs w:val="20"/>
                <w:color w:val="auto"/>
              </w:rPr>
            </w:pPr>
            <w:r>
              <w:rPr>
                <w:rFonts w:ascii="Arial" w:cs="Arial" w:eastAsia="Arial" w:hAnsi="Arial"/>
                <w:sz w:val="14"/>
                <w:szCs w:val="14"/>
                <w:color w:val="131E29"/>
              </w:rPr>
              <w:t>Effect of Reorganization Transactions and IPO</w:t>
            </w:r>
          </w:p>
        </w:tc>
        <w:tc>
          <w:tcPr>
            <w:tcW w:w="1940" w:type="dxa"/>
            <w:vAlign w:val="bottom"/>
          </w:tcPr>
          <w:p>
            <w:pPr>
              <w:jc w:val="right"/>
              <w:spacing w:after="0"/>
              <w:rPr>
                <w:sz w:val="20"/>
                <w:szCs w:val="20"/>
                <w:color w:val="auto"/>
              </w:rPr>
            </w:pPr>
            <w:r>
              <w:rPr>
                <w:rFonts w:ascii="Arial" w:cs="Arial" w:eastAsia="Arial" w:hAnsi="Arial"/>
                <w:sz w:val="14"/>
                <w:szCs w:val="14"/>
                <w:color w:val="131E29"/>
              </w:rPr>
              <w:t>9,834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tcPr>
          <w:p>
            <w:pPr>
              <w:jc w:val="right"/>
              <w:spacing w:after="0"/>
              <w:rPr>
                <w:sz w:val="20"/>
                <w:szCs w:val="20"/>
                <w:color w:val="auto"/>
              </w:rPr>
            </w:pPr>
            <w:r>
              <w:rPr>
                <w:rFonts w:ascii="Arial" w:cs="Arial" w:eastAsia="Arial" w:hAnsi="Arial"/>
                <w:sz w:val="14"/>
                <w:szCs w:val="14"/>
                <w:color w:val="131E29"/>
              </w:rPr>
              <w:t>23.00</w:t>
            </w:r>
          </w:p>
        </w:tc>
        <w:tc>
          <w:tcPr>
            <w:tcW w:w="0" w:type="dxa"/>
            <w:vAlign w:val="bottom"/>
          </w:tcPr>
          <w:p>
            <w:pPr>
              <w:spacing w:after="0"/>
              <w:rPr>
                <w:sz w:val="1"/>
                <w:szCs w:val="1"/>
                <w:color w:val="auto"/>
              </w:rPr>
            </w:pPr>
          </w:p>
        </w:tc>
      </w:tr>
      <w:tr>
        <w:trPr>
          <w:trHeight w:val="22"/>
        </w:trPr>
        <w:tc>
          <w:tcPr>
            <w:tcW w:w="6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8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Vested</w:t>
            </w:r>
          </w:p>
        </w:tc>
        <w:tc>
          <w:tcPr>
            <w:tcW w:w="1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(5,834)</w:t>
            </w:r>
          </w:p>
        </w:tc>
        <w:tc>
          <w:tcPr>
            <w:tcW w:w="80" w:type="dxa"/>
            <w:vAlign w:val="bottom"/>
            <w:tcBorders>
              <w:bottom w:val="single" w:sz="8" w:color="D2DCE5"/>
            </w:tcBorders>
            <w:shd w:val="clear" w:color="auto" w:fill="D2DCE5"/>
          </w:tcPr>
          <w:p>
            <w:pPr>
              <w:spacing w:after="0"/>
              <w:rPr>
                <w:sz w:val="18"/>
                <w:szCs w:val="18"/>
                <w:color w:val="auto"/>
              </w:rPr>
            </w:pPr>
          </w:p>
        </w:tc>
        <w:tc>
          <w:tcPr>
            <w:tcW w:w="100" w:type="dxa"/>
            <w:vAlign w:val="bottom"/>
            <w:tcBorders>
              <w:bottom w:val="single" w:sz="8" w:color="D2DCE5"/>
            </w:tcBorders>
            <w:shd w:val="clear" w:color="auto" w:fill="D2DCE5"/>
          </w:tcPr>
          <w:p>
            <w:pPr>
              <w:spacing w:after="0"/>
              <w:rPr>
                <w:sz w:val="18"/>
                <w:szCs w:val="18"/>
                <w:color w:val="auto"/>
              </w:rPr>
            </w:pPr>
          </w:p>
        </w:tc>
        <w:tc>
          <w:tcPr>
            <w:tcW w:w="23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23.00</w:t>
            </w:r>
          </w:p>
        </w:tc>
        <w:tc>
          <w:tcPr>
            <w:tcW w:w="0" w:type="dxa"/>
            <w:vAlign w:val="bottom"/>
          </w:tcPr>
          <w:p>
            <w:pPr>
              <w:spacing w:after="0"/>
              <w:rPr>
                <w:sz w:val="1"/>
                <w:szCs w:val="1"/>
                <w:color w:val="auto"/>
              </w:rPr>
            </w:pPr>
          </w:p>
        </w:tc>
      </w:tr>
      <w:tr>
        <w:trPr>
          <w:trHeight w:val="181"/>
        </w:trPr>
        <w:tc>
          <w:tcPr>
            <w:tcW w:w="6860" w:type="dxa"/>
            <w:vAlign w:val="bottom"/>
            <w:gridSpan w:val="2"/>
          </w:tcPr>
          <w:p>
            <w:pPr>
              <w:ind w:left="20"/>
              <w:spacing w:after="0"/>
              <w:rPr>
                <w:sz w:val="20"/>
                <w:szCs w:val="20"/>
                <w:color w:val="auto"/>
              </w:rPr>
            </w:pPr>
            <w:r>
              <w:rPr>
                <w:rFonts w:ascii="Arial" w:cs="Arial" w:eastAsia="Arial" w:hAnsi="Arial"/>
                <w:sz w:val="14"/>
                <w:szCs w:val="14"/>
                <w:b w:val="1"/>
                <w:bCs w:val="1"/>
                <w:color w:val="131E29"/>
              </w:rPr>
              <w:t>Balance, December 31, 2021</w:t>
            </w: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4,000</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w:t>
            </w:r>
          </w:p>
        </w:tc>
        <w:tc>
          <w:tcPr>
            <w:tcW w:w="2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23.00</w:t>
            </w:r>
          </w:p>
        </w:tc>
        <w:tc>
          <w:tcPr>
            <w:tcW w:w="0" w:type="dxa"/>
            <w:vAlign w:val="bottom"/>
          </w:tcPr>
          <w:p>
            <w:pPr>
              <w:spacing w:after="0"/>
              <w:rPr>
                <w:sz w:val="1"/>
                <w:szCs w:val="1"/>
                <w:color w:val="auto"/>
              </w:rPr>
            </w:pPr>
          </w:p>
        </w:tc>
      </w:tr>
      <w:tr>
        <w:trPr>
          <w:trHeight w:val="22"/>
        </w:trPr>
        <w:tc>
          <w:tcPr>
            <w:tcW w:w="6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8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Vested</w:t>
            </w:r>
          </w:p>
        </w:tc>
        <w:tc>
          <w:tcPr>
            <w:tcW w:w="1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(1,333)</w:t>
            </w:r>
          </w:p>
        </w:tc>
        <w:tc>
          <w:tcPr>
            <w:tcW w:w="80" w:type="dxa"/>
            <w:vAlign w:val="bottom"/>
            <w:tcBorders>
              <w:bottom w:val="single" w:sz="8" w:color="D2DCE5"/>
            </w:tcBorders>
            <w:shd w:val="clear" w:color="auto" w:fill="D2DCE5"/>
          </w:tcPr>
          <w:p>
            <w:pPr>
              <w:spacing w:after="0"/>
              <w:rPr>
                <w:sz w:val="18"/>
                <w:szCs w:val="18"/>
                <w:color w:val="auto"/>
              </w:rPr>
            </w:pPr>
          </w:p>
        </w:tc>
        <w:tc>
          <w:tcPr>
            <w:tcW w:w="100" w:type="dxa"/>
            <w:vAlign w:val="bottom"/>
            <w:tcBorders>
              <w:bottom w:val="single" w:sz="8" w:color="D2DCE5"/>
            </w:tcBorders>
            <w:shd w:val="clear" w:color="auto" w:fill="D2DCE5"/>
          </w:tcPr>
          <w:p>
            <w:pPr>
              <w:spacing w:after="0"/>
              <w:rPr>
                <w:sz w:val="18"/>
                <w:szCs w:val="18"/>
                <w:color w:val="auto"/>
              </w:rPr>
            </w:pPr>
          </w:p>
        </w:tc>
        <w:tc>
          <w:tcPr>
            <w:tcW w:w="23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23.00</w:t>
            </w:r>
          </w:p>
        </w:tc>
        <w:tc>
          <w:tcPr>
            <w:tcW w:w="0" w:type="dxa"/>
            <w:vAlign w:val="bottom"/>
          </w:tcPr>
          <w:p>
            <w:pPr>
              <w:spacing w:after="0"/>
              <w:rPr>
                <w:sz w:val="1"/>
                <w:szCs w:val="1"/>
                <w:color w:val="auto"/>
              </w:rPr>
            </w:pPr>
          </w:p>
        </w:tc>
      </w:tr>
      <w:tr>
        <w:trPr>
          <w:trHeight w:val="202"/>
        </w:trPr>
        <w:tc>
          <w:tcPr>
            <w:tcW w:w="6860" w:type="dxa"/>
            <w:vAlign w:val="bottom"/>
            <w:gridSpan w:val="2"/>
          </w:tcPr>
          <w:p>
            <w:pPr>
              <w:ind w:left="20"/>
              <w:spacing w:after="0"/>
              <w:rPr>
                <w:sz w:val="20"/>
                <w:szCs w:val="20"/>
                <w:color w:val="auto"/>
              </w:rPr>
            </w:pPr>
            <w:r>
              <w:rPr>
                <w:rFonts w:ascii="Arial" w:cs="Arial" w:eastAsia="Arial" w:hAnsi="Arial"/>
                <w:sz w:val="14"/>
                <w:szCs w:val="14"/>
                <w:b w:val="1"/>
                <w:bCs w:val="1"/>
                <w:color w:val="131E29"/>
              </w:rPr>
              <w:t>Balance, December 31, 2022</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rPr>
              <w:t>2,667</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rPr>
              <w:t>$</w:t>
            </w:r>
          </w:p>
        </w:tc>
        <w:tc>
          <w:tcPr>
            <w:tcW w:w="2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rPr>
              <w:t>23.00</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006098"/>
              </w:rPr>
              <w:t>Restricted Stock Units</w:t>
            </w:r>
          </w:p>
        </w:tc>
        <w:tc>
          <w:tcPr>
            <w:tcW w:w="1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6860" w:type="dxa"/>
            <w:vAlign w:val="bottom"/>
            <w:gridSpan w:val="2"/>
            <w:vMerge w:val="continue"/>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60" w:type="dxa"/>
            <w:vAlign w:val="bottom"/>
            <w:gridSpan w:val="2"/>
          </w:tcPr>
          <w:p>
            <w:pPr>
              <w:spacing w:after="0"/>
              <w:rPr>
                <w:sz w:val="20"/>
                <w:szCs w:val="20"/>
                <w:color w:val="auto"/>
              </w:rPr>
            </w:pPr>
            <w:r>
              <w:rPr>
                <w:rFonts w:ascii="Arial" w:cs="Arial" w:eastAsia="Arial" w:hAnsi="Arial"/>
                <w:sz w:val="14"/>
                <w:szCs w:val="14"/>
                <w:color w:val="131E29"/>
              </w:rPr>
              <w:t>Activity for the Company’s RSUs was as follows:</w:t>
            </w: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Pr>
          <w:p>
            <w:pPr>
              <w:jc w:val="center"/>
              <w:ind w:right="29"/>
              <w:spacing w:after="0"/>
              <w:rPr>
                <w:sz w:val="20"/>
                <w:szCs w:val="20"/>
                <w:color w:val="auto"/>
              </w:rPr>
            </w:pPr>
            <w:r>
              <w:rPr>
                <w:rFonts w:ascii="Arial" w:cs="Arial" w:eastAsia="Arial" w:hAnsi="Arial"/>
                <w:sz w:val="14"/>
                <w:szCs w:val="14"/>
                <w:b w:val="1"/>
                <w:bCs w:val="1"/>
                <w:color w:val="131E29"/>
              </w:rPr>
              <w:t>Weighted-average grant date fair</w:t>
            </w:r>
          </w:p>
        </w:tc>
        <w:tc>
          <w:tcPr>
            <w:tcW w:w="0" w:type="dxa"/>
            <w:vAlign w:val="bottom"/>
          </w:tcPr>
          <w:p>
            <w:pPr>
              <w:spacing w:after="0"/>
              <w:rPr>
                <w:sz w:val="1"/>
                <w:szCs w:val="1"/>
                <w:color w:val="auto"/>
              </w:rPr>
            </w:pPr>
          </w:p>
        </w:tc>
      </w:tr>
      <w:tr>
        <w:trPr>
          <w:trHeight w:val="200"/>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except per share amounts)</w:t>
            </w:r>
          </w:p>
        </w:tc>
        <w:tc>
          <w:tcPr>
            <w:tcW w:w="80" w:type="dxa"/>
            <w:vAlign w:val="bottom"/>
            <w:tcBorders>
              <w:bottom w:val="single" w:sz="8" w:color="D2DCE5"/>
            </w:tcBorders>
          </w:tcPr>
          <w:p>
            <w:pPr>
              <w:spacing w:after="0"/>
              <w:rPr>
                <w:sz w:val="17"/>
                <w:szCs w:val="17"/>
                <w:color w:val="auto"/>
              </w:rPr>
            </w:pPr>
          </w:p>
        </w:tc>
        <w:tc>
          <w:tcPr>
            <w:tcW w:w="19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131E29"/>
              </w:rPr>
              <w:t>Restricted Stock Units</w:t>
            </w:r>
          </w:p>
        </w:tc>
        <w:tc>
          <w:tcPr>
            <w:tcW w:w="80" w:type="dxa"/>
            <w:vAlign w:val="bottom"/>
            <w:tcBorders>
              <w:bottom w:val="single" w:sz="8" w:color="D2DCE5"/>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131E29"/>
              </w:rPr>
              <w:t>value per share</w:t>
            </w:r>
          </w:p>
        </w:tc>
        <w:tc>
          <w:tcPr>
            <w:tcW w:w="0" w:type="dxa"/>
            <w:vAlign w:val="bottom"/>
          </w:tcPr>
          <w:p>
            <w:pPr>
              <w:spacing w:after="0"/>
              <w:rPr>
                <w:sz w:val="1"/>
                <w:szCs w:val="1"/>
                <w:color w:val="auto"/>
              </w:rPr>
            </w:pPr>
          </w:p>
        </w:tc>
      </w:tr>
      <w:tr>
        <w:trPr>
          <w:trHeight w:val="192"/>
        </w:trPr>
        <w:tc>
          <w:tcPr>
            <w:tcW w:w="68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Balance, December 31, 2020</w:t>
            </w:r>
          </w:p>
        </w:tc>
        <w:tc>
          <w:tcPr>
            <w:tcW w:w="202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23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191"/>
        </w:trPr>
        <w:tc>
          <w:tcPr>
            <w:tcW w:w="6860" w:type="dxa"/>
            <w:vAlign w:val="bottom"/>
            <w:gridSpan w:val="2"/>
          </w:tcPr>
          <w:p>
            <w:pPr>
              <w:ind w:left="20"/>
              <w:spacing w:after="0"/>
              <w:rPr>
                <w:sz w:val="20"/>
                <w:szCs w:val="20"/>
                <w:color w:val="auto"/>
              </w:rPr>
            </w:pPr>
            <w:r>
              <w:rPr>
                <w:rFonts w:ascii="Arial" w:cs="Arial" w:eastAsia="Arial" w:hAnsi="Arial"/>
                <w:sz w:val="14"/>
                <w:szCs w:val="14"/>
                <w:color w:val="131E29"/>
              </w:rPr>
              <w:t>Effect of Reorganization Transactions and IPO</w:t>
            </w:r>
          </w:p>
        </w:tc>
        <w:tc>
          <w:tcPr>
            <w:tcW w:w="1940" w:type="dxa"/>
            <w:vAlign w:val="bottom"/>
          </w:tcPr>
          <w:p>
            <w:pPr>
              <w:jc w:val="right"/>
              <w:spacing w:after="0"/>
              <w:rPr>
                <w:sz w:val="20"/>
                <w:szCs w:val="20"/>
                <w:color w:val="auto"/>
              </w:rPr>
            </w:pPr>
            <w:r>
              <w:rPr>
                <w:rFonts w:ascii="Arial" w:cs="Arial" w:eastAsia="Arial" w:hAnsi="Arial"/>
                <w:sz w:val="14"/>
                <w:szCs w:val="14"/>
                <w:color w:val="131E29"/>
              </w:rPr>
              <w:t>1,189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tcPr>
          <w:p>
            <w:pPr>
              <w:jc w:val="right"/>
              <w:spacing w:after="0"/>
              <w:rPr>
                <w:sz w:val="20"/>
                <w:szCs w:val="20"/>
                <w:color w:val="auto"/>
              </w:rPr>
            </w:pPr>
            <w:r>
              <w:rPr>
                <w:rFonts w:ascii="Arial" w:cs="Arial" w:eastAsia="Arial" w:hAnsi="Arial"/>
                <w:sz w:val="14"/>
                <w:szCs w:val="14"/>
                <w:color w:val="131E29"/>
              </w:rPr>
              <w:t>43.55</w:t>
            </w:r>
          </w:p>
        </w:tc>
        <w:tc>
          <w:tcPr>
            <w:tcW w:w="0" w:type="dxa"/>
            <w:vAlign w:val="bottom"/>
          </w:tcPr>
          <w:p>
            <w:pPr>
              <w:spacing w:after="0"/>
              <w:rPr>
                <w:sz w:val="1"/>
                <w:szCs w:val="1"/>
                <w:color w:val="auto"/>
              </w:rPr>
            </w:pPr>
          </w:p>
        </w:tc>
      </w:tr>
      <w:tr>
        <w:trPr>
          <w:trHeight w:val="22"/>
        </w:trPr>
        <w:tc>
          <w:tcPr>
            <w:tcW w:w="686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8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Vested</w:t>
            </w:r>
          </w:p>
        </w:tc>
        <w:tc>
          <w:tcPr>
            <w:tcW w:w="1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(593)</w:t>
            </w:r>
          </w:p>
        </w:tc>
        <w:tc>
          <w:tcPr>
            <w:tcW w:w="80" w:type="dxa"/>
            <w:vAlign w:val="bottom"/>
            <w:tcBorders>
              <w:bottom w:val="single" w:sz="8" w:color="D2DCE5"/>
            </w:tcBorders>
            <w:shd w:val="clear" w:color="auto" w:fill="D2DCE5"/>
          </w:tcPr>
          <w:p>
            <w:pPr>
              <w:spacing w:after="0"/>
              <w:rPr>
                <w:sz w:val="18"/>
                <w:szCs w:val="18"/>
                <w:color w:val="auto"/>
              </w:rPr>
            </w:pPr>
          </w:p>
        </w:tc>
        <w:tc>
          <w:tcPr>
            <w:tcW w:w="100" w:type="dxa"/>
            <w:vAlign w:val="bottom"/>
            <w:tcBorders>
              <w:bottom w:val="single" w:sz="8" w:color="D2DCE5"/>
            </w:tcBorders>
            <w:shd w:val="clear" w:color="auto" w:fill="D2DCE5"/>
          </w:tcPr>
          <w:p>
            <w:pPr>
              <w:spacing w:after="0"/>
              <w:rPr>
                <w:sz w:val="18"/>
                <w:szCs w:val="18"/>
                <w:color w:val="auto"/>
              </w:rPr>
            </w:pPr>
          </w:p>
        </w:tc>
        <w:tc>
          <w:tcPr>
            <w:tcW w:w="23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43.55</w:t>
            </w:r>
          </w:p>
        </w:tc>
        <w:tc>
          <w:tcPr>
            <w:tcW w:w="0" w:type="dxa"/>
            <w:vAlign w:val="bottom"/>
          </w:tcPr>
          <w:p>
            <w:pPr>
              <w:spacing w:after="0"/>
              <w:rPr>
                <w:sz w:val="1"/>
                <w:szCs w:val="1"/>
                <w:color w:val="auto"/>
              </w:rPr>
            </w:pPr>
          </w:p>
        </w:tc>
      </w:tr>
      <w:tr>
        <w:trPr>
          <w:trHeight w:val="181"/>
        </w:trPr>
        <w:tc>
          <w:tcPr>
            <w:tcW w:w="6860" w:type="dxa"/>
            <w:vAlign w:val="bottom"/>
            <w:gridSpan w:val="2"/>
          </w:tcPr>
          <w:p>
            <w:pPr>
              <w:ind w:left="20"/>
              <w:spacing w:after="0"/>
              <w:rPr>
                <w:sz w:val="20"/>
                <w:szCs w:val="20"/>
                <w:color w:val="auto"/>
              </w:rPr>
            </w:pPr>
            <w:r>
              <w:rPr>
                <w:rFonts w:ascii="Arial" w:cs="Arial" w:eastAsia="Arial" w:hAnsi="Arial"/>
                <w:sz w:val="14"/>
                <w:szCs w:val="14"/>
                <w:b w:val="1"/>
                <w:bCs w:val="1"/>
                <w:color w:val="131E29"/>
              </w:rPr>
              <w:t>Balance, December 31, 2021</w:t>
            </w: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596</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w:t>
            </w:r>
          </w:p>
        </w:tc>
        <w:tc>
          <w:tcPr>
            <w:tcW w:w="2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43.55</w:t>
            </w:r>
          </w:p>
        </w:tc>
        <w:tc>
          <w:tcPr>
            <w:tcW w:w="0" w:type="dxa"/>
            <w:vAlign w:val="bottom"/>
          </w:tcPr>
          <w:p>
            <w:pPr>
              <w:spacing w:after="0"/>
              <w:rPr>
                <w:sz w:val="1"/>
                <w:szCs w:val="1"/>
                <w:color w:val="auto"/>
              </w:rPr>
            </w:pPr>
          </w:p>
        </w:tc>
      </w:tr>
      <w:tr>
        <w:trPr>
          <w:trHeight w:val="22"/>
        </w:trPr>
        <w:tc>
          <w:tcPr>
            <w:tcW w:w="686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8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New grants</w:t>
            </w:r>
          </w:p>
        </w:tc>
        <w:tc>
          <w:tcPr>
            <w:tcW w:w="1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196</w:t>
            </w:r>
          </w:p>
        </w:tc>
        <w:tc>
          <w:tcPr>
            <w:tcW w:w="8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23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45.85</w:t>
            </w:r>
          </w:p>
        </w:tc>
        <w:tc>
          <w:tcPr>
            <w:tcW w:w="0" w:type="dxa"/>
            <w:vAlign w:val="bottom"/>
          </w:tcPr>
          <w:p>
            <w:pPr>
              <w:spacing w:after="0"/>
              <w:rPr>
                <w:sz w:val="1"/>
                <w:szCs w:val="1"/>
                <w:color w:val="auto"/>
              </w:rPr>
            </w:pPr>
          </w:p>
        </w:tc>
      </w:tr>
      <w:tr>
        <w:trPr>
          <w:trHeight w:val="191"/>
        </w:trPr>
        <w:tc>
          <w:tcPr>
            <w:tcW w:w="6860" w:type="dxa"/>
            <w:vAlign w:val="bottom"/>
            <w:gridSpan w:val="2"/>
          </w:tcPr>
          <w:p>
            <w:pPr>
              <w:ind w:left="20"/>
              <w:spacing w:after="0"/>
              <w:rPr>
                <w:sz w:val="20"/>
                <w:szCs w:val="20"/>
                <w:color w:val="auto"/>
              </w:rPr>
            </w:pPr>
            <w:r>
              <w:rPr>
                <w:rFonts w:ascii="Arial" w:cs="Arial" w:eastAsia="Arial" w:hAnsi="Arial"/>
                <w:sz w:val="14"/>
                <w:szCs w:val="14"/>
                <w:color w:val="131E29"/>
              </w:rPr>
              <w:t>Vested</w:t>
            </w:r>
          </w:p>
        </w:tc>
        <w:tc>
          <w:tcPr>
            <w:tcW w:w="1940" w:type="dxa"/>
            <w:vAlign w:val="bottom"/>
          </w:tcPr>
          <w:p>
            <w:pPr>
              <w:jc w:val="right"/>
              <w:spacing w:after="0"/>
              <w:rPr>
                <w:sz w:val="20"/>
                <w:szCs w:val="20"/>
                <w:color w:val="auto"/>
              </w:rPr>
            </w:pPr>
            <w:r>
              <w:rPr>
                <w:rFonts w:ascii="Arial" w:cs="Arial" w:eastAsia="Arial" w:hAnsi="Arial"/>
                <w:sz w:val="14"/>
                <w:szCs w:val="14"/>
                <w:color w:val="131E29"/>
              </w:rPr>
              <w:t>(206)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tcPr>
          <w:p>
            <w:pPr>
              <w:jc w:val="right"/>
              <w:spacing w:after="0"/>
              <w:rPr>
                <w:sz w:val="20"/>
                <w:szCs w:val="20"/>
                <w:color w:val="auto"/>
              </w:rPr>
            </w:pPr>
            <w:r>
              <w:rPr>
                <w:rFonts w:ascii="Arial" w:cs="Arial" w:eastAsia="Arial" w:hAnsi="Arial"/>
                <w:sz w:val="14"/>
                <w:szCs w:val="14"/>
                <w:color w:val="131E29"/>
              </w:rPr>
              <w:t>51.69</w:t>
            </w:r>
          </w:p>
        </w:tc>
        <w:tc>
          <w:tcPr>
            <w:tcW w:w="0" w:type="dxa"/>
            <w:vAlign w:val="bottom"/>
          </w:tcPr>
          <w:p>
            <w:pPr>
              <w:spacing w:after="0"/>
              <w:rPr>
                <w:sz w:val="1"/>
                <w:szCs w:val="1"/>
                <w:color w:val="auto"/>
              </w:rPr>
            </w:pPr>
          </w:p>
        </w:tc>
      </w:tr>
      <w:tr>
        <w:trPr>
          <w:trHeight w:val="22"/>
        </w:trPr>
        <w:tc>
          <w:tcPr>
            <w:tcW w:w="686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8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Forfeitures</w:t>
            </w:r>
          </w:p>
        </w:tc>
        <w:tc>
          <w:tcPr>
            <w:tcW w:w="1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(3)</w:t>
            </w:r>
          </w:p>
        </w:tc>
        <w:tc>
          <w:tcPr>
            <w:tcW w:w="80" w:type="dxa"/>
            <w:vAlign w:val="bottom"/>
            <w:tcBorders>
              <w:bottom w:val="single" w:sz="8" w:color="D2DCE5"/>
            </w:tcBorders>
            <w:shd w:val="clear" w:color="auto" w:fill="D2DCE5"/>
          </w:tcPr>
          <w:p>
            <w:pPr>
              <w:spacing w:after="0"/>
              <w:rPr>
                <w:sz w:val="18"/>
                <w:szCs w:val="18"/>
                <w:color w:val="auto"/>
              </w:rPr>
            </w:pPr>
          </w:p>
        </w:tc>
        <w:tc>
          <w:tcPr>
            <w:tcW w:w="100" w:type="dxa"/>
            <w:vAlign w:val="bottom"/>
            <w:tcBorders>
              <w:bottom w:val="single" w:sz="8" w:color="D2DCE5"/>
            </w:tcBorders>
            <w:shd w:val="clear" w:color="auto" w:fill="D2DCE5"/>
          </w:tcPr>
          <w:p>
            <w:pPr>
              <w:spacing w:after="0"/>
              <w:rPr>
                <w:sz w:val="18"/>
                <w:szCs w:val="18"/>
                <w:color w:val="auto"/>
              </w:rPr>
            </w:pPr>
          </w:p>
        </w:tc>
        <w:tc>
          <w:tcPr>
            <w:tcW w:w="23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47.57</w:t>
            </w:r>
          </w:p>
        </w:tc>
        <w:tc>
          <w:tcPr>
            <w:tcW w:w="0" w:type="dxa"/>
            <w:vAlign w:val="bottom"/>
          </w:tcPr>
          <w:p>
            <w:pPr>
              <w:spacing w:after="0"/>
              <w:rPr>
                <w:sz w:val="1"/>
                <w:szCs w:val="1"/>
                <w:color w:val="auto"/>
              </w:rPr>
            </w:pPr>
          </w:p>
        </w:tc>
      </w:tr>
      <w:tr>
        <w:trPr>
          <w:trHeight w:val="203"/>
        </w:trPr>
        <w:tc>
          <w:tcPr>
            <w:tcW w:w="6860" w:type="dxa"/>
            <w:vAlign w:val="bottom"/>
            <w:gridSpan w:val="2"/>
          </w:tcPr>
          <w:p>
            <w:pPr>
              <w:ind w:left="20"/>
              <w:spacing w:after="0"/>
              <w:rPr>
                <w:sz w:val="20"/>
                <w:szCs w:val="20"/>
                <w:color w:val="auto"/>
              </w:rPr>
            </w:pPr>
            <w:r>
              <w:rPr>
                <w:rFonts w:ascii="Arial" w:cs="Arial" w:eastAsia="Arial" w:hAnsi="Arial"/>
                <w:sz w:val="14"/>
                <w:szCs w:val="14"/>
                <w:b w:val="1"/>
                <w:bCs w:val="1"/>
                <w:color w:val="131E29"/>
              </w:rPr>
              <w:t>Balance, December 31, 2022</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rPr>
              <w:t>583</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rPr>
              <w:t>$</w:t>
            </w:r>
          </w:p>
        </w:tc>
        <w:tc>
          <w:tcPr>
            <w:tcW w:w="2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rPr>
              <w:t>44.34</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Total release date fair value of vested restricted stock awards and units for the years ended December 31, 2022 and 2021 are presented below. The Company had no restricted stock equity awards prior to the Reorganization Transactions in September 2021, and as such, no comparable information for 2020 is presented.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130" w:name="page131"/>
    <w:bookmarkEnd w:id="130"/>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131E29"/>
              </w:rPr>
              <w:t>Weighted-average vest</w:t>
            </w: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131E29"/>
              </w:rPr>
              <w:t>Weighted-average vest</w:t>
            </w:r>
          </w:p>
        </w:tc>
      </w:tr>
      <w:tr>
        <w:trPr>
          <w:trHeight w:val="170"/>
        </w:trPr>
        <w:tc>
          <w:tcPr>
            <w:tcW w:w="4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tcPr>
          <w:p>
            <w:pPr>
              <w:spacing w:after="0"/>
              <w:rPr>
                <w:sz w:val="20"/>
                <w:szCs w:val="20"/>
                <w:color w:val="auto"/>
              </w:rPr>
            </w:pPr>
            <w:r>
              <w:rPr>
                <w:rFonts w:ascii="Arial" w:cs="Arial" w:eastAsia="Arial" w:hAnsi="Arial"/>
                <w:sz w:val="14"/>
                <w:szCs w:val="14"/>
                <w:b w:val="1"/>
                <w:bCs w:val="1"/>
                <w:color w:val="131E29"/>
              </w:rPr>
              <w:t>Year Ended December 31,</w:t>
            </w:r>
          </w:p>
        </w:tc>
        <w:tc>
          <w:tcPr>
            <w:tcW w:w="120" w:type="dxa"/>
            <w:vAlign w:val="bottom"/>
          </w:tcPr>
          <w:p>
            <w:pPr>
              <w:spacing w:after="0"/>
              <w:rPr>
                <w:sz w:val="14"/>
                <w:szCs w:val="14"/>
                <w:color w:val="auto"/>
              </w:rPr>
            </w:pPr>
          </w:p>
        </w:tc>
        <w:tc>
          <w:tcPr>
            <w:tcW w:w="1440" w:type="dxa"/>
            <w:vAlign w:val="bottom"/>
          </w:tcPr>
          <w:p>
            <w:pPr>
              <w:jc w:val="center"/>
              <w:ind w:right="49"/>
              <w:spacing w:after="0"/>
              <w:rPr>
                <w:sz w:val="20"/>
                <w:szCs w:val="20"/>
                <w:color w:val="auto"/>
              </w:rPr>
            </w:pPr>
            <w:r>
              <w:rPr>
                <w:rFonts w:ascii="Arial" w:cs="Arial" w:eastAsia="Arial" w:hAnsi="Arial"/>
                <w:sz w:val="14"/>
                <w:szCs w:val="14"/>
                <w:b w:val="1"/>
                <w:bCs w:val="1"/>
                <w:color w:val="131E29"/>
              </w:rPr>
              <w:t>date fair value per</w:t>
            </w:r>
          </w:p>
        </w:tc>
        <w:tc>
          <w:tcPr>
            <w:tcW w:w="10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b w:val="1"/>
                <w:bCs w:val="1"/>
                <w:color w:val="131E29"/>
                <w:w w:val="99"/>
              </w:rPr>
              <w:t>Year Ended December 31,</w:t>
            </w:r>
          </w:p>
        </w:tc>
        <w:tc>
          <w:tcPr>
            <w:tcW w:w="160" w:type="dxa"/>
            <w:vAlign w:val="bottom"/>
          </w:tcPr>
          <w:p>
            <w:pPr>
              <w:spacing w:after="0"/>
              <w:rPr>
                <w:sz w:val="14"/>
                <w:szCs w:val="14"/>
                <w:color w:val="auto"/>
              </w:rPr>
            </w:pPr>
          </w:p>
        </w:tc>
        <w:tc>
          <w:tcPr>
            <w:tcW w:w="1440" w:type="dxa"/>
            <w:vAlign w:val="bottom"/>
          </w:tcPr>
          <w:p>
            <w:pPr>
              <w:jc w:val="center"/>
              <w:ind w:right="49"/>
              <w:spacing w:after="0"/>
              <w:rPr>
                <w:sz w:val="20"/>
                <w:szCs w:val="20"/>
                <w:color w:val="auto"/>
              </w:rPr>
            </w:pPr>
            <w:r>
              <w:rPr>
                <w:rFonts w:ascii="Arial" w:cs="Arial" w:eastAsia="Arial" w:hAnsi="Arial"/>
                <w:sz w:val="14"/>
                <w:szCs w:val="14"/>
                <w:b w:val="1"/>
                <w:bCs w:val="1"/>
                <w:color w:val="131E29"/>
              </w:rPr>
              <w:t>date fair value per</w:t>
            </w:r>
          </w:p>
        </w:tc>
      </w:tr>
      <w:tr>
        <w:trPr>
          <w:trHeight w:val="200"/>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except per share amounts)</w:t>
            </w:r>
          </w:p>
        </w:tc>
        <w:tc>
          <w:tcPr>
            <w:tcW w:w="80" w:type="dxa"/>
            <w:vAlign w:val="bottom"/>
            <w:tcBorders>
              <w:bottom w:val="single" w:sz="8" w:color="D2DCE5"/>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729"/>
              <w:spacing w:after="0"/>
              <w:rPr>
                <w:sz w:val="20"/>
                <w:szCs w:val="20"/>
                <w:color w:val="auto"/>
              </w:rPr>
            </w:pPr>
            <w:r>
              <w:rPr>
                <w:rFonts w:ascii="Arial" w:cs="Arial" w:eastAsia="Arial" w:hAnsi="Arial"/>
                <w:sz w:val="14"/>
                <w:szCs w:val="14"/>
                <w:b w:val="1"/>
                <w:bCs w:val="1"/>
                <w:color w:val="131E29"/>
              </w:rPr>
              <w:t>2022</w:t>
            </w:r>
          </w:p>
        </w:tc>
        <w:tc>
          <w:tcPr>
            <w:tcW w:w="100" w:type="dxa"/>
            <w:vAlign w:val="bottom"/>
            <w:tcBorders>
              <w:bottom w:val="single" w:sz="8" w:color="D2DCE5"/>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131E29"/>
              </w:rPr>
              <w:t>share</w:t>
            </w:r>
          </w:p>
        </w:tc>
        <w:tc>
          <w:tcPr>
            <w:tcW w:w="1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709"/>
              <w:spacing w:after="0"/>
              <w:rPr>
                <w:sz w:val="20"/>
                <w:szCs w:val="20"/>
                <w:color w:val="auto"/>
              </w:rPr>
            </w:pPr>
            <w:r>
              <w:rPr>
                <w:rFonts w:ascii="Arial" w:cs="Arial" w:eastAsia="Arial" w:hAnsi="Arial"/>
                <w:sz w:val="14"/>
                <w:szCs w:val="14"/>
                <w:b w:val="1"/>
                <w:bCs w:val="1"/>
                <w:color w:val="131E29"/>
              </w:rPr>
              <w:t>2021</w:t>
            </w: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131E29"/>
              </w:rPr>
              <w:t>share</w:t>
            </w:r>
          </w:p>
        </w:tc>
      </w:tr>
      <w:tr>
        <w:trPr>
          <w:trHeight w:val="192"/>
        </w:trPr>
        <w:tc>
          <w:tcPr>
            <w:tcW w:w="42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Restricted stock awards</w:t>
            </w:r>
          </w:p>
        </w:tc>
        <w:tc>
          <w:tcPr>
            <w:tcW w:w="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w w:val="76"/>
              </w:rPr>
              <w:t>$</w:t>
            </w:r>
          </w:p>
        </w:tc>
        <w:tc>
          <w:tcPr>
            <w:tcW w:w="18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69,604</w:t>
            </w:r>
          </w:p>
        </w:tc>
        <w:tc>
          <w:tcPr>
            <w:tcW w:w="100" w:type="dxa"/>
            <w:vAlign w:val="bottom"/>
            <w:tcBorders>
              <w:bottom w:val="single" w:sz="8" w:color="D2DCE5"/>
            </w:tcBorders>
            <w:shd w:val="clear" w:color="auto" w:fill="D2DCE5"/>
          </w:tcPr>
          <w:p>
            <w:pPr>
              <w:spacing w:after="0"/>
              <w:rPr>
                <w:sz w:val="16"/>
                <w:szCs w:val="16"/>
                <w:color w:val="auto"/>
              </w:rPr>
            </w:pPr>
          </w:p>
        </w:tc>
        <w:tc>
          <w:tcPr>
            <w:tcW w:w="1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w w:val="76"/>
              </w:rPr>
              <w:t>$</w:t>
            </w:r>
          </w:p>
        </w:tc>
        <w:tc>
          <w:tcPr>
            <w:tcW w:w="14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52.22</w:t>
            </w:r>
          </w:p>
        </w:tc>
        <w:tc>
          <w:tcPr>
            <w:tcW w:w="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8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134,182</w:t>
            </w:r>
          </w:p>
        </w:tc>
        <w:tc>
          <w:tcPr>
            <w:tcW w:w="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4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23.00</w:t>
            </w:r>
          </w:p>
        </w:tc>
      </w:tr>
      <w:tr>
        <w:trPr>
          <w:trHeight w:val="191"/>
        </w:trPr>
        <w:tc>
          <w:tcPr>
            <w:tcW w:w="4200" w:type="dxa"/>
            <w:vAlign w:val="bottom"/>
            <w:gridSpan w:val="2"/>
          </w:tcPr>
          <w:p>
            <w:pPr>
              <w:ind w:left="20"/>
              <w:spacing w:after="0"/>
              <w:rPr>
                <w:sz w:val="20"/>
                <w:szCs w:val="20"/>
                <w:color w:val="auto"/>
              </w:rPr>
            </w:pPr>
            <w:r>
              <w:rPr>
                <w:rFonts w:ascii="Arial" w:cs="Arial" w:eastAsia="Arial" w:hAnsi="Arial"/>
                <w:sz w:val="14"/>
                <w:szCs w:val="14"/>
                <w:color w:val="131E29"/>
              </w:rPr>
              <w:t>Restricted stock units</w:t>
            </w:r>
          </w:p>
        </w:tc>
        <w:tc>
          <w:tcPr>
            <w:tcW w:w="10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131E29"/>
              </w:rPr>
              <w:t>10,627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131E29"/>
              </w:rPr>
              <w:t>51.59</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131E29"/>
              </w:rPr>
              <w:t>26,431</w:t>
            </w: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131E29"/>
              </w:rPr>
              <w:t>44.57</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Equity-Based Compensation</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131E29"/>
        </w:rPr>
        <w:t>Equity-based compensation expense is recognized on a straight-line basis and is included in the Company’s consolidated statements of operations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300" w:type="dxa"/>
            <w:vAlign w:val="bottom"/>
            <w:gridSpan w:val="6"/>
          </w:tcPr>
          <w:p>
            <w:pPr>
              <w:jc w:val="center"/>
              <w:ind w:left="109"/>
              <w:spacing w:after="0"/>
              <w:rPr>
                <w:sz w:val="20"/>
                <w:szCs w:val="20"/>
                <w:color w:val="auto"/>
              </w:rPr>
            </w:pPr>
            <w:r>
              <w:rPr>
                <w:rFonts w:ascii="Arial" w:cs="Arial" w:eastAsia="Arial" w:hAnsi="Arial"/>
                <w:sz w:val="14"/>
                <w:szCs w:val="14"/>
                <w:b w:val="1"/>
                <w:bCs w:val="1"/>
                <w:color w:val="131E29"/>
                <w:w w:val="99"/>
              </w:rPr>
              <w:t>Year Ended December 31,</w:t>
            </w:r>
          </w:p>
        </w:tc>
        <w:tc>
          <w:tcPr>
            <w:tcW w:w="1000" w:type="dxa"/>
            <w:vAlign w:val="bottom"/>
          </w:tcPr>
          <w:p>
            <w:pPr>
              <w:spacing w:after="0"/>
              <w:rPr>
                <w:sz w:val="16"/>
                <w:szCs w:val="16"/>
                <w:color w:val="auto"/>
              </w:rPr>
            </w:pPr>
          </w:p>
        </w:tc>
      </w:tr>
      <w:tr>
        <w:trPr>
          <w:trHeight w:val="22"/>
        </w:trPr>
        <w:tc>
          <w:tcPr>
            <w:tcW w:w="7160" w:type="dxa"/>
            <w:vAlign w:val="bottom"/>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3"/>
        </w:trPr>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131E29"/>
              </w:rPr>
              <w:t>2022</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D2DCE5"/>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2021</w:t>
            </w:r>
          </w:p>
        </w:tc>
        <w:tc>
          <w:tcPr>
            <w:tcW w:w="80" w:type="dxa"/>
            <w:vAlign w:val="bottom"/>
            <w:tcBorders>
              <w:bottom w:val="single" w:sz="8" w:color="D2DCE5"/>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2020</w:t>
            </w:r>
          </w:p>
        </w:tc>
      </w:tr>
      <w:tr>
        <w:trPr>
          <w:trHeight w:val="237"/>
        </w:trPr>
        <w:tc>
          <w:tcPr>
            <w:tcW w:w="71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Selling, general, and administrative expenses</w:t>
            </w:r>
          </w:p>
        </w:tc>
        <w:tc>
          <w:tcPr>
            <w:tcW w:w="820" w:type="dxa"/>
            <w:vAlign w:val="bottom"/>
            <w:tcBorders>
              <w:bottom w:val="single" w:sz="8" w:color="auto"/>
            </w:tcBorders>
            <w:shd w:val="clear" w:color="auto" w:fill="D2DCE5"/>
          </w:tcPr>
          <w:p>
            <w:pPr>
              <w:jc w:val="right"/>
              <w:ind w:right="649"/>
              <w:spacing w:after="0"/>
              <w:rPr>
                <w:sz w:val="20"/>
                <w:szCs w:val="20"/>
                <w:color w:val="auto"/>
              </w:rPr>
            </w:pPr>
            <w:r>
              <w:rPr>
                <w:rFonts w:ascii="Arial" w:cs="Arial" w:eastAsia="Arial" w:hAnsi="Arial"/>
                <w:sz w:val="14"/>
                <w:szCs w:val="14"/>
                <w:color w:val="131E29"/>
              </w:rPr>
              <w:t>$</w:t>
            </w:r>
          </w:p>
        </w:tc>
        <w:tc>
          <w:tcPr>
            <w:tcW w:w="5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w w:val="97"/>
              </w:rPr>
              <w:t>41,657</w:t>
            </w:r>
          </w:p>
        </w:tc>
        <w:tc>
          <w:tcPr>
            <w:tcW w:w="80" w:type="dxa"/>
            <w:vAlign w:val="bottom"/>
            <w:tcBorders>
              <w:bottom w:val="single" w:sz="8" w:color="D2DCE5"/>
            </w:tcBorders>
            <w:shd w:val="clear" w:color="auto" w:fill="D2DCE5"/>
          </w:tcPr>
          <w:p>
            <w:pPr>
              <w:spacing w:after="0"/>
              <w:rPr>
                <w:sz w:val="20"/>
                <w:szCs w:val="20"/>
                <w:color w:val="auto"/>
              </w:rPr>
            </w:pPr>
          </w:p>
        </w:tc>
        <w:tc>
          <w:tcPr>
            <w:tcW w:w="300" w:type="dxa"/>
            <w:vAlign w:val="bottom"/>
            <w:tcBorders>
              <w:bottom w:val="single" w:sz="8" w:color="auto"/>
            </w:tcBorders>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157,716</w:t>
            </w:r>
          </w:p>
        </w:tc>
        <w:tc>
          <w:tcPr>
            <w:tcW w:w="80" w:type="dxa"/>
            <w:vAlign w:val="bottom"/>
            <w:tcBorders>
              <w:bottom w:val="single" w:sz="8" w:color="D2DCE5"/>
            </w:tcBorders>
            <w:shd w:val="clear" w:color="auto" w:fill="D2DCE5"/>
          </w:tcPr>
          <w:p>
            <w:pPr>
              <w:spacing w:after="0"/>
              <w:rPr>
                <w:sz w:val="20"/>
                <w:szCs w:val="20"/>
                <w:color w:val="auto"/>
              </w:rPr>
            </w:pPr>
          </w:p>
        </w:tc>
        <w:tc>
          <w:tcPr>
            <w:tcW w:w="320" w:type="dxa"/>
            <w:vAlign w:val="bottom"/>
            <w:tcBorders>
              <w:bottom w:val="single" w:sz="8" w:color="auto"/>
            </w:tcBorders>
            <w:shd w:val="clear" w:color="auto" w:fill="D2DCE5"/>
          </w:tcPr>
          <w:p>
            <w:pPr>
              <w:jc w:val="right"/>
              <w:ind w:right="149"/>
              <w:spacing w:after="0"/>
              <w:rPr>
                <w:sz w:val="20"/>
                <w:szCs w:val="20"/>
                <w:color w:val="auto"/>
              </w:rPr>
            </w:pPr>
            <w:r>
              <w:rPr>
                <w:rFonts w:ascii="Arial" w:cs="Arial" w:eastAsia="Arial" w:hAnsi="Arial"/>
                <w:sz w:val="14"/>
                <w:szCs w:val="14"/>
                <w:color w:val="131E29"/>
              </w:rPr>
              <w:t>$</w:t>
            </w:r>
          </w:p>
        </w:tc>
        <w:tc>
          <w:tcPr>
            <w:tcW w:w="10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35,087</w:t>
            </w:r>
          </w:p>
        </w:tc>
      </w:tr>
      <w:tr>
        <w:trPr>
          <w:trHeight w:val="20"/>
        </w:trPr>
        <w:tc>
          <w:tcPr>
            <w:tcW w:w="708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820" w:type="dxa"/>
            <w:vAlign w:val="bottom"/>
            <w:tcBorders>
              <w:top w:val="single" w:sz="8" w:color="D2DCE5"/>
              <w:bottom w:val="single" w:sz="8" w:color="auto"/>
            </w:tcBorders>
          </w:tcPr>
          <w:p>
            <w:pPr>
              <w:spacing w:after="0" w:line="20" w:lineRule="exact"/>
              <w:rPr>
                <w:sz w:val="1"/>
                <w:szCs w:val="1"/>
                <w:color w:val="auto"/>
              </w:rPr>
            </w:pPr>
          </w:p>
        </w:tc>
        <w:tc>
          <w:tcPr>
            <w:tcW w:w="50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20" w:type="dxa"/>
            <w:vAlign w:val="bottom"/>
            <w:tcBorders>
              <w:top w:val="single" w:sz="8" w:color="D2DCE5"/>
              <w:bottom w:val="single" w:sz="8" w:color="auto"/>
            </w:tcBorders>
          </w:tcPr>
          <w:p>
            <w:pPr>
              <w:spacing w:after="0" w:line="20" w:lineRule="exact"/>
              <w:rPr>
                <w:sz w:val="1"/>
                <w:szCs w:val="1"/>
                <w:color w:val="auto"/>
              </w:rPr>
            </w:pPr>
          </w:p>
        </w:tc>
        <w:tc>
          <w:tcPr>
            <w:tcW w:w="1000" w:type="dxa"/>
            <w:vAlign w:val="bottom"/>
            <w:tcBorders>
              <w:top w:val="single" w:sz="8" w:color="D2DCE5"/>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131E29"/>
        </w:rPr>
        <w:t>As of December 31, 2022, total unrecognized stock-based compensation related to unvested stock awards was $39.9 million, which will be recognized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9720" w:type="dxa"/>
            <w:vAlign w:val="bottom"/>
            <w:gridSpan w:val="2"/>
          </w:tcPr>
          <w:p>
            <w:pPr>
              <w:ind w:left="20"/>
              <w:spacing w:after="0"/>
              <w:rPr>
                <w:sz w:val="20"/>
                <w:szCs w:val="20"/>
                <w:color w:val="auto"/>
              </w:rPr>
            </w:pPr>
            <w:r>
              <w:rPr>
                <w:rFonts w:ascii="Arial" w:cs="Arial" w:eastAsia="Arial" w:hAnsi="Arial"/>
                <w:sz w:val="11"/>
                <w:szCs w:val="11"/>
                <w:color w:val="131E29"/>
              </w:rPr>
              <w:t>(in thousands)</w:t>
            </w:r>
          </w:p>
        </w:tc>
        <w:tc>
          <w:tcPr>
            <w:tcW w:w="5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92"/>
        </w:trPr>
        <w:tc>
          <w:tcPr>
            <w:tcW w:w="9620" w:type="dxa"/>
            <w:vAlign w:val="bottom"/>
            <w:tcBorders>
              <w:top w:val="single" w:sz="8" w:color="auto"/>
              <w:bottom w:val="single" w:sz="8" w:color="D2DCE5"/>
            </w:tcBorders>
            <w:shd w:val="clear" w:color="auto" w:fill="D2DCE5"/>
          </w:tcPr>
          <w:p>
            <w:pPr>
              <w:ind w:left="20"/>
              <w:spacing w:after="0"/>
              <w:rPr>
                <w:sz w:val="20"/>
                <w:szCs w:val="20"/>
                <w:color w:val="auto"/>
              </w:rPr>
            </w:pPr>
            <w:r>
              <w:rPr>
                <w:rFonts w:ascii="Arial" w:cs="Arial" w:eastAsia="Arial" w:hAnsi="Arial"/>
                <w:sz w:val="14"/>
                <w:szCs w:val="14"/>
                <w:color w:val="131E29"/>
              </w:rPr>
              <w:t>2023</w:t>
            </w:r>
          </w:p>
        </w:tc>
        <w:tc>
          <w:tcPr>
            <w:tcW w:w="100" w:type="dxa"/>
            <w:vAlign w:val="bottom"/>
            <w:tcBorders>
              <w:top w:val="single" w:sz="8" w:color="D2DCE5"/>
              <w:bottom w:val="single" w:sz="8" w:color="D2DCE5"/>
            </w:tcBorders>
            <w:shd w:val="clear" w:color="auto" w:fill="D2DCE5"/>
          </w:tcPr>
          <w:p>
            <w:pPr>
              <w:spacing w:after="0"/>
              <w:rPr>
                <w:sz w:val="16"/>
                <w:szCs w:val="16"/>
                <w:color w:val="auto"/>
              </w:rPr>
            </w:pPr>
          </w:p>
        </w:tc>
        <w:tc>
          <w:tcPr>
            <w:tcW w:w="580" w:type="dxa"/>
            <w:vAlign w:val="bottom"/>
            <w:tcBorders>
              <w:top w:val="single" w:sz="8" w:color="131E29"/>
              <w:bottom w:val="single" w:sz="8" w:color="D2DCE5"/>
            </w:tcBorders>
            <w:shd w:val="clear" w:color="auto" w:fill="D2DCE5"/>
          </w:tcPr>
          <w:p>
            <w:pPr>
              <w:jc w:val="right"/>
              <w:ind w:right="429"/>
              <w:spacing w:after="0"/>
              <w:rPr>
                <w:sz w:val="20"/>
                <w:szCs w:val="20"/>
                <w:color w:val="auto"/>
              </w:rPr>
            </w:pPr>
            <w:r>
              <w:rPr>
                <w:rFonts w:ascii="Arial" w:cs="Arial" w:eastAsia="Arial" w:hAnsi="Arial"/>
                <w:sz w:val="14"/>
                <w:szCs w:val="14"/>
                <w:color w:val="131E29"/>
                <w:w w:val="76"/>
              </w:rPr>
              <w:t>$</w:t>
            </w:r>
          </w:p>
        </w:tc>
        <w:tc>
          <w:tcPr>
            <w:tcW w:w="980" w:type="dxa"/>
            <w:vAlign w:val="bottom"/>
            <w:tcBorders>
              <w:top w:val="single" w:sz="8" w:color="131E29"/>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35,695</w:t>
            </w:r>
          </w:p>
        </w:tc>
      </w:tr>
      <w:tr>
        <w:trPr>
          <w:trHeight w:val="191"/>
        </w:trPr>
        <w:tc>
          <w:tcPr>
            <w:tcW w:w="9620" w:type="dxa"/>
            <w:vAlign w:val="bottom"/>
          </w:tcPr>
          <w:p>
            <w:pPr>
              <w:ind w:left="20"/>
              <w:spacing w:after="0"/>
              <w:rPr>
                <w:sz w:val="20"/>
                <w:szCs w:val="20"/>
                <w:color w:val="auto"/>
              </w:rPr>
            </w:pPr>
            <w:r>
              <w:rPr>
                <w:rFonts w:ascii="Arial" w:cs="Arial" w:eastAsia="Arial" w:hAnsi="Arial"/>
                <w:sz w:val="14"/>
                <w:szCs w:val="14"/>
                <w:color w:val="131E29"/>
              </w:rPr>
              <w:t>2024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131E29"/>
              </w:rPr>
              <w:t>3,437</w:t>
            </w:r>
          </w:p>
        </w:tc>
      </w:tr>
      <w:tr>
        <w:trPr>
          <w:trHeight w:val="22"/>
        </w:trPr>
        <w:tc>
          <w:tcPr>
            <w:tcW w:w="9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2"/>
        </w:trPr>
        <w:tc>
          <w:tcPr>
            <w:tcW w:w="962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4"/>
                <w:szCs w:val="14"/>
                <w:color w:val="131E29"/>
              </w:rPr>
              <w:t>2025</w:t>
            </w:r>
          </w:p>
        </w:tc>
        <w:tc>
          <w:tcPr>
            <w:tcW w:w="100" w:type="dxa"/>
            <w:vAlign w:val="bottom"/>
            <w:tcBorders>
              <w:bottom w:val="single" w:sz="8" w:color="D2DCE5"/>
            </w:tcBorders>
            <w:shd w:val="clear" w:color="auto" w:fill="D2DCE5"/>
          </w:tcPr>
          <w:p>
            <w:pPr>
              <w:spacing w:after="0"/>
              <w:rPr>
                <w:sz w:val="18"/>
                <w:szCs w:val="18"/>
                <w:color w:val="auto"/>
              </w:rPr>
            </w:pPr>
          </w:p>
        </w:tc>
        <w:tc>
          <w:tcPr>
            <w:tcW w:w="580" w:type="dxa"/>
            <w:vAlign w:val="bottom"/>
            <w:tcBorders>
              <w:bottom w:val="single" w:sz="8" w:color="D2DCE5"/>
            </w:tcBorders>
            <w:shd w:val="clear" w:color="auto" w:fill="D2DCE5"/>
          </w:tcPr>
          <w:p>
            <w:pPr>
              <w:spacing w:after="0"/>
              <w:rPr>
                <w:sz w:val="18"/>
                <w:szCs w:val="18"/>
                <w:color w:val="auto"/>
              </w:rPr>
            </w:pPr>
          </w:p>
        </w:tc>
        <w:tc>
          <w:tcPr>
            <w:tcW w:w="9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737</w:t>
            </w:r>
          </w:p>
        </w:tc>
      </w:tr>
      <w:tr>
        <w:trPr>
          <w:trHeight w:val="203"/>
        </w:trPr>
        <w:tc>
          <w:tcPr>
            <w:tcW w:w="9720" w:type="dxa"/>
            <w:vAlign w:val="bottom"/>
            <w:gridSpan w:val="2"/>
          </w:tcPr>
          <w:p>
            <w:pPr>
              <w:ind w:left="100"/>
              <w:spacing w:after="0"/>
              <w:rPr>
                <w:sz w:val="20"/>
                <w:szCs w:val="20"/>
                <w:color w:val="auto"/>
              </w:rPr>
            </w:pPr>
            <w:r>
              <w:rPr>
                <w:rFonts w:ascii="Arial" w:cs="Arial" w:eastAsia="Arial" w:hAnsi="Arial"/>
                <w:sz w:val="14"/>
                <w:szCs w:val="14"/>
                <w:color w:val="131E29"/>
              </w:rPr>
              <w:t>Total unrecognized stock-based compensation</w:t>
            </w:r>
          </w:p>
        </w:tc>
        <w:tc>
          <w:tcPr>
            <w:tcW w:w="58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color w:val="131E29"/>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rPr>
              <w:t>39,869</w:t>
            </w:r>
          </w:p>
        </w:tc>
      </w:tr>
      <w:tr>
        <w:trPr>
          <w:trHeight w:val="20"/>
        </w:trPr>
        <w:tc>
          <w:tcPr>
            <w:tcW w:w="9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15 — Employee Benefit Plans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The Company’s 401(k) plan (the 401(k) Plan) covers substantially all employees of the Company who meet certain requirements. Contributions to the 401(k) Plan are determined by each participant by means of an elective compensation deferral, subject to annual limits. The Company matches 100% of employee contributions, up to 4% of eligible compensation. The total employer matching contributions to the 401(k) Plan recognized in the Company’s consolidated statements of operations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131E29"/>
                <w:w w:val="99"/>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
        </w:trPr>
        <w:tc>
          <w:tcPr>
            <w:tcW w:w="6400" w:type="dxa"/>
            <w:vAlign w:val="bottom"/>
            <w:gridSpan w:val="2"/>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3"/>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6"/>
                <w:szCs w:val="16"/>
                <w:color w:val="auto"/>
              </w:rPr>
            </w:pPr>
          </w:p>
        </w:tc>
        <w:tc>
          <w:tcPr>
            <w:tcW w:w="10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131E29"/>
              </w:rPr>
              <w:t>2022</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D2DCE5"/>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131E29"/>
              </w:rPr>
              <w:t>2021</w:t>
            </w:r>
          </w:p>
        </w:tc>
        <w:tc>
          <w:tcPr>
            <w:tcW w:w="100" w:type="dxa"/>
            <w:vAlign w:val="bottom"/>
            <w:tcBorders>
              <w:bottom w:val="single" w:sz="8" w:color="D2DCE5"/>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131E29"/>
              </w:rPr>
              <w:t>2020</w:t>
            </w:r>
          </w:p>
        </w:tc>
      </w:tr>
      <w:tr>
        <w:trPr>
          <w:trHeight w:val="191"/>
        </w:trPr>
        <w:tc>
          <w:tcPr>
            <w:tcW w:w="64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Selling, general, and administrative expenses</w:t>
            </w:r>
          </w:p>
        </w:tc>
        <w:tc>
          <w:tcPr>
            <w:tcW w:w="1060" w:type="dxa"/>
            <w:vAlign w:val="bottom"/>
            <w:shd w:val="clear" w:color="auto" w:fill="D2DCE5"/>
          </w:tcPr>
          <w:p>
            <w:pPr>
              <w:jc w:val="right"/>
              <w:ind w:right="889"/>
              <w:spacing w:after="0"/>
              <w:rPr>
                <w:sz w:val="20"/>
                <w:szCs w:val="20"/>
                <w:color w:val="auto"/>
              </w:rPr>
            </w:pPr>
            <w:r>
              <w:rPr>
                <w:rFonts w:ascii="Arial" w:cs="Arial" w:eastAsia="Arial" w:hAnsi="Arial"/>
                <w:sz w:val="14"/>
                <w:szCs w:val="14"/>
                <w:color w:val="131E29"/>
              </w:rPr>
              <w:t>$</w:t>
            </w:r>
          </w:p>
        </w:tc>
        <w:tc>
          <w:tcPr>
            <w:tcW w:w="5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1,680</w:t>
            </w:r>
          </w:p>
        </w:tc>
        <w:tc>
          <w:tcPr>
            <w:tcW w:w="440" w:type="dxa"/>
            <w:vAlign w:val="bottom"/>
            <w:gridSpan w:val="2"/>
            <w:shd w:val="clear" w:color="auto" w:fill="D2DCE5"/>
          </w:tcPr>
          <w:p>
            <w:pPr>
              <w:jc w:val="right"/>
              <w:ind w:right="260"/>
              <w:spacing w:after="0"/>
              <w:rPr>
                <w:sz w:val="20"/>
                <w:szCs w:val="20"/>
                <w:color w:val="auto"/>
              </w:rPr>
            </w:pPr>
            <w:r>
              <w:rPr>
                <w:rFonts w:ascii="Arial" w:cs="Arial" w:eastAsia="Arial" w:hAnsi="Arial"/>
                <w:sz w:val="14"/>
                <w:szCs w:val="14"/>
                <w:color w:val="131E29"/>
              </w:rPr>
              <w:t>$</w:t>
            </w: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1,185</w:t>
            </w:r>
          </w:p>
        </w:tc>
        <w:tc>
          <w:tcPr>
            <w:tcW w:w="100" w:type="dxa"/>
            <w:vAlign w:val="bottom"/>
            <w:shd w:val="clear" w:color="auto" w:fill="D2DCE5"/>
          </w:tcPr>
          <w:p>
            <w:pPr>
              <w:spacing w:after="0"/>
              <w:rPr>
                <w:sz w:val="16"/>
                <w:szCs w:val="16"/>
                <w:color w:val="auto"/>
              </w:rPr>
            </w:pPr>
          </w:p>
        </w:tc>
        <w:tc>
          <w:tcPr>
            <w:tcW w:w="360" w:type="dxa"/>
            <w:vAlign w:val="bottom"/>
            <w:shd w:val="clear" w:color="auto" w:fill="D2DCE5"/>
          </w:tcPr>
          <w:p>
            <w:pPr>
              <w:jc w:val="right"/>
              <w:ind w:right="209"/>
              <w:spacing w:after="0"/>
              <w:rPr>
                <w:sz w:val="20"/>
                <w:szCs w:val="20"/>
                <w:color w:val="auto"/>
              </w:rPr>
            </w:pPr>
            <w:r>
              <w:rPr>
                <w:rFonts w:ascii="Arial" w:cs="Arial" w:eastAsia="Arial" w:hAnsi="Arial"/>
                <w:sz w:val="14"/>
                <w:szCs w:val="14"/>
                <w:color w:val="131E29"/>
                <w:w w:val="76"/>
              </w:rPr>
              <w:t>$</w:t>
            </w: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714</w:t>
            </w:r>
          </w:p>
        </w:tc>
      </w:tr>
      <w:tr>
        <w:trPr>
          <w:trHeight w:val="22"/>
        </w:trPr>
        <w:tc>
          <w:tcPr>
            <w:tcW w:w="6320" w:type="dxa"/>
            <w:vAlign w:val="bottom"/>
            <w:shd w:val="clear" w:color="auto" w:fill="D2DCE5"/>
          </w:tcPr>
          <w:p>
            <w:pPr>
              <w:spacing w:after="0" w:line="20" w:lineRule="exact"/>
              <w:rPr>
                <w:sz w:val="1"/>
                <w:szCs w:val="1"/>
                <w:color w:val="auto"/>
              </w:rPr>
            </w:pPr>
          </w:p>
        </w:tc>
        <w:tc>
          <w:tcPr>
            <w:tcW w:w="80" w:type="dxa"/>
            <w:vAlign w:val="bottom"/>
            <w:shd w:val="clear" w:color="auto" w:fill="D2DCE5"/>
          </w:tcPr>
          <w:p>
            <w:pPr>
              <w:spacing w:after="0" w:line="20" w:lineRule="exact"/>
              <w:rPr>
                <w:sz w:val="1"/>
                <w:szCs w:val="1"/>
                <w:color w:val="auto"/>
              </w:rPr>
            </w:pPr>
          </w:p>
        </w:tc>
        <w:tc>
          <w:tcPr>
            <w:tcW w:w="1060" w:type="dxa"/>
            <w:vAlign w:val="bottom"/>
            <w:shd w:val="clear" w:color="auto" w:fill="D2DCE5"/>
          </w:tcPr>
          <w:p>
            <w:pPr>
              <w:spacing w:after="0" w:line="20" w:lineRule="exact"/>
              <w:rPr>
                <w:sz w:val="1"/>
                <w:szCs w:val="1"/>
                <w:color w:val="auto"/>
              </w:rPr>
            </w:pPr>
          </w:p>
        </w:tc>
        <w:tc>
          <w:tcPr>
            <w:tcW w:w="520" w:type="dxa"/>
            <w:vAlign w:val="bottom"/>
            <w:shd w:val="clear" w:color="auto" w:fill="D2DCE5"/>
          </w:tcPr>
          <w:p>
            <w:pPr>
              <w:spacing w:after="0" w:line="20" w:lineRule="exact"/>
              <w:rPr>
                <w:sz w:val="1"/>
                <w:szCs w:val="1"/>
                <w:color w:val="auto"/>
              </w:rPr>
            </w:pPr>
          </w:p>
        </w:tc>
        <w:tc>
          <w:tcPr>
            <w:tcW w:w="80" w:type="dxa"/>
            <w:vAlign w:val="bottom"/>
            <w:shd w:val="clear" w:color="auto" w:fill="D2DCE5"/>
          </w:tcPr>
          <w:p>
            <w:pPr>
              <w:spacing w:after="0" w:line="20" w:lineRule="exact"/>
              <w:rPr>
                <w:sz w:val="1"/>
                <w:szCs w:val="1"/>
                <w:color w:val="auto"/>
              </w:rPr>
            </w:pPr>
          </w:p>
        </w:tc>
        <w:tc>
          <w:tcPr>
            <w:tcW w:w="360" w:type="dxa"/>
            <w:vAlign w:val="bottom"/>
            <w:shd w:val="clear" w:color="auto" w:fill="D2DCE5"/>
          </w:tcPr>
          <w:p>
            <w:pPr>
              <w:spacing w:after="0" w:line="20" w:lineRule="exact"/>
              <w:rPr>
                <w:sz w:val="1"/>
                <w:szCs w:val="1"/>
                <w:color w:val="auto"/>
              </w:rPr>
            </w:pPr>
          </w:p>
        </w:tc>
        <w:tc>
          <w:tcPr>
            <w:tcW w:w="1200" w:type="dxa"/>
            <w:vAlign w:val="bottom"/>
            <w:shd w:val="clear" w:color="auto" w:fill="D2DCE5"/>
          </w:tcPr>
          <w:p>
            <w:pPr>
              <w:spacing w:after="0" w:line="20" w:lineRule="exact"/>
              <w:rPr>
                <w:sz w:val="1"/>
                <w:szCs w:val="1"/>
                <w:color w:val="auto"/>
              </w:rPr>
            </w:pPr>
          </w:p>
        </w:tc>
        <w:tc>
          <w:tcPr>
            <w:tcW w:w="100" w:type="dxa"/>
            <w:vAlign w:val="bottom"/>
            <w:shd w:val="clear" w:color="auto" w:fill="D2DCE5"/>
          </w:tcPr>
          <w:p>
            <w:pPr>
              <w:spacing w:after="0" w:line="20" w:lineRule="exact"/>
              <w:rPr>
                <w:sz w:val="1"/>
                <w:szCs w:val="1"/>
                <w:color w:val="auto"/>
              </w:rPr>
            </w:pPr>
          </w:p>
        </w:tc>
        <w:tc>
          <w:tcPr>
            <w:tcW w:w="360" w:type="dxa"/>
            <w:vAlign w:val="bottom"/>
            <w:shd w:val="clear" w:color="auto" w:fill="D2DCE5"/>
          </w:tcPr>
          <w:p>
            <w:pPr>
              <w:spacing w:after="0" w:line="20" w:lineRule="exact"/>
              <w:rPr>
                <w:sz w:val="1"/>
                <w:szCs w:val="1"/>
                <w:color w:val="auto"/>
              </w:rPr>
            </w:pPr>
          </w:p>
        </w:tc>
        <w:tc>
          <w:tcPr>
            <w:tcW w:w="1200" w:type="dxa"/>
            <w:vAlign w:val="bottom"/>
            <w:shd w:val="clear" w:color="auto" w:fill="D2DCE5"/>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131" w:name="page132"/>
    <w:bookmarkEnd w:id="131"/>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16 — Non-Controlling Interests</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131E29"/>
        </w:rPr>
        <w:t>The Company is the sole managing member of Dutch Bros OpCo, and, as a result, consolidates the financial results of Dutch Bros OpCo. The Company reports a non-controlling interest representing the economic interest in the Dutch Bros OpCo held by the other members of Dutch Bros OpCo. The Dutch Bros OpCo Agreement provides that holders of Dutch Bros OpCo Class A common units may, from time to time, require Dutch Bros OpCo to redeem all or a portion of its Dutch Bros OpCo Class A common units for newly-issued shares of Class A common stock on a one-for-one basis. In connection with any redemption or exchange, the Company will receive a corresponding number of Dutch Bros OpCo Class A common units, increasing the Company’s total ownership in Dutch Bros OpCo. Changes in the Company’s ownership in Dutch Bros OpCo, while the Company retains its controlling interest in Dutch Bros OpCo, will be accounted for as equity transactions. As such, future redemptions or direct exchanges of Dutch Bros OpCo Class A common units in Dutch Bros OpCo by the other members of Dutch Bros OpCo will result in a change in ownership and reduce the amount recorded as non-controlling interest and increase additional paid-in-capital.</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131E29"/>
        </w:rPr>
        <w:t>The following table summarizes the ownership interest in Dutch Bros OpCo:</w:t>
      </w:r>
    </w:p>
    <w:p>
      <w:pPr>
        <w:spacing w:after="0" w:line="161"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131E29"/>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4752975</wp:posOffset>
            </wp:positionH>
            <wp:positionV relativeFrom="paragraph">
              <wp:posOffset>31115</wp:posOffset>
            </wp:positionV>
            <wp:extent cx="2411730" cy="69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411730" cy="698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p>
      <w:pPr>
        <w:spacing w:after="0" w:line="116" w:lineRule="exact"/>
        <w:rPr>
          <w:sz w:val="20"/>
          <w:szCs w:val="20"/>
          <w:color w:val="auto"/>
        </w:rPr>
      </w:pPr>
    </w:p>
    <w:p>
      <w:pPr>
        <w:ind w:left="20"/>
        <w:spacing w:after="0"/>
        <w:rPr>
          <w:sz w:val="20"/>
          <w:szCs w:val="20"/>
          <w:color w:val="auto"/>
        </w:rPr>
      </w:pPr>
      <w:r>
        <w:rPr>
          <w:rFonts w:ascii="Arial" w:cs="Arial" w:eastAsia="Arial" w:hAnsi="Arial"/>
          <w:sz w:val="11"/>
          <w:szCs w:val="11"/>
          <w:color w:val="131E29"/>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161530" cy="14160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Dutch Bros OpCo Class A common units held by Dutch Bros Inc.</w:t>
      </w:r>
      <w:r>
        <w:rPr>
          <w:rFonts w:ascii="Arial" w:cs="Arial" w:eastAsia="Arial" w:hAnsi="Arial"/>
          <w:sz w:val="18"/>
          <w:szCs w:val="18"/>
          <w:color w:val="131E29"/>
          <w:vertAlign w:val="superscript"/>
        </w:rPr>
        <w:t>1</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Dutch Bros OpCo Class A common units held by non-controlling interest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1549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61530" cy="154940"/>
                    </a:xfrm>
                    <a:prstGeom prst="rect">
                      <a:avLst/>
                    </a:prstGeom>
                    <a:noFill/>
                  </pic:spPr>
                </pic:pic>
              </a:graphicData>
            </a:graphic>
          </wp:anchor>
        </w:drawing>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4"/>
          <w:szCs w:val="14"/>
          <w:color w:val="131E29"/>
        </w:rPr>
        <w:t>Total Dutch Bros OpCo Class A common units outstanding</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131E29"/>
        </w:rPr>
        <w:t>_________________</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131E29"/>
        </w:rPr>
        <w:t>OpCo Units</w:t>
      </w:r>
    </w:p>
    <w:p>
      <w:pPr>
        <w:spacing w:after="0" w:line="80" w:lineRule="exact"/>
        <w:rPr>
          <w:sz w:val="20"/>
          <w:szCs w:val="20"/>
          <w:color w:val="auto"/>
        </w:rPr>
      </w:pPr>
    </w:p>
    <w:p>
      <w:pPr>
        <w:jc w:val="right"/>
        <w:spacing w:after="0"/>
        <w:rPr>
          <w:sz w:val="20"/>
          <w:szCs w:val="20"/>
          <w:color w:val="auto"/>
        </w:rPr>
      </w:pPr>
      <w:r>
        <w:rPr>
          <w:rFonts w:ascii="Arial" w:cs="Arial" w:eastAsia="Arial" w:hAnsi="Arial"/>
          <w:sz w:val="14"/>
          <w:szCs w:val="14"/>
          <w:color w:val="131E29"/>
        </w:rPr>
        <w:t>57,955</w:t>
      </w:r>
    </w:p>
    <w:p>
      <w:pPr>
        <w:spacing w:after="0" w:line="51" w:lineRule="exact"/>
        <w:rPr>
          <w:sz w:val="20"/>
          <w:szCs w:val="20"/>
          <w:color w:val="auto"/>
        </w:rPr>
      </w:pPr>
    </w:p>
    <w:p>
      <w:pPr>
        <w:jc w:val="right"/>
        <w:spacing w:after="0"/>
        <w:rPr>
          <w:sz w:val="20"/>
          <w:szCs w:val="20"/>
          <w:color w:val="auto"/>
        </w:rPr>
      </w:pPr>
      <w:r>
        <w:rPr>
          <w:rFonts w:ascii="Arial" w:cs="Arial" w:eastAsia="Arial" w:hAnsi="Arial"/>
          <w:sz w:val="14"/>
          <w:szCs w:val="14"/>
          <w:color w:val="131E29"/>
        </w:rPr>
        <w:t>105,756</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4"/>
          <w:szCs w:val="14"/>
          <w:color w:val="131E29"/>
        </w:rPr>
        <w:t>163,711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39370</wp:posOffset>
            </wp:positionV>
            <wp:extent cx="1138555" cy="69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13855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131E29"/>
        </w:rPr>
        <w:t>Ownership %</w:t>
      </w:r>
    </w:p>
    <w:p>
      <w:pPr>
        <w:spacing w:after="0" w:line="80"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131E29"/>
        </w:rPr>
        <w:t>35.4 %</w:t>
      </w:r>
    </w:p>
    <w:p>
      <w:pPr>
        <w:spacing w:after="0" w:line="51"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131E29"/>
        </w:rPr>
        <w:t>64.6 %</w:t>
      </w:r>
    </w:p>
    <w:p>
      <w:pPr>
        <w:spacing w:after="0" w:line="62"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131E29"/>
        </w:rPr>
        <w:t>100.0 %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39370</wp:posOffset>
            </wp:positionV>
            <wp:extent cx="1219200" cy="69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19200" cy="6985"/>
                    </a:xfrm>
                    <a:prstGeom prst="rect">
                      <a:avLst/>
                    </a:prstGeom>
                    <a:noFill/>
                  </pic:spPr>
                </pic:pic>
              </a:graphicData>
            </a:graphic>
          </wp:anchor>
        </w:drawing>
      </w:r>
    </w:p>
    <w:p>
      <w:pPr>
        <w:spacing w:after="0" w:line="447" w:lineRule="exact"/>
        <w:rPr>
          <w:sz w:val="20"/>
          <w:szCs w:val="20"/>
          <w:color w:val="auto"/>
        </w:rPr>
      </w:pPr>
    </w:p>
    <w:p>
      <w:pPr>
        <w:sectPr>
          <w:pgSz w:w="11900" w:h="16838" w:orient="portrait"/>
          <w:cols w:equalWidth="0" w:num="3">
            <w:col w:w="7280" w:space="720"/>
            <w:col w:w="1220" w:space="660"/>
            <w:col w:w="1400"/>
          </w:cols>
          <w:pgMar w:left="300" w:top="143" w:right="319" w:bottom="1440" w:gutter="0" w:footer="0" w:header="0"/>
          <w:type w:val="continuous"/>
        </w:sectPr>
      </w:pPr>
    </w:p>
    <w:p>
      <w:pPr>
        <w:ind w:left="140" w:hanging="135"/>
        <w:spacing w:after="0" w:line="220" w:lineRule="auto"/>
        <w:tabs>
          <w:tab w:leader="none" w:pos="167" w:val="left"/>
        </w:tabs>
        <w:numPr>
          <w:ilvl w:val="0"/>
          <w:numId w:val="80"/>
        </w:numPr>
        <w:rPr>
          <w:rFonts w:ascii="Arial" w:cs="Arial" w:eastAsia="Arial" w:hAnsi="Arial"/>
          <w:sz w:val="15"/>
          <w:szCs w:val="15"/>
          <w:color w:val="131E29"/>
          <w:vertAlign w:val="superscript"/>
        </w:rPr>
      </w:pPr>
      <w:r>
        <w:rPr>
          <w:rFonts w:ascii="Arial" w:cs="Arial" w:eastAsia="Arial" w:hAnsi="Arial"/>
          <w:sz w:val="11"/>
          <w:szCs w:val="11"/>
          <w:color w:val="131E29"/>
        </w:rPr>
        <w:t>Includes approximately 2.7 million Dutch Bros OpCo Class A common units related to unvested restricted stock awards held by former Profits Interest Units holders. These Dutch Bros OpCo Class A common units are excluded from non-controlling interest calculations.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type w:val="continuous"/>
        </w:sectPr>
      </w:pPr>
    </w:p>
    <w:bookmarkStart w:id="132" w:name="page133"/>
    <w:bookmarkEnd w:id="132"/>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131E29"/>
        </w:rPr>
        <w:t>The following table summarizes the effect of changes in ownership of Dutch Bros OpCo on the Company’s equity for the periods presented: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060" w:type="dxa"/>
            <w:vAlign w:val="bottom"/>
            <w:gridSpan w:val="2"/>
          </w:tcPr>
          <w:p>
            <w:pPr>
              <w:ind w:left="20"/>
              <w:spacing w:after="0"/>
              <w:rPr>
                <w:sz w:val="20"/>
                <w:szCs w:val="20"/>
                <w:color w:val="auto"/>
              </w:rPr>
            </w:pPr>
            <w:r>
              <w:rPr>
                <w:rFonts w:ascii="Arial" w:cs="Arial" w:eastAsia="Arial" w:hAnsi="Arial"/>
                <w:sz w:val="11"/>
                <w:szCs w:val="11"/>
                <w:color w:val="131E29"/>
              </w:rPr>
              <w:t>(in thousands)</w:t>
            </w:r>
          </w:p>
        </w:tc>
        <w:tc>
          <w:tcPr>
            <w:tcW w:w="360" w:type="dxa"/>
            <w:vAlign w:val="bottom"/>
          </w:tcPr>
          <w:p>
            <w:pPr>
              <w:spacing w:after="0"/>
              <w:rPr>
                <w:sz w:val="17"/>
                <w:szCs w:val="17"/>
                <w:color w:val="auto"/>
              </w:rPr>
            </w:pPr>
          </w:p>
        </w:tc>
        <w:tc>
          <w:tcPr>
            <w:tcW w:w="2860" w:type="dxa"/>
            <w:vAlign w:val="bottom"/>
            <w:gridSpan w:val="4"/>
          </w:tcPr>
          <w:p>
            <w:pPr>
              <w:jc w:val="right"/>
              <w:ind w:right="669"/>
              <w:spacing w:after="0"/>
              <w:rPr>
                <w:sz w:val="20"/>
                <w:szCs w:val="20"/>
                <w:color w:val="auto"/>
              </w:rPr>
            </w:pPr>
            <w:r>
              <w:rPr>
                <w:rFonts w:ascii="Arial" w:cs="Arial" w:eastAsia="Arial" w:hAnsi="Arial"/>
                <w:sz w:val="14"/>
                <w:szCs w:val="14"/>
                <w:b w:val="1"/>
                <w:bCs w:val="1"/>
                <w:color w:val="131E29"/>
              </w:rPr>
              <w:t>Year Ended December 31,</w:t>
            </w:r>
          </w:p>
        </w:tc>
      </w:tr>
      <w:tr>
        <w:trPr>
          <w:trHeight w:val="191"/>
        </w:trPr>
        <w:tc>
          <w:tcPr>
            <w:tcW w:w="79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549"/>
              <w:spacing w:after="0"/>
              <w:rPr>
                <w:sz w:val="20"/>
                <w:szCs w:val="20"/>
                <w:color w:val="auto"/>
              </w:rPr>
            </w:pPr>
            <w:r>
              <w:rPr>
                <w:rFonts w:ascii="Arial" w:cs="Arial" w:eastAsia="Arial" w:hAnsi="Arial"/>
                <w:sz w:val="14"/>
                <w:szCs w:val="14"/>
                <w:b w:val="1"/>
                <w:bCs w:val="1"/>
                <w:color w:val="131E29"/>
              </w:rPr>
              <w:t>2022</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549"/>
              <w:spacing w:after="0"/>
              <w:rPr>
                <w:sz w:val="20"/>
                <w:szCs w:val="20"/>
                <w:color w:val="auto"/>
              </w:rPr>
            </w:pPr>
            <w:r>
              <w:rPr>
                <w:rFonts w:ascii="Arial" w:cs="Arial" w:eastAsia="Arial" w:hAnsi="Arial"/>
                <w:sz w:val="14"/>
                <w:szCs w:val="14"/>
                <w:b w:val="1"/>
                <w:bCs w:val="1"/>
                <w:color w:val="131E29"/>
              </w:rPr>
              <w:t>2021</w:t>
            </w:r>
          </w:p>
        </w:tc>
      </w:tr>
      <w:tr>
        <w:trPr>
          <w:trHeight w:val="22"/>
        </w:trPr>
        <w:tc>
          <w:tcPr>
            <w:tcW w:w="798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3"/>
        </w:trPr>
        <w:tc>
          <w:tcPr>
            <w:tcW w:w="80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Net loss attributable to Dutch Bros Inc.</w:t>
            </w:r>
          </w:p>
        </w:tc>
        <w:tc>
          <w:tcPr>
            <w:tcW w:w="360" w:type="dxa"/>
            <w:vAlign w:val="bottom"/>
            <w:tcBorders>
              <w:bottom w:val="single" w:sz="8" w:color="D2DCE5"/>
            </w:tcBorders>
            <w:shd w:val="clear" w:color="auto" w:fill="D2DCE5"/>
          </w:tcPr>
          <w:p>
            <w:pPr>
              <w:jc w:val="right"/>
              <w:ind w:right="189"/>
              <w:spacing w:after="0"/>
              <w:rPr>
                <w:sz w:val="20"/>
                <w:szCs w:val="20"/>
                <w:color w:val="auto"/>
              </w:rPr>
            </w:pPr>
            <w:r>
              <w:rPr>
                <w:rFonts w:ascii="Arial" w:cs="Arial" w:eastAsia="Arial" w:hAnsi="Arial"/>
                <w:sz w:val="14"/>
                <w:szCs w:val="14"/>
                <w:color w:val="131E29"/>
              </w:rPr>
              <w:t>$</w:t>
            </w:r>
          </w:p>
        </w:tc>
        <w:tc>
          <w:tcPr>
            <w:tcW w:w="12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(4,753)</w:t>
            </w:r>
          </w:p>
        </w:tc>
        <w:tc>
          <w:tcPr>
            <w:tcW w:w="100" w:type="dxa"/>
            <w:vAlign w:val="bottom"/>
            <w:tcBorders>
              <w:bottom w:val="single" w:sz="8" w:color="D2DCE5"/>
            </w:tcBorders>
            <w:shd w:val="clear" w:color="auto" w:fill="D2DCE5"/>
          </w:tcPr>
          <w:p>
            <w:pPr>
              <w:spacing w:after="0"/>
              <w:rPr>
                <w:sz w:val="15"/>
                <w:szCs w:val="15"/>
                <w:color w:val="auto"/>
              </w:rPr>
            </w:pPr>
          </w:p>
        </w:tc>
        <w:tc>
          <w:tcPr>
            <w:tcW w:w="360" w:type="dxa"/>
            <w:vAlign w:val="bottom"/>
            <w:tcBorders>
              <w:bottom w:val="single" w:sz="8" w:color="D2DCE5"/>
            </w:tcBorders>
            <w:shd w:val="clear" w:color="auto" w:fill="D2DCE5"/>
          </w:tcPr>
          <w:p>
            <w:pPr>
              <w:jc w:val="right"/>
              <w:ind w:right="209"/>
              <w:spacing w:after="0"/>
              <w:rPr>
                <w:sz w:val="20"/>
                <w:szCs w:val="20"/>
                <w:color w:val="auto"/>
              </w:rPr>
            </w:pPr>
            <w:r>
              <w:rPr>
                <w:rFonts w:ascii="Arial" w:cs="Arial" w:eastAsia="Arial" w:hAnsi="Arial"/>
                <w:sz w:val="14"/>
                <w:szCs w:val="14"/>
                <w:color w:val="131E29"/>
                <w:w w:val="76"/>
              </w:rPr>
              <w:t>$</w:t>
            </w:r>
          </w:p>
        </w:tc>
        <w:tc>
          <w:tcPr>
            <w:tcW w:w="12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(12,679)</w:t>
            </w:r>
          </w:p>
        </w:tc>
      </w:tr>
      <w:tr>
        <w:trPr>
          <w:trHeight w:val="191"/>
        </w:trPr>
        <w:tc>
          <w:tcPr>
            <w:tcW w:w="8060" w:type="dxa"/>
            <w:vAlign w:val="bottom"/>
            <w:gridSpan w:val="2"/>
          </w:tcPr>
          <w:p>
            <w:pPr>
              <w:ind w:left="20"/>
              <w:spacing w:after="0"/>
              <w:rPr>
                <w:sz w:val="20"/>
                <w:szCs w:val="20"/>
                <w:color w:val="auto"/>
              </w:rPr>
            </w:pPr>
            <w:r>
              <w:rPr>
                <w:rFonts w:ascii="Arial" w:cs="Arial" w:eastAsia="Arial" w:hAnsi="Arial"/>
                <w:sz w:val="14"/>
                <w:szCs w:val="14"/>
                <w:color w:val="131E29"/>
              </w:rPr>
              <w:t>Other comprehensive income:</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
        </w:trPr>
        <w:tc>
          <w:tcPr>
            <w:tcW w:w="7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2"/>
        </w:trPr>
        <w:tc>
          <w:tcPr>
            <w:tcW w:w="8060" w:type="dxa"/>
            <w:vAlign w:val="bottom"/>
            <w:tcBorders>
              <w:bottom w:val="single" w:sz="8" w:color="D2DCE5"/>
            </w:tcBorders>
            <w:gridSpan w:val="2"/>
            <w:shd w:val="clear" w:color="auto" w:fill="D2DCE5"/>
          </w:tcPr>
          <w:p>
            <w:pPr>
              <w:ind w:left="100"/>
              <w:spacing w:after="0"/>
              <w:rPr>
                <w:sz w:val="20"/>
                <w:szCs w:val="20"/>
                <w:color w:val="auto"/>
              </w:rPr>
            </w:pPr>
            <w:r>
              <w:rPr>
                <w:rFonts w:ascii="Arial" w:cs="Arial" w:eastAsia="Arial" w:hAnsi="Arial"/>
                <w:sz w:val="14"/>
                <w:szCs w:val="14"/>
                <w:color w:val="131E29"/>
              </w:rPr>
              <w:t>Unrealized gain on derivative securities, effective portion, net of income tax expense</w:t>
            </w:r>
          </w:p>
        </w:tc>
        <w:tc>
          <w:tcPr>
            <w:tcW w:w="360" w:type="dxa"/>
            <w:vAlign w:val="bottom"/>
            <w:tcBorders>
              <w:bottom w:val="single" w:sz="8" w:color="D2DCE5"/>
            </w:tcBorders>
            <w:shd w:val="clear" w:color="auto" w:fill="D2DCE5"/>
          </w:tcPr>
          <w:p>
            <w:pPr>
              <w:spacing w:after="0"/>
              <w:rPr>
                <w:sz w:val="16"/>
                <w:szCs w:val="16"/>
                <w:color w:val="auto"/>
              </w:rPr>
            </w:pPr>
          </w:p>
        </w:tc>
        <w:tc>
          <w:tcPr>
            <w:tcW w:w="12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813</w:t>
            </w:r>
          </w:p>
        </w:tc>
        <w:tc>
          <w:tcPr>
            <w:tcW w:w="100" w:type="dxa"/>
            <w:vAlign w:val="bottom"/>
            <w:tcBorders>
              <w:bottom w:val="single" w:sz="8" w:color="D2DCE5"/>
            </w:tcBorders>
            <w:shd w:val="clear" w:color="auto" w:fill="D2DCE5"/>
          </w:tcPr>
          <w:p>
            <w:pPr>
              <w:spacing w:after="0"/>
              <w:rPr>
                <w:sz w:val="16"/>
                <w:szCs w:val="16"/>
                <w:color w:val="auto"/>
              </w:rPr>
            </w:pPr>
          </w:p>
        </w:tc>
        <w:tc>
          <w:tcPr>
            <w:tcW w:w="360" w:type="dxa"/>
            <w:vAlign w:val="bottom"/>
            <w:tcBorders>
              <w:bottom w:val="single" w:sz="8" w:color="D2DCE5"/>
            </w:tcBorders>
            <w:shd w:val="clear" w:color="auto" w:fill="D2DCE5"/>
          </w:tcPr>
          <w:p>
            <w:pPr>
              <w:spacing w:after="0"/>
              <w:rPr>
                <w:sz w:val="16"/>
                <w:szCs w:val="16"/>
                <w:color w:val="auto"/>
              </w:rPr>
            </w:pPr>
          </w:p>
        </w:tc>
        <w:tc>
          <w:tcPr>
            <w:tcW w:w="12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r>
      <w:tr>
        <w:trPr>
          <w:trHeight w:val="191"/>
        </w:trPr>
        <w:tc>
          <w:tcPr>
            <w:tcW w:w="8060" w:type="dxa"/>
            <w:vAlign w:val="bottom"/>
            <w:gridSpan w:val="2"/>
          </w:tcPr>
          <w:p>
            <w:pPr>
              <w:ind w:left="20"/>
              <w:spacing w:after="0"/>
              <w:rPr>
                <w:sz w:val="20"/>
                <w:szCs w:val="20"/>
                <w:color w:val="auto"/>
              </w:rPr>
            </w:pPr>
            <w:r>
              <w:rPr>
                <w:rFonts w:ascii="Arial" w:cs="Arial" w:eastAsia="Arial" w:hAnsi="Arial"/>
                <w:sz w:val="14"/>
                <w:szCs w:val="14"/>
                <w:color w:val="131E29"/>
              </w:rPr>
              <w:t>Transfers from (to) non-controlling interests: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
        </w:trPr>
        <w:tc>
          <w:tcPr>
            <w:tcW w:w="7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2"/>
        </w:trPr>
        <w:tc>
          <w:tcPr>
            <w:tcW w:w="806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Decrease in additional paid-in capital as a result of the Reorganization Transactions</w:t>
            </w:r>
          </w:p>
        </w:tc>
        <w:tc>
          <w:tcPr>
            <w:tcW w:w="360" w:type="dxa"/>
            <w:vAlign w:val="bottom"/>
            <w:tcBorders>
              <w:bottom w:val="single" w:sz="8" w:color="D2DCE5"/>
            </w:tcBorders>
            <w:shd w:val="clear" w:color="auto" w:fill="D2DCE5"/>
          </w:tcPr>
          <w:p>
            <w:pPr>
              <w:spacing w:after="0"/>
              <w:rPr>
                <w:sz w:val="16"/>
                <w:szCs w:val="16"/>
                <w:color w:val="auto"/>
              </w:rPr>
            </w:pPr>
          </w:p>
        </w:tc>
        <w:tc>
          <w:tcPr>
            <w:tcW w:w="130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60" w:type="dxa"/>
            <w:vAlign w:val="bottom"/>
            <w:tcBorders>
              <w:bottom w:val="single" w:sz="8" w:color="D2DCE5"/>
            </w:tcBorders>
            <w:shd w:val="clear" w:color="auto" w:fill="D2DCE5"/>
          </w:tcPr>
          <w:p>
            <w:pPr>
              <w:spacing w:after="0"/>
              <w:rPr>
                <w:sz w:val="16"/>
                <w:szCs w:val="16"/>
                <w:color w:val="auto"/>
              </w:rPr>
            </w:pPr>
          </w:p>
        </w:tc>
        <w:tc>
          <w:tcPr>
            <w:tcW w:w="12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(195,936)</w:t>
            </w:r>
          </w:p>
        </w:tc>
      </w:tr>
      <w:tr>
        <w:trPr>
          <w:trHeight w:val="191"/>
        </w:trPr>
        <w:tc>
          <w:tcPr>
            <w:tcW w:w="8060" w:type="dxa"/>
            <w:vAlign w:val="bottom"/>
            <w:gridSpan w:val="2"/>
          </w:tcPr>
          <w:p>
            <w:pPr>
              <w:ind w:left="140"/>
              <w:spacing w:after="0"/>
              <w:rPr>
                <w:sz w:val="20"/>
                <w:szCs w:val="20"/>
                <w:color w:val="auto"/>
              </w:rPr>
            </w:pPr>
            <w:r>
              <w:rPr>
                <w:rFonts w:ascii="Arial" w:cs="Arial" w:eastAsia="Arial" w:hAnsi="Arial"/>
                <w:sz w:val="14"/>
                <w:szCs w:val="14"/>
                <w:color w:val="131E29"/>
              </w:rPr>
              <w:t>Decrease in accumulated deficit as a result of the adoption of ASC 842</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131E29"/>
              </w:rPr>
              <w:t>122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131E29"/>
              </w:rPr>
              <w:t>—</w:t>
            </w:r>
          </w:p>
        </w:tc>
      </w:tr>
      <w:tr>
        <w:trPr>
          <w:trHeight w:val="22"/>
        </w:trPr>
        <w:tc>
          <w:tcPr>
            <w:tcW w:w="7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2"/>
        </w:trPr>
        <w:tc>
          <w:tcPr>
            <w:tcW w:w="806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Increase in additional paid-in capital as a result of equity-based compensation</w:t>
            </w:r>
          </w:p>
        </w:tc>
        <w:tc>
          <w:tcPr>
            <w:tcW w:w="360" w:type="dxa"/>
            <w:vAlign w:val="bottom"/>
            <w:tcBorders>
              <w:bottom w:val="single" w:sz="8" w:color="D2DCE5"/>
            </w:tcBorders>
            <w:shd w:val="clear" w:color="auto" w:fill="D2DCE5"/>
          </w:tcPr>
          <w:p>
            <w:pPr>
              <w:spacing w:after="0"/>
              <w:rPr>
                <w:sz w:val="16"/>
                <w:szCs w:val="16"/>
                <w:color w:val="auto"/>
              </w:rPr>
            </w:pPr>
          </w:p>
        </w:tc>
        <w:tc>
          <w:tcPr>
            <w:tcW w:w="12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13,743</w:t>
            </w:r>
          </w:p>
        </w:tc>
        <w:tc>
          <w:tcPr>
            <w:tcW w:w="100" w:type="dxa"/>
            <w:vAlign w:val="bottom"/>
            <w:tcBorders>
              <w:bottom w:val="single" w:sz="8" w:color="D2DCE5"/>
            </w:tcBorders>
            <w:shd w:val="clear" w:color="auto" w:fill="D2DCE5"/>
          </w:tcPr>
          <w:p>
            <w:pPr>
              <w:spacing w:after="0"/>
              <w:rPr>
                <w:sz w:val="16"/>
                <w:szCs w:val="16"/>
                <w:color w:val="auto"/>
              </w:rPr>
            </w:pPr>
          </w:p>
        </w:tc>
        <w:tc>
          <w:tcPr>
            <w:tcW w:w="360" w:type="dxa"/>
            <w:vAlign w:val="bottom"/>
            <w:tcBorders>
              <w:bottom w:val="single" w:sz="8" w:color="D2DCE5"/>
            </w:tcBorders>
            <w:shd w:val="clear" w:color="auto" w:fill="D2DCE5"/>
          </w:tcPr>
          <w:p>
            <w:pPr>
              <w:spacing w:after="0"/>
              <w:rPr>
                <w:sz w:val="16"/>
                <w:szCs w:val="16"/>
                <w:color w:val="auto"/>
              </w:rPr>
            </w:pPr>
          </w:p>
        </w:tc>
        <w:tc>
          <w:tcPr>
            <w:tcW w:w="12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12,663</w:t>
            </w:r>
          </w:p>
        </w:tc>
      </w:tr>
      <w:tr>
        <w:trPr>
          <w:trHeight w:val="190"/>
        </w:trPr>
        <w:tc>
          <w:tcPr>
            <w:tcW w:w="8060" w:type="dxa"/>
            <w:vAlign w:val="bottom"/>
            <w:gridSpan w:val="2"/>
          </w:tcPr>
          <w:p>
            <w:pPr>
              <w:ind w:left="140"/>
              <w:spacing w:after="0"/>
              <w:rPr>
                <w:sz w:val="20"/>
                <w:szCs w:val="20"/>
                <w:color w:val="auto"/>
              </w:rPr>
            </w:pPr>
            <w:r>
              <w:rPr>
                <w:rFonts w:ascii="Arial" w:cs="Arial" w:eastAsia="Arial" w:hAnsi="Arial"/>
                <w:sz w:val="14"/>
                <w:szCs w:val="14"/>
                <w:color w:val="131E29"/>
              </w:rPr>
              <w:t>Decrease in additional paid-in capital as a result of common stock issuances pursuant to vesting of equity awards, net of</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70"/>
        </w:trPr>
        <w:tc>
          <w:tcPr>
            <w:tcW w:w="8060" w:type="dxa"/>
            <w:vAlign w:val="bottom"/>
            <w:gridSpan w:val="2"/>
          </w:tcPr>
          <w:p>
            <w:pPr>
              <w:ind w:left="140"/>
              <w:spacing w:after="0"/>
              <w:rPr>
                <w:sz w:val="20"/>
                <w:szCs w:val="20"/>
                <w:color w:val="auto"/>
              </w:rPr>
            </w:pPr>
            <w:r>
              <w:rPr>
                <w:rFonts w:ascii="Arial" w:cs="Arial" w:eastAsia="Arial" w:hAnsi="Arial"/>
                <w:sz w:val="14"/>
                <w:szCs w:val="14"/>
                <w:color w:val="131E29"/>
              </w:rPr>
              <w:t>stock withheld for tax</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131E29"/>
              </w:rPr>
              <w:t>(1,145)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131E29"/>
              </w:rPr>
              <w:t>(3,258)</w:t>
            </w:r>
          </w:p>
        </w:tc>
      </w:tr>
      <w:tr>
        <w:trPr>
          <w:trHeight w:val="22"/>
        </w:trPr>
        <w:tc>
          <w:tcPr>
            <w:tcW w:w="7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2"/>
        </w:trPr>
        <w:tc>
          <w:tcPr>
            <w:tcW w:w="806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Increase (decrease) in additional paid-in capital as a result of the acquisition of Dutch Bros OpCo Class A common units</w:t>
            </w:r>
          </w:p>
        </w:tc>
        <w:tc>
          <w:tcPr>
            <w:tcW w:w="360" w:type="dxa"/>
            <w:vAlign w:val="bottom"/>
            <w:tcBorders>
              <w:bottom w:val="single" w:sz="8" w:color="D2DCE5"/>
            </w:tcBorders>
            <w:shd w:val="clear" w:color="auto" w:fill="D2DCE5"/>
          </w:tcPr>
          <w:p>
            <w:pPr>
              <w:spacing w:after="0"/>
              <w:rPr>
                <w:sz w:val="18"/>
                <w:szCs w:val="18"/>
                <w:color w:val="auto"/>
              </w:rPr>
            </w:pPr>
          </w:p>
        </w:tc>
        <w:tc>
          <w:tcPr>
            <w:tcW w:w="12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9,410</w:t>
            </w:r>
          </w:p>
        </w:tc>
        <w:tc>
          <w:tcPr>
            <w:tcW w:w="100" w:type="dxa"/>
            <w:vAlign w:val="bottom"/>
            <w:tcBorders>
              <w:bottom w:val="single" w:sz="8" w:color="D2DCE5"/>
            </w:tcBorders>
            <w:shd w:val="clear" w:color="auto" w:fill="D2DCE5"/>
          </w:tcPr>
          <w:p>
            <w:pPr>
              <w:spacing w:after="0"/>
              <w:rPr>
                <w:sz w:val="18"/>
                <w:szCs w:val="18"/>
                <w:color w:val="auto"/>
              </w:rPr>
            </w:pPr>
          </w:p>
        </w:tc>
        <w:tc>
          <w:tcPr>
            <w:tcW w:w="360" w:type="dxa"/>
            <w:vAlign w:val="bottom"/>
            <w:tcBorders>
              <w:bottom w:val="single" w:sz="8" w:color="D2DCE5"/>
            </w:tcBorders>
            <w:shd w:val="clear" w:color="auto" w:fill="D2DCE5"/>
          </w:tcPr>
          <w:p>
            <w:pPr>
              <w:spacing w:after="0"/>
              <w:rPr>
                <w:sz w:val="18"/>
                <w:szCs w:val="18"/>
                <w:color w:val="auto"/>
              </w:rPr>
            </w:pPr>
          </w:p>
        </w:tc>
        <w:tc>
          <w:tcPr>
            <w:tcW w:w="12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(239,132)</w:t>
            </w:r>
          </w:p>
        </w:tc>
      </w:tr>
      <w:tr>
        <w:trPr>
          <w:trHeight w:val="203"/>
        </w:trPr>
        <w:tc>
          <w:tcPr>
            <w:tcW w:w="8060" w:type="dxa"/>
            <w:vAlign w:val="bottom"/>
            <w:gridSpan w:val="2"/>
          </w:tcPr>
          <w:p>
            <w:pPr>
              <w:ind w:left="20"/>
              <w:spacing w:after="0"/>
              <w:rPr>
                <w:sz w:val="20"/>
                <w:szCs w:val="20"/>
                <w:color w:val="auto"/>
              </w:rPr>
            </w:pPr>
            <w:r>
              <w:rPr>
                <w:rFonts w:ascii="Arial" w:cs="Arial" w:eastAsia="Arial" w:hAnsi="Arial"/>
                <w:sz w:val="14"/>
                <w:szCs w:val="14"/>
                <w:b w:val="1"/>
                <w:bCs w:val="1"/>
                <w:color w:val="131E29"/>
              </w:rPr>
              <w:t>Total effect of changes in ownership interest on equity attributable to Dutch Bros Inc.</w:t>
            </w:r>
          </w:p>
        </w:tc>
        <w:tc>
          <w:tcPr>
            <w:tcW w:w="36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4"/>
                <w:szCs w:val="14"/>
                <w:color w:val="131E2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rPr>
              <w:t>18,190</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4"/>
                <w:szCs w:val="14"/>
                <w:color w:val="131E29"/>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rPr>
              <w:t>(438,342)</w:t>
            </w:r>
          </w:p>
        </w:tc>
      </w:tr>
      <w:tr>
        <w:trPr>
          <w:trHeight w:val="20"/>
        </w:trPr>
        <w:tc>
          <w:tcPr>
            <w:tcW w:w="7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The weighted-average ownership percentage for the applicable reporting period is used to attribute net income (loss) to Dutch Bros Inc. and the non-controlling interest holders. The non-controlling interest holders’ weighted-average ownership percentage were as follows for the periods presented:</w:t>
      </w:r>
    </w:p>
    <w:p>
      <w:pPr>
        <w:spacing w:after="0" w:line="134"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131E29"/>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5049520</wp:posOffset>
            </wp:positionH>
            <wp:positionV relativeFrom="paragraph">
              <wp:posOffset>31115</wp:posOffset>
            </wp:positionV>
            <wp:extent cx="2115185" cy="698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115185" cy="6985"/>
                    </a:xfrm>
                    <a:prstGeom prst="rect">
                      <a:avLst/>
                    </a:prstGeom>
                    <a:noFill/>
                  </pic:spPr>
                </pic:pic>
              </a:graphicData>
            </a:graphic>
          </wp:anchor>
        </w:drawing>
      </w:r>
    </w:p>
    <w:p>
      <w:pPr>
        <w:spacing w:after="0" w:line="42" w:lineRule="exact"/>
        <w:rPr>
          <w:sz w:val="20"/>
          <w:szCs w:val="20"/>
          <w:color w:val="auto"/>
        </w:rPr>
      </w:pPr>
    </w:p>
    <w:p>
      <w:pPr>
        <w:ind w:left="8640"/>
        <w:spacing w:after="0"/>
        <w:tabs>
          <w:tab w:leader="none" w:pos="10320" w:val="left"/>
        </w:tabs>
        <w:rPr>
          <w:sz w:val="20"/>
          <w:szCs w:val="20"/>
          <w:color w:val="auto"/>
        </w:rPr>
      </w:pPr>
      <w:r>
        <w:rPr>
          <w:rFonts w:ascii="Arial" w:cs="Arial" w:eastAsia="Arial" w:hAnsi="Arial"/>
          <w:sz w:val="14"/>
          <w:szCs w:val="14"/>
          <w:b w:val="1"/>
          <w:bCs w:val="1"/>
          <w:color w:val="131E29"/>
        </w:rPr>
        <w:t>2022</w:t>
      </w:r>
      <w:r>
        <w:rPr>
          <w:sz w:val="20"/>
          <w:szCs w:val="20"/>
          <w:color w:val="auto"/>
        </w:rPr>
        <w:tab/>
      </w:r>
      <w:r>
        <w:rPr>
          <w:rFonts w:ascii="Arial" w:cs="Arial" w:eastAsia="Arial" w:hAnsi="Arial"/>
          <w:sz w:val="14"/>
          <w:szCs w:val="14"/>
          <w:b w:val="1"/>
          <w:bCs w:val="1"/>
          <w:color w:val="131E29"/>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wp:posOffset>
            </wp:positionV>
            <wp:extent cx="7161530" cy="14160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60" w:lineRule="exact"/>
        <w:rPr>
          <w:sz w:val="20"/>
          <w:szCs w:val="20"/>
          <w:color w:val="auto"/>
        </w:rPr>
      </w:pPr>
    </w:p>
    <w:p>
      <w:pPr>
        <w:ind w:left="20"/>
        <w:spacing w:after="0"/>
        <w:tabs>
          <w:tab w:leader="none" w:pos="9160" w:val="left"/>
          <w:tab w:leader="none" w:pos="10460" w:val="left"/>
        </w:tabs>
        <w:rPr>
          <w:sz w:val="20"/>
          <w:szCs w:val="20"/>
          <w:color w:val="auto"/>
        </w:rPr>
      </w:pPr>
      <w:r>
        <w:rPr>
          <w:rFonts w:ascii="Arial" w:cs="Arial" w:eastAsia="Arial" w:hAnsi="Arial"/>
          <w:sz w:val="14"/>
          <w:szCs w:val="14"/>
          <w:color w:val="131E29"/>
        </w:rPr>
        <w:t>Weighted-average ownership percentage</w:t>
      </w:r>
      <w:r>
        <w:rPr>
          <w:sz w:val="20"/>
          <w:szCs w:val="20"/>
          <w:color w:val="auto"/>
        </w:rPr>
        <w:tab/>
      </w:r>
      <w:r>
        <w:rPr>
          <w:rFonts w:ascii="Arial" w:cs="Arial" w:eastAsia="Arial" w:hAnsi="Arial"/>
          <w:sz w:val="14"/>
          <w:szCs w:val="14"/>
          <w:color w:val="131E29"/>
        </w:rPr>
        <w:t>67.8 %</w:t>
      </w:r>
      <w:r>
        <w:rPr>
          <w:sz w:val="20"/>
          <w:szCs w:val="20"/>
          <w:color w:val="auto"/>
        </w:rPr>
        <w:tab/>
      </w:r>
      <w:r>
        <w:rPr>
          <w:rFonts w:ascii="Arial" w:cs="Arial" w:eastAsia="Arial" w:hAnsi="Arial"/>
          <w:sz w:val="14"/>
          <w:szCs w:val="14"/>
          <w:color w:val="131E29"/>
        </w:rPr>
        <w:t>*</w:t>
      </w:r>
    </w:p>
    <w:p>
      <w:pPr>
        <w:spacing w:after="0" w:line="225" w:lineRule="exact"/>
        <w:rPr>
          <w:sz w:val="20"/>
          <w:szCs w:val="20"/>
          <w:color w:val="auto"/>
        </w:rPr>
      </w:pPr>
    </w:p>
    <w:p>
      <w:pPr>
        <w:spacing w:after="0"/>
        <w:rPr>
          <w:sz w:val="20"/>
          <w:szCs w:val="20"/>
          <w:color w:val="auto"/>
        </w:rPr>
      </w:pPr>
      <w:r>
        <w:rPr>
          <w:rFonts w:ascii="Arial" w:cs="Arial" w:eastAsia="Arial" w:hAnsi="Arial"/>
          <w:sz w:val="11"/>
          <w:szCs w:val="11"/>
          <w:color w:val="131E29"/>
        </w:rPr>
        <w:t>* The non-controlling interest holders’ weighted-average ownership percentage for the period from the September 14, 2021 Reorganization date to December 31, 2021 was 71.3%.</w:t>
      </w:r>
    </w:p>
    <w:p>
      <w:pPr>
        <w:spacing w:after="0" w:line="13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The Company had no non-controlling interest holders prior to its Reorganization Transactions in September 2021, and as such, no comparable prior year information for 2020 is presented.</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17 — Loss Per Share</w:t>
      </w:r>
    </w:p>
    <w:p>
      <w:pPr>
        <w:spacing w:after="0" w:line="14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Basic net loss per share of Class A and Class D common stock is computed by dividing net loss attributable to Dutch Bros Inc. by the weighted-average number of shares of Class A and Class D common stock outstanding during the period.</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Diluted net loss per share of Class A and Class D common stock is computed by dividing loss attributable to the Company, adjusted for the assumed exchange of all potentially dilutive instruments for Class A common stock, by the weighted-average number of shares of Class A and Class D common stock outstanding, adjusted to give effect to potentially dilutive elements. Share counts used in the diluted net loss per share calculations are adjusted for the deemed repurchases provided for in the treasury stock method for restricted stock awards and restricted stock units, and under the if-converted method for the outstanding convertible Class B and Class C common stock.</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133" w:name="page134"/>
    <w:bookmarkEnd w:id="133"/>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The following tables set forth the numerators and denominators used to compute basic and diluted net loss per share of Class A and Class D common stock for the periods presented. The basic and diluted net loss per share for the year ended December 31, 2021 reflects only the period from September 14, 2021 to December 31, 2021, which represents the period from the date of the Reorganization Transactions during which the Company had outstanding Class A and Class D common stock. The Company had no outstanding common stock prior to the Reorganization Transactions in September 2021, and as such, no comparable loss per share information for 2020 is presented.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740" w:type="dxa"/>
            <w:vAlign w:val="bottom"/>
            <w:gridSpan w:val="4"/>
          </w:tcPr>
          <w:p>
            <w:pPr>
              <w:spacing w:after="0"/>
              <w:rPr>
                <w:sz w:val="20"/>
                <w:szCs w:val="20"/>
                <w:color w:val="auto"/>
              </w:rPr>
            </w:pPr>
            <w:r>
              <w:rPr>
                <w:rFonts w:ascii="Arial" w:cs="Arial" w:eastAsia="Arial" w:hAnsi="Arial"/>
                <w:sz w:val="14"/>
                <w:szCs w:val="14"/>
                <w:b w:val="1"/>
                <w:bCs w:val="1"/>
                <w:color w:val="131E29"/>
                <w:w w:val="99"/>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
        </w:trPr>
        <w:tc>
          <w:tcPr>
            <w:tcW w:w="640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3"/>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131E29"/>
              </w:rPr>
              <w:t>2022</w:t>
            </w:r>
          </w:p>
        </w:tc>
        <w:tc>
          <w:tcPr>
            <w:tcW w:w="80" w:type="dxa"/>
            <w:vAlign w:val="bottom"/>
            <w:tcBorders>
              <w:bottom w:val="single" w:sz="8" w:color="D2DCE5"/>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131E29"/>
              </w:rPr>
              <w:t>2021</w:t>
            </w:r>
          </w:p>
        </w:tc>
        <w:tc>
          <w:tcPr>
            <w:tcW w:w="100" w:type="dxa"/>
            <w:vAlign w:val="bottom"/>
            <w:tcBorders>
              <w:bottom w:val="single" w:sz="8" w:color="D2DCE5"/>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131E29"/>
              </w:rPr>
              <w:t>2020</w:t>
            </w:r>
          </w:p>
        </w:tc>
      </w:tr>
      <w:tr>
        <w:trPr>
          <w:trHeight w:val="192"/>
        </w:trPr>
        <w:tc>
          <w:tcPr>
            <w:tcW w:w="64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Numerator:</w:t>
            </w:r>
          </w:p>
        </w:tc>
        <w:tc>
          <w:tcPr>
            <w:tcW w:w="360" w:type="dxa"/>
            <w:vAlign w:val="bottom"/>
            <w:tcBorders>
              <w:bottom w:val="single" w:sz="8" w:color="D2DCE5"/>
            </w:tcBorders>
            <w:shd w:val="clear" w:color="auto" w:fill="D2DCE5"/>
          </w:tcPr>
          <w:p>
            <w:pPr>
              <w:spacing w:after="0"/>
              <w:rPr>
                <w:sz w:val="16"/>
                <w:szCs w:val="16"/>
                <w:color w:val="auto"/>
              </w:rPr>
            </w:pPr>
          </w:p>
        </w:tc>
        <w:tc>
          <w:tcPr>
            <w:tcW w:w="122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360" w:type="dxa"/>
            <w:vAlign w:val="bottom"/>
            <w:tcBorders>
              <w:bottom w:val="single" w:sz="8" w:color="D2DCE5"/>
            </w:tcBorders>
            <w:shd w:val="clear" w:color="auto" w:fill="D2DCE5"/>
          </w:tcPr>
          <w:p>
            <w:pPr>
              <w:spacing w:after="0"/>
              <w:rPr>
                <w:sz w:val="16"/>
                <w:szCs w:val="16"/>
                <w:color w:val="auto"/>
              </w:rPr>
            </w:pPr>
          </w:p>
        </w:tc>
        <w:tc>
          <w:tcPr>
            <w:tcW w:w="120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360" w:type="dxa"/>
            <w:vAlign w:val="bottom"/>
            <w:tcBorders>
              <w:bottom w:val="single" w:sz="8" w:color="D2DCE5"/>
            </w:tcBorders>
            <w:shd w:val="clear" w:color="auto" w:fill="D2DCE5"/>
          </w:tcPr>
          <w:p>
            <w:pPr>
              <w:spacing w:after="0"/>
              <w:rPr>
                <w:sz w:val="16"/>
                <w:szCs w:val="16"/>
                <w:color w:val="auto"/>
              </w:rPr>
            </w:pPr>
          </w:p>
        </w:tc>
        <w:tc>
          <w:tcPr>
            <w:tcW w:w="1200" w:type="dxa"/>
            <w:vAlign w:val="bottom"/>
            <w:tcBorders>
              <w:bottom w:val="single" w:sz="8" w:color="D2DCE5"/>
            </w:tcBorders>
            <w:shd w:val="clear" w:color="auto" w:fill="D2DCE5"/>
          </w:tcPr>
          <w:p>
            <w:pPr>
              <w:spacing w:after="0"/>
              <w:rPr>
                <w:sz w:val="16"/>
                <w:szCs w:val="16"/>
                <w:color w:val="auto"/>
              </w:rPr>
            </w:pPr>
          </w:p>
        </w:tc>
      </w:tr>
      <w:tr>
        <w:trPr>
          <w:trHeight w:val="191"/>
        </w:trPr>
        <w:tc>
          <w:tcPr>
            <w:tcW w:w="6400" w:type="dxa"/>
            <w:vAlign w:val="bottom"/>
            <w:gridSpan w:val="2"/>
          </w:tcPr>
          <w:p>
            <w:pPr>
              <w:ind w:left="140"/>
              <w:spacing w:after="0"/>
              <w:rPr>
                <w:sz w:val="20"/>
                <w:szCs w:val="20"/>
                <w:color w:val="auto"/>
              </w:rPr>
            </w:pPr>
            <w:r>
              <w:rPr>
                <w:rFonts w:ascii="Arial" w:cs="Arial" w:eastAsia="Arial" w:hAnsi="Arial"/>
                <w:sz w:val="14"/>
                <w:szCs w:val="14"/>
                <w:color w:val="131E29"/>
              </w:rPr>
              <w:t>Net income (loss)</w:t>
            </w:r>
          </w:p>
        </w:tc>
        <w:tc>
          <w:tcPr>
            <w:tcW w:w="360" w:type="dxa"/>
            <w:vAlign w:val="bottom"/>
          </w:tcPr>
          <w:p>
            <w:pPr>
              <w:jc w:val="right"/>
              <w:ind w:right="189"/>
              <w:spacing w:after="0"/>
              <w:rPr>
                <w:sz w:val="20"/>
                <w:szCs w:val="20"/>
                <w:color w:val="auto"/>
              </w:rPr>
            </w:pPr>
            <w:r>
              <w:rPr>
                <w:rFonts w:ascii="Arial" w:cs="Arial" w:eastAsia="Arial" w:hAnsi="Arial"/>
                <w:sz w:val="14"/>
                <w:szCs w:val="14"/>
                <w:color w:val="131E29"/>
              </w:rPr>
              <w:t>$</w:t>
            </w:r>
          </w:p>
        </w:tc>
        <w:tc>
          <w:tcPr>
            <w:tcW w:w="1220" w:type="dxa"/>
            <w:vAlign w:val="bottom"/>
          </w:tcPr>
          <w:p>
            <w:pPr>
              <w:jc w:val="right"/>
              <w:spacing w:after="0"/>
              <w:rPr>
                <w:sz w:val="20"/>
                <w:szCs w:val="20"/>
                <w:color w:val="auto"/>
              </w:rPr>
            </w:pPr>
            <w:r>
              <w:rPr>
                <w:rFonts w:ascii="Arial" w:cs="Arial" w:eastAsia="Arial" w:hAnsi="Arial"/>
                <w:sz w:val="14"/>
                <w:szCs w:val="14"/>
                <w:color w:val="131E29"/>
              </w:rPr>
              <w:t>(19,253)</w:t>
            </w: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131E29"/>
              </w:rPr>
              <w:t>$</w:t>
            </w:r>
          </w:p>
        </w:tc>
        <w:tc>
          <w:tcPr>
            <w:tcW w:w="1200" w:type="dxa"/>
            <w:vAlign w:val="bottom"/>
          </w:tcPr>
          <w:p>
            <w:pPr>
              <w:jc w:val="right"/>
              <w:spacing w:after="0"/>
              <w:rPr>
                <w:sz w:val="20"/>
                <w:szCs w:val="20"/>
                <w:color w:val="auto"/>
              </w:rPr>
            </w:pPr>
            <w:r>
              <w:rPr>
                <w:rFonts w:ascii="Arial" w:cs="Arial" w:eastAsia="Arial" w:hAnsi="Arial"/>
                <w:sz w:val="14"/>
                <w:szCs w:val="14"/>
                <w:color w:val="131E29"/>
              </w:rPr>
              <w:t>(117,931)</w:t>
            </w:r>
          </w:p>
        </w:tc>
        <w:tc>
          <w:tcPr>
            <w:tcW w:w="10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131E29"/>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131E29"/>
              </w:rPr>
              <w:t>6,058</w:t>
            </w:r>
          </w:p>
        </w:tc>
      </w:tr>
      <w:tr>
        <w:trPr>
          <w:trHeight w:val="22"/>
        </w:trPr>
        <w:tc>
          <w:tcPr>
            <w:tcW w:w="6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2"/>
        </w:trPr>
        <w:tc>
          <w:tcPr>
            <w:tcW w:w="640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Less: net income (loss) attributable to Dutch Bros OpCo before Reorganization Transactions</w:t>
            </w:r>
          </w:p>
        </w:tc>
        <w:tc>
          <w:tcPr>
            <w:tcW w:w="360" w:type="dxa"/>
            <w:vAlign w:val="bottom"/>
            <w:tcBorders>
              <w:bottom w:val="single" w:sz="8" w:color="D2DCE5"/>
            </w:tcBorders>
            <w:shd w:val="clear" w:color="auto" w:fill="D2DCE5"/>
          </w:tcPr>
          <w:p>
            <w:pPr>
              <w:spacing w:after="0"/>
              <w:rPr>
                <w:sz w:val="16"/>
                <w:szCs w:val="16"/>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shd w:val="clear" w:color="auto" w:fill="D2DCE5"/>
          </w:tcPr>
          <w:p>
            <w:pPr>
              <w:spacing w:after="0"/>
              <w:rPr>
                <w:sz w:val="16"/>
                <w:szCs w:val="16"/>
                <w:color w:val="auto"/>
              </w:rPr>
            </w:pPr>
          </w:p>
        </w:tc>
        <w:tc>
          <w:tcPr>
            <w:tcW w:w="360" w:type="dxa"/>
            <w:vAlign w:val="bottom"/>
            <w:tcBorders>
              <w:bottom w:val="single" w:sz="8" w:color="D2DCE5"/>
            </w:tcBorders>
            <w:shd w:val="clear" w:color="auto" w:fill="D2DCE5"/>
          </w:tcPr>
          <w:p>
            <w:pPr>
              <w:spacing w:after="0"/>
              <w:rPr>
                <w:sz w:val="16"/>
                <w:szCs w:val="16"/>
                <w:color w:val="auto"/>
              </w:rPr>
            </w:pPr>
          </w:p>
        </w:tc>
        <w:tc>
          <w:tcPr>
            <w:tcW w:w="12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(67,374)</w:t>
            </w:r>
          </w:p>
        </w:tc>
        <w:tc>
          <w:tcPr>
            <w:tcW w:w="100" w:type="dxa"/>
            <w:vAlign w:val="bottom"/>
            <w:tcBorders>
              <w:bottom w:val="single" w:sz="8" w:color="D2DCE5"/>
            </w:tcBorders>
            <w:shd w:val="clear" w:color="auto" w:fill="D2DCE5"/>
          </w:tcPr>
          <w:p>
            <w:pPr>
              <w:spacing w:after="0"/>
              <w:rPr>
                <w:sz w:val="16"/>
                <w:szCs w:val="16"/>
                <w:color w:val="auto"/>
              </w:rPr>
            </w:pPr>
          </w:p>
        </w:tc>
        <w:tc>
          <w:tcPr>
            <w:tcW w:w="360" w:type="dxa"/>
            <w:vAlign w:val="bottom"/>
            <w:tcBorders>
              <w:bottom w:val="single" w:sz="8" w:color="D2DCE5"/>
            </w:tcBorders>
            <w:shd w:val="clear" w:color="auto" w:fill="D2DCE5"/>
          </w:tcPr>
          <w:p>
            <w:pPr>
              <w:spacing w:after="0"/>
              <w:rPr>
                <w:sz w:val="16"/>
                <w:szCs w:val="16"/>
                <w:color w:val="auto"/>
              </w:rPr>
            </w:pPr>
          </w:p>
        </w:tc>
        <w:tc>
          <w:tcPr>
            <w:tcW w:w="12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6,058</w:t>
            </w:r>
          </w:p>
        </w:tc>
      </w:tr>
      <w:tr>
        <w:trPr>
          <w:trHeight w:val="191"/>
        </w:trPr>
        <w:tc>
          <w:tcPr>
            <w:tcW w:w="6400" w:type="dxa"/>
            <w:vAlign w:val="bottom"/>
            <w:gridSpan w:val="2"/>
          </w:tcPr>
          <w:p>
            <w:pPr>
              <w:ind w:left="140"/>
              <w:spacing w:after="0"/>
              <w:rPr>
                <w:sz w:val="20"/>
                <w:szCs w:val="20"/>
                <w:color w:val="auto"/>
              </w:rPr>
            </w:pPr>
            <w:r>
              <w:rPr>
                <w:rFonts w:ascii="Arial" w:cs="Arial" w:eastAsia="Arial" w:hAnsi="Arial"/>
                <w:sz w:val="14"/>
                <w:szCs w:val="14"/>
                <w:color w:val="131E29"/>
              </w:rPr>
              <w:t>Less: net loss attributable to non-controlling interests</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131E29"/>
              </w:rPr>
              <w:t>(14,500)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131E29"/>
              </w:rPr>
              <w:t>(37,878)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131E29"/>
              </w:rPr>
              <w:t>—</w:t>
            </w:r>
          </w:p>
        </w:tc>
      </w:tr>
      <w:tr>
        <w:trPr>
          <w:trHeight w:val="22"/>
        </w:trPr>
        <w:tc>
          <w:tcPr>
            <w:tcW w:w="632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64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Net loss attributable to Dutch Bros Inc.</w:t>
            </w:r>
          </w:p>
        </w:tc>
        <w:tc>
          <w:tcPr>
            <w:tcW w:w="360" w:type="dxa"/>
            <w:vAlign w:val="bottom"/>
            <w:shd w:val="clear" w:color="auto" w:fill="D2DCE5"/>
          </w:tcPr>
          <w:p>
            <w:pPr>
              <w:jc w:val="right"/>
              <w:ind w:right="189"/>
              <w:spacing w:after="0"/>
              <w:rPr>
                <w:sz w:val="20"/>
                <w:szCs w:val="20"/>
                <w:color w:val="auto"/>
              </w:rPr>
            </w:pPr>
            <w:r>
              <w:rPr>
                <w:rFonts w:ascii="Arial" w:cs="Arial" w:eastAsia="Arial" w:hAnsi="Arial"/>
                <w:sz w:val="14"/>
                <w:szCs w:val="14"/>
                <w:color w:val="131E29"/>
              </w:rPr>
              <w:t>$</w:t>
            </w:r>
          </w:p>
        </w:tc>
        <w:tc>
          <w:tcPr>
            <w:tcW w:w="12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(4,753)</w:t>
            </w:r>
          </w:p>
        </w:tc>
        <w:tc>
          <w:tcPr>
            <w:tcW w:w="440" w:type="dxa"/>
            <w:vAlign w:val="bottom"/>
            <w:gridSpan w:val="2"/>
            <w:shd w:val="clear" w:color="auto" w:fill="D2DCE5"/>
          </w:tcPr>
          <w:p>
            <w:pPr>
              <w:jc w:val="right"/>
              <w:ind w:right="260"/>
              <w:spacing w:after="0"/>
              <w:rPr>
                <w:sz w:val="20"/>
                <w:szCs w:val="20"/>
                <w:color w:val="auto"/>
              </w:rPr>
            </w:pPr>
            <w:r>
              <w:rPr>
                <w:rFonts w:ascii="Arial" w:cs="Arial" w:eastAsia="Arial" w:hAnsi="Arial"/>
                <w:sz w:val="14"/>
                <w:szCs w:val="14"/>
                <w:color w:val="131E29"/>
              </w:rPr>
              <w:t>$</w:t>
            </w: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(12,679)</w:t>
            </w:r>
          </w:p>
        </w:tc>
        <w:tc>
          <w:tcPr>
            <w:tcW w:w="100" w:type="dxa"/>
            <w:vAlign w:val="bottom"/>
            <w:shd w:val="clear" w:color="auto" w:fill="D2DCE5"/>
          </w:tcPr>
          <w:p>
            <w:pPr>
              <w:spacing w:after="0"/>
              <w:rPr>
                <w:sz w:val="19"/>
                <w:szCs w:val="19"/>
                <w:color w:val="auto"/>
              </w:rPr>
            </w:pPr>
          </w:p>
        </w:tc>
        <w:tc>
          <w:tcPr>
            <w:tcW w:w="360" w:type="dxa"/>
            <w:vAlign w:val="bottom"/>
            <w:shd w:val="clear" w:color="auto" w:fill="D2DCE5"/>
          </w:tcPr>
          <w:p>
            <w:pPr>
              <w:jc w:val="right"/>
              <w:ind w:right="209"/>
              <w:spacing w:after="0"/>
              <w:rPr>
                <w:sz w:val="20"/>
                <w:szCs w:val="20"/>
                <w:color w:val="auto"/>
              </w:rPr>
            </w:pPr>
            <w:r>
              <w:rPr>
                <w:rFonts w:ascii="Arial" w:cs="Arial" w:eastAsia="Arial" w:hAnsi="Arial"/>
                <w:sz w:val="14"/>
                <w:szCs w:val="14"/>
                <w:color w:val="131E29"/>
                <w:w w:val="76"/>
              </w:rPr>
              <w:t>$</w:t>
            </w: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r>
      <w:tr>
        <w:trPr>
          <w:trHeight w:val="20"/>
        </w:trPr>
        <w:tc>
          <w:tcPr>
            <w:tcW w:w="632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131E29"/>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5116830</wp:posOffset>
            </wp:positionH>
            <wp:positionV relativeFrom="paragraph">
              <wp:posOffset>31115</wp:posOffset>
            </wp:positionV>
            <wp:extent cx="2047875" cy="698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047875" cy="698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except per share amounts)</w:t>
            </w:r>
          </w:p>
        </w:tc>
        <w:tc>
          <w:tcPr>
            <w:tcW w:w="8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131E29"/>
              </w:rPr>
              <w:t>2022</w:t>
            </w:r>
          </w:p>
        </w:tc>
        <w:tc>
          <w:tcPr>
            <w:tcW w:w="100" w:type="dxa"/>
            <w:vAlign w:val="bottom"/>
            <w:tcBorders>
              <w:bottom w:val="single" w:sz="8" w:color="D2DCE5"/>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131E29"/>
              </w:rPr>
              <w:t>2021</w:t>
            </w:r>
          </w:p>
        </w:tc>
      </w:tr>
      <w:tr>
        <w:trPr>
          <w:trHeight w:val="191"/>
        </w:trPr>
        <w:tc>
          <w:tcPr>
            <w:tcW w:w="8060" w:type="dxa"/>
            <w:vAlign w:val="bottom"/>
            <w:gridSpan w:val="2"/>
            <w:shd w:val="clear" w:color="auto" w:fill="D2DCE5"/>
          </w:tcPr>
          <w:p>
            <w:pPr>
              <w:ind w:left="20"/>
              <w:spacing w:after="0"/>
              <w:rPr>
                <w:sz w:val="20"/>
                <w:szCs w:val="20"/>
                <w:color w:val="auto"/>
              </w:rPr>
            </w:pPr>
            <w:r>
              <w:rPr>
                <w:rFonts w:ascii="Arial" w:cs="Arial" w:eastAsia="Arial" w:hAnsi="Arial"/>
                <w:sz w:val="13"/>
                <w:szCs w:val="13"/>
                <w:b w:val="1"/>
                <w:bCs w:val="1"/>
                <w:color w:val="131E29"/>
              </w:rPr>
              <w:t>Basic and diluted net loss per share attributable to common stockholders</w:t>
            </w:r>
          </w:p>
        </w:tc>
        <w:tc>
          <w:tcPr>
            <w:tcW w:w="360" w:type="dxa"/>
            <w:vAlign w:val="bottom"/>
            <w:shd w:val="clear" w:color="auto" w:fill="D2DCE5"/>
          </w:tcPr>
          <w:p>
            <w:pPr>
              <w:spacing w:after="0"/>
              <w:rPr>
                <w:sz w:val="16"/>
                <w:szCs w:val="16"/>
                <w:color w:val="auto"/>
              </w:rPr>
            </w:pPr>
          </w:p>
        </w:tc>
        <w:tc>
          <w:tcPr>
            <w:tcW w:w="120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340" w:type="dxa"/>
            <w:vAlign w:val="bottom"/>
            <w:shd w:val="clear" w:color="auto" w:fill="D2DCE5"/>
          </w:tcPr>
          <w:p>
            <w:pPr>
              <w:spacing w:after="0"/>
              <w:rPr>
                <w:sz w:val="16"/>
                <w:szCs w:val="16"/>
                <w:color w:val="auto"/>
              </w:rPr>
            </w:pPr>
          </w:p>
        </w:tc>
        <w:tc>
          <w:tcPr>
            <w:tcW w:w="1220" w:type="dxa"/>
            <w:vAlign w:val="bottom"/>
            <w:shd w:val="clear" w:color="auto" w:fill="D2DCE5"/>
          </w:tcPr>
          <w:p>
            <w:pPr>
              <w:spacing w:after="0"/>
              <w:rPr>
                <w:sz w:val="16"/>
                <w:szCs w:val="16"/>
                <w:color w:val="auto"/>
              </w:rPr>
            </w:pPr>
          </w:p>
        </w:tc>
      </w:tr>
      <w:tr>
        <w:trPr>
          <w:trHeight w:val="183"/>
        </w:trPr>
        <w:tc>
          <w:tcPr>
            <w:tcW w:w="8060" w:type="dxa"/>
            <w:vAlign w:val="bottom"/>
            <w:gridSpan w:val="2"/>
          </w:tcPr>
          <w:p>
            <w:pPr>
              <w:ind w:left="100"/>
              <w:spacing w:after="0"/>
              <w:rPr>
                <w:sz w:val="20"/>
                <w:szCs w:val="20"/>
                <w:color w:val="auto"/>
              </w:rPr>
            </w:pPr>
            <w:r>
              <w:rPr>
                <w:rFonts w:ascii="Arial" w:cs="Arial" w:eastAsia="Arial" w:hAnsi="Arial"/>
                <w:sz w:val="13"/>
                <w:szCs w:val="13"/>
                <w:b w:val="1"/>
                <w:bCs w:val="1"/>
                <w:color w:val="131E29"/>
              </w:rPr>
              <w:t>Numerator:</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99"/>
        </w:trPr>
        <w:tc>
          <w:tcPr>
            <w:tcW w:w="8060" w:type="dxa"/>
            <w:vAlign w:val="bottom"/>
            <w:gridSpan w:val="2"/>
            <w:shd w:val="clear" w:color="auto" w:fill="D2DCE5"/>
          </w:tcPr>
          <w:p>
            <w:pPr>
              <w:ind w:left="240"/>
              <w:spacing w:after="0"/>
              <w:rPr>
                <w:sz w:val="20"/>
                <w:szCs w:val="20"/>
                <w:color w:val="auto"/>
              </w:rPr>
            </w:pPr>
            <w:r>
              <w:rPr>
                <w:rFonts w:ascii="Arial" w:cs="Arial" w:eastAsia="Arial" w:hAnsi="Arial"/>
                <w:sz w:val="13"/>
                <w:szCs w:val="13"/>
                <w:color w:val="131E29"/>
              </w:rPr>
              <w:t>Net loss attributable to Dutch Bros Inc.</w:t>
            </w:r>
          </w:p>
        </w:tc>
        <w:tc>
          <w:tcPr>
            <w:tcW w:w="360" w:type="dxa"/>
            <w:vAlign w:val="bottom"/>
            <w:shd w:val="clear" w:color="auto" w:fill="D2DCE5"/>
          </w:tcPr>
          <w:p>
            <w:pPr>
              <w:jc w:val="right"/>
              <w:ind w:right="216"/>
              <w:spacing w:after="0"/>
              <w:rPr>
                <w:sz w:val="20"/>
                <w:szCs w:val="20"/>
                <w:color w:val="auto"/>
              </w:rPr>
            </w:pPr>
            <w:r>
              <w:rPr>
                <w:rFonts w:ascii="Arial" w:cs="Arial" w:eastAsia="Arial" w:hAnsi="Arial"/>
                <w:sz w:val="13"/>
                <w:szCs w:val="13"/>
                <w:color w:val="131E29"/>
                <w:w w:val="82"/>
              </w:rPr>
              <w:t>$</w:t>
            </w:r>
          </w:p>
        </w:tc>
        <w:tc>
          <w:tcPr>
            <w:tcW w:w="120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(4,753)</w:t>
            </w:r>
          </w:p>
        </w:tc>
        <w:tc>
          <w:tcPr>
            <w:tcW w:w="100" w:type="dxa"/>
            <w:vAlign w:val="bottom"/>
            <w:shd w:val="clear" w:color="auto" w:fill="D2DCE5"/>
          </w:tcPr>
          <w:p>
            <w:pPr>
              <w:spacing w:after="0"/>
              <w:rPr>
                <w:sz w:val="17"/>
                <w:szCs w:val="17"/>
                <w:color w:val="auto"/>
              </w:rPr>
            </w:pPr>
          </w:p>
        </w:tc>
        <w:tc>
          <w:tcPr>
            <w:tcW w:w="340" w:type="dxa"/>
            <w:vAlign w:val="bottom"/>
            <w:shd w:val="clear" w:color="auto" w:fill="D2DCE5"/>
          </w:tcPr>
          <w:p>
            <w:pPr>
              <w:jc w:val="right"/>
              <w:ind w:right="196"/>
              <w:spacing w:after="0"/>
              <w:rPr>
                <w:sz w:val="20"/>
                <w:szCs w:val="20"/>
                <w:color w:val="auto"/>
              </w:rPr>
            </w:pPr>
            <w:r>
              <w:rPr>
                <w:rFonts w:ascii="Arial" w:cs="Arial" w:eastAsia="Arial" w:hAnsi="Arial"/>
                <w:sz w:val="13"/>
                <w:szCs w:val="13"/>
                <w:color w:val="131E29"/>
                <w:w w:val="82"/>
              </w:rPr>
              <w:t>$</w:t>
            </w:r>
          </w:p>
        </w:tc>
        <w:tc>
          <w:tcPr>
            <w:tcW w:w="122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(12,679)</w:t>
            </w:r>
          </w:p>
        </w:tc>
      </w:tr>
      <w:tr>
        <w:trPr>
          <w:trHeight w:val="183"/>
        </w:trPr>
        <w:tc>
          <w:tcPr>
            <w:tcW w:w="8060" w:type="dxa"/>
            <w:vAlign w:val="bottom"/>
            <w:gridSpan w:val="2"/>
          </w:tcPr>
          <w:p>
            <w:pPr>
              <w:ind w:left="100"/>
              <w:spacing w:after="0"/>
              <w:rPr>
                <w:sz w:val="20"/>
                <w:szCs w:val="20"/>
                <w:color w:val="auto"/>
              </w:rPr>
            </w:pPr>
            <w:r>
              <w:rPr>
                <w:rFonts w:ascii="Arial" w:cs="Arial" w:eastAsia="Arial" w:hAnsi="Arial"/>
                <w:sz w:val="13"/>
                <w:szCs w:val="13"/>
                <w:b w:val="1"/>
                <w:bCs w:val="1"/>
                <w:color w:val="131E29"/>
              </w:rPr>
              <w:t>Denominator:</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99"/>
        </w:trPr>
        <w:tc>
          <w:tcPr>
            <w:tcW w:w="8060" w:type="dxa"/>
            <w:vAlign w:val="bottom"/>
            <w:gridSpan w:val="2"/>
            <w:shd w:val="clear" w:color="auto" w:fill="D2DCE5"/>
          </w:tcPr>
          <w:p>
            <w:pPr>
              <w:ind w:left="240"/>
              <w:spacing w:after="0"/>
              <w:rPr>
                <w:sz w:val="20"/>
                <w:szCs w:val="20"/>
                <w:color w:val="auto"/>
              </w:rPr>
            </w:pPr>
            <w:r>
              <w:rPr>
                <w:rFonts w:ascii="Arial" w:cs="Arial" w:eastAsia="Arial" w:hAnsi="Arial"/>
                <w:sz w:val="13"/>
                <w:szCs w:val="13"/>
                <w:color w:val="131E29"/>
              </w:rPr>
              <w:t>Weighted-average number of shares of Class A and Class D common stock outstanding - basic</w:t>
            </w:r>
          </w:p>
        </w:tc>
        <w:tc>
          <w:tcPr>
            <w:tcW w:w="360" w:type="dxa"/>
            <w:vAlign w:val="bottom"/>
            <w:shd w:val="clear" w:color="auto" w:fill="D2DCE5"/>
          </w:tcPr>
          <w:p>
            <w:pPr>
              <w:spacing w:after="0"/>
              <w:rPr>
                <w:sz w:val="17"/>
                <w:szCs w:val="17"/>
                <w:color w:val="auto"/>
              </w:rPr>
            </w:pPr>
          </w:p>
        </w:tc>
        <w:tc>
          <w:tcPr>
            <w:tcW w:w="120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51,871</w:t>
            </w:r>
          </w:p>
        </w:tc>
        <w:tc>
          <w:tcPr>
            <w:tcW w:w="100" w:type="dxa"/>
            <w:vAlign w:val="bottom"/>
            <w:shd w:val="clear" w:color="auto" w:fill="D2DCE5"/>
          </w:tcPr>
          <w:p>
            <w:pPr>
              <w:spacing w:after="0"/>
              <w:rPr>
                <w:sz w:val="17"/>
                <w:szCs w:val="17"/>
                <w:color w:val="auto"/>
              </w:rPr>
            </w:pPr>
          </w:p>
        </w:tc>
        <w:tc>
          <w:tcPr>
            <w:tcW w:w="340" w:type="dxa"/>
            <w:vAlign w:val="bottom"/>
            <w:shd w:val="clear" w:color="auto" w:fill="D2DCE5"/>
          </w:tcPr>
          <w:p>
            <w:pPr>
              <w:spacing w:after="0"/>
              <w:rPr>
                <w:sz w:val="17"/>
                <w:szCs w:val="17"/>
                <w:color w:val="auto"/>
              </w:rPr>
            </w:pPr>
          </w:p>
        </w:tc>
        <w:tc>
          <w:tcPr>
            <w:tcW w:w="122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45,864</w:t>
            </w:r>
          </w:p>
        </w:tc>
      </w:tr>
      <w:tr>
        <w:trPr>
          <w:trHeight w:val="183"/>
        </w:trPr>
        <w:tc>
          <w:tcPr>
            <w:tcW w:w="8060" w:type="dxa"/>
            <w:vAlign w:val="bottom"/>
            <w:gridSpan w:val="2"/>
          </w:tcPr>
          <w:p>
            <w:pPr>
              <w:ind w:left="360"/>
              <w:spacing w:after="0"/>
              <w:rPr>
                <w:sz w:val="20"/>
                <w:szCs w:val="20"/>
                <w:color w:val="auto"/>
              </w:rPr>
            </w:pPr>
            <w:r>
              <w:rPr>
                <w:rFonts w:ascii="Arial" w:cs="Arial" w:eastAsia="Arial" w:hAnsi="Arial"/>
                <w:sz w:val="13"/>
                <w:szCs w:val="13"/>
                <w:color w:val="131E29"/>
              </w:rPr>
              <w:t>Dilutive effect of restricted stock awards</w:t>
            </w:r>
          </w:p>
        </w:tc>
        <w:tc>
          <w:tcPr>
            <w:tcW w:w="36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131E29"/>
              </w:rPr>
              <w:t>—</w:t>
            </w: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131E29"/>
              </w:rPr>
              <w:t>—</w:t>
            </w:r>
          </w:p>
        </w:tc>
      </w:tr>
      <w:tr>
        <w:trPr>
          <w:trHeight w:val="191"/>
        </w:trPr>
        <w:tc>
          <w:tcPr>
            <w:tcW w:w="8060" w:type="dxa"/>
            <w:vAlign w:val="bottom"/>
            <w:gridSpan w:val="2"/>
            <w:shd w:val="clear" w:color="auto" w:fill="D2DCE5"/>
          </w:tcPr>
          <w:p>
            <w:pPr>
              <w:ind w:left="360"/>
              <w:spacing w:after="0"/>
              <w:rPr>
                <w:sz w:val="20"/>
                <w:szCs w:val="20"/>
                <w:color w:val="auto"/>
              </w:rPr>
            </w:pPr>
            <w:r>
              <w:rPr>
                <w:rFonts w:ascii="Arial" w:cs="Arial" w:eastAsia="Arial" w:hAnsi="Arial"/>
                <w:sz w:val="13"/>
                <w:szCs w:val="13"/>
                <w:color w:val="131E29"/>
              </w:rPr>
              <w:t>Dilutive effect of restricted stock units</w:t>
            </w:r>
          </w:p>
        </w:tc>
        <w:tc>
          <w:tcPr>
            <w:tcW w:w="360" w:type="dxa"/>
            <w:vAlign w:val="bottom"/>
            <w:shd w:val="clear" w:color="auto" w:fill="D2DCE5"/>
          </w:tcPr>
          <w:p>
            <w:pPr>
              <w:spacing w:after="0"/>
              <w:rPr>
                <w:sz w:val="16"/>
                <w:szCs w:val="16"/>
                <w:color w:val="auto"/>
              </w:rPr>
            </w:pPr>
          </w:p>
        </w:tc>
        <w:tc>
          <w:tcPr>
            <w:tcW w:w="1300" w:type="dxa"/>
            <w:vAlign w:val="bottom"/>
            <w:gridSpan w:val="2"/>
            <w:shd w:val="clear" w:color="auto" w:fill="D2DCE5"/>
          </w:tcPr>
          <w:p>
            <w:pPr>
              <w:jc w:val="right"/>
              <w:ind w:right="140"/>
              <w:spacing w:after="0"/>
              <w:rPr>
                <w:sz w:val="20"/>
                <w:szCs w:val="20"/>
                <w:color w:val="auto"/>
              </w:rPr>
            </w:pPr>
            <w:r>
              <w:rPr>
                <w:rFonts w:ascii="Arial" w:cs="Arial" w:eastAsia="Arial" w:hAnsi="Arial"/>
                <w:sz w:val="13"/>
                <w:szCs w:val="13"/>
                <w:color w:val="131E29"/>
              </w:rPr>
              <w:t>—</w:t>
            </w:r>
          </w:p>
        </w:tc>
        <w:tc>
          <w:tcPr>
            <w:tcW w:w="340" w:type="dxa"/>
            <w:vAlign w:val="bottom"/>
            <w:shd w:val="clear" w:color="auto" w:fill="D2DCE5"/>
          </w:tcPr>
          <w:p>
            <w:pPr>
              <w:spacing w:after="0"/>
              <w:rPr>
                <w:sz w:val="16"/>
                <w:szCs w:val="16"/>
                <w:color w:val="auto"/>
              </w:rPr>
            </w:pPr>
          </w:p>
        </w:tc>
        <w:tc>
          <w:tcPr>
            <w:tcW w:w="122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w:t>
            </w:r>
          </w:p>
        </w:tc>
      </w:tr>
      <w:tr>
        <w:trPr>
          <w:trHeight w:val="189"/>
        </w:trPr>
        <w:tc>
          <w:tcPr>
            <w:tcW w:w="8060" w:type="dxa"/>
            <w:vAlign w:val="bottom"/>
            <w:gridSpan w:val="2"/>
          </w:tcPr>
          <w:p>
            <w:pPr>
              <w:ind w:left="240"/>
              <w:spacing w:after="0"/>
              <w:rPr>
                <w:sz w:val="20"/>
                <w:szCs w:val="20"/>
                <w:color w:val="auto"/>
              </w:rPr>
            </w:pPr>
            <w:r>
              <w:rPr>
                <w:rFonts w:ascii="Arial" w:cs="Arial" w:eastAsia="Arial" w:hAnsi="Arial"/>
                <w:sz w:val="13"/>
                <w:szCs w:val="13"/>
                <w:color w:val="131E29"/>
              </w:rPr>
              <w:t>Weighted-average number of shares of Class A and Class D common stock outstanding - diluted</w:t>
            </w: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131E29"/>
              </w:rPr>
              <w:t>51,871</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131E29"/>
              </w:rPr>
              <w:t>45,864</w:t>
            </w:r>
          </w:p>
        </w:tc>
      </w:tr>
      <w:tr>
        <w:trPr>
          <w:trHeight w:val="20"/>
        </w:trPr>
        <w:tc>
          <w:tcPr>
            <w:tcW w:w="798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78"/>
        </w:trPr>
        <w:tc>
          <w:tcPr>
            <w:tcW w:w="7980" w:type="dxa"/>
            <w:vAlign w:val="bottom"/>
            <w:shd w:val="clear" w:color="auto" w:fill="D2DCE5"/>
          </w:tcPr>
          <w:p>
            <w:pPr>
              <w:spacing w:after="0"/>
              <w:rPr>
                <w:sz w:val="6"/>
                <w:szCs w:val="6"/>
                <w:color w:val="auto"/>
              </w:rPr>
            </w:pPr>
          </w:p>
        </w:tc>
        <w:tc>
          <w:tcPr>
            <w:tcW w:w="80" w:type="dxa"/>
            <w:vAlign w:val="bottom"/>
            <w:shd w:val="clear" w:color="auto" w:fill="D2DCE5"/>
          </w:tcPr>
          <w:p>
            <w:pPr>
              <w:spacing w:after="0"/>
              <w:rPr>
                <w:sz w:val="6"/>
                <w:szCs w:val="6"/>
                <w:color w:val="auto"/>
              </w:rPr>
            </w:pPr>
          </w:p>
        </w:tc>
        <w:tc>
          <w:tcPr>
            <w:tcW w:w="360" w:type="dxa"/>
            <w:vAlign w:val="bottom"/>
            <w:shd w:val="clear" w:color="auto" w:fill="D2DCE5"/>
          </w:tcPr>
          <w:p>
            <w:pPr>
              <w:spacing w:after="0"/>
              <w:rPr>
                <w:sz w:val="6"/>
                <w:szCs w:val="6"/>
                <w:color w:val="auto"/>
              </w:rPr>
            </w:pPr>
          </w:p>
        </w:tc>
        <w:tc>
          <w:tcPr>
            <w:tcW w:w="1200" w:type="dxa"/>
            <w:vAlign w:val="bottom"/>
            <w:shd w:val="clear" w:color="auto" w:fill="D2DCE5"/>
          </w:tcPr>
          <w:p>
            <w:pPr>
              <w:spacing w:after="0"/>
              <w:rPr>
                <w:sz w:val="6"/>
                <w:szCs w:val="6"/>
                <w:color w:val="auto"/>
              </w:rPr>
            </w:pPr>
          </w:p>
        </w:tc>
        <w:tc>
          <w:tcPr>
            <w:tcW w:w="100" w:type="dxa"/>
            <w:vAlign w:val="bottom"/>
            <w:shd w:val="clear" w:color="auto" w:fill="D2DCE5"/>
          </w:tcPr>
          <w:p>
            <w:pPr>
              <w:spacing w:after="0"/>
              <w:rPr>
                <w:sz w:val="6"/>
                <w:szCs w:val="6"/>
                <w:color w:val="auto"/>
              </w:rPr>
            </w:pPr>
          </w:p>
        </w:tc>
        <w:tc>
          <w:tcPr>
            <w:tcW w:w="340" w:type="dxa"/>
            <w:vAlign w:val="bottom"/>
            <w:shd w:val="clear" w:color="auto" w:fill="D2DCE5"/>
          </w:tcPr>
          <w:p>
            <w:pPr>
              <w:spacing w:after="0"/>
              <w:rPr>
                <w:sz w:val="6"/>
                <w:szCs w:val="6"/>
                <w:color w:val="auto"/>
              </w:rPr>
            </w:pPr>
          </w:p>
        </w:tc>
        <w:tc>
          <w:tcPr>
            <w:tcW w:w="1220" w:type="dxa"/>
            <w:vAlign w:val="bottom"/>
            <w:shd w:val="clear" w:color="auto" w:fill="D2DCE5"/>
          </w:tcPr>
          <w:p>
            <w:pPr>
              <w:spacing w:after="0"/>
              <w:rPr>
                <w:sz w:val="6"/>
                <w:szCs w:val="6"/>
                <w:color w:val="auto"/>
              </w:rPr>
            </w:pPr>
          </w:p>
        </w:tc>
      </w:tr>
      <w:tr>
        <w:trPr>
          <w:trHeight w:val="183"/>
        </w:trPr>
        <w:tc>
          <w:tcPr>
            <w:tcW w:w="8060" w:type="dxa"/>
            <w:vAlign w:val="bottom"/>
            <w:gridSpan w:val="2"/>
          </w:tcPr>
          <w:p>
            <w:pPr>
              <w:ind w:left="20"/>
              <w:spacing w:after="0"/>
              <w:rPr>
                <w:sz w:val="20"/>
                <w:szCs w:val="20"/>
                <w:color w:val="auto"/>
              </w:rPr>
            </w:pPr>
            <w:r>
              <w:rPr>
                <w:rFonts w:ascii="Arial" w:cs="Arial" w:eastAsia="Arial" w:hAnsi="Arial"/>
                <w:sz w:val="13"/>
                <w:szCs w:val="13"/>
                <w:color w:val="131E29"/>
              </w:rPr>
              <w:t>Basic net loss per share attributable to common stockholders</w:t>
            </w:r>
          </w:p>
        </w:tc>
        <w:tc>
          <w:tcPr>
            <w:tcW w:w="360" w:type="dxa"/>
            <w:vAlign w:val="bottom"/>
          </w:tcPr>
          <w:p>
            <w:pPr>
              <w:jc w:val="right"/>
              <w:ind w:right="216"/>
              <w:spacing w:after="0"/>
              <w:rPr>
                <w:sz w:val="20"/>
                <w:szCs w:val="20"/>
                <w:color w:val="auto"/>
              </w:rPr>
            </w:pPr>
            <w:r>
              <w:rPr>
                <w:rFonts w:ascii="Arial" w:cs="Arial" w:eastAsia="Arial" w:hAnsi="Arial"/>
                <w:sz w:val="13"/>
                <w:szCs w:val="13"/>
                <w:color w:val="131E29"/>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131E29"/>
              </w:rPr>
              <w:t>(0.09)</w:t>
            </w:r>
          </w:p>
        </w:tc>
        <w:tc>
          <w:tcPr>
            <w:tcW w:w="100" w:type="dxa"/>
            <w:vAlign w:val="bottom"/>
          </w:tcPr>
          <w:p>
            <w:pPr>
              <w:spacing w:after="0"/>
              <w:rPr>
                <w:sz w:val="15"/>
                <w:szCs w:val="15"/>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131E29"/>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131E29"/>
              </w:rPr>
              <w:t>(0.28)</w:t>
            </w:r>
          </w:p>
        </w:tc>
      </w:tr>
      <w:tr>
        <w:trPr>
          <w:trHeight w:val="199"/>
        </w:trPr>
        <w:tc>
          <w:tcPr>
            <w:tcW w:w="806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Diluted net loss per share attributable to common stockholders</w:t>
            </w:r>
          </w:p>
        </w:tc>
        <w:tc>
          <w:tcPr>
            <w:tcW w:w="360" w:type="dxa"/>
            <w:vAlign w:val="bottom"/>
            <w:shd w:val="clear" w:color="auto" w:fill="D2DCE5"/>
          </w:tcPr>
          <w:p>
            <w:pPr>
              <w:jc w:val="right"/>
              <w:ind w:right="216"/>
              <w:spacing w:after="0"/>
              <w:rPr>
                <w:sz w:val="20"/>
                <w:szCs w:val="20"/>
                <w:color w:val="auto"/>
              </w:rPr>
            </w:pPr>
            <w:r>
              <w:rPr>
                <w:rFonts w:ascii="Arial" w:cs="Arial" w:eastAsia="Arial" w:hAnsi="Arial"/>
                <w:sz w:val="13"/>
                <w:szCs w:val="13"/>
                <w:color w:val="131E29"/>
                <w:w w:val="82"/>
              </w:rPr>
              <w:t>$</w:t>
            </w:r>
          </w:p>
        </w:tc>
        <w:tc>
          <w:tcPr>
            <w:tcW w:w="120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(0.09)</w:t>
            </w:r>
          </w:p>
        </w:tc>
        <w:tc>
          <w:tcPr>
            <w:tcW w:w="100" w:type="dxa"/>
            <w:vAlign w:val="bottom"/>
            <w:shd w:val="clear" w:color="auto" w:fill="D2DCE5"/>
          </w:tcPr>
          <w:p>
            <w:pPr>
              <w:spacing w:after="0"/>
              <w:rPr>
                <w:sz w:val="17"/>
                <w:szCs w:val="17"/>
                <w:color w:val="auto"/>
              </w:rPr>
            </w:pPr>
          </w:p>
        </w:tc>
        <w:tc>
          <w:tcPr>
            <w:tcW w:w="340" w:type="dxa"/>
            <w:vAlign w:val="bottom"/>
            <w:shd w:val="clear" w:color="auto" w:fill="D2DCE5"/>
          </w:tcPr>
          <w:p>
            <w:pPr>
              <w:jc w:val="right"/>
              <w:ind w:right="196"/>
              <w:spacing w:after="0"/>
              <w:rPr>
                <w:sz w:val="20"/>
                <w:szCs w:val="20"/>
                <w:color w:val="auto"/>
              </w:rPr>
            </w:pPr>
            <w:r>
              <w:rPr>
                <w:rFonts w:ascii="Arial" w:cs="Arial" w:eastAsia="Arial" w:hAnsi="Arial"/>
                <w:sz w:val="13"/>
                <w:szCs w:val="13"/>
                <w:color w:val="131E29"/>
                <w:w w:val="82"/>
              </w:rPr>
              <w:t>$</w:t>
            </w:r>
          </w:p>
        </w:tc>
        <w:tc>
          <w:tcPr>
            <w:tcW w:w="122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(0.28)</w:t>
            </w:r>
          </w:p>
        </w:tc>
      </w:tr>
    </w:tbl>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Shares of the Company’s Class B and Class C common stock do not participate in the earnings or losses of the Company and are therefore not participating securities. As such, separate presentation of basic and diluted loss per share of Class B and Class C common stock under the two-class method has not been presented.</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131E29"/>
        </w:rPr>
        <w:t>The following common stock equivalents were excluded from diluted loss per share in the periods presented because they were anti-dilutive:</w:t>
      </w:r>
    </w:p>
    <w:p>
      <w:pPr>
        <w:spacing w:after="0" w:line="161"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131E29"/>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5116830</wp:posOffset>
            </wp:positionH>
            <wp:positionV relativeFrom="paragraph">
              <wp:posOffset>31115</wp:posOffset>
            </wp:positionV>
            <wp:extent cx="2047875" cy="69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047875" cy="698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7"/>
                <w:szCs w:val="17"/>
                <w:color w:val="auto"/>
              </w:rPr>
            </w:pPr>
          </w:p>
        </w:tc>
        <w:tc>
          <w:tcPr>
            <w:tcW w:w="156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131E29"/>
              </w:rPr>
              <w:t>2022</w:t>
            </w:r>
          </w:p>
        </w:tc>
        <w:tc>
          <w:tcPr>
            <w:tcW w:w="100" w:type="dxa"/>
            <w:vAlign w:val="bottom"/>
            <w:tcBorders>
              <w:bottom w:val="single" w:sz="8" w:color="D2DCE5"/>
            </w:tcBorders>
          </w:tcPr>
          <w:p>
            <w:pPr>
              <w:spacing w:after="0"/>
              <w:rPr>
                <w:sz w:val="17"/>
                <w:szCs w:val="17"/>
                <w:color w:val="auto"/>
              </w:rPr>
            </w:pPr>
          </w:p>
        </w:tc>
        <w:tc>
          <w:tcPr>
            <w:tcW w:w="156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131E29"/>
              </w:rPr>
              <w:t>2021</w:t>
            </w:r>
          </w:p>
        </w:tc>
      </w:tr>
      <w:tr>
        <w:trPr>
          <w:trHeight w:val="192"/>
        </w:trPr>
        <w:tc>
          <w:tcPr>
            <w:tcW w:w="80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Restricted stock awards</w:t>
            </w: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2,667</w:t>
            </w:r>
          </w:p>
        </w:tc>
        <w:tc>
          <w:tcPr>
            <w:tcW w:w="100" w:type="dxa"/>
            <w:vAlign w:val="bottom"/>
            <w:tcBorders>
              <w:bottom w:val="single" w:sz="8" w:color="D2DCE5"/>
            </w:tcBorders>
            <w:shd w:val="clear" w:color="auto" w:fill="D2DCE5"/>
          </w:tcPr>
          <w:p>
            <w:pPr>
              <w:spacing w:after="0"/>
              <w:rPr>
                <w:sz w:val="16"/>
                <w:szCs w:val="16"/>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4,000</w:t>
            </w:r>
          </w:p>
        </w:tc>
      </w:tr>
      <w:tr>
        <w:trPr>
          <w:trHeight w:val="191"/>
        </w:trPr>
        <w:tc>
          <w:tcPr>
            <w:tcW w:w="8060" w:type="dxa"/>
            <w:vAlign w:val="bottom"/>
            <w:gridSpan w:val="2"/>
          </w:tcPr>
          <w:p>
            <w:pPr>
              <w:ind w:left="20"/>
              <w:spacing w:after="0"/>
              <w:rPr>
                <w:sz w:val="20"/>
                <w:szCs w:val="20"/>
                <w:color w:val="auto"/>
              </w:rPr>
            </w:pPr>
            <w:r>
              <w:rPr>
                <w:rFonts w:ascii="Arial" w:cs="Arial" w:eastAsia="Arial" w:hAnsi="Arial"/>
                <w:sz w:val="14"/>
                <w:szCs w:val="14"/>
                <w:color w:val="131E29"/>
              </w:rPr>
              <w:t>Restricted stock units</w:t>
            </w:r>
          </w:p>
        </w:tc>
        <w:tc>
          <w:tcPr>
            <w:tcW w:w="1560" w:type="dxa"/>
            <w:vAlign w:val="bottom"/>
          </w:tcPr>
          <w:p>
            <w:pPr>
              <w:jc w:val="right"/>
              <w:spacing w:after="0"/>
              <w:rPr>
                <w:sz w:val="20"/>
                <w:szCs w:val="20"/>
                <w:color w:val="auto"/>
              </w:rPr>
            </w:pPr>
            <w:r>
              <w:rPr>
                <w:rFonts w:ascii="Arial" w:cs="Arial" w:eastAsia="Arial" w:hAnsi="Arial"/>
                <w:sz w:val="14"/>
                <w:szCs w:val="14"/>
                <w:color w:val="131E29"/>
              </w:rPr>
              <w:t>583</w:t>
            </w:r>
          </w:p>
        </w:tc>
        <w:tc>
          <w:tcPr>
            <w:tcW w:w="1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131E29"/>
              </w:rPr>
              <w:t>595</w:t>
            </w:r>
          </w:p>
        </w:tc>
      </w:tr>
      <w:tr>
        <w:trPr>
          <w:trHeight w:val="22"/>
        </w:trPr>
        <w:tc>
          <w:tcPr>
            <w:tcW w:w="798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8"/>
        </w:trPr>
        <w:tc>
          <w:tcPr>
            <w:tcW w:w="806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Total anti-dilutive securities</w:t>
            </w:r>
          </w:p>
        </w:tc>
        <w:tc>
          <w:tcPr>
            <w:tcW w:w="15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3,250</w:t>
            </w:r>
          </w:p>
        </w:tc>
        <w:tc>
          <w:tcPr>
            <w:tcW w:w="100" w:type="dxa"/>
            <w:vAlign w:val="bottom"/>
            <w:tcBorders>
              <w:bottom w:val="single" w:sz="8" w:color="D2DCE5"/>
            </w:tcBorders>
            <w:shd w:val="clear" w:color="auto" w:fill="D2DCE5"/>
          </w:tcPr>
          <w:p>
            <w:pPr>
              <w:spacing w:after="0"/>
              <w:rPr>
                <w:sz w:val="19"/>
                <w:szCs w:val="19"/>
                <w:color w:val="auto"/>
              </w:rPr>
            </w:pPr>
          </w:p>
        </w:tc>
        <w:tc>
          <w:tcPr>
            <w:tcW w:w="15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4,595</w:t>
            </w:r>
          </w:p>
        </w:tc>
      </w:tr>
      <w:tr>
        <w:trPr>
          <w:trHeight w:val="20"/>
        </w:trPr>
        <w:tc>
          <w:tcPr>
            <w:tcW w:w="798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56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560" w:type="dxa"/>
            <w:vAlign w:val="bottom"/>
            <w:tcBorders>
              <w:top w:val="single" w:sz="8" w:color="D2DC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134" w:name="page135"/>
    <w:bookmarkEnd w:id="134"/>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18 — Commitments and Contingencies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Purchase Obligations</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The Company enters into fixed-price and price-to-be fixed green coffee purchase commitments. For both fixed-price and price-to-be fixed purchase commitments, the Company expects to take delivery of green coffee and to utilize the coffee in a reasonable period of time in the ordinary course of business. Such contracts are used in the normal purchases of green coffee and not for speculative purposes. The Company does not enter into futures contracts or other derivative instruments related to its green coffee purchase commitments.</w:t>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Guarantees</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The Company periodically provides guarantees to franchise partners for lease payments. Annually, the Company determines if a liability needs to be recorded related to these guarantees. As of December 31, 2022 and December 31, 2021, the Company had guaranteed approximately $1.6 million and $1.7 million, respectively, in franchise partners’ lease payments and has not established a liability for these guarantees as any liability arising from the guarantees is not material to the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Legal Proceedings</w:t>
      </w:r>
    </w:p>
    <w:p>
      <w:pPr>
        <w:spacing w:after="0" w:line="15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The Company is a party to routine legal actions arising in the ordinary course of and incidental to its business. These claims, legal proceedings and litigation principally arise from alleged casualty, employment, and other disputes.</w:t>
      </w:r>
    </w:p>
    <w:p>
      <w:pPr>
        <w:spacing w:after="0" w:line="11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In determining loss contingencies, the Company considers the likelihood of loss as well as the ability to reasonably estimate the amount of such loss or liability. An estimated loss is recognized when it is considered probable that a liability has been incurred and when the amount of loss can be reasonably estimated.</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Because litigation is inherently unpredictable, assessing contingencies is highly subjective and requires judgments about future events. When evaluating litigation contingencies, we may be unable to provide a meaningful estimate due to a number of factors, including the procedural status of the matter in question, developments in legislation or regulations that affect the validity of certain claims and defenses, the availability of appellate remedies, insurance coverage related to the claim or claims in question, the presence of complex or novel legal theories, and/or the ongoing discovery and development of information important to the matter.</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135" w:name="page136"/>
    <w:bookmarkEnd w:id="135"/>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While any claim, proceeding or litigation has an element of uncertainty, the Company believes the outcome of any of these that are pending or threatened will not have a material adverse effect on its financial condition, results of operations, or cash flows.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Liabilities Under Tax Receivable Agreements</w:t>
      </w:r>
    </w:p>
    <w:p>
      <w:pPr>
        <w:spacing w:after="0" w:line="152"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131E29"/>
        </w:rPr>
        <w:t>As described in NOTE 12 — Tax Receivable Agreements, the Company is a party to the TRAs under which the Company is contractually committed to pay the non-controlling interest holders 85% of the amount of any tax benefits that the Company actually realizes, or in some cases is deemed to realize, as a result of certain transactions. The Company is not obligated to make any payments under the TRAs until the tax benefits associated with the transactions that gave rise to the payments are realized. Amounts payable under the TRAs are contingent upon, among other things, (i) generation of future taxable income over the term of the TRAs, and (ii) future changes in tax laws. If the Company does not generate sufficient taxable income in the aggregate over the term of the TRAs to utilize the tax benefits, then the Company would not be required to make the related TRA payments. As of December 31, 2022, the Company recognized $ 220.9 million of liabilities related to its obligations under the TRAs, after concluding that it was probable that the Company would have sufficient future taxable income to utilize the related tax benefits. There were no transactions subject to the TRAs for which the Company did not recognize the related liability, as the Company concluded that it would have sufficient future taxable income to utilize all of the related tax benefits generated by all transactions that occurred during the year ended December 31, 2022.</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19 — Related Party Transactions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131E29"/>
        </w:rPr>
        <w:t>The Company’s donations to the Foundation, a not-for-profit founded by the Company that provides philanthropy to coffee farmers and local communities and for which the</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131E29"/>
        </w:rPr>
        <w:t>Company’s Chief Executive Officer (CEO) serves on the board of directors, were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60" w:type="dxa"/>
            <w:vAlign w:val="bottom"/>
            <w:gridSpan w:val="6"/>
          </w:tcPr>
          <w:p>
            <w:pPr>
              <w:jc w:val="center"/>
              <w:ind w:left="69"/>
              <w:spacing w:after="0"/>
              <w:rPr>
                <w:sz w:val="20"/>
                <w:szCs w:val="20"/>
                <w:color w:val="auto"/>
              </w:rPr>
            </w:pPr>
            <w:r>
              <w:rPr>
                <w:rFonts w:ascii="Arial" w:cs="Arial" w:eastAsia="Arial" w:hAnsi="Arial"/>
                <w:sz w:val="14"/>
                <w:szCs w:val="14"/>
                <w:b w:val="1"/>
                <w:bCs w:val="1"/>
                <w:color w:val="131E29"/>
                <w:w w:val="99"/>
              </w:rPr>
              <w:t>Year Ended December 31,</w:t>
            </w:r>
          </w:p>
        </w:tc>
        <w:tc>
          <w:tcPr>
            <w:tcW w:w="1000" w:type="dxa"/>
            <w:vAlign w:val="bottom"/>
          </w:tcPr>
          <w:p>
            <w:pPr>
              <w:spacing w:after="0"/>
              <w:rPr>
                <w:sz w:val="16"/>
                <w:szCs w:val="16"/>
                <w:color w:val="auto"/>
              </w:rPr>
            </w:pPr>
          </w:p>
        </w:tc>
      </w:tr>
      <w:tr>
        <w:trPr>
          <w:trHeight w:val="22"/>
        </w:trPr>
        <w:tc>
          <w:tcPr>
            <w:tcW w:w="7160" w:type="dxa"/>
            <w:vAlign w:val="bottom"/>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3"/>
        </w:trPr>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131E29"/>
              </w:rPr>
              <w:t>2022</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D2DCE5"/>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2021</w:t>
            </w:r>
          </w:p>
        </w:tc>
        <w:tc>
          <w:tcPr>
            <w:tcW w:w="80" w:type="dxa"/>
            <w:vAlign w:val="bottom"/>
            <w:tcBorders>
              <w:bottom w:val="single" w:sz="8" w:color="D2DCE5"/>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2020</w:t>
            </w:r>
          </w:p>
        </w:tc>
      </w:tr>
      <w:tr>
        <w:trPr>
          <w:trHeight w:val="237"/>
        </w:trPr>
        <w:tc>
          <w:tcPr>
            <w:tcW w:w="71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Donations to Dutch Bros Foundation</w:t>
            </w:r>
          </w:p>
        </w:tc>
        <w:tc>
          <w:tcPr>
            <w:tcW w:w="860" w:type="dxa"/>
            <w:vAlign w:val="bottom"/>
            <w:tcBorders>
              <w:bottom w:val="single" w:sz="8" w:color="auto"/>
            </w:tcBorders>
            <w:shd w:val="clear" w:color="auto" w:fill="D2DCE5"/>
          </w:tcPr>
          <w:p>
            <w:pPr>
              <w:jc w:val="right"/>
              <w:ind w:right="689"/>
              <w:spacing w:after="0"/>
              <w:rPr>
                <w:sz w:val="20"/>
                <w:szCs w:val="20"/>
                <w:color w:val="auto"/>
              </w:rPr>
            </w:pPr>
            <w:r>
              <w:rPr>
                <w:rFonts w:ascii="Arial" w:cs="Arial" w:eastAsia="Arial" w:hAnsi="Arial"/>
                <w:sz w:val="14"/>
                <w:szCs w:val="14"/>
                <w:color w:val="131E29"/>
              </w:rPr>
              <w:t>$</w:t>
            </w:r>
          </w:p>
        </w:tc>
        <w:tc>
          <w:tcPr>
            <w:tcW w:w="4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5,149</w:t>
            </w:r>
          </w:p>
        </w:tc>
        <w:tc>
          <w:tcPr>
            <w:tcW w:w="80" w:type="dxa"/>
            <w:vAlign w:val="bottom"/>
            <w:tcBorders>
              <w:bottom w:val="single" w:sz="8" w:color="D2DCE5"/>
            </w:tcBorders>
            <w:shd w:val="clear" w:color="auto" w:fill="D2DCE5"/>
          </w:tcPr>
          <w:p>
            <w:pPr>
              <w:spacing w:after="0"/>
              <w:rPr>
                <w:sz w:val="20"/>
                <w:szCs w:val="20"/>
                <w:color w:val="auto"/>
              </w:rPr>
            </w:pPr>
          </w:p>
        </w:tc>
        <w:tc>
          <w:tcPr>
            <w:tcW w:w="300" w:type="dxa"/>
            <w:vAlign w:val="bottom"/>
            <w:tcBorders>
              <w:bottom w:val="single" w:sz="8" w:color="auto"/>
            </w:tcBorders>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10,546</w:t>
            </w:r>
          </w:p>
        </w:tc>
        <w:tc>
          <w:tcPr>
            <w:tcW w:w="80" w:type="dxa"/>
            <w:vAlign w:val="bottom"/>
            <w:tcBorders>
              <w:bottom w:val="single" w:sz="8" w:color="D2DCE5"/>
            </w:tcBorders>
            <w:shd w:val="clear" w:color="auto" w:fill="D2DCE5"/>
          </w:tcPr>
          <w:p>
            <w:pPr>
              <w:spacing w:after="0"/>
              <w:rPr>
                <w:sz w:val="20"/>
                <w:szCs w:val="20"/>
                <w:color w:val="auto"/>
              </w:rPr>
            </w:pPr>
          </w:p>
        </w:tc>
        <w:tc>
          <w:tcPr>
            <w:tcW w:w="320" w:type="dxa"/>
            <w:vAlign w:val="bottom"/>
            <w:tcBorders>
              <w:bottom w:val="single" w:sz="8" w:color="auto"/>
            </w:tcBorders>
            <w:shd w:val="clear" w:color="auto" w:fill="D2DCE5"/>
          </w:tcPr>
          <w:p>
            <w:pPr>
              <w:jc w:val="right"/>
              <w:ind w:right="149"/>
              <w:spacing w:after="0"/>
              <w:rPr>
                <w:sz w:val="20"/>
                <w:szCs w:val="20"/>
                <w:color w:val="auto"/>
              </w:rPr>
            </w:pPr>
            <w:r>
              <w:rPr>
                <w:rFonts w:ascii="Arial" w:cs="Arial" w:eastAsia="Arial" w:hAnsi="Arial"/>
                <w:sz w:val="14"/>
                <w:szCs w:val="14"/>
                <w:color w:val="131E29"/>
              </w:rPr>
              <w:t>$</w:t>
            </w:r>
          </w:p>
        </w:tc>
        <w:tc>
          <w:tcPr>
            <w:tcW w:w="10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5,848</w:t>
            </w:r>
          </w:p>
        </w:tc>
      </w:tr>
      <w:tr>
        <w:trPr>
          <w:trHeight w:val="20"/>
        </w:trPr>
        <w:tc>
          <w:tcPr>
            <w:tcW w:w="708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860" w:type="dxa"/>
            <w:vAlign w:val="bottom"/>
            <w:tcBorders>
              <w:top w:val="single" w:sz="8" w:color="D2DCE5"/>
              <w:bottom w:val="single" w:sz="8" w:color="auto"/>
            </w:tcBorders>
          </w:tcPr>
          <w:p>
            <w:pPr>
              <w:spacing w:after="0" w:line="20" w:lineRule="exact"/>
              <w:rPr>
                <w:sz w:val="1"/>
                <w:szCs w:val="1"/>
                <w:color w:val="auto"/>
              </w:rPr>
            </w:pPr>
          </w:p>
        </w:tc>
        <w:tc>
          <w:tcPr>
            <w:tcW w:w="4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20" w:type="dxa"/>
            <w:vAlign w:val="bottom"/>
            <w:tcBorders>
              <w:top w:val="single" w:sz="8" w:color="D2DCE5"/>
              <w:bottom w:val="single" w:sz="8" w:color="auto"/>
            </w:tcBorders>
          </w:tcPr>
          <w:p>
            <w:pPr>
              <w:spacing w:after="0" w:line="20" w:lineRule="exact"/>
              <w:rPr>
                <w:sz w:val="1"/>
                <w:szCs w:val="1"/>
                <w:color w:val="auto"/>
              </w:rPr>
            </w:pPr>
          </w:p>
        </w:tc>
        <w:tc>
          <w:tcPr>
            <w:tcW w:w="1000" w:type="dxa"/>
            <w:vAlign w:val="bottom"/>
            <w:tcBorders>
              <w:top w:val="single" w:sz="8" w:color="D2DCE5"/>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20 — Segment Reporting</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Segment information is prepared on the same basis that the Company’s CEO, who is the chief operating decision maker (CODM), manages the segments, evaluates financial results and makes key operating decisions. The Company’s CEO evaluates the financial performance of the Company based on two operating segments: Company-operated shops and Franchising and other. The Company-operated shops segment includes coffee shop sales to customers. The Franchising and other segment includes bean and product sales to franchise partners and includes the initial franchise fees, royalties, and marketing fees.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131E29"/>
        </w:rPr>
        <w:t>The CODM reviews segment performance and allocates resources based upon segment contribution, which is defined as segment gross profit before depreciation and amortization.</w:t>
      </w:r>
    </w:p>
    <w:p>
      <w:pPr>
        <w:spacing w:after="0" w:line="29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All segment revenue is earned in the United States, and there are no intersegment revenues. As the CODM is not provided with asset information by segment, assets are reported only on a consolidated basis.</w:t>
      </w:r>
    </w:p>
    <w:p>
      <w:pPr>
        <w:spacing w:after="0" w:line="11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Selling, general and administrative expenses primarily consist of the Company’s unallocated corporate expenses. Unallocated corporate expenses include corporate administrative functions that support the segments but are not directly attributable to or managed by any segment and are not included in the reported financial results of the segments.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136" w:name="page137"/>
    <w:bookmarkEnd w:id="136"/>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266" w:lineRule="auto"/>
        <w:rPr>
          <w:sz w:val="20"/>
          <w:szCs w:val="20"/>
          <w:color w:val="auto"/>
        </w:rPr>
      </w:pPr>
      <w:r>
        <w:rPr>
          <w:rFonts w:ascii="Arial" w:cs="Arial" w:eastAsia="Arial" w:hAnsi="Arial"/>
          <w:sz w:val="14"/>
          <w:szCs w:val="14"/>
          <w:color w:val="131E29"/>
        </w:rPr>
        <w:t>No changes have been made to the Company’s segments during the year ended December 31, 2022. In addition, one customer represented 10% or more of total revenue for the year ended December 31, 2022, while no customer represented 10% or more of total revenues for the years ended December 31, 2021, and 2020.</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60" w:type="dxa"/>
            <w:vAlign w:val="bottom"/>
            <w:gridSpan w:val="2"/>
          </w:tcPr>
          <w:p>
            <w:pPr>
              <w:spacing w:after="0"/>
              <w:rPr>
                <w:sz w:val="20"/>
                <w:szCs w:val="20"/>
                <w:color w:val="auto"/>
              </w:rPr>
            </w:pPr>
            <w:r>
              <w:rPr>
                <w:rFonts w:ascii="Arial" w:cs="Arial" w:eastAsia="Arial" w:hAnsi="Arial"/>
                <w:sz w:val="14"/>
                <w:szCs w:val="14"/>
                <w:color w:val="131E29"/>
              </w:rPr>
              <w:t>Financial information for the Company’s reportable segments was as follows for the periods presented:</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0"/>
        </w:trPr>
        <w:tc>
          <w:tcPr>
            <w:tcW w:w="7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0" w:type="dxa"/>
            <w:vAlign w:val="bottom"/>
            <w:gridSpan w:val="6"/>
          </w:tcPr>
          <w:p>
            <w:pPr>
              <w:jc w:val="right"/>
              <w:ind w:right="109"/>
              <w:spacing w:after="0"/>
              <w:rPr>
                <w:sz w:val="20"/>
                <w:szCs w:val="20"/>
                <w:color w:val="auto"/>
              </w:rPr>
            </w:pPr>
            <w:r>
              <w:rPr>
                <w:rFonts w:ascii="Arial" w:cs="Arial" w:eastAsia="Arial" w:hAnsi="Arial"/>
                <w:sz w:val="14"/>
                <w:szCs w:val="14"/>
                <w:b w:val="1"/>
                <w:bCs w:val="1"/>
                <w:color w:val="131E29"/>
              </w:rPr>
              <w:t>Year Ended December 31,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716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2022</w:t>
            </w:r>
          </w:p>
        </w:tc>
        <w:tc>
          <w:tcPr>
            <w:tcW w:w="80" w:type="dxa"/>
            <w:vAlign w:val="bottom"/>
            <w:tcBorders>
              <w:bottom w:val="single" w:sz="8" w:color="D2DCE5"/>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131E29"/>
              </w:rPr>
              <w:t>2021 ¹</w:t>
            </w:r>
          </w:p>
        </w:tc>
        <w:tc>
          <w:tcPr>
            <w:tcW w:w="80" w:type="dxa"/>
            <w:vAlign w:val="bottom"/>
            <w:tcBorders>
              <w:bottom w:val="single" w:sz="8" w:color="D2DCE5"/>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131E29"/>
              </w:rPr>
              <w:t>2020 ¹</w:t>
            </w:r>
          </w:p>
        </w:tc>
        <w:tc>
          <w:tcPr>
            <w:tcW w:w="0" w:type="dxa"/>
            <w:vAlign w:val="bottom"/>
          </w:tcPr>
          <w:p>
            <w:pPr>
              <w:spacing w:after="0"/>
              <w:rPr>
                <w:sz w:val="1"/>
                <w:szCs w:val="1"/>
                <w:color w:val="auto"/>
              </w:rPr>
            </w:pPr>
          </w:p>
        </w:tc>
      </w:tr>
      <w:tr>
        <w:trPr>
          <w:trHeight w:val="192"/>
        </w:trPr>
        <w:tc>
          <w:tcPr>
            <w:tcW w:w="71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Revenues:</w:t>
            </w:r>
          </w:p>
        </w:tc>
        <w:tc>
          <w:tcPr>
            <w:tcW w:w="300" w:type="dxa"/>
            <w:vAlign w:val="bottom"/>
            <w:tcBorders>
              <w:bottom w:val="single" w:sz="8" w:color="D2DCE5"/>
            </w:tcBorders>
            <w:shd w:val="clear" w:color="auto" w:fill="D2DCE5"/>
          </w:tcPr>
          <w:p>
            <w:pPr>
              <w:spacing w:after="0"/>
              <w:rPr>
                <w:sz w:val="16"/>
                <w:szCs w:val="16"/>
                <w:color w:val="auto"/>
              </w:rPr>
            </w:pPr>
          </w:p>
        </w:tc>
        <w:tc>
          <w:tcPr>
            <w:tcW w:w="102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spacing w:after="0"/>
              <w:rPr>
                <w:sz w:val="16"/>
                <w:szCs w:val="16"/>
                <w:color w:val="auto"/>
              </w:rPr>
            </w:pPr>
          </w:p>
        </w:tc>
        <w:tc>
          <w:tcPr>
            <w:tcW w:w="104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1020" w:type="dxa"/>
            <w:vAlign w:val="bottom"/>
            <w:tcBorders>
              <w:bottom w:val="single" w:sz="8" w:color="D2DCE5"/>
            </w:tcBorders>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160" w:type="dxa"/>
            <w:vAlign w:val="bottom"/>
            <w:gridSpan w:val="2"/>
          </w:tcPr>
          <w:p>
            <w:pPr>
              <w:ind w:left="140"/>
              <w:spacing w:after="0"/>
              <w:rPr>
                <w:sz w:val="20"/>
                <w:szCs w:val="20"/>
                <w:color w:val="auto"/>
              </w:rPr>
            </w:pPr>
            <w:r>
              <w:rPr>
                <w:rFonts w:ascii="Arial" w:cs="Arial" w:eastAsia="Arial" w:hAnsi="Arial"/>
                <w:sz w:val="14"/>
                <w:szCs w:val="14"/>
                <w:color w:val="131E29"/>
              </w:rPr>
              <w:t>Company-operated shops</w:t>
            </w:r>
          </w:p>
        </w:tc>
        <w:tc>
          <w:tcPr>
            <w:tcW w:w="300" w:type="dxa"/>
            <w:vAlign w:val="bottom"/>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Pr>
          <w:p>
            <w:pPr>
              <w:jc w:val="right"/>
              <w:spacing w:after="0"/>
              <w:rPr>
                <w:sz w:val="20"/>
                <w:szCs w:val="20"/>
                <w:color w:val="auto"/>
              </w:rPr>
            </w:pPr>
            <w:r>
              <w:rPr>
                <w:rFonts w:ascii="Arial" w:cs="Arial" w:eastAsia="Arial" w:hAnsi="Arial"/>
                <w:sz w:val="14"/>
                <w:szCs w:val="14"/>
                <w:color w:val="131E29"/>
              </w:rPr>
              <w:t>639,710</w:t>
            </w:r>
          </w:p>
        </w:tc>
        <w:tc>
          <w:tcPr>
            <w:tcW w:w="8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131E29"/>
              </w:rPr>
              <w:t>$</w:t>
            </w:r>
          </w:p>
        </w:tc>
        <w:tc>
          <w:tcPr>
            <w:tcW w:w="1040" w:type="dxa"/>
            <w:vAlign w:val="bottom"/>
          </w:tcPr>
          <w:p>
            <w:pPr>
              <w:jc w:val="right"/>
              <w:spacing w:after="0"/>
              <w:rPr>
                <w:sz w:val="20"/>
                <w:szCs w:val="20"/>
                <w:color w:val="auto"/>
              </w:rPr>
            </w:pPr>
            <w:r>
              <w:rPr>
                <w:rFonts w:ascii="Arial" w:cs="Arial" w:eastAsia="Arial" w:hAnsi="Arial"/>
                <w:sz w:val="14"/>
                <w:szCs w:val="14"/>
                <w:color w:val="131E29"/>
              </w:rPr>
              <w:t>403,746</w:t>
            </w:r>
          </w:p>
        </w:tc>
        <w:tc>
          <w:tcPr>
            <w:tcW w:w="8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Pr>
          <w:p>
            <w:pPr>
              <w:jc w:val="right"/>
              <w:spacing w:after="0"/>
              <w:rPr>
                <w:sz w:val="20"/>
                <w:szCs w:val="20"/>
                <w:color w:val="auto"/>
              </w:rPr>
            </w:pPr>
            <w:r>
              <w:rPr>
                <w:rFonts w:ascii="Arial" w:cs="Arial" w:eastAsia="Arial" w:hAnsi="Arial"/>
                <w:sz w:val="14"/>
                <w:szCs w:val="14"/>
                <w:color w:val="131E29"/>
              </w:rPr>
              <w:t>244,514</w:t>
            </w:r>
          </w:p>
        </w:tc>
        <w:tc>
          <w:tcPr>
            <w:tcW w:w="0" w:type="dxa"/>
            <w:vAlign w:val="bottom"/>
          </w:tcPr>
          <w:p>
            <w:pPr>
              <w:spacing w:after="0"/>
              <w:rPr>
                <w:sz w:val="1"/>
                <w:szCs w:val="1"/>
                <w:color w:val="auto"/>
              </w:rPr>
            </w:pPr>
          </w:p>
        </w:tc>
      </w:tr>
      <w:tr>
        <w:trPr>
          <w:trHeight w:val="22"/>
        </w:trPr>
        <w:tc>
          <w:tcPr>
            <w:tcW w:w="7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16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Franchising and other</w:t>
            </w:r>
          </w:p>
        </w:tc>
        <w:tc>
          <w:tcPr>
            <w:tcW w:w="300" w:type="dxa"/>
            <w:vAlign w:val="bottom"/>
            <w:tcBorders>
              <w:bottom w:val="single" w:sz="8" w:color="D2DCE5"/>
            </w:tcBorders>
            <w:shd w:val="clear" w:color="auto" w:fill="D2DCE5"/>
          </w:tcPr>
          <w:p>
            <w:pPr>
              <w:spacing w:after="0"/>
              <w:rPr>
                <w:sz w:val="18"/>
                <w:szCs w:val="18"/>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99,302</w:t>
            </w:r>
          </w:p>
        </w:tc>
        <w:tc>
          <w:tcPr>
            <w:tcW w:w="80" w:type="dxa"/>
            <w:vAlign w:val="bottom"/>
            <w:tcBorders>
              <w:bottom w:val="single" w:sz="8" w:color="D2DCE5"/>
            </w:tcBorders>
            <w:shd w:val="clear" w:color="auto" w:fill="D2DCE5"/>
          </w:tcPr>
          <w:p>
            <w:pPr>
              <w:spacing w:after="0"/>
              <w:rPr>
                <w:sz w:val="18"/>
                <w:szCs w:val="18"/>
                <w:color w:val="auto"/>
              </w:rPr>
            </w:pPr>
          </w:p>
        </w:tc>
        <w:tc>
          <w:tcPr>
            <w:tcW w:w="280" w:type="dxa"/>
            <w:vAlign w:val="bottom"/>
            <w:tcBorders>
              <w:bottom w:val="single" w:sz="8" w:color="D2DCE5"/>
            </w:tcBorders>
            <w:shd w:val="clear" w:color="auto" w:fill="D2DCE5"/>
          </w:tcPr>
          <w:p>
            <w:pPr>
              <w:spacing w:after="0"/>
              <w:rPr>
                <w:sz w:val="18"/>
                <w:szCs w:val="18"/>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94,130</w:t>
            </w:r>
          </w:p>
        </w:tc>
        <w:tc>
          <w:tcPr>
            <w:tcW w:w="80" w:type="dxa"/>
            <w:vAlign w:val="bottom"/>
            <w:tcBorders>
              <w:bottom w:val="single" w:sz="8" w:color="D2DCE5"/>
            </w:tcBorders>
            <w:shd w:val="clear" w:color="auto" w:fill="D2DCE5"/>
          </w:tcPr>
          <w:p>
            <w:pPr>
              <w:spacing w:after="0"/>
              <w:rPr>
                <w:sz w:val="18"/>
                <w:szCs w:val="18"/>
                <w:color w:val="auto"/>
              </w:rPr>
            </w:pPr>
          </w:p>
        </w:tc>
        <w:tc>
          <w:tcPr>
            <w:tcW w:w="300" w:type="dxa"/>
            <w:vAlign w:val="bottom"/>
            <w:tcBorders>
              <w:bottom w:val="single" w:sz="8" w:color="D2DCE5"/>
            </w:tcBorders>
            <w:shd w:val="clear" w:color="auto" w:fill="D2DCE5"/>
          </w:tcPr>
          <w:p>
            <w:pPr>
              <w:spacing w:after="0"/>
              <w:rPr>
                <w:sz w:val="18"/>
                <w:szCs w:val="18"/>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82,899</w:t>
            </w:r>
          </w:p>
        </w:tc>
        <w:tc>
          <w:tcPr>
            <w:tcW w:w="0" w:type="dxa"/>
            <w:vAlign w:val="bottom"/>
          </w:tcPr>
          <w:p>
            <w:pPr>
              <w:spacing w:after="0"/>
              <w:rPr>
                <w:sz w:val="1"/>
                <w:szCs w:val="1"/>
                <w:color w:val="auto"/>
              </w:rPr>
            </w:pPr>
          </w:p>
        </w:tc>
      </w:tr>
      <w:tr>
        <w:trPr>
          <w:trHeight w:val="181"/>
        </w:trPr>
        <w:tc>
          <w:tcPr>
            <w:tcW w:w="7160" w:type="dxa"/>
            <w:vAlign w:val="bottom"/>
            <w:gridSpan w:val="2"/>
          </w:tcPr>
          <w:p>
            <w:pPr>
              <w:ind w:left="280"/>
              <w:spacing w:after="0"/>
              <w:rPr>
                <w:sz w:val="20"/>
                <w:szCs w:val="20"/>
                <w:color w:val="auto"/>
              </w:rPr>
            </w:pPr>
            <w:r>
              <w:rPr>
                <w:rFonts w:ascii="Arial" w:cs="Arial" w:eastAsia="Arial" w:hAnsi="Arial"/>
                <w:sz w:val="14"/>
                <w:szCs w:val="14"/>
                <w:color w:val="131E29"/>
              </w:rPr>
              <w:t>Total revenues</w:t>
            </w: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739,012</w:t>
            </w: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497,876</w:t>
            </w: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327,413</w:t>
            </w:r>
          </w:p>
        </w:tc>
        <w:tc>
          <w:tcPr>
            <w:tcW w:w="0" w:type="dxa"/>
            <w:vAlign w:val="bottom"/>
          </w:tcPr>
          <w:p>
            <w:pPr>
              <w:spacing w:after="0"/>
              <w:rPr>
                <w:sz w:val="1"/>
                <w:szCs w:val="1"/>
                <w:color w:val="auto"/>
              </w:rPr>
            </w:pPr>
          </w:p>
        </w:tc>
      </w:tr>
      <w:tr>
        <w:trPr>
          <w:trHeight w:val="22"/>
        </w:trPr>
        <w:tc>
          <w:tcPr>
            <w:tcW w:w="708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71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Cost of sales:</w:t>
            </w:r>
          </w:p>
        </w:tc>
        <w:tc>
          <w:tcPr>
            <w:tcW w:w="300" w:type="dxa"/>
            <w:vAlign w:val="bottom"/>
            <w:tcBorders>
              <w:bottom w:val="single" w:sz="8" w:color="D2DCE5"/>
            </w:tcBorders>
            <w:shd w:val="clear" w:color="auto" w:fill="D2DCE5"/>
          </w:tcPr>
          <w:p>
            <w:pPr>
              <w:spacing w:after="0"/>
              <w:rPr>
                <w:sz w:val="14"/>
                <w:szCs w:val="14"/>
                <w:color w:val="auto"/>
              </w:rPr>
            </w:pPr>
          </w:p>
        </w:tc>
        <w:tc>
          <w:tcPr>
            <w:tcW w:w="1020" w:type="dxa"/>
            <w:vAlign w:val="bottom"/>
            <w:tcBorders>
              <w:bottom w:val="single" w:sz="8" w:color="D2DCE5"/>
            </w:tcBorders>
            <w:shd w:val="clear" w:color="auto" w:fill="D2DCE5"/>
          </w:tcPr>
          <w:p>
            <w:pPr>
              <w:spacing w:after="0"/>
              <w:rPr>
                <w:sz w:val="14"/>
                <w:szCs w:val="14"/>
                <w:color w:val="auto"/>
              </w:rPr>
            </w:pPr>
          </w:p>
        </w:tc>
        <w:tc>
          <w:tcPr>
            <w:tcW w:w="80" w:type="dxa"/>
            <w:vAlign w:val="bottom"/>
            <w:tcBorders>
              <w:bottom w:val="single" w:sz="8" w:color="D2DCE5"/>
            </w:tcBorders>
            <w:shd w:val="clear" w:color="auto" w:fill="D2DCE5"/>
          </w:tcPr>
          <w:p>
            <w:pPr>
              <w:spacing w:after="0"/>
              <w:rPr>
                <w:sz w:val="14"/>
                <w:szCs w:val="14"/>
                <w:color w:val="auto"/>
              </w:rPr>
            </w:pPr>
          </w:p>
        </w:tc>
        <w:tc>
          <w:tcPr>
            <w:tcW w:w="280" w:type="dxa"/>
            <w:vAlign w:val="bottom"/>
            <w:tcBorders>
              <w:bottom w:val="single" w:sz="8" w:color="D2DCE5"/>
            </w:tcBorders>
            <w:shd w:val="clear" w:color="auto" w:fill="D2DCE5"/>
          </w:tcPr>
          <w:p>
            <w:pPr>
              <w:spacing w:after="0"/>
              <w:rPr>
                <w:sz w:val="14"/>
                <w:szCs w:val="14"/>
                <w:color w:val="auto"/>
              </w:rPr>
            </w:pPr>
          </w:p>
        </w:tc>
        <w:tc>
          <w:tcPr>
            <w:tcW w:w="1040" w:type="dxa"/>
            <w:vAlign w:val="bottom"/>
            <w:tcBorders>
              <w:bottom w:val="single" w:sz="8" w:color="D2DCE5"/>
            </w:tcBorders>
            <w:shd w:val="clear" w:color="auto" w:fill="D2DCE5"/>
          </w:tcPr>
          <w:p>
            <w:pPr>
              <w:spacing w:after="0"/>
              <w:rPr>
                <w:sz w:val="14"/>
                <w:szCs w:val="14"/>
                <w:color w:val="auto"/>
              </w:rPr>
            </w:pPr>
          </w:p>
        </w:tc>
        <w:tc>
          <w:tcPr>
            <w:tcW w:w="80" w:type="dxa"/>
            <w:vAlign w:val="bottom"/>
            <w:tcBorders>
              <w:bottom w:val="single" w:sz="8" w:color="D2DCE5"/>
            </w:tcBorders>
            <w:shd w:val="clear" w:color="auto" w:fill="D2DCE5"/>
          </w:tcPr>
          <w:p>
            <w:pPr>
              <w:spacing w:after="0"/>
              <w:rPr>
                <w:sz w:val="14"/>
                <w:szCs w:val="14"/>
                <w:color w:val="auto"/>
              </w:rPr>
            </w:pPr>
          </w:p>
        </w:tc>
        <w:tc>
          <w:tcPr>
            <w:tcW w:w="300" w:type="dxa"/>
            <w:vAlign w:val="bottom"/>
            <w:tcBorders>
              <w:bottom w:val="single" w:sz="8" w:color="D2DCE5"/>
            </w:tcBorders>
            <w:shd w:val="clear" w:color="auto" w:fill="D2DCE5"/>
          </w:tcPr>
          <w:p>
            <w:pPr>
              <w:spacing w:after="0"/>
              <w:rPr>
                <w:sz w:val="14"/>
                <w:szCs w:val="14"/>
                <w:color w:val="auto"/>
              </w:rPr>
            </w:pPr>
          </w:p>
        </w:tc>
        <w:tc>
          <w:tcPr>
            <w:tcW w:w="1020" w:type="dxa"/>
            <w:vAlign w:val="bottom"/>
            <w:tcBorders>
              <w:bottom w:val="single" w:sz="8" w:color="D2DCE5"/>
            </w:tcBorders>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7160" w:type="dxa"/>
            <w:vAlign w:val="bottom"/>
            <w:gridSpan w:val="2"/>
          </w:tcPr>
          <w:p>
            <w:pPr>
              <w:ind w:left="140"/>
              <w:spacing w:after="0"/>
              <w:rPr>
                <w:sz w:val="20"/>
                <w:szCs w:val="20"/>
                <w:color w:val="auto"/>
              </w:rPr>
            </w:pPr>
            <w:r>
              <w:rPr>
                <w:rFonts w:ascii="Arial" w:cs="Arial" w:eastAsia="Arial" w:hAnsi="Arial"/>
                <w:sz w:val="14"/>
                <w:szCs w:val="14"/>
                <w:color w:val="131E29"/>
              </w:rPr>
              <w:t>Company-operated shops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518,383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131E29"/>
              </w:rPr>
              <w:t>317,045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183,968</w:t>
            </w:r>
          </w:p>
        </w:tc>
        <w:tc>
          <w:tcPr>
            <w:tcW w:w="0" w:type="dxa"/>
            <w:vAlign w:val="bottom"/>
          </w:tcPr>
          <w:p>
            <w:pPr>
              <w:spacing w:after="0"/>
              <w:rPr>
                <w:sz w:val="1"/>
                <w:szCs w:val="1"/>
                <w:color w:val="auto"/>
              </w:rPr>
            </w:pPr>
          </w:p>
        </w:tc>
      </w:tr>
      <w:tr>
        <w:trPr>
          <w:trHeight w:val="22"/>
        </w:trPr>
        <w:tc>
          <w:tcPr>
            <w:tcW w:w="7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16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Franchising and other</w:t>
            </w:r>
          </w:p>
        </w:tc>
        <w:tc>
          <w:tcPr>
            <w:tcW w:w="300" w:type="dxa"/>
            <w:vAlign w:val="bottom"/>
            <w:tcBorders>
              <w:bottom w:val="single" w:sz="8" w:color="D2DCE5"/>
            </w:tcBorders>
            <w:shd w:val="clear" w:color="auto" w:fill="D2DCE5"/>
          </w:tcPr>
          <w:p>
            <w:pPr>
              <w:spacing w:after="0"/>
              <w:rPr>
                <w:sz w:val="18"/>
                <w:szCs w:val="18"/>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39,713</w:t>
            </w:r>
          </w:p>
        </w:tc>
        <w:tc>
          <w:tcPr>
            <w:tcW w:w="80" w:type="dxa"/>
            <w:vAlign w:val="bottom"/>
            <w:tcBorders>
              <w:bottom w:val="single" w:sz="8" w:color="D2DCE5"/>
            </w:tcBorders>
            <w:shd w:val="clear" w:color="auto" w:fill="D2DCE5"/>
          </w:tcPr>
          <w:p>
            <w:pPr>
              <w:spacing w:after="0"/>
              <w:rPr>
                <w:sz w:val="18"/>
                <w:szCs w:val="18"/>
                <w:color w:val="auto"/>
              </w:rPr>
            </w:pPr>
          </w:p>
        </w:tc>
        <w:tc>
          <w:tcPr>
            <w:tcW w:w="280" w:type="dxa"/>
            <w:vAlign w:val="bottom"/>
            <w:tcBorders>
              <w:bottom w:val="single" w:sz="8" w:color="D2DCE5"/>
            </w:tcBorders>
            <w:shd w:val="clear" w:color="auto" w:fill="D2DCE5"/>
          </w:tcPr>
          <w:p>
            <w:pPr>
              <w:spacing w:after="0"/>
              <w:rPr>
                <w:sz w:val="18"/>
                <w:szCs w:val="18"/>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27,528</w:t>
            </w:r>
          </w:p>
        </w:tc>
        <w:tc>
          <w:tcPr>
            <w:tcW w:w="80" w:type="dxa"/>
            <w:vAlign w:val="bottom"/>
            <w:tcBorders>
              <w:bottom w:val="single" w:sz="8" w:color="D2DCE5"/>
            </w:tcBorders>
            <w:shd w:val="clear" w:color="auto" w:fill="D2DCE5"/>
          </w:tcPr>
          <w:p>
            <w:pPr>
              <w:spacing w:after="0"/>
              <w:rPr>
                <w:sz w:val="18"/>
                <w:szCs w:val="18"/>
                <w:color w:val="auto"/>
              </w:rPr>
            </w:pPr>
          </w:p>
        </w:tc>
        <w:tc>
          <w:tcPr>
            <w:tcW w:w="300" w:type="dxa"/>
            <w:vAlign w:val="bottom"/>
            <w:tcBorders>
              <w:bottom w:val="single" w:sz="8" w:color="D2DCE5"/>
            </w:tcBorders>
            <w:shd w:val="clear" w:color="auto" w:fill="D2DCE5"/>
          </w:tcPr>
          <w:p>
            <w:pPr>
              <w:spacing w:after="0"/>
              <w:rPr>
                <w:sz w:val="18"/>
                <w:szCs w:val="18"/>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27,510</w:t>
            </w:r>
          </w:p>
        </w:tc>
        <w:tc>
          <w:tcPr>
            <w:tcW w:w="0" w:type="dxa"/>
            <w:vAlign w:val="bottom"/>
          </w:tcPr>
          <w:p>
            <w:pPr>
              <w:spacing w:after="0"/>
              <w:rPr>
                <w:sz w:val="1"/>
                <w:szCs w:val="1"/>
                <w:color w:val="auto"/>
              </w:rPr>
            </w:pPr>
          </w:p>
        </w:tc>
      </w:tr>
      <w:tr>
        <w:trPr>
          <w:trHeight w:val="181"/>
        </w:trPr>
        <w:tc>
          <w:tcPr>
            <w:tcW w:w="7160" w:type="dxa"/>
            <w:vAlign w:val="bottom"/>
            <w:gridSpan w:val="2"/>
          </w:tcPr>
          <w:p>
            <w:pPr>
              <w:ind w:left="280"/>
              <w:spacing w:after="0"/>
              <w:rPr>
                <w:sz w:val="20"/>
                <w:szCs w:val="20"/>
                <w:color w:val="auto"/>
              </w:rPr>
            </w:pPr>
            <w:r>
              <w:rPr>
                <w:rFonts w:ascii="Arial" w:cs="Arial" w:eastAsia="Arial" w:hAnsi="Arial"/>
                <w:sz w:val="14"/>
                <w:szCs w:val="14"/>
                <w:color w:val="131E29"/>
              </w:rPr>
              <w:t>Total cost of sales</w:t>
            </w: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558,096</w:t>
            </w: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344,573</w:t>
            </w: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211,478</w:t>
            </w:r>
          </w:p>
        </w:tc>
        <w:tc>
          <w:tcPr>
            <w:tcW w:w="0" w:type="dxa"/>
            <w:vAlign w:val="bottom"/>
          </w:tcPr>
          <w:p>
            <w:pPr>
              <w:spacing w:after="0"/>
              <w:rPr>
                <w:sz w:val="1"/>
                <w:szCs w:val="1"/>
                <w:color w:val="auto"/>
              </w:rPr>
            </w:pPr>
          </w:p>
        </w:tc>
      </w:tr>
      <w:tr>
        <w:trPr>
          <w:trHeight w:val="22"/>
        </w:trPr>
        <w:tc>
          <w:tcPr>
            <w:tcW w:w="708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71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Segment contribution:</w:t>
            </w:r>
          </w:p>
        </w:tc>
        <w:tc>
          <w:tcPr>
            <w:tcW w:w="300" w:type="dxa"/>
            <w:vAlign w:val="bottom"/>
            <w:tcBorders>
              <w:bottom w:val="single" w:sz="8" w:color="D2DCE5"/>
            </w:tcBorders>
            <w:shd w:val="clear" w:color="auto" w:fill="D2DCE5"/>
          </w:tcPr>
          <w:p>
            <w:pPr>
              <w:spacing w:after="0"/>
              <w:rPr>
                <w:sz w:val="14"/>
                <w:szCs w:val="14"/>
                <w:color w:val="auto"/>
              </w:rPr>
            </w:pPr>
          </w:p>
        </w:tc>
        <w:tc>
          <w:tcPr>
            <w:tcW w:w="1020" w:type="dxa"/>
            <w:vAlign w:val="bottom"/>
            <w:tcBorders>
              <w:bottom w:val="single" w:sz="8" w:color="D2DCE5"/>
            </w:tcBorders>
            <w:shd w:val="clear" w:color="auto" w:fill="D2DCE5"/>
          </w:tcPr>
          <w:p>
            <w:pPr>
              <w:spacing w:after="0"/>
              <w:rPr>
                <w:sz w:val="14"/>
                <w:szCs w:val="14"/>
                <w:color w:val="auto"/>
              </w:rPr>
            </w:pPr>
          </w:p>
        </w:tc>
        <w:tc>
          <w:tcPr>
            <w:tcW w:w="80" w:type="dxa"/>
            <w:vAlign w:val="bottom"/>
            <w:tcBorders>
              <w:bottom w:val="single" w:sz="8" w:color="D2DCE5"/>
            </w:tcBorders>
            <w:shd w:val="clear" w:color="auto" w:fill="D2DCE5"/>
          </w:tcPr>
          <w:p>
            <w:pPr>
              <w:spacing w:after="0"/>
              <w:rPr>
                <w:sz w:val="14"/>
                <w:szCs w:val="14"/>
                <w:color w:val="auto"/>
              </w:rPr>
            </w:pPr>
          </w:p>
        </w:tc>
        <w:tc>
          <w:tcPr>
            <w:tcW w:w="280" w:type="dxa"/>
            <w:vAlign w:val="bottom"/>
            <w:tcBorders>
              <w:bottom w:val="single" w:sz="8" w:color="D2DCE5"/>
            </w:tcBorders>
            <w:shd w:val="clear" w:color="auto" w:fill="D2DCE5"/>
          </w:tcPr>
          <w:p>
            <w:pPr>
              <w:spacing w:after="0"/>
              <w:rPr>
                <w:sz w:val="14"/>
                <w:szCs w:val="14"/>
                <w:color w:val="auto"/>
              </w:rPr>
            </w:pPr>
          </w:p>
        </w:tc>
        <w:tc>
          <w:tcPr>
            <w:tcW w:w="1040" w:type="dxa"/>
            <w:vAlign w:val="bottom"/>
            <w:tcBorders>
              <w:bottom w:val="single" w:sz="8" w:color="D2DCE5"/>
            </w:tcBorders>
            <w:shd w:val="clear" w:color="auto" w:fill="D2DCE5"/>
          </w:tcPr>
          <w:p>
            <w:pPr>
              <w:spacing w:after="0"/>
              <w:rPr>
                <w:sz w:val="14"/>
                <w:szCs w:val="14"/>
                <w:color w:val="auto"/>
              </w:rPr>
            </w:pPr>
          </w:p>
        </w:tc>
        <w:tc>
          <w:tcPr>
            <w:tcW w:w="80" w:type="dxa"/>
            <w:vAlign w:val="bottom"/>
            <w:tcBorders>
              <w:bottom w:val="single" w:sz="8" w:color="D2DCE5"/>
            </w:tcBorders>
            <w:shd w:val="clear" w:color="auto" w:fill="D2DCE5"/>
          </w:tcPr>
          <w:p>
            <w:pPr>
              <w:spacing w:after="0"/>
              <w:rPr>
                <w:sz w:val="14"/>
                <w:szCs w:val="14"/>
                <w:color w:val="auto"/>
              </w:rPr>
            </w:pPr>
          </w:p>
        </w:tc>
        <w:tc>
          <w:tcPr>
            <w:tcW w:w="300" w:type="dxa"/>
            <w:vAlign w:val="bottom"/>
            <w:tcBorders>
              <w:bottom w:val="single" w:sz="8" w:color="D2DCE5"/>
            </w:tcBorders>
            <w:shd w:val="clear" w:color="auto" w:fill="D2DCE5"/>
          </w:tcPr>
          <w:p>
            <w:pPr>
              <w:spacing w:after="0"/>
              <w:rPr>
                <w:sz w:val="14"/>
                <w:szCs w:val="14"/>
                <w:color w:val="auto"/>
              </w:rPr>
            </w:pPr>
          </w:p>
        </w:tc>
        <w:tc>
          <w:tcPr>
            <w:tcW w:w="1020" w:type="dxa"/>
            <w:vAlign w:val="bottom"/>
            <w:tcBorders>
              <w:bottom w:val="single" w:sz="8" w:color="D2DCE5"/>
            </w:tcBorders>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7160" w:type="dxa"/>
            <w:vAlign w:val="bottom"/>
            <w:gridSpan w:val="2"/>
          </w:tcPr>
          <w:p>
            <w:pPr>
              <w:ind w:left="140"/>
              <w:spacing w:after="0"/>
              <w:rPr>
                <w:sz w:val="20"/>
                <w:szCs w:val="20"/>
                <w:color w:val="auto"/>
              </w:rPr>
            </w:pPr>
            <w:r>
              <w:rPr>
                <w:rFonts w:ascii="Arial" w:cs="Arial" w:eastAsia="Arial" w:hAnsi="Arial"/>
                <w:sz w:val="14"/>
                <w:szCs w:val="14"/>
                <w:color w:val="131E29"/>
              </w:rPr>
              <w:t>Company-operated shops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157,633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131E29"/>
              </w:rPr>
              <w:t>102,992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70,283</w:t>
            </w:r>
          </w:p>
        </w:tc>
        <w:tc>
          <w:tcPr>
            <w:tcW w:w="0" w:type="dxa"/>
            <w:vAlign w:val="bottom"/>
          </w:tcPr>
          <w:p>
            <w:pPr>
              <w:spacing w:after="0"/>
              <w:rPr>
                <w:sz w:val="1"/>
                <w:szCs w:val="1"/>
                <w:color w:val="auto"/>
              </w:rPr>
            </w:pPr>
          </w:p>
        </w:tc>
      </w:tr>
      <w:tr>
        <w:trPr>
          <w:trHeight w:val="22"/>
        </w:trPr>
        <w:tc>
          <w:tcPr>
            <w:tcW w:w="7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16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Franchising and other</w:t>
            </w:r>
          </w:p>
        </w:tc>
        <w:tc>
          <w:tcPr>
            <w:tcW w:w="300" w:type="dxa"/>
            <w:vAlign w:val="bottom"/>
            <w:tcBorders>
              <w:bottom w:val="single" w:sz="8" w:color="D2DCE5"/>
            </w:tcBorders>
            <w:shd w:val="clear" w:color="auto" w:fill="D2DCE5"/>
          </w:tcPr>
          <w:p>
            <w:pPr>
              <w:spacing w:after="0"/>
              <w:rPr>
                <w:sz w:val="18"/>
                <w:szCs w:val="18"/>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65,295</w:t>
            </w:r>
          </w:p>
        </w:tc>
        <w:tc>
          <w:tcPr>
            <w:tcW w:w="80" w:type="dxa"/>
            <w:vAlign w:val="bottom"/>
            <w:tcBorders>
              <w:bottom w:val="single" w:sz="8" w:color="D2DCE5"/>
            </w:tcBorders>
            <w:shd w:val="clear" w:color="auto" w:fill="D2DCE5"/>
          </w:tcPr>
          <w:p>
            <w:pPr>
              <w:spacing w:after="0"/>
              <w:rPr>
                <w:sz w:val="18"/>
                <w:szCs w:val="18"/>
                <w:color w:val="auto"/>
              </w:rPr>
            </w:pPr>
          </w:p>
        </w:tc>
        <w:tc>
          <w:tcPr>
            <w:tcW w:w="280" w:type="dxa"/>
            <w:vAlign w:val="bottom"/>
            <w:tcBorders>
              <w:bottom w:val="single" w:sz="8" w:color="D2DCE5"/>
            </w:tcBorders>
            <w:shd w:val="clear" w:color="auto" w:fill="D2DCE5"/>
          </w:tcPr>
          <w:p>
            <w:pPr>
              <w:spacing w:after="0"/>
              <w:rPr>
                <w:sz w:val="18"/>
                <w:szCs w:val="18"/>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72,865</w:t>
            </w:r>
          </w:p>
        </w:tc>
        <w:tc>
          <w:tcPr>
            <w:tcW w:w="80" w:type="dxa"/>
            <w:vAlign w:val="bottom"/>
            <w:tcBorders>
              <w:bottom w:val="single" w:sz="8" w:color="D2DCE5"/>
            </w:tcBorders>
            <w:shd w:val="clear" w:color="auto" w:fill="D2DCE5"/>
          </w:tcPr>
          <w:p>
            <w:pPr>
              <w:spacing w:after="0"/>
              <w:rPr>
                <w:sz w:val="18"/>
                <w:szCs w:val="18"/>
                <w:color w:val="auto"/>
              </w:rPr>
            </w:pPr>
          </w:p>
        </w:tc>
        <w:tc>
          <w:tcPr>
            <w:tcW w:w="300" w:type="dxa"/>
            <w:vAlign w:val="bottom"/>
            <w:tcBorders>
              <w:bottom w:val="single" w:sz="8" w:color="D2DCE5"/>
            </w:tcBorders>
            <w:shd w:val="clear" w:color="auto" w:fill="D2DCE5"/>
          </w:tcPr>
          <w:p>
            <w:pPr>
              <w:spacing w:after="0"/>
              <w:rPr>
                <w:sz w:val="18"/>
                <w:szCs w:val="18"/>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59,738</w:t>
            </w:r>
          </w:p>
        </w:tc>
        <w:tc>
          <w:tcPr>
            <w:tcW w:w="0" w:type="dxa"/>
            <w:vAlign w:val="bottom"/>
          </w:tcPr>
          <w:p>
            <w:pPr>
              <w:spacing w:after="0"/>
              <w:rPr>
                <w:sz w:val="1"/>
                <w:szCs w:val="1"/>
                <w:color w:val="auto"/>
              </w:rPr>
            </w:pPr>
          </w:p>
        </w:tc>
      </w:tr>
      <w:tr>
        <w:trPr>
          <w:trHeight w:val="203"/>
        </w:trPr>
        <w:tc>
          <w:tcPr>
            <w:tcW w:w="7160" w:type="dxa"/>
            <w:vAlign w:val="bottom"/>
            <w:gridSpan w:val="2"/>
          </w:tcPr>
          <w:p>
            <w:pPr>
              <w:ind w:left="280"/>
              <w:spacing w:after="0"/>
              <w:rPr>
                <w:sz w:val="20"/>
                <w:szCs w:val="20"/>
                <w:color w:val="auto"/>
              </w:rPr>
            </w:pPr>
            <w:r>
              <w:rPr>
                <w:rFonts w:ascii="Arial" w:cs="Arial" w:eastAsia="Arial" w:hAnsi="Arial"/>
                <w:sz w:val="14"/>
                <w:szCs w:val="14"/>
                <w:color w:val="131E29"/>
              </w:rPr>
              <w:t>Total segment contribution</w:t>
            </w: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rPr>
              <w:t>222,928</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131E2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rPr>
              <w:t>175,857</w:t>
            </w: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rPr>
              <w:t>130,021</w:t>
            </w:r>
          </w:p>
        </w:tc>
        <w:tc>
          <w:tcPr>
            <w:tcW w:w="0" w:type="dxa"/>
            <w:vAlign w:val="bottom"/>
          </w:tcPr>
          <w:p>
            <w:pPr>
              <w:spacing w:after="0"/>
              <w:rPr>
                <w:sz w:val="1"/>
                <w:szCs w:val="1"/>
                <w:color w:val="auto"/>
              </w:rPr>
            </w:pPr>
          </w:p>
        </w:tc>
      </w:tr>
      <w:tr>
        <w:trPr>
          <w:trHeight w:val="20"/>
        </w:trPr>
        <w:tc>
          <w:tcPr>
            <w:tcW w:w="708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7160" w:type="dxa"/>
            <w:vAlign w:val="bottom"/>
            <w:tcBorders>
              <w:bottom w:val="single" w:sz="8" w:color="D2DCE5"/>
            </w:tcBorders>
            <w:gridSpan w:val="2"/>
            <w:shd w:val="clear" w:color="auto" w:fill="D2DCE5"/>
          </w:tcPr>
          <w:p>
            <w:pPr>
              <w:ind w:left="20"/>
              <w:spacing w:after="0" w:line="152" w:lineRule="exact"/>
              <w:rPr>
                <w:sz w:val="20"/>
                <w:szCs w:val="20"/>
                <w:color w:val="auto"/>
              </w:rPr>
            </w:pPr>
            <w:r>
              <w:rPr>
                <w:rFonts w:ascii="Arial" w:cs="Arial" w:eastAsia="Arial" w:hAnsi="Arial"/>
                <w:sz w:val="14"/>
                <w:szCs w:val="14"/>
                <w:color w:val="131E29"/>
              </w:rPr>
              <w:t>Depreciation and amortization:</w:t>
            </w:r>
          </w:p>
        </w:tc>
        <w:tc>
          <w:tcPr>
            <w:tcW w:w="300" w:type="dxa"/>
            <w:vAlign w:val="bottom"/>
            <w:tcBorders>
              <w:bottom w:val="single" w:sz="8" w:color="D2DCE5"/>
            </w:tcBorders>
            <w:shd w:val="clear" w:color="auto" w:fill="D2DCE5"/>
          </w:tcPr>
          <w:p>
            <w:pPr>
              <w:spacing w:after="0"/>
              <w:rPr>
                <w:sz w:val="13"/>
                <w:szCs w:val="13"/>
                <w:color w:val="auto"/>
              </w:rPr>
            </w:pPr>
          </w:p>
        </w:tc>
        <w:tc>
          <w:tcPr>
            <w:tcW w:w="1020" w:type="dxa"/>
            <w:vAlign w:val="bottom"/>
            <w:tcBorders>
              <w:bottom w:val="single" w:sz="8" w:color="D2DCE5"/>
            </w:tcBorders>
            <w:shd w:val="clear" w:color="auto" w:fill="D2DCE5"/>
          </w:tcPr>
          <w:p>
            <w:pPr>
              <w:spacing w:after="0"/>
              <w:rPr>
                <w:sz w:val="13"/>
                <w:szCs w:val="13"/>
                <w:color w:val="auto"/>
              </w:rPr>
            </w:pPr>
          </w:p>
        </w:tc>
        <w:tc>
          <w:tcPr>
            <w:tcW w:w="80" w:type="dxa"/>
            <w:vAlign w:val="bottom"/>
            <w:tcBorders>
              <w:bottom w:val="single" w:sz="8" w:color="D2DCE5"/>
            </w:tcBorders>
            <w:shd w:val="clear" w:color="auto" w:fill="D2DCE5"/>
          </w:tcPr>
          <w:p>
            <w:pPr>
              <w:spacing w:after="0"/>
              <w:rPr>
                <w:sz w:val="13"/>
                <w:szCs w:val="13"/>
                <w:color w:val="auto"/>
              </w:rPr>
            </w:pPr>
          </w:p>
        </w:tc>
        <w:tc>
          <w:tcPr>
            <w:tcW w:w="280" w:type="dxa"/>
            <w:vAlign w:val="bottom"/>
            <w:tcBorders>
              <w:bottom w:val="single" w:sz="8" w:color="D2DCE5"/>
            </w:tcBorders>
            <w:shd w:val="clear" w:color="auto" w:fill="D2DCE5"/>
          </w:tcPr>
          <w:p>
            <w:pPr>
              <w:spacing w:after="0"/>
              <w:rPr>
                <w:sz w:val="13"/>
                <w:szCs w:val="13"/>
                <w:color w:val="auto"/>
              </w:rPr>
            </w:pPr>
          </w:p>
        </w:tc>
        <w:tc>
          <w:tcPr>
            <w:tcW w:w="1040" w:type="dxa"/>
            <w:vAlign w:val="bottom"/>
            <w:tcBorders>
              <w:bottom w:val="single" w:sz="8" w:color="D2DCE5"/>
            </w:tcBorders>
            <w:shd w:val="clear" w:color="auto" w:fill="D2DCE5"/>
          </w:tcPr>
          <w:p>
            <w:pPr>
              <w:spacing w:after="0"/>
              <w:rPr>
                <w:sz w:val="13"/>
                <w:szCs w:val="13"/>
                <w:color w:val="auto"/>
              </w:rPr>
            </w:pPr>
          </w:p>
        </w:tc>
        <w:tc>
          <w:tcPr>
            <w:tcW w:w="80" w:type="dxa"/>
            <w:vAlign w:val="bottom"/>
            <w:tcBorders>
              <w:bottom w:val="single" w:sz="8" w:color="D2DCE5"/>
            </w:tcBorders>
            <w:shd w:val="clear" w:color="auto" w:fill="D2DCE5"/>
          </w:tcPr>
          <w:p>
            <w:pPr>
              <w:spacing w:after="0"/>
              <w:rPr>
                <w:sz w:val="13"/>
                <w:szCs w:val="13"/>
                <w:color w:val="auto"/>
              </w:rPr>
            </w:pPr>
          </w:p>
        </w:tc>
        <w:tc>
          <w:tcPr>
            <w:tcW w:w="300" w:type="dxa"/>
            <w:vAlign w:val="bottom"/>
            <w:tcBorders>
              <w:bottom w:val="single" w:sz="8" w:color="D2DCE5"/>
            </w:tcBorders>
            <w:shd w:val="clear" w:color="auto" w:fill="D2DCE5"/>
          </w:tcPr>
          <w:p>
            <w:pPr>
              <w:spacing w:after="0"/>
              <w:rPr>
                <w:sz w:val="13"/>
                <w:szCs w:val="13"/>
                <w:color w:val="auto"/>
              </w:rPr>
            </w:pPr>
          </w:p>
        </w:tc>
        <w:tc>
          <w:tcPr>
            <w:tcW w:w="1020" w:type="dxa"/>
            <w:vAlign w:val="bottom"/>
            <w:tcBorders>
              <w:bottom w:val="single" w:sz="8" w:color="D2DCE5"/>
            </w:tcBorders>
            <w:shd w:val="clear" w:color="auto" w:fill="D2DCE5"/>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7160" w:type="dxa"/>
            <w:vAlign w:val="bottom"/>
            <w:gridSpan w:val="2"/>
          </w:tcPr>
          <w:p>
            <w:pPr>
              <w:ind w:left="140"/>
              <w:spacing w:after="0"/>
              <w:rPr>
                <w:sz w:val="20"/>
                <w:szCs w:val="20"/>
                <w:color w:val="auto"/>
              </w:rPr>
            </w:pPr>
            <w:r>
              <w:rPr>
                <w:rFonts w:ascii="Arial" w:cs="Arial" w:eastAsia="Arial" w:hAnsi="Arial"/>
                <w:sz w:val="14"/>
                <w:szCs w:val="14"/>
                <w:color w:val="131E29"/>
              </w:rPr>
              <w:t>Company-operated shops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36,306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131E29"/>
              </w:rPr>
              <w:t>16,291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9,737</w:t>
            </w:r>
          </w:p>
        </w:tc>
        <w:tc>
          <w:tcPr>
            <w:tcW w:w="0" w:type="dxa"/>
            <w:vAlign w:val="bottom"/>
          </w:tcPr>
          <w:p>
            <w:pPr>
              <w:spacing w:after="0"/>
              <w:rPr>
                <w:sz w:val="1"/>
                <w:szCs w:val="1"/>
                <w:color w:val="auto"/>
              </w:rPr>
            </w:pPr>
          </w:p>
        </w:tc>
      </w:tr>
      <w:tr>
        <w:trPr>
          <w:trHeight w:val="22"/>
        </w:trPr>
        <w:tc>
          <w:tcPr>
            <w:tcW w:w="7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16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Franchising and other</w:t>
            </w:r>
          </w:p>
        </w:tc>
        <w:tc>
          <w:tcPr>
            <w:tcW w:w="300" w:type="dxa"/>
            <w:vAlign w:val="bottom"/>
            <w:tcBorders>
              <w:bottom w:val="single" w:sz="8" w:color="D2DCE5"/>
            </w:tcBorders>
            <w:shd w:val="clear" w:color="auto" w:fill="D2DCE5"/>
          </w:tcPr>
          <w:p>
            <w:pPr>
              <w:spacing w:after="0"/>
              <w:rPr>
                <w:sz w:val="18"/>
                <w:szCs w:val="18"/>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5,706</w:t>
            </w:r>
          </w:p>
        </w:tc>
        <w:tc>
          <w:tcPr>
            <w:tcW w:w="80" w:type="dxa"/>
            <w:vAlign w:val="bottom"/>
            <w:tcBorders>
              <w:bottom w:val="single" w:sz="8" w:color="D2DCE5"/>
            </w:tcBorders>
            <w:shd w:val="clear" w:color="auto" w:fill="D2DCE5"/>
          </w:tcPr>
          <w:p>
            <w:pPr>
              <w:spacing w:after="0"/>
              <w:rPr>
                <w:sz w:val="18"/>
                <w:szCs w:val="18"/>
                <w:color w:val="auto"/>
              </w:rPr>
            </w:pPr>
          </w:p>
        </w:tc>
        <w:tc>
          <w:tcPr>
            <w:tcW w:w="280" w:type="dxa"/>
            <w:vAlign w:val="bottom"/>
            <w:tcBorders>
              <w:bottom w:val="single" w:sz="8" w:color="D2DCE5"/>
            </w:tcBorders>
            <w:shd w:val="clear" w:color="auto" w:fill="D2DCE5"/>
          </w:tcPr>
          <w:p>
            <w:pPr>
              <w:spacing w:after="0"/>
              <w:rPr>
                <w:sz w:val="18"/>
                <w:szCs w:val="18"/>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6,263</w:t>
            </w:r>
          </w:p>
        </w:tc>
        <w:tc>
          <w:tcPr>
            <w:tcW w:w="80" w:type="dxa"/>
            <w:vAlign w:val="bottom"/>
            <w:tcBorders>
              <w:bottom w:val="single" w:sz="8" w:color="D2DCE5"/>
            </w:tcBorders>
            <w:shd w:val="clear" w:color="auto" w:fill="D2DCE5"/>
          </w:tcPr>
          <w:p>
            <w:pPr>
              <w:spacing w:after="0"/>
              <w:rPr>
                <w:sz w:val="18"/>
                <w:szCs w:val="18"/>
                <w:color w:val="auto"/>
              </w:rPr>
            </w:pPr>
          </w:p>
        </w:tc>
        <w:tc>
          <w:tcPr>
            <w:tcW w:w="300" w:type="dxa"/>
            <w:vAlign w:val="bottom"/>
            <w:tcBorders>
              <w:bottom w:val="single" w:sz="8" w:color="D2DCE5"/>
            </w:tcBorders>
            <w:shd w:val="clear" w:color="auto" w:fill="D2DCE5"/>
          </w:tcPr>
          <w:p>
            <w:pPr>
              <w:spacing w:after="0"/>
              <w:rPr>
                <w:sz w:val="18"/>
                <w:szCs w:val="18"/>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4,349</w:t>
            </w:r>
          </w:p>
        </w:tc>
        <w:tc>
          <w:tcPr>
            <w:tcW w:w="0" w:type="dxa"/>
            <w:vAlign w:val="bottom"/>
          </w:tcPr>
          <w:p>
            <w:pPr>
              <w:spacing w:after="0"/>
              <w:rPr>
                <w:sz w:val="1"/>
                <w:szCs w:val="1"/>
                <w:color w:val="auto"/>
              </w:rPr>
            </w:pPr>
          </w:p>
        </w:tc>
      </w:tr>
      <w:tr>
        <w:trPr>
          <w:trHeight w:val="181"/>
        </w:trPr>
        <w:tc>
          <w:tcPr>
            <w:tcW w:w="7160" w:type="dxa"/>
            <w:vAlign w:val="bottom"/>
            <w:gridSpan w:val="2"/>
          </w:tcPr>
          <w:p>
            <w:pPr>
              <w:ind w:left="280"/>
              <w:spacing w:after="0"/>
              <w:rPr>
                <w:sz w:val="20"/>
                <w:szCs w:val="20"/>
                <w:color w:val="auto"/>
              </w:rPr>
            </w:pPr>
            <w:r>
              <w:rPr>
                <w:rFonts w:ascii="Arial" w:cs="Arial" w:eastAsia="Arial" w:hAnsi="Arial"/>
                <w:sz w:val="14"/>
                <w:szCs w:val="14"/>
                <w:color w:val="131E29"/>
              </w:rPr>
              <w:t>Total depreciation and amortization</w:t>
            </w: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42,012</w:t>
            </w: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22,554</w:t>
            </w: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14,086</w:t>
            </w:r>
          </w:p>
        </w:tc>
        <w:tc>
          <w:tcPr>
            <w:tcW w:w="0" w:type="dxa"/>
            <w:vAlign w:val="bottom"/>
          </w:tcPr>
          <w:p>
            <w:pPr>
              <w:spacing w:after="0"/>
              <w:rPr>
                <w:sz w:val="1"/>
                <w:szCs w:val="1"/>
                <w:color w:val="auto"/>
              </w:rPr>
            </w:pPr>
          </w:p>
        </w:tc>
      </w:tr>
      <w:tr>
        <w:trPr>
          <w:trHeight w:val="22"/>
        </w:trPr>
        <w:tc>
          <w:tcPr>
            <w:tcW w:w="7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1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Selling, general and administrative</w:t>
            </w:r>
          </w:p>
        </w:tc>
        <w:tc>
          <w:tcPr>
            <w:tcW w:w="300" w:type="dxa"/>
            <w:vAlign w:val="bottom"/>
            <w:tcBorders>
              <w:bottom w:val="single" w:sz="8" w:color="D2DCE5"/>
            </w:tcBorders>
            <w:shd w:val="clear" w:color="auto" w:fill="D2DCE5"/>
          </w:tcPr>
          <w:p>
            <w:pPr>
              <w:spacing w:after="0"/>
              <w:rPr>
                <w:sz w:val="16"/>
                <w:szCs w:val="16"/>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(183,528)</w:t>
            </w:r>
          </w:p>
        </w:tc>
        <w:tc>
          <w:tcPr>
            <w:tcW w:w="8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spacing w:after="0"/>
              <w:rPr>
                <w:sz w:val="16"/>
                <w:szCs w:val="16"/>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(264,529)</w:t>
            </w: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(104,935)</w:t>
            </w:r>
          </w:p>
        </w:tc>
        <w:tc>
          <w:tcPr>
            <w:tcW w:w="0" w:type="dxa"/>
            <w:vAlign w:val="bottom"/>
          </w:tcPr>
          <w:p>
            <w:pPr>
              <w:spacing w:after="0"/>
              <w:rPr>
                <w:sz w:val="1"/>
                <w:szCs w:val="1"/>
                <w:color w:val="auto"/>
              </w:rPr>
            </w:pPr>
          </w:p>
        </w:tc>
      </w:tr>
      <w:tr>
        <w:trPr>
          <w:trHeight w:val="191"/>
        </w:trPr>
        <w:tc>
          <w:tcPr>
            <w:tcW w:w="7160" w:type="dxa"/>
            <w:vAlign w:val="bottom"/>
            <w:gridSpan w:val="2"/>
          </w:tcPr>
          <w:p>
            <w:pPr>
              <w:ind w:left="20"/>
              <w:spacing w:after="0"/>
              <w:rPr>
                <w:sz w:val="20"/>
                <w:szCs w:val="20"/>
                <w:color w:val="auto"/>
              </w:rPr>
            </w:pPr>
            <w:r>
              <w:rPr>
                <w:rFonts w:ascii="Arial" w:cs="Arial" w:eastAsia="Arial" w:hAnsi="Arial"/>
                <w:sz w:val="14"/>
                <w:szCs w:val="14"/>
                <w:color w:val="131E29"/>
              </w:rPr>
              <w:t>Interest expense, net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(18,018)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131E29"/>
              </w:rPr>
              <w:t>(7,093)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(3,736)</w:t>
            </w:r>
          </w:p>
        </w:tc>
        <w:tc>
          <w:tcPr>
            <w:tcW w:w="0" w:type="dxa"/>
            <w:vAlign w:val="bottom"/>
          </w:tcPr>
          <w:p>
            <w:pPr>
              <w:spacing w:after="0"/>
              <w:rPr>
                <w:sz w:val="1"/>
                <w:szCs w:val="1"/>
                <w:color w:val="auto"/>
              </w:rPr>
            </w:pPr>
          </w:p>
        </w:tc>
      </w:tr>
      <w:tr>
        <w:trPr>
          <w:trHeight w:val="22"/>
        </w:trPr>
        <w:tc>
          <w:tcPr>
            <w:tcW w:w="7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1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Other income (expense), net</w:t>
            </w:r>
          </w:p>
        </w:tc>
        <w:tc>
          <w:tcPr>
            <w:tcW w:w="300" w:type="dxa"/>
            <w:vAlign w:val="bottom"/>
            <w:tcBorders>
              <w:bottom w:val="single" w:sz="8" w:color="D2DCE5"/>
            </w:tcBorders>
            <w:shd w:val="clear" w:color="auto" w:fill="D2DCE5"/>
          </w:tcPr>
          <w:p>
            <w:pPr>
              <w:spacing w:after="0"/>
              <w:rPr>
                <w:sz w:val="18"/>
                <w:szCs w:val="18"/>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3,976</w:t>
            </w:r>
          </w:p>
        </w:tc>
        <w:tc>
          <w:tcPr>
            <w:tcW w:w="80" w:type="dxa"/>
            <w:vAlign w:val="bottom"/>
            <w:tcBorders>
              <w:bottom w:val="single" w:sz="8" w:color="D2DCE5"/>
            </w:tcBorders>
            <w:shd w:val="clear" w:color="auto" w:fill="D2DCE5"/>
          </w:tcPr>
          <w:p>
            <w:pPr>
              <w:spacing w:after="0"/>
              <w:rPr>
                <w:sz w:val="18"/>
                <w:szCs w:val="18"/>
                <w:color w:val="auto"/>
              </w:rPr>
            </w:pPr>
          </w:p>
        </w:tc>
        <w:tc>
          <w:tcPr>
            <w:tcW w:w="280" w:type="dxa"/>
            <w:vAlign w:val="bottom"/>
            <w:tcBorders>
              <w:bottom w:val="single" w:sz="8" w:color="D2DCE5"/>
            </w:tcBorders>
            <w:shd w:val="clear" w:color="auto" w:fill="D2DCE5"/>
          </w:tcPr>
          <w:p>
            <w:pPr>
              <w:spacing w:after="0"/>
              <w:rPr>
                <w:sz w:val="18"/>
                <w:szCs w:val="18"/>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(1,240)</w:t>
            </w:r>
          </w:p>
        </w:tc>
        <w:tc>
          <w:tcPr>
            <w:tcW w:w="80" w:type="dxa"/>
            <w:vAlign w:val="bottom"/>
            <w:tcBorders>
              <w:bottom w:val="single" w:sz="8" w:color="D2DCE5"/>
            </w:tcBorders>
            <w:shd w:val="clear" w:color="auto" w:fill="D2DCE5"/>
          </w:tcPr>
          <w:p>
            <w:pPr>
              <w:spacing w:after="0"/>
              <w:rPr>
                <w:sz w:val="18"/>
                <w:szCs w:val="18"/>
                <w:color w:val="auto"/>
              </w:rPr>
            </w:pPr>
          </w:p>
        </w:tc>
        <w:tc>
          <w:tcPr>
            <w:tcW w:w="300" w:type="dxa"/>
            <w:vAlign w:val="bottom"/>
            <w:tcBorders>
              <w:bottom w:val="single" w:sz="8" w:color="D2DCE5"/>
            </w:tcBorders>
            <w:shd w:val="clear" w:color="auto" w:fill="D2DCE5"/>
          </w:tcPr>
          <w:p>
            <w:pPr>
              <w:spacing w:after="0"/>
              <w:rPr>
                <w:sz w:val="18"/>
                <w:szCs w:val="18"/>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(363)</w:t>
            </w:r>
          </w:p>
        </w:tc>
        <w:tc>
          <w:tcPr>
            <w:tcW w:w="0" w:type="dxa"/>
            <w:vAlign w:val="bottom"/>
          </w:tcPr>
          <w:p>
            <w:pPr>
              <w:spacing w:after="0"/>
              <w:rPr>
                <w:sz w:val="1"/>
                <w:szCs w:val="1"/>
                <w:color w:val="auto"/>
              </w:rPr>
            </w:pPr>
          </w:p>
        </w:tc>
      </w:tr>
      <w:tr>
        <w:trPr>
          <w:trHeight w:val="202"/>
        </w:trPr>
        <w:tc>
          <w:tcPr>
            <w:tcW w:w="7160" w:type="dxa"/>
            <w:vAlign w:val="bottom"/>
            <w:gridSpan w:val="2"/>
          </w:tcPr>
          <w:p>
            <w:pPr>
              <w:ind w:left="280"/>
              <w:spacing w:after="0"/>
              <w:rPr>
                <w:sz w:val="20"/>
                <w:szCs w:val="20"/>
                <w:color w:val="auto"/>
              </w:rPr>
            </w:pPr>
            <w:r>
              <w:rPr>
                <w:rFonts w:ascii="Arial" w:cs="Arial" w:eastAsia="Arial" w:hAnsi="Arial"/>
                <w:sz w:val="14"/>
                <w:szCs w:val="14"/>
                <w:color w:val="131E29"/>
              </w:rPr>
              <w:t>Income (loss) before income taxes</w:t>
            </w: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rPr>
              <w:t>(16,654)</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131E2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rPr>
              <w:t>(119,559)</w:t>
            </w: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131E29"/>
              </w:rPr>
              <w:t>6,901</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4"/>
                <w:szCs w:val="14"/>
                <w:color w:val="131E29"/>
              </w:rPr>
              <w:t>_________________</w:t>
            </w: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70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140" w:hanging="135"/>
        <w:spacing w:after="0" w:line="221" w:lineRule="auto"/>
        <w:tabs>
          <w:tab w:leader="none" w:pos="220" w:val="left"/>
        </w:tabs>
        <w:numPr>
          <w:ilvl w:val="0"/>
          <w:numId w:val="81"/>
        </w:numPr>
        <w:rPr>
          <w:rFonts w:ascii="Arial" w:cs="Arial" w:eastAsia="Arial" w:hAnsi="Arial"/>
          <w:sz w:val="15"/>
          <w:szCs w:val="15"/>
          <w:color w:val="auto"/>
          <w:vertAlign w:val="superscript"/>
        </w:rPr>
      </w:pPr>
      <w:r>
        <w:rPr>
          <w:rFonts w:ascii="Arial" w:cs="Arial" w:eastAsia="Arial" w:hAnsi="Arial"/>
          <w:sz w:val="11"/>
          <w:szCs w:val="11"/>
          <w:color w:val="auto"/>
        </w:rPr>
        <w:t xml:space="preserve">The Company identified immaterial corrections related to the accrual of employee sick leave and the application of ASC 710, </w:t>
      </w:r>
      <w:r>
        <w:rPr>
          <w:rFonts w:ascii="Arial" w:cs="Arial" w:eastAsia="Arial" w:hAnsi="Arial"/>
          <w:sz w:val="11"/>
          <w:szCs w:val="11"/>
          <w:i w:val="1"/>
          <w:iCs w:val="1"/>
          <w:color w:val="auto"/>
        </w:rPr>
        <w:t>Compensation - General</w:t>
      </w:r>
      <w:r>
        <w:rPr>
          <w:rFonts w:ascii="Arial" w:cs="Arial" w:eastAsia="Arial" w:hAnsi="Arial"/>
          <w:sz w:val="11"/>
          <w:szCs w:val="11"/>
          <w:color w:val="auto"/>
        </w:rPr>
        <w:t xml:space="preserve">, which resulted in revisions to prior period reported amounts with impacted line items presented below for the years ended December 31, </w:t>
      </w:r>
      <w:r>
        <w:rPr>
          <w:rFonts w:ascii="Arial" w:cs="Arial" w:eastAsia="Arial" w:hAnsi="Arial"/>
          <w:sz w:val="11"/>
          <w:szCs w:val="11"/>
          <w:color w:val="131E29"/>
        </w:rPr>
        <w:t>2021 and 2020, r</w:t>
      </w:r>
      <w:r>
        <w:rPr>
          <w:rFonts w:ascii="Arial" w:cs="Arial" w:eastAsia="Arial" w:hAnsi="Arial"/>
          <w:sz w:val="11"/>
          <w:szCs w:val="11"/>
          <w:color w:val="auto"/>
        </w:rPr>
        <w:t>espectively.</w:t>
      </w:r>
    </w:p>
    <w:p>
      <w:pPr>
        <w:spacing w:after="0" w:line="158" w:lineRule="exact"/>
        <w:rPr>
          <w:sz w:val="20"/>
          <w:szCs w:val="20"/>
          <w:color w:val="auto"/>
        </w:rPr>
      </w:pPr>
    </w:p>
    <w:tbl>
      <w:tblPr>
        <w:tblLayout w:type="fixed"/>
        <w:tblInd w:w="140" w:type="dxa"/>
        <w:tblCellMar>
          <w:top w:w="0" w:type="dxa"/>
          <w:left w:w="0" w:type="dxa"/>
          <w:bottom w:w="0" w:type="dxa"/>
          <w:right w:w="0" w:type="dxa"/>
        </w:tblCellMar>
      </w:tblPr>
      <w:tr>
        <w:trPr>
          <w:trHeight w:val="160"/>
        </w:trPr>
        <w:tc>
          <w:tcPr>
            <w:tcW w:w="8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4"/>
          </w:tcPr>
          <w:p>
            <w:pPr>
              <w:jc w:val="right"/>
              <w:ind w:right="603"/>
              <w:spacing w:after="0"/>
              <w:rPr>
                <w:sz w:val="20"/>
                <w:szCs w:val="20"/>
                <w:color w:val="auto"/>
              </w:rPr>
            </w:pPr>
            <w:r>
              <w:rPr>
                <w:rFonts w:ascii="Arial" w:cs="Arial" w:eastAsia="Arial" w:hAnsi="Arial"/>
                <w:sz w:val="11"/>
                <w:szCs w:val="11"/>
                <w:b w:val="1"/>
                <w:bCs w:val="1"/>
                <w:color w:val="131E29"/>
              </w:rPr>
              <w:t>Year Ended December 31,</w:t>
            </w:r>
          </w:p>
        </w:tc>
      </w:tr>
      <w:tr>
        <w:trPr>
          <w:trHeight w:val="171"/>
        </w:trPr>
        <w:tc>
          <w:tcPr>
            <w:tcW w:w="8140" w:type="dxa"/>
            <w:vAlign w:val="bottom"/>
            <w:tcBorders>
              <w:bottom w:val="single" w:sz="8" w:color="auto"/>
            </w:tcBorders>
          </w:tcPr>
          <w:p>
            <w:pPr>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83"/>
              <w:spacing w:after="0"/>
              <w:rPr>
                <w:sz w:val="20"/>
                <w:szCs w:val="20"/>
                <w:color w:val="auto"/>
              </w:rPr>
            </w:pPr>
            <w:r>
              <w:rPr>
                <w:rFonts w:ascii="Arial" w:cs="Arial" w:eastAsia="Arial" w:hAnsi="Arial"/>
                <w:sz w:val="11"/>
                <w:szCs w:val="11"/>
                <w:b w:val="1"/>
                <w:bCs w:val="1"/>
                <w:color w:val="131E29"/>
              </w:rPr>
              <w:t>2021</w:t>
            </w:r>
          </w:p>
        </w:tc>
        <w:tc>
          <w:tcPr>
            <w:tcW w:w="80" w:type="dxa"/>
            <w:vAlign w:val="bottom"/>
            <w:tcBorders>
              <w:bottom w:val="single" w:sz="8" w:color="D2DCE5"/>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131E29"/>
              </w:rPr>
              <w:t>2020</w:t>
            </w:r>
          </w:p>
        </w:tc>
      </w:tr>
      <w:tr>
        <w:trPr>
          <w:trHeight w:val="180"/>
        </w:trPr>
        <w:tc>
          <w:tcPr>
            <w:tcW w:w="8220" w:type="dxa"/>
            <w:vAlign w:val="bottom"/>
            <w:gridSpan w:val="2"/>
            <w:shd w:val="clear" w:color="auto" w:fill="D2DCE5"/>
          </w:tcPr>
          <w:p>
            <w:pPr>
              <w:spacing w:after="0"/>
              <w:rPr>
                <w:sz w:val="20"/>
                <w:szCs w:val="20"/>
                <w:color w:val="auto"/>
              </w:rPr>
            </w:pPr>
            <w:r>
              <w:rPr>
                <w:rFonts w:ascii="Arial" w:cs="Arial" w:eastAsia="Arial" w:hAnsi="Arial"/>
                <w:sz w:val="11"/>
                <w:szCs w:val="11"/>
                <w:color w:val="auto"/>
              </w:rPr>
              <w:t>Decrease in company-operated shops cost of sales (labor costs)</w:t>
            </w:r>
          </w:p>
        </w:tc>
        <w:tc>
          <w:tcPr>
            <w:tcW w:w="300" w:type="dxa"/>
            <w:vAlign w:val="bottom"/>
            <w:shd w:val="clear" w:color="auto" w:fill="D2DCE5"/>
          </w:tcPr>
          <w:p>
            <w:pPr>
              <w:jc w:val="right"/>
              <w:ind w:right="163"/>
              <w:spacing w:after="0"/>
              <w:rPr>
                <w:sz w:val="20"/>
                <w:szCs w:val="20"/>
                <w:color w:val="auto"/>
              </w:rPr>
            </w:pPr>
            <w:r>
              <w:rPr>
                <w:rFonts w:ascii="Arial" w:cs="Arial" w:eastAsia="Arial" w:hAnsi="Arial"/>
                <w:sz w:val="11"/>
                <w:szCs w:val="11"/>
                <w:color w:val="131E29"/>
                <w:w w:val="97"/>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(1,518)</w:t>
            </w: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jc w:val="right"/>
              <w:ind w:right="163"/>
              <w:spacing w:after="0"/>
              <w:rPr>
                <w:sz w:val="20"/>
                <w:szCs w:val="20"/>
                <w:color w:val="auto"/>
              </w:rPr>
            </w:pPr>
            <w:r>
              <w:rPr>
                <w:rFonts w:ascii="Arial" w:cs="Arial" w:eastAsia="Arial" w:hAnsi="Arial"/>
                <w:sz w:val="11"/>
                <w:szCs w:val="11"/>
                <w:color w:val="131E29"/>
                <w:w w:val="97"/>
              </w:rPr>
              <w:t>$</w:t>
            </w:r>
          </w:p>
        </w:tc>
        <w:tc>
          <w:tcPr>
            <w:tcW w:w="1000" w:type="dxa"/>
            <w:vAlign w:val="bottom"/>
            <w:shd w:val="clear" w:color="auto" w:fill="D2DCE5"/>
          </w:tcPr>
          <w:p>
            <w:pPr>
              <w:jc w:val="center"/>
              <w:ind w:left="643"/>
              <w:spacing w:after="0"/>
              <w:rPr>
                <w:sz w:val="20"/>
                <w:szCs w:val="20"/>
                <w:color w:val="auto"/>
              </w:rPr>
            </w:pPr>
            <w:r>
              <w:rPr>
                <w:rFonts w:ascii="Arial" w:cs="Arial" w:eastAsia="Arial" w:hAnsi="Arial"/>
                <w:sz w:val="11"/>
                <w:szCs w:val="11"/>
                <w:color w:val="131E29"/>
              </w:rPr>
              <w:t>(178)</w:t>
            </w:r>
          </w:p>
        </w:tc>
      </w:tr>
      <w:tr>
        <w:trPr>
          <w:trHeight w:val="171"/>
        </w:trPr>
        <w:tc>
          <w:tcPr>
            <w:tcW w:w="8220" w:type="dxa"/>
            <w:vAlign w:val="bottom"/>
            <w:gridSpan w:val="2"/>
          </w:tcPr>
          <w:p>
            <w:pPr>
              <w:spacing w:after="0"/>
              <w:rPr>
                <w:sz w:val="20"/>
                <w:szCs w:val="20"/>
                <w:color w:val="auto"/>
              </w:rPr>
            </w:pPr>
            <w:r>
              <w:rPr>
                <w:rFonts w:ascii="Arial" w:cs="Arial" w:eastAsia="Arial" w:hAnsi="Arial"/>
                <w:sz w:val="11"/>
                <w:szCs w:val="11"/>
                <w:color w:val="131E29"/>
              </w:rPr>
              <w:t>Decrease in total cost of sales</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131E29"/>
              </w:rPr>
              <w:t>(1,540)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center"/>
              <w:ind w:left="643"/>
              <w:spacing w:after="0"/>
              <w:rPr>
                <w:sz w:val="20"/>
                <w:szCs w:val="20"/>
                <w:color w:val="auto"/>
              </w:rPr>
            </w:pPr>
            <w:r>
              <w:rPr>
                <w:rFonts w:ascii="Arial" w:cs="Arial" w:eastAsia="Arial" w:hAnsi="Arial"/>
                <w:sz w:val="11"/>
                <w:szCs w:val="11"/>
                <w:color w:val="131E29"/>
              </w:rPr>
              <w:t>(181)</w:t>
            </w:r>
          </w:p>
        </w:tc>
      </w:tr>
      <w:tr>
        <w:trPr>
          <w:trHeight w:val="190"/>
        </w:trPr>
        <w:tc>
          <w:tcPr>
            <w:tcW w:w="8220" w:type="dxa"/>
            <w:vAlign w:val="bottom"/>
            <w:gridSpan w:val="2"/>
            <w:shd w:val="clear" w:color="auto" w:fill="D2DCE5"/>
          </w:tcPr>
          <w:p>
            <w:pPr>
              <w:spacing w:after="0"/>
              <w:rPr>
                <w:sz w:val="20"/>
                <w:szCs w:val="20"/>
                <w:color w:val="auto"/>
              </w:rPr>
            </w:pPr>
            <w:r>
              <w:rPr>
                <w:rFonts w:ascii="Arial" w:cs="Arial" w:eastAsia="Arial" w:hAnsi="Arial"/>
                <w:sz w:val="11"/>
                <w:szCs w:val="11"/>
                <w:color w:val="131E29"/>
              </w:rPr>
              <w:t>Increase in company-operated shops gross profit</w:t>
            </w:r>
          </w:p>
        </w:tc>
        <w:tc>
          <w:tcPr>
            <w:tcW w:w="300" w:type="dxa"/>
            <w:vAlign w:val="bottom"/>
            <w:shd w:val="clear" w:color="auto" w:fill="D2DCE5"/>
          </w:tcPr>
          <w:p>
            <w:pPr>
              <w:spacing w:after="0"/>
              <w:rPr>
                <w:sz w:val="16"/>
                <w:szCs w:val="16"/>
                <w:color w:val="auto"/>
              </w:rPr>
            </w:pPr>
          </w:p>
        </w:tc>
        <w:tc>
          <w:tcPr>
            <w:tcW w:w="102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1,518</w:t>
            </w: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1000" w:type="dxa"/>
            <w:vAlign w:val="bottom"/>
            <w:shd w:val="clear" w:color="auto" w:fill="D2DCE5"/>
          </w:tcPr>
          <w:p>
            <w:pPr>
              <w:jc w:val="center"/>
              <w:ind w:left="643"/>
              <w:spacing w:after="0"/>
              <w:rPr>
                <w:sz w:val="20"/>
                <w:szCs w:val="20"/>
                <w:color w:val="auto"/>
              </w:rPr>
            </w:pPr>
            <w:r>
              <w:rPr>
                <w:rFonts w:ascii="Arial" w:cs="Arial" w:eastAsia="Arial" w:hAnsi="Arial"/>
                <w:sz w:val="11"/>
                <w:szCs w:val="11"/>
                <w:color w:val="131E29"/>
                <w:w w:val="97"/>
              </w:rPr>
              <w:t>178</w:t>
            </w:r>
          </w:p>
        </w:tc>
      </w:tr>
      <w:tr>
        <w:trPr>
          <w:trHeight w:val="171"/>
        </w:trPr>
        <w:tc>
          <w:tcPr>
            <w:tcW w:w="8220" w:type="dxa"/>
            <w:vAlign w:val="bottom"/>
            <w:gridSpan w:val="2"/>
          </w:tcPr>
          <w:p>
            <w:pPr>
              <w:spacing w:after="0"/>
              <w:rPr>
                <w:sz w:val="20"/>
                <w:szCs w:val="20"/>
                <w:color w:val="auto"/>
              </w:rPr>
            </w:pPr>
            <w:r>
              <w:rPr>
                <w:rFonts w:ascii="Arial" w:cs="Arial" w:eastAsia="Arial" w:hAnsi="Arial"/>
                <w:sz w:val="11"/>
                <w:szCs w:val="11"/>
                <w:color w:val="131E29"/>
              </w:rPr>
              <w:t>Increase in company-operated shops segment contribution</w:t>
            </w:r>
          </w:p>
        </w:tc>
        <w:tc>
          <w:tcPr>
            <w:tcW w:w="300" w:type="dxa"/>
            <w:vAlign w:val="bottom"/>
          </w:tcPr>
          <w:p>
            <w:pPr>
              <w:spacing w:after="0"/>
              <w:rPr>
                <w:sz w:val="14"/>
                <w:szCs w:val="14"/>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131E29"/>
              </w:rPr>
              <w:t>1,518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center"/>
              <w:ind w:left="643"/>
              <w:spacing w:after="0"/>
              <w:rPr>
                <w:sz w:val="20"/>
                <w:szCs w:val="20"/>
                <w:color w:val="auto"/>
              </w:rPr>
            </w:pPr>
            <w:r>
              <w:rPr>
                <w:rFonts w:ascii="Arial" w:cs="Arial" w:eastAsia="Arial" w:hAnsi="Arial"/>
                <w:sz w:val="11"/>
                <w:szCs w:val="11"/>
                <w:color w:val="131E29"/>
                <w:w w:val="97"/>
              </w:rPr>
              <w:t>178</w:t>
            </w:r>
          </w:p>
        </w:tc>
      </w:tr>
      <w:tr>
        <w:trPr>
          <w:trHeight w:val="190"/>
        </w:trPr>
        <w:tc>
          <w:tcPr>
            <w:tcW w:w="8220" w:type="dxa"/>
            <w:vAlign w:val="bottom"/>
            <w:gridSpan w:val="2"/>
            <w:shd w:val="clear" w:color="auto" w:fill="D2DCE5"/>
          </w:tcPr>
          <w:p>
            <w:pPr>
              <w:spacing w:after="0"/>
              <w:rPr>
                <w:sz w:val="20"/>
                <w:szCs w:val="20"/>
                <w:color w:val="auto"/>
              </w:rPr>
            </w:pPr>
            <w:r>
              <w:rPr>
                <w:rFonts w:ascii="Arial" w:cs="Arial" w:eastAsia="Arial" w:hAnsi="Arial"/>
                <w:sz w:val="11"/>
                <w:szCs w:val="11"/>
                <w:color w:val="131E29"/>
              </w:rPr>
              <w:t>Increase in total gross profit</w:t>
            </w:r>
          </w:p>
        </w:tc>
        <w:tc>
          <w:tcPr>
            <w:tcW w:w="300" w:type="dxa"/>
            <w:vAlign w:val="bottom"/>
            <w:shd w:val="clear" w:color="auto" w:fill="D2DCE5"/>
          </w:tcPr>
          <w:p>
            <w:pPr>
              <w:spacing w:after="0"/>
              <w:rPr>
                <w:sz w:val="16"/>
                <w:szCs w:val="16"/>
                <w:color w:val="auto"/>
              </w:rPr>
            </w:pPr>
          </w:p>
        </w:tc>
        <w:tc>
          <w:tcPr>
            <w:tcW w:w="102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1,540</w:t>
            </w: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1000" w:type="dxa"/>
            <w:vAlign w:val="bottom"/>
            <w:shd w:val="clear" w:color="auto" w:fill="D2DCE5"/>
          </w:tcPr>
          <w:p>
            <w:pPr>
              <w:jc w:val="center"/>
              <w:ind w:left="643"/>
              <w:spacing w:after="0"/>
              <w:rPr>
                <w:sz w:val="20"/>
                <w:szCs w:val="20"/>
                <w:color w:val="auto"/>
              </w:rPr>
            </w:pPr>
            <w:r>
              <w:rPr>
                <w:rFonts w:ascii="Arial" w:cs="Arial" w:eastAsia="Arial" w:hAnsi="Arial"/>
                <w:sz w:val="11"/>
                <w:szCs w:val="11"/>
                <w:color w:val="131E29"/>
                <w:w w:val="97"/>
              </w:rPr>
              <w:t>181</w:t>
            </w:r>
          </w:p>
        </w:tc>
      </w:tr>
      <w:tr>
        <w:trPr>
          <w:trHeight w:val="171"/>
        </w:trPr>
        <w:tc>
          <w:tcPr>
            <w:tcW w:w="8220" w:type="dxa"/>
            <w:vAlign w:val="bottom"/>
            <w:gridSpan w:val="2"/>
          </w:tcPr>
          <w:p>
            <w:pPr>
              <w:spacing w:after="0"/>
              <w:rPr>
                <w:sz w:val="20"/>
                <w:szCs w:val="20"/>
                <w:color w:val="auto"/>
              </w:rPr>
            </w:pPr>
            <w:r>
              <w:rPr>
                <w:rFonts w:ascii="Arial" w:cs="Arial" w:eastAsia="Arial" w:hAnsi="Arial"/>
                <w:sz w:val="11"/>
                <w:szCs w:val="11"/>
                <w:color w:val="131E29"/>
              </w:rPr>
              <w:t>Increase in total segment contribution</w:t>
            </w:r>
          </w:p>
        </w:tc>
        <w:tc>
          <w:tcPr>
            <w:tcW w:w="300" w:type="dxa"/>
            <w:vAlign w:val="bottom"/>
          </w:tcPr>
          <w:p>
            <w:pPr>
              <w:spacing w:after="0"/>
              <w:rPr>
                <w:sz w:val="14"/>
                <w:szCs w:val="14"/>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131E29"/>
              </w:rPr>
              <w:t>1,540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center"/>
              <w:ind w:left="643"/>
              <w:spacing w:after="0"/>
              <w:rPr>
                <w:sz w:val="20"/>
                <w:szCs w:val="20"/>
                <w:color w:val="auto"/>
              </w:rPr>
            </w:pPr>
            <w:r>
              <w:rPr>
                <w:rFonts w:ascii="Arial" w:cs="Arial" w:eastAsia="Arial" w:hAnsi="Arial"/>
                <w:sz w:val="11"/>
                <w:szCs w:val="11"/>
                <w:color w:val="131E29"/>
                <w:w w:val="97"/>
              </w:rPr>
              <w:t>181</w:t>
            </w:r>
          </w:p>
        </w:tc>
      </w:tr>
      <w:tr>
        <w:trPr>
          <w:trHeight w:val="190"/>
        </w:trPr>
        <w:tc>
          <w:tcPr>
            <w:tcW w:w="8220" w:type="dxa"/>
            <w:vAlign w:val="bottom"/>
            <w:gridSpan w:val="2"/>
            <w:shd w:val="clear" w:color="auto" w:fill="D2DCE5"/>
          </w:tcPr>
          <w:p>
            <w:pPr>
              <w:spacing w:after="0"/>
              <w:rPr>
                <w:sz w:val="20"/>
                <w:szCs w:val="20"/>
                <w:color w:val="auto"/>
              </w:rPr>
            </w:pPr>
            <w:r>
              <w:rPr>
                <w:rFonts w:ascii="Arial" w:cs="Arial" w:eastAsia="Arial" w:hAnsi="Arial"/>
                <w:sz w:val="11"/>
                <w:szCs w:val="11"/>
                <w:color w:val="131E29"/>
              </w:rPr>
              <w:t>Decrease in selling, general and administrative expenses</w:t>
            </w:r>
          </w:p>
        </w:tc>
        <w:tc>
          <w:tcPr>
            <w:tcW w:w="300" w:type="dxa"/>
            <w:vAlign w:val="bottom"/>
            <w:shd w:val="clear" w:color="auto" w:fill="D2DCE5"/>
          </w:tcPr>
          <w:p>
            <w:pPr>
              <w:spacing w:after="0"/>
              <w:rPr>
                <w:sz w:val="16"/>
                <w:szCs w:val="16"/>
                <w:color w:val="auto"/>
              </w:rPr>
            </w:pPr>
          </w:p>
        </w:tc>
        <w:tc>
          <w:tcPr>
            <w:tcW w:w="102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(506)</w:t>
            </w: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1000" w:type="dxa"/>
            <w:vAlign w:val="bottom"/>
            <w:shd w:val="clear" w:color="auto" w:fill="D2DCE5"/>
          </w:tcPr>
          <w:p>
            <w:pPr>
              <w:jc w:val="center"/>
              <w:ind w:left="643"/>
              <w:spacing w:after="0"/>
              <w:rPr>
                <w:sz w:val="20"/>
                <w:szCs w:val="20"/>
                <w:color w:val="auto"/>
              </w:rPr>
            </w:pPr>
            <w:r>
              <w:rPr>
                <w:rFonts w:ascii="Arial" w:cs="Arial" w:eastAsia="Arial" w:hAnsi="Arial"/>
                <w:sz w:val="11"/>
                <w:szCs w:val="11"/>
                <w:color w:val="131E29"/>
              </w:rPr>
              <w:t>(152)</w:t>
            </w:r>
          </w:p>
        </w:tc>
      </w:tr>
      <w:tr>
        <w:trPr>
          <w:trHeight w:val="161"/>
        </w:trPr>
        <w:tc>
          <w:tcPr>
            <w:tcW w:w="8220" w:type="dxa"/>
            <w:vAlign w:val="bottom"/>
            <w:gridSpan w:val="2"/>
          </w:tcPr>
          <w:p>
            <w:pPr>
              <w:spacing w:after="0"/>
              <w:rPr>
                <w:sz w:val="20"/>
                <w:szCs w:val="20"/>
                <w:color w:val="auto"/>
              </w:rPr>
            </w:pPr>
            <w:r>
              <w:rPr>
                <w:rFonts w:ascii="Arial" w:cs="Arial" w:eastAsia="Arial" w:hAnsi="Arial"/>
                <w:sz w:val="11"/>
                <w:szCs w:val="11"/>
                <w:color w:val="131E29"/>
              </w:rPr>
              <w:t>Increase in income before income taxes</w:t>
            </w:r>
          </w:p>
        </w:tc>
        <w:tc>
          <w:tcPr>
            <w:tcW w:w="300" w:type="dxa"/>
            <w:vAlign w:val="bottom"/>
          </w:tcPr>
          <w:p>
            <w:pPr>
              <w:spacing w:after="0"/>
              <w:rPr>
                <w:sz w:val="14"/>
                <w:szCs w:val="14"/>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131E29"/>
              </w:rPr>
              <w:t>2,046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center"/>
              <w:ind w:left="643"/>
              <w:spacing w:after="0"/>
              <w:rPr>
                <w:sz w:val="20"/>
                <w:szCs w:val="20"/>
                <w:color w:val="auto"/>
              </w:rPr>
            </w:pPr>
            <w:r>
              <w:rPr>
                <w:rFonts w:ascii="Arial" w:cs="Arial" w:eastAsia="Arial" w:hAnsi="Arial"/>
                <w:sz w:val="11"/>
                <w:szCs w:val="11"/>
                <w:color w:val="131E29"/>
                <w:w w:val="97"/>
              </w:rPr>
              <w:t>333</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9. CHANGES IN AND DISAGREEMENTS WITH ACCOUNTANTS ON ACCOUNTING AND FINANCIAL DISCLOSURE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131E29"/>
        </w:rPr>
        <w:t>None.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137" w:name="page138"/>
    <w:bookmarkEnd w:id="137"/>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9A. CONTROLS AND PROCEDURES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Evaluation of Disclosure Controls and Procedures</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131E29"/>
        </w:rPr>
        <w:t>Our management has evaluated, under the supervision and with the participation of our Chief Executive Officer (principal executive officer) and Chief Financial Officer (principal financial officer), the effectiveness of our disclosure controls and procedures as of the end of the period covered by this report pursuant to Rule 13a-15(b) under the Securities Exchange Act of 1934 (the Exchange Act). Disclosure controls and procedures can provide only reasonable assurance regarding the control objectives. The design of any system of disclosure controls and procedures is based in part upon various assumptions about the likelihood of future events, and there is no assurance that any design will succeed in achieving its stated goals under all potential future conditions, regardless of how remote. Based on that evaluation our Chief Executive Officer and Chief Financial Officer concluded that as of December 31, 2022, due to the material weaknesses in internal control over financial reporting described below, our disclosure controls and procedures were not effective at the reasonable assurance level in ensuring that information required to be disclosed by us in the reports that we file or submit under the Exchange Act is (1) recorded, processed, summarized, and reported within the time periods specified in the rules and forms of the SEC, and (2) accumulated and communicated to our management, including our principal executive officer and principal financial officer, or persons performing similar functions, as appropriate, to allow timely decisions regarding required disclosure.</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In light of the material weaknesses described below, management performed additional analysis and other procedures to ensure that our consolidated financial statements were prepared in accordance with accounting principles generally accepted in the United States of America (U.S. GAAP). Accordingly, management believes that the consolidated financial statements included in this Annual Report on Form 10-K fairly present, in all material respects, our financial position, results of operations, and cash flows as of and for the periods presented, in accordance with U.S. GAAP.</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Management’s Report on Internal Control over Financial Reporting</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131E29"/>
        </w:rPr>
        <w:t>Management is responsible for establishing and maintaining adequate internal control over financial reporting and for the assessment of the effectiveness of internal control over financial reporting as defined in Rule 13a-15(f) and 15d-15(f) under the Exchange Act. Our internal control over financial reporting is a process designed under the supervision and with the participation of our management, including our Chief Executive Officer and our Chief Financial Officer, to provide reasonable assurance regarding the reliability of financial reporting and the preparation of our financial statements for external reporting purposes in accordance with U.S. GAAP and those policies and procedures that (1) pertain to the maintenance of records that, in reasonable detail, accurately and fairly reflect the transactions and dispositions of our company’s assets, (2) provide reasonable assurance that transactions are recorded as necessary to permit preparation of financial statements in accordance with generally accepted accounting principles, and that our company’s receipts and expenditures are being made only in accordance with authorizations of our company’s management and directors, and (3) provide reasonable assurance regarding prevention or timely detection of unauthorized acquisition, use or disposition of our company’s assets that could have a material effect on the consolidated financial statements.</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 xml:space="preserve">Under the supervision and with the participation of our Chief Executive Officer and our Chief Financial Officer and oversight of the board of directors, our management conducted an assessment of the effectiveness of our internal control over financial reporting as of December 31, 2022, based on the framework established in </w:t>
      </w:r>
      <w:r>
        <w:rPr>
          <w:rFonts w:ascii="Arial" w:cs="Arial" w:eastAsia="Arial" w:hAnsi="Arial"/>
          <w:sz w:val="14"/>
          <w:szCs w:val="14"/>
          <w:i w:val="1"/>
          <w:iCs w:val="1"/>
          <w:color w:val="131E29"/>
        </w:rPr>
        <w:t>Internal Control — Integrated</w:t>
      </w:r>
      <w:r>
        <w:rPr>
          <w:rFonts w:ascii="Arial" w:cs="Arial" w:eastAsia="Arial" w:hAnsi="Arial"/>
          <w:sz w:val="14"/>
          <w:szCs w:val="14"/>
          <w:color w:val="131E29"/>
        </w:rPr>
        <w:t xml:space="preserve"> </w:t>
      </w:r>
      <w:r>
        <w:rPr>
          <w:rFonts w:ascii="Arial" w:cs="Arial" w:eastAsia="Arial" w:hAnsi="Arial"/>
          <w:sz w:val="14"/>
          <w:szCs w:val="14"/>
          <w:i w:val="1"/>
          <w:iCs w:val="1"/>
          <w:color w:val="131E29"/>
        </w:rPr>
        <w:t xml:space="preserve">Framework (2013) </w:t>
      </w:r>
      <w:r>
        <w:rPr>
          <w:rFonts w:ascii="Arial" w:cs="Arial" w:eastAsia="Arial" w:hAnsi="Arial"/>
          <w:sz w:val="14"/>
          <w:szCs w:val="14"/>
          <w:color w:val="131E29"/>
        </w:rPr>
        <w:t>issued by the Committee of Sponsoring Organizations of the Treadway Commission. Based on this assessment, management has determined that our internal</w:t>
      </w:r>
      <w:r>
        <w:rPr>
          <w:rFonts w:ascii="Arial" w:cs="Arial" w:eastAsia="Arial" w:hAnsi="Arial"/>
          <w:sz w:val="14"/>
          <w:szCs w:val="14"/>
          <w:i w:val="1"/>
          <w:iCs w:val="1"/>
          <w:color w:val="131E29"/>
        </w:rPr>
        <w:t xml:space="preserve"> </w:t>
      </w:r>
      <w:r>
        <w:rPr>
          <w:rFonts w:ascii="Arial" w:cs="Arial" w:eastAsia="Arial" w:hAnsi="Arial"/>
          <w:sz w:val="14"/>
          <w:szCs w:val="14"/>
          <w:color w:val="131E29"/>
        </w:rPr>
        <w:t>control over financial reporting was not effective as of December 31, 2022 because of material weaknesses in our internal control over financial reporting. A material weakness is a deficiency, or combination of deficiencies, in internal control over financial reporting such that there is a</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138" w:name="page139"/>
    <w:bookmarkEnd w:id="138"/>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131E29"/>
        </w:rPr>
        <w:t>reasonable possibility that a material misstatement of our annual or interim consolidated financial statements will not be prevented or detected on a timely basis.</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We did not have effective controls over change management of system configurations in two IT environments. As a result, process level automated controls that are dependent on the affected IT environments were ineffective because they could have been adversely impacted. Additionally, we did not have effectively designed controls over the accounting for breakage estimates related to our Dutch Rewards loyalty program.</w:t>
      </w:r>
    </w:p>
    <w:p>
      <w:pPr>
        <w:spacing w:after="0" w:line="11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These control deficiencies were the result of our risk assessment not identifying controls to address system changes, as well as changes in the timing of the expiration of points collected through our Dutch Rewards loyalty program.</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While we did not identify any material misstatements to the consolidated financial statements, and there were no changes to previously released financial results arising from these material weaknesses, the control deficiencies created a reasonable possibility that a material misstatement to the consolidated financial statements would not be prevented or detected on a timely basis.</w:t>
      </w:r>
    </w:p>
    <w:p>
      <w:pPr>
        <w:spacing w:after="0" w:line="11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Our independent registered public accounting firm, KPMG LLP, who audited the consolidated financial statements included in this report, has issued an adverse opinion on the effectiveness of the Company’s internal control over financial reporting, which is included at the end of Part II, Item 9A of this Form 10-K.</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Remediation Plans</w:t>
      </w:r>
    </w:p>
    <w:p>
      <w:pPr>
        <w:spacing w:after="0" w:line="14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Related to IT system change management issues, we plan to design and implement controls to ensure that all system changes to configurations within the IT environments are logged and approved.</w:t>
      </w:r>
    </w:p>
    <w:p>
      <w:pPr>
        <w:spacing w:after="0" w:line="11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Related to our Dutch Rewards breakage estimates, we have designed and implemented reconciliation and review controls to ensure that the accounting for breakage is complete and accurate.</w:t>
      </w:r>
    </w:p>
    <w:p>
      <w:pPr>
        <w:spacing w:after="0" w:line="11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Once controls are designed and implemented, the controls must be operating for a sufficient period of time and be tested by management to determine they are operating effectively in order to consider them remediated and conclude that the design is effective to address the control deficiencies.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In addition, we previously identified and disclosed in our Annual Report on Form 10-K for the year ended December 31, 2021, a material weakness in our internal control over financial reporting due to limited accounting department personnel capable of appropriately accounting for complex transactions undertaken by the Company. In response, our management has implemented the following remediation steps to address the previously disclosed material weakness:</w:t>
      </w:r>
    </w:p>
    <w:p>
      <w:pPr>
        <w:spacing w:after="0" w:line="115" w:lineRule="exact"/>
        <w:rPr>
          <w:sz w:val="20"/>
          <w:szCs w:val="20"/>
          <w:color w:val="auto"/>
        </w:rPr>
      </w:pPr>
    </w:p>
    <w:p>
      <w:pPr>
        <w:ind w:left="260" w:hanging="255"/>
        <w:spacing w:after="0"/>
        <w:tabs>
          <w:tab w:leader="none" w:pos="260" w:val="left"/>
        </w:tabs>
        <w:numPr>
          <w:ilvl w:val="0"/>
          <w:numId w:val="82"/>
        </w:numPr>
        <w:rPr>
          <w:rFonts w:ascii="Arial" w:cs="Arial" w:eastAsia="Arial" w:hAnsi="Arial"/>
          <w:sz w:val="14"/>
          <w:szCs w:val="14"/>
          <w:color w:val="131E29"/>
        </w:rPr>
      </w:pPr>
      <w:r>
        <w:rPr>
          <w:rFonts w:ascii="Arial" w:cs="Arial" w:eastAsia="Arial" w:hAnsi="Arial"/>
          <w:sz w:val="14"/>
          <w:szCs w:val="14"/>
          <w:color w:val="131E29"/>
        </w:rPr>
        <w:t>Hired additional full-time accounting subject matter experts with appropriate levels of experience, and augmented skills gaps with external experts;</w:t>
      </w:r>
    </w:p>
    <w:p>
      <w:pPr>
        <w:spacing w:after="0" w:line="136" w:lineRule="exact"/>
        <w:rPr>
          <w:rFonts w:ascii="Arial" w:cs="Arial" w:eastAsia="Arial" w:hAnsi="Arial"/>
          <w:sz w:val="14"/>
          <w:szCs w:val="14"/>
          <w:color w:val="131E29"/>
        </w:rPr>
      </w:pPr>
    </w:p>
    <w:p>
      <w:pPr>
        <w:ind w:left="260" w:hanging="255"/>
        <w:spacing w:after="0" w:line="266" w:lineRule="auto"/>
        <w:tabs>
          <w:tab w:leader="none" w:pos="225" w:val="left"/>
        </w:tabs>
        <w:numPr>
          <w:ilvl w:val="0"/>
          <w:numId w:val="82"/>
        </w:numPr>
        <w:rPr>
          <w:rFonts w:ascii="Arial" w:cs="Arial" w:eastAsia="Arial" w:hAnsi="Arial"/>
          <w:sz w:val="14"/>
          <w:szCs w:val="14"/>
          <w:color w:val="131E29"/>
        </w:rPr>
      </w:pPr>
      <w:r>
        <w:rPr>
          <w:rFonts w:ascii="Arial" w:cs="Arial" w:eastAsia="Arial" w:hAnsi="Arial"/>
          <w:sz w:val="14"/>
          <w:szCs w:val="14"/>
          <w:color w:val="131E29"/>
        </w:rPr>
        <w:t>Reallocated responsibilities across the accounting organization to ensure level of knowledge and experience are applied based on risk and complexity of transactions and tasks under review, as well as to establish appropriate segregation of duties;</w:t>
      </w:r>
    </w:p>
    <w:p>
      <w:pPr>
        <w:spacing w:after="0" w:line="109" w:lineRule="exact"/>
        <w:rPr>
          <w:rFonts w:ascii="Arial" w:cs="Arial" w:eastAsia="Arial" w:hAnsi="Arial"/>
          <w:sz w:val="14"/>
          <w:szCs w:val="14"/>
          <w:color w:val="131E29"/>
        </w:rPr>
      </w:pPr>
    </w:p>
    <w:p>
      <w:pPr>
        <w:ind w:left="220" w:hanging="215"/>
        <w:spacing w:after="0"/>
        <w:tabs>
          <w:tab w:leader="none" w:pos="220" w:val="left"/>
        </w:tabs>
        <w:numPr>
          <w:ilvl w:val="0"/>
          <w:numId w:val="82"/>
        </w:numPr>
        <w:rPr>
          <w:rFonts w:ascii="Arial" w:cs="Arial" w:eastAsia="Arial" w:hAnsi="Arial"/>
          <w:sz w:val="14"/>
          <w:szCs w:val="14"/>
          <w:color w:val="131E29"/>
        </w:rPr>
      </w:pPr>
      <w:r>
        <w:rPr>
          <w:rFonts w:ascii="Arial" w:cs="Arial" w:eastAsia="Arial" w:hAnsi="Arial"/>
          <w:sz w:val="14"/>
          <w:szCs w:val="14"/>
          <w:color w:val="131E29"/>
        </w:rPr>
        <w:t>Engaged a professional accounting services firm for technical support in critical areas regarding pronouncements and standards;</w:t>
      </w:r>
    </w:p>
    <w:p>
      <w:pPr>
        <w:spacing w:after="0" w:line="136" w:lineRule="exact"/>
        <w:rPr>
          <w:rFonts w:ascii="Arial" w:cs="Arial" w:eastAsia="Arial" w:hAnsi="Arial"/>
          <w:sz w:val="14"/>
          <w:szCs w:val="14"/>
          <w:color w:val="131E29"/>
        </w:rPr>
      </w:pPr>
    </w:p>
    <w:p>
      <w:pPr>
        <w:ind w:left="220" w:hanging="215"/>
        <w:spacing w:after="0"/>
        <w:tabs>
          <w:tab w:leader="none" w:pos="220" w:val="left"/>
        </w:tabs>
        <w:numPr>
          <w:ilvl w:val="0"/>
          <w:numId w:val="82"/>
        </w:numPr>
        <w:rPr>
          <w:rFonts w:ascii="Arial" w:cs="Arial" w:eastAsia="Arial" w:hAnsi="Arial"/>
          <w:sz w:val="14"/>
          <w:szCs w:val="14"/>
          <w:color w:val="131E29"/>
        </w:rPr>
      </w:pPr>
      <w:r>
        <w:rPr>
          <w:rFonts w:ascii="Arial" w:cs="Arial" w:eastAsia="Arial" w:hAnsi="Arial"/>
          <w:sz w:val="14"/>
          <w:szCs w:val="14"/>
          <w:color w:val="131E29"/>
        </w:rPr>
        <w:t>Established procedures to document review of manual journal entries and implemented application controls within the accounting system to ensure proper segregation of duties;</w:t>
      </w:r>
    </w:p>
    <w:p>
      <w:pPr>
        <w:spacing w:after="0" w:line="136" w:lineRule="exact"/>
        <w:rPr>
          <w:rFonts w:ascii="Arial" w:cs="Arial" w:eastAsia="Arial" w:hAnsi="Arial"/>
          <w:sz w:val="14"/>
          <w:szCs w:val="14"/>
          <w:color w:val="131E29"/>
        </w:rPr>
      </w:pPr>
    </w:p>
    <w:p>
      <w:pPr>
        <w:ind w:left="260" w:hanging="255"/>
        <w:spacing w:after="0" w:line="266" w:lineRule="auto"/>
        <w:tabs>
          <w:tab w:leader="none" w:pos="215" w:val="left"/>
        </w:tabs>
        <w:numPr>
          <w:ilvl w:val="0"/>
          <w:numId w:val="82"/>
        </w:numPr>
        <w:rPr>
          <w:rFonts w:ascii="Arial" w:cs="Arial" w:eastAsia="Arial" w:hAnsi="Arial"/>
          <w:sz w:val="14"/>
          <w:szCs w:val="14"/>
          <w:color w:val="131E29"/>
        </w:rPr>
      </w:pPr>
      <w:r>
        <w:rPr>
          <w:rFonts w:ascii="Arial" w:cs="Arial" w:eastAsia="Arial" w:hAnsi="Arial"/>
          <w:sz w:val="14"/>
          <w:szCs w:val="14"/>
          <w:color w:val="131E29"/>
        </w:rPr>
        <w:t>Established detailed accounting policies review to confirm alignment with GAAP. This review process identified the immaterial error related to historic sick leave pay accruals that should not have been recorded; and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139" w:name="page140"/>
    <w:bookmarkEnd w:id="139"/>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60" w:hanging="255"/>
        <w:spacing w:after="0" w:line="266" w:lineRule="auto"/>
        <w:tabs>
          <w:tab w:leader="none" w:pos="212" w:val="left"/>
        </w:tabs>
        <w:numPr>
          <w:ilvl w:val="0"/>
          <w:numId w:val="83"/>
        </w:numPr>
        <w:rPr>
          <w:rFonts w:ascii="Arial" w:cs="Arial" w:eastAsia="Arial" w:hAnsi="Arial"/>
          <w:sz w:val="14"/>
          <w:szCs w:val="14"/>
          <w:color w:val="131E29"/>
        </w:rPr>
      </w:pPr>
      <w:r>
        <w:rPr>
          <w:rFonts w:ascii="Arial" w:cs="Arial" w:eastAsia="Arial" w:hAnsi="Arial"/>
          <w:sz w:val="14"/>
          <w:szCs w:val="14"/>
          <w:color w:val="131E29"/>
        </w:rPr>
        <w:t>Established an entity-wide risk assessment process which included documenting internal ownership of risk monitoring and mitigation efforts, risk monitoring activities, and regular reporting by internal audit to executive management and our Audit and Risk Committee of the board of directors on an appropriate frequency.</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131E29"/>
        </w:rPr>
        <w:t>Based on the steps implemented, management concluded that we have remediated the previously disclosed material weakness during the year ended December 31, 2022.</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Changes in Internal Control over Financial Reporting</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As defined in Rules 13a-15(f) and 15d-15(f) under the Exchange Act, our management, including our Chief Executive Officer and Chief Financial Officer, have evaluated our internal control over financial reporting to determine whether any changes to our internal control over financial reporting occurred during the fourth quarter of the year ended December 31, 2022 that have materially affected, or are reasonably likely to materially affect, our internal control over financial reporting. Based on that evaluation, other than the identification of the material weaknesses noted above, no such changes to our internal control over financial reporting occurred during the fourth quarter of the year ended December 31, 2022.</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Inherent Limitations on the Effectiveness of Internal Control</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131E29"/>
        </w:rPr>
        <w:t>Control systems, including ours, no matter how well designed and operated, can provide only reasonable, not absolute, assurance that the control systems’ objectives are being met. Further, the design of any control systems must reflect the fact that there are resource constraints, and the benefits of all controls must be considered relative to their costs. Because of the inherent limitations in all control systems, no evaluation of controls can provide absolute assurance that all control issues and instances of fraud, if any, within our Company have been detected. These inherent limitations include the realities that judgments in decision making can be faulty and that breakdowns can occur because of simple error or mistake. Control systems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policies or procedures.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9420"/>
        <w:spacing w:after="0"/>
        <w:rPr>
          <w:sz w:val="20"/>
          <w:szCs w:val="20"/>
          <w:color w:val="auto"/>
        </w:rPr>
      </w:pPr>
      <w:r>
        <w:rPr>
          <w:sz w:val="1"/>
          <w:szCs w:val="1"/>
          <w:color w:val="auto"/>
        </w:rPr>
        <w:drawing>
          <wp:inline distT="0" distB="0" distL="0" distR="0">
            <wp:extent cx="134620" cy="188595"/>
            <wp:effectExtent l="0" t="0" r="0"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0"/>
          <w:szCs w:val="10"/>
          <w:color w:val="131E29"/>
        </w:rPr>
        <w:t>Dutch Bros Inc.</w:t>
      </w:r>
      <w:r>
        <w:rPr>
          <w:rFonts w:ascii="Arial" w:cs="Arial" w:eastAsia="Arial" w:hAnsi="Arial"/>
          <w:sz w:val="10"/>
          <w:szCs w:val="10"/>
          <w:b w:val="1"/>
          <w:bCs w:val="1"/>
          <w:color w:val="006098"/>
        </w:rPr>
        <w:t>|</w:t>
      </w:r>
      <w:r>
        <w:rPr>
          <w:rFonts w:ascii="Arial" w:cs="Arial" w:eastAsia="Arial" w:hAnsi="Arial"/>
          <w:sz w:val="10"/>
          <w:szCs w:val="10"/>
          <w:color w:val="131E29"/>
        </w:rPr>
        <w:t xml:space="preserve"> Form 10-K </w:t>
      </w:r>
      <w:r>
        <w:rPr>
          <w:rFonts w:ascii="Arial" w:cs="Arial" w:eastAsia="Arial" w:hAnsi="Arial"/>
          <w:sz w:val="10"/>
          <w:szCs w:val="10"/>
          <w:b w:val="1"/>
          <w:bCs w:val="1"/>
          <w:color w:val="006098"/>
        </w:rPr>
        <w:t>|</w:t>
      </w:r>
      <w:r>
        <w:rPr>
          <w:rFonts w:ascii="Arial" w:cs="Arial" w:eastAsia="Arial" w:hAnsi="Arial"/>
          <w:sz w:val="10"/>
          <w:szCs w:val="10"/>
          <w:color w:val="131E29"/>
        </w:rPr>
        <w:t xml:space="preserve"> </w:t>
      </w:r>
      <w:r>
        <w:rPr>
          <w:rFonts w:ascii="Arial" w:cs="Arial" w:eastAsia="Arial" w:hAnsi="Arial"/>
          <w:sz w:val="10"/>
          <w:szCs w:val="10"/>
          <w:b w:val="1"/>
          <w:bCs w:val="1"/>
          <w:color w:val="D7282F"/>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86930"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140" w:name="page141"/>
    <w:bookmarkEnd w:id="140"/>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131E29"/>
        </w:rPr>
        <w:t>Report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131E29"/>
        </w:rPr>
        <w:t>To the Stockholders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131E29"/>
        </w:rPr>
        <w:t>Dutch Bros Inc.:</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i w:val="1"/>
          <w:iCs w:val="1"/>
          <w:color w:val="131E29"/>
        </w:rPr>
        <w:t>Opinion on Internal Control Over Financial Reporting</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131E29"/>
        </w:rPr>
        <w:t xml:space="preserve">We have audited Dutch Bros Inc. and subsidiaries' (the Company) internal control over financial reporting as of December 31, 2022, based on criteria established in </w:t>
      </w:r>
      <w:r>
        <w:rPr>
          <w:rFonts w:ascii="Arial" w:cs="Arial" w:eastAsia="Arial" w:hAnsi="Arial"/>
          <w:sz w:val="14"/>
          <w:szCs w:val="14"/>
          <w:i w:val="1"/>
          <w:iCs w:val="1"/>
          <w:color w:val="131E29"/>
        </w:rPr>
        <w:t>Internal Control</w:t>
      </w:r>
    </w:p>
    <w:p>
      <w:pPr>
        <w:spacing w:after="0" w:line="2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i w:val="1"/>
          <w:iCs w:val="1"/>
          <w:color w:val="131E29"/>
        </w:rPr>
        <w:t xml:space="preserve">– Integrated Framework (2013) </w:t>
      </w:r>
      <w:r>
        <w:rPr>
          <w:rFonts w:ascii="Arial" w:cs="Arial" w:eastAsia="Arial" w:hAnsi="Arial"/>
          <w:sz w:val="14"/>
          <w:szCs w:val="14"/>
          <w:color w:val="131E29"/>
        </w:rPr>
        <w:t>issued by the Committee of Sponsoring Organizations of the Treadway Commission. In our opinion, because of the effect of the material</w:t>
      </w:r>
      <w:r>
        <w:rPr>
          <w:rFonts w:ascii="Arial" w:cs="Arial" w:eastAsia="Arial" w:hAnsi="Arial"/>
          <w:sz w:val="14"/>
          <w:szCs w:val="14"/>
          <w:i w:val="1"/>
          <w:iCs w:val="1"/>
          <w:color w:val="131E29"/>
        </w:rPr>
        <w:t xml:space="preserve"> </w:t>
      </w:r>
      <w:r>
        <w:rPr>
          <w:rFonts w:ascii="Arial" w:cs="Arial" w:eastAsia="Arial" w:hAnsi="Arial"/>
          <w:sz w:val="14"/>
          <w:szCs w:val="14"/>
          <w:color w:val="131E29"/>
        </w:rPr>
        <w:t xml:space="preserve">weaknesses, described below, on the achievement of the objectives of the control criteria, the Company has not maintained effective internal control over financial reporting as of December 31, 2022, based on criteria established in </w:t>
      </w:r>
      <w:r>
        <w:rPr>
          <w:rFonts w:ascii="Arial" w:cs="Arial" w:eastAsia="Arial" w:hAnsi="Arial"/>
          <w:sz w:val="14"/>
          <w:szCs w:val="14"/>
          <w:i w:val="1"/>
          <w:iCs w:val="1"/>
          <w:color w:val="131E29"/>
        </w:rPr>
        <w:t>Internal Control – Integrated Framework (2013)</w:t>
      </w:r>
      <w:r>
        <w:rPr>
          <w:rFonts w:ascii="Arial" w:cs="Arial" w:eastAsia="Arial" w:hAnsi="Arial"/>
          <w:sz w:val="14"/>
          <w:szCs w:val="14"/>
          <w:color w:val="131E29"/>
        </w:rPr>
        <w:t xml:space="preserve"> issued by the Committee of Sponsoring Organizations of the Treadway Commission.</w:t>
      </w:r>
    </w:p>
    <w:p>
      <w:pPr>
        <w:spacing w:after="0" w:line="28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We also have audited, in accordance with the standards of the Public Company Accounting Oversight Board (United States) (PCAOB), the consolidated balance sheets of the Company as of December 31, 2022 and 2021, the related consolidated statements of operations, comprehensive income (loss), stockholders’/members’ equity, and cash flows for each of the years in the three-year period ended December 31, 2022, and the related notes (collectively, the consolidated financial statements), and our report dated February 27, 2023 expressed an unqualified opinion on those consolidated financial statements.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material weaknesses related to ineffective controls over change management of system configurations in two information technology environments, resulting in ineffective process level automated controls dependent on the affected information technology environments, and ineffective controls over the accounting for breakage estimates related to the Dutch Rewards loyalty program have been identified and included in management’s assessment. The material weaknesses were considered in determining the nature, timing, and extent of audit tests applied in our audit of the 2022 consolidated financial statements, and this report does not affect our report on those consolidated financial statements.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i w:val="1"/>
          <w:iCs w:val="1"/>
          <w:color w:val="131E29"/>
        </w:rPr>
        <w:t>Basis for Opinion</w:t>
      </w:r>
    </w:p>
    <w:p>
      <w:pPr>
        <w:spacing w:after="0" w:line="15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141" w:name="page142"/>
    <w:bookmarkEnd w:id="141"/>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i w:val="1"/>
          <w:iCs w:val="1"/>
          <w:color w:val="131E29"/>
        </w:rPr>
        <w:t>Definition and Limitations of Internal Control Over Financial Reporting</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131E29"/>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w:t>
      </w:r>
    </w:p>
    <w:p>
      <w:pPr>
        <w:jc w:val="both"/>
        <w:ind w:firstLine="5"/>
        <w:spacing w:after="0" w:line="257" w:lineRule="auto"/>
        <w:tabs>
          <w:tab w:leader="none" w:pos="232" w:val="left"/>
        </w:tabs>
        <w:numPr>
          <w:ilvl w:val="0"/>
          <w:numId w:val="85"/>
        </w:numPr>
        <w:rPr>
          <w:rFonts w:ascii="Arial" w:cs="Arial" w:eastAsia="Arial" w:hAnsi="Arial"/>
          <w:sz w:val="14"/>
          <w:szCs w:val="14"/>
          <w:color w:val="131E29"/>
        </w:rPr>
      </w:pPr>
      <w:r>
        <w:rPr>
          <w:rFonts w:ascii="Arial" w:cs="Arial" w:eastAsia="Arial" w:hAnsi="Arial"/>
          <w:sz w:val="14"/>
          <w:szCs w:val="14"/>
          <w:color w:val="131E29"/>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5" w:lineRule="exact"/>
        <w:rPr>
          <w:sz w:val="20"/>
          <w:szCs w:val="20"/>
          <w:color w:val="auto"/>
        </w:rPr>
      </w:pPr>
    </w:p>
    <w:p>
      <w:pPr>
        <w:ind w:left="3060"/>
        <w:spacing w:after="0"/>
        <w:rPr>
          <w:sz w:val="20"/>
          <w:szCs w:val="20"/>
          <w:color w:val="auto"/>
        </w:rPr>
      </w:pPr>
      <w:r>
        <w:rPr>
          <w:rFonts w:ascii="Arial" w:cs="Arial" w:eastAsia="Arial" w:hAnsi="Arial"/>
          <w:sz w:val="14"/>
          <w:szCs w:val="14"/>
          <w:color w:val="131E29"/>
        </w:rPr>
        <w:t>/s/ KPMG LLP</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131E29"/>
        </w:rPr>
        <w:t>Portland, Oregon</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131E29"/>
        </w:rPr>
        <w:t>February 27, 2023</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9B. OTHER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131E29"/>
        </w:rPr>
        <w:t>None.</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9C. DISCLOSURE REGARDING FOREIGN JURISDICTIONS THAT PREVENT INSPECTIONS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131E29"/>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142" w:name="page143"/>
    <w:bookmarkEnd w:id="142"/>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006098"/>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61530" cy="806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61530" cy="8064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10. DIRECTORS, EXECUTIVE OFFICERS AND CORPORATE GOVERNANCE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131E29"/>
        </w:rPr>
        <w:t>Information regarding our executive officers is included in “Information about our Executive Officers” section in Part I, Item I of this Form 10-K.</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We have adopted a Code of Business Conduct and Ethics that applies to all of our officers, directors, and employees, including our principal executive officer, principal financial officer, principal accounting officer and controller, or persons performing similar functions, which is posted on our website at https://investors.dutchbros.com/governance. Our Code of Business Conduct and Ethics is a “code of ethics,” as defined in Item 406(b) of Regulation S-K. We will make any legally required disclosures regarding amendments to, or waivers of, provisions for our Code of Business Conduct and Ethics on our website. The information contained on, or accessible from, our website is not part of this Form 10-K by reference or otherwise.</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The remaining information required by this item will be included in our definitive Proxy Statement relating to our 2023 Annual Meeting of Stockholders, which will be filed with the SEC within 120 days of the end of our fiscal year ended December 31, 2022 (the 2023 Proxy Statement) and is incorporated herein by reference.</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11. EXECUTIVE COMPENSATION</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131E29"/>
        </w:rPr>
        <w:t>The information required by this item will be included in the “Executive Compensation” section of the 2023 Proxy Statement and is incorporated herein by reference.</w:t>
      </w:r>
    </w:p>
    <w:p>
      <w:pPr>
        <w:spacing w:after="0" w:line="114" w:lineRule="exact"/>
        <w:rPr>
          <w:sz w:val="20"/>
          <w:szCs w:val="20"/>
          <w:color w:val="auto"/>
        </w:rPr>
      </w:pPr>
    </w:p>
    <w:p>
      <w:pPr>
        <w:ind w:right="1260"/>
        <w:spacing w:after="0" w:line="276" w:lineRule="auto"/>
        <w:rPr>
          <w:sz w:val="20"/>
          <w:szCs w:val="20"/>
          <w:color w:val="auto"/>
        </w:rPr>
      </w:pPr>
      <w:r>
        <w:rPr>
          <w:rFonts w:ascii="Arial" w:cs="Arial" w:eastAsia="Arial" w:hAnsi="Arial"/>
          <w:sz w:val="20"/>
          <w:szCs w:val="20"/>
          <w:b w:val="1"/>
          <w:bCs w:val="1"/>
          <w:color w:val="D7282F"/>
        </w:rPr>
        <w:t>ITEM 12. SECURITY OWNERSHIP OF CERTAIN BENEFICIAL OWNERS AND MANAGEMENT AND RELATED STOCKHOLDER MATTERS</w:t>
      </w:r>
    </w:p>
    <w:p>
      <w:pPr>
        <w:spacing w:after="0" w:line="98" w:lineRule="exact"/>
        <w:rPr>
          <w:sz w:val="20"/>
          <w:szCs w:val="20"/>
          <w:color w:val="auto"/>
        </w:rPr>
      </w:pPr>
    </w:p>
    <w:p>
      <w:pPr>
        <w:spacing w:after="0" w:line="266" w:lineRule="auto"/>
        <w:rPr>
          <w:sz w:val="20"/>
          <w:szCs w:val="20"/>
          <w:color w:val="auto"/>
        </w:rPr>
      </w:pPr>
      <w:r>
        <w:rPr>
          <w:rFonts w:ascii="Arial" w:cs="Arial" w:eastAsia="Arial" w:hAnsi="Arial"/>
          <w:sz w:val="14"/>
          <w:szCs w:val="14"/>
          <w:color w:val="131E29"/>
        </w:rPr>
        <w:t>The information required by this item will be included in the “Security Ownership of Certain Beneficial Owners and Management” section of the 2023 Proxy Statement and is incorporated herein by reference.</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13. CERTAIN RELATIONSHIPS AND RELATED TRANSACTIONS, AND DIRECTOR INDEPENDENCE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131E29"/>
        </w:rPr>
        <w:t>The information required by this item will be included in the “Transactions with Related Persons” section of the 2023 Proxy Statement and is incorporated herein by reference.</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14. PRINCIPAL ACCOUNTANT FEES AND SERVICES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131E29"/>
        </w:rPr>
        <w:t>Our independent registered public accounting firm is:</w:t>
      </w:r>
    </w:p>
    <w:p>
      <w:pPr>
        <w:spacing w:after="0" w:line="136" w:lineRule="exact"/>
        <w:rPr>
          <w:sz w:val="20"/>
          <w:szCs w:val="20"/>
          <w:color w:val="auto"/>
        </w:rPr>
      </w:pPr>
    </w:p>
    <w:p>
      <w:pPr>
        <w:ind w:left="260" w:hanging="255"/>
        <w:spacing w:after="0"/>
        <w:tabs>
          <w:tab w:leader="none" w:pos="260" w:val="left"/>
        </w:tabs>
        <w:numPr>
          <w:ilvl w:val="0"/>
          <w:numId w:val="86"/>
        </w:numPr>
        <w:rPr>
          <w:rFonts w:ascii="Arial" w:cs="Arial" w:eastAsia="Arial" w:hAnsi="Arial"/>
          <w:sz w:val="14"/>
          <w:szCs w:val="14"/>
          <w:color w:val="131E29"/>
        </w:rPr>
      </w:pPr>
      <w:r>
        <w:rPr>
          <w:rFonts w:ascii="Arial" w:cs="Arial" w:eastAsia="Arial" w:hAnsi="Arial"/>
          <w:sz w:val="14"/>
          <w:szCs w:val="14"/>
          <w:color w:val="131E29"/>
        </w:rPr>
        <w:t>Firm name: KPMG LLP</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86"/>
        </w:numPr>
        <w:rPr>
          <w:rFonts w:ascii="Arial" w:cs="Arial" w:eastAsia="Arial" w:hAnsi="Arial"/>
          <w:sz w:val="14"/>
          <w:szCs w:val="14"/>
          <w:color w:val="131E29"/>
        </w:rPr>
      </w:pPr>
      <w:r>
        <w:rPr>
          <w:rFonts w:ascii="Arial" w:cs="Arial" w:eastAsia="Arial" w:hAnsi="Arial"/>
          <w:sz w:val="14"/>
          <w:szCs w:val="14"/>
          <w:color w:val="131E29"/>
        </w:rPr>
        <w:t>Firm location: Portland, Oregon</w:t>
      </w:r>
    </w:p>
    <w:p>
      <w:pPr>
        <w:spacing w:after="0" w:line="136" w:lineRule="exact"/>
        <w:rPr>
          <w:rFonts w:ascii="Arial" w:cs="Arial" w:eastAsia="Arial" w:hAnsi="Arial"/>
          <w:sz w:val="14"/>
          <w:szCs w:val="14"/>
          <w:color w:val="131E29"/>
        </w:rPr>
      </w:pPr>
    </w:p>
    <w:p>
      <w:pPr>
        <w:ind w:left="260" w:hanging="255"/>
        <w:spacing w:after="0"/>
        <w:tabs>
          <w:tab w:leader="none" w:pos="260" w:val="left"/>
        </w:tabs>
        <w:numPr>
          <w:ilvl w:val="0"/>
          <w:numId w:val="86"/>
        </w:numPr>
        <w:rPr>
          <w:rFonts w:ascii="Arial" w:cs="Arial" w:eastAsia="Arial" w:hAnsi="Arial"/>
          <w:sz w:val="14"/>
          <w:szCs w:val="14"/>
          <w:color w:val="131E29"/>
        </w:rPr>
      </w:pPr>
      <w:r>
        <w:rPr>
          <w:rFonts w:ascii="Arial" w:cs="Arial" w:eastAsia="Arial" w:hAnsi="Arial"/>
          <w:sz w:val="14"/>
          <w:szCs w:val="14"/>
          <w:color w:val="131E29"/>
        </w:rPr>
        <w:t>Auditor Firm ID: 185</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131E29"/>
        </w:rPr>
        <w:t>The information required by this item will be included in the “Audit and Related Fees” section of the 2023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143" w:name="page144"/>
    <w:bookmarkEnd w:id="143"/>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006098"/>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61530" cy="806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61530" cy="8064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15. EXHIBITS AND FINANCIAL STATEMENT SCHEDULES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131E29"/>
        </w:rPr>
        <w:t>(a) Exhibits.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131E29"/>
        </w:rPr>
        <w:t>The following exhibits are included herein or incorporated herein by reference: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3"/>
          </w:tcPr>
          <w:p>
            <w:pPr>
              <w:ind w:left="700"/>
              <w:spacing w:after="0"/>
              <w:rPr>
                <w:sz w:val="20"/>
                <w:szCs w:val="20"/>
                <w:color w:val="auto"/>
              </w:rPr>
            </w:pPr>
            <w:r>
              <w:rPr>
                <w:rFonts w:ascii="Arial" w:cs="Arial" w:eastAsia="Arial" w:hAnsi="Arial"/>
                <w:sz w:val="11"/>
                <w:szCs w:val="11"/>
                <w:b w:val="1"/>
                <w:bCs w:val="1"/>
                <w:color w:val="131E29"/>
              </w:rPr>
              <w:t>Incorporated by Reference</w:t>
            </w:r>
          </w:p>
        </w:tc>
        <w:tc>
          <w:tcPr>
            <w:tcW w:w="1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71"/>
        </w:trPr>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1"/>
                <w:szCs w:val="11"/>
                <w:b w:val="1"/>
                <w:bCs w:val="1"/>
                <w:color w:val="131E29"/>
              </w:rPr>
              <w:t>Exhibit Number</w:t>
            </w:r>
          </w:p>
        </w:tc>
        <w:tc>
          <w:tcPr>
            <w:tcW w:w="80" w:type="dxa"/>
            <w:vAlign w:val="bottom"/>
            <w:tcBorders>
              <w:bottom w:val="single" w:sz="8" w:color="D2DCE5"/>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80" w:type="dxa"/>
            <w:vAlign w:val="bottom"/>
            <w:tcBorders>
              <w:bottom w:val="single" w:sz="8" w:color="auto"/>
            </w:tcBorders>
            <w:gridSpan w:val="23"/>
          </w:tcPr>
          <w:p>
            <w:pPr>
              <w:spacing w:after="0"/>
              <w:rPr>
                <w:sz w:val="20"/>
                <w:szCs w:val="20"/>
                <w:color w:val="auto"/>
              </w:rPr>
            </w:pPr>
            <w:r>
              <w:rPr>
                <w:rFonts w:ascii="Arial" w:cs="Arial" w:eastAsia="Arial" w:hAnsi="Arial"/>
                <w:sz w:val="11"/>
                <w:szCs w:val="11"/>
                <w:b w:val="1"/>
                <w:bCs w:val="1"/>
                <w:color w:val="131E29"/>
              </w:rPr>
              <w:t>Description</w:t>
            </w:r>
          </w:p>
        </w:tc>
        <w:tc>
          <w:tcPr>
            <w:tcW w:w="100" w:type="dxa"/>
            <w:vAlign w:val="bottom"/>
            <w:tcBorders>
              <w:bottom w:val="single" w:sz="8" w:color="D2DCE5"/>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131E29"/>
              </w:rPr>
              <w:t>Form</w:t>
            </w:r>
          </w:p>
        </w:tc>
        <w:tc>
          <w:tcPr>
            <w:tcW w:w="1260" w:type="dxa"/>
            <w:vAlign w:val="bottom"/>
            <w:tcBorders>
              <w:bottom w:val="single" w:sz="8" w:color="auto"/>
            </w:tcBorders>
          </w:tcPr>
          <w:p>
            <w:pPr>
              <w:ind w:left="440"/>
              <w:spacing w:after="0"/>
              <w:rPr>
                <w:sz w:val="20"/>
                <w:szCs w:val="20"/>
                <w:color w:val="auto"/>
              </w:rPr>
            </w:pPr>
            <w:r>
              <w:rPr>
                <w:rFonts w:ascii="Arial" w:cs="Arial" w:eastAsia="Arial" w:hAnsi="Arial"/>
                <w:sz w:val="11"/>
                <w:szCs w:val="11"/>
                <w:b w:val="1"/>
                <w:bCs w:val="1"/>
                <w:color w:val="131E29"/>
              </w:rPr>
              <w:t>File No.</w:t>
            </w:r>
          </w:p>
        </w:tc>
        <w:tc>
          <w:tcPr>
            <w:tcW w:w="880" w:type="dxa"/>
            <w:vAlign w:val="bottom"/>
            <w:tcBorders>
              <w:bottom w:val="single" w:sz="8" w:color="auto"/>
            </w:tcBorders>
          </w:tcPr>
          <w:p>
            <w:pPr>
              <w:ind w:left="280"/>
              <w:spacing w:after="0"/>
              <w:rPr>
                <w:sz w:val="20"/>
                <w:szCs w:val="20"/>
                <w:color w:val="auto"/>
              </w:rPr>
            </w:pPr>
            <w:r>
              <w:rPr>
                <w:rFonts w:ascii="Arial" w:cs="Arial" w:eastAsia="Arial" w:hAnsi="Arial"/>
                <w:sz w:val="11"/>
                <w:szCs w:val="11"/>
                <w:b w:val="1"/>
                <w:bCs w:val="1"/>
                <w:color w:val="131E29"/>
              </w:rPr>
              <w:t>Exhibit</w:t>
            </w:r>
          </w:p>
        </w:tc>
        <w:tc>
          <w:tcPr>
            <w:tcW w:w="100" w:type="dxa"/>
            <w:vAlign w:val="bottom"/>
            <w:tcBorders>
              <w:bottom w:val="single" w:sz="8" w:color="D2DCE5"/>
            </w:tcBorders>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131E29"/>
              </w:rPr>
              <w:t>Filing Date</w:t>
            </w:r>
          </w:p>
        </w:tc>
        <w:tc>
          <w:tcPr>
            <w:tcW w:w="80" w:type="dxa"/>
            <w:vAlign w:val="bottom"/>
            <w:tcBorders>
              <w:bottom w:val="single" w:sz="8" w:color="D2DCE5"/>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131E29"/>
              </w:rPr>
              <w:t>Filed Herewith</w:t>
            </w:r>
          </w:p>
        </w:tc>
      </w:tr>
      <w:tr>
        <w:trPr>
          <w:trHeight w:val="171"/>
        </w:trPr>
        <w:tc>
          <w:tcPr>
            <w:tcW w:w="1080" w:type="dxa"/>
            <w:vAlign w:val="bottom"/>
            <w:shd w:val="clear" w:color="auto" w:fill="D2DCE5"/>
          </w:tcPr>
          <w:p>
            <w:pPr>
              <w:jc w:val="center"/>
              <w:spacing w:after="0"/>
              <w:rPr>
                <w:sz w:val="20"/>
                <w:szCs w:val="20"/>
                <w:color w:val="auto"/>
              </w:rPr>
            </w:pPr>
            <w:r>
              <w:rPr>
                <w:rFonts w:ascii="Arial" w:cs="Arial" w:eastAsia="Arial" w:hAnsi="Arial"/>
                <w:sz w:val="13"/>
                <w:szCs w:val="13"/>
                <w:color w:val="131E29"/>
                <w:w w:val="88"/>
              </w:rPr>
              <w:t>3.1</w:t>
            </w:r>
          </w:p>
        </w:tc>
        <w:tc>
          <w:tcPr>
            <w:tcW w:w="80" w:type="dxa"/>
            <w:vAlign w:val="bottom"/>
            <w:shd w:val="clear" w:color="auto" w:fill="D2DCE5"/>
          </w:tcPr>
          <w:p>
            <w:pPr>
              <w:spacing w:after="0"/>
              <w:rPr>
                <w:sz w:val="14"/>
                <w:szCs w:val="14"/>
                <w:color w:val="auto"/>
              </w:rPr>
            </w:pPr>
          </w:p>
        </w:tc>
        <w:tc>
          <w:tcPr>
            <w:tcW w:w="20" w:type="dxa"/>
            <w:vAlign w:val="bottom"/>
            <w:shd w:val="clear" w:color="auto" w:fill="D2DCE5"/>
          </w:tcPr>
          <w:p>
            <w:pPr>
              <w:spacing w:after="0"/>
              <w:rPr>
                <w:sz w:val="14"/>
                <w:szCs w:val="14"/>
                <w:color w:val="auto"/>
              </w:rPr>
            </w:pPr>
          </w:p>
        </w:tc>
        <w:tc>
          <w:tcPr>
            <w:tcW w:w="4380" w:type="dxa"/>
            <w:vAlign w:val="bottom"/>
            <w:gridSpan w:val="24"/>
            <w:shd w:val="clear" w:color="auto" w:fill="D2DCE5"/>
          </w:tcPr>
          <w:p>
            <w:pPr>
              <w:spacing w:after="0"/>
              <w:rPr>
                <w:rFonts w:ascii="Arial" w:cs="Arial" w:eastAsia="Arial" w:hAnsi="Arial"/>
                <w:sz w:val="13"/>
                <w:szCs w:val="13"/>
                <w:color w:val="0000FF"/>
              </w:rPr>
            </w:pPr>
            <w:hyperlink r:id="rId380">
              <w:r>
                <w:rPr>
                  <w:rFonts w:ascii="Arial" w:cs="Arial" w:eastAsia="Arial" w:hAnsi="Arial"/>
                  <w:sz w:val="13"/>
                  <w:szCs w:val="13"/>
                  <w:color w:val="0000FF"/>
                </w:rPr>
                <w:t>Amended and Restated Certificate of Incorporation of Registrant</w:t>
              </w:r>
            </w:hyperlink>
            <w:r>
              <w:rPr>
                <w:rFonts w:ascii="Arial" w:cs="Arial" w:eastAsia="Arial" w:hAnsi="Arial"/>
                <w:sz w:val="13"/>
                <w:szCs w:val="13"/>
                <w:color w:val="131E29"/>
              </w:rPr>
              <w:t>.</w:t>
            </w:r>
          </w:p>
        </w:tc>
        <w:tc>
          <w:tcPr>
            <w:tcW w:w="880" w:type="dxa"/>
            <w:vAlign w:val="bottom"/>
            <w:shd w:val="clear" w:color="auto" w:fill="D2DCE5"/>
          </w:tcPr>
          <w:p>
            <w:pPr>
              <w:jc w:val="center"/>
              <w:spacing w:after="0"/>
              <w:rPr>
                <w:sz w:val="20"/>
                <w:szCs w:val="20"/>
                <w:color w:val="auto"/>
              </w:rPr>
            </w:pPr>
            <w:r>
              <w:rPr>
                <w:rFonts w:ascii="Arial" w:cs="Arial" w:eastAsia="Arial" w:hAnsi="Arial"/>
                <w:sz w:val="13"/>
                <w:szCs w:val="13"/>
                <w:color w:val="131E29"/>
                <w:w w:val="98"/>
              </w:rPr>
              <w:t>8-K</w:t>
            </w:r>
          </w:p>
        </w:tc>
        <w:tc>
          <w:tcPr>
            <w:tcW w:w="1260" w:type="dxa"/>
            <w:vAlign w:val="bottom"/>
            <w:shd w:val="clear" w:color="auto" w:fill="D2DCE5"/>
          </w:tcPr>
          <w:p>
            <w:pPr>
              <w:jc w:val="center"/>
              <w:spacing w:after="0"/>
              <w:rPr>
                <w:sz w:val="20"/>
                <w:szCs w:val="20"/>
                <w:color w:val="auto"/>
              </w:rPr>
            </w:pPr>
            <w:r>
              <w:rPr>
                <w:rFonts w:ascii="Arial" w:cs="Arial" w:eastAsia="Arial" w:hAnsi="Arial"/>
                <w:sz w:val="13"/>
                <w:szCs w:val="13"/>
                <w:color w:val="131E29"/>
                <w:w w:val="96"/>
              </w:rPr>
              <w:t>001-40798</w:t>
            </w:r>
          </w:p>
        </w:tc>
        <w:tc>
          <w:tcPr>
            <w:tcW w:w="880" w:type="dxa"/>
            <w:vAlign w:val="bottom"/>
            <w:shd w:val="clear" w:color="auto" w:fill="D2DCE5"/>
          </w:tcPr>
          <w:p>
            <w:pPr>
              <w:jc w:val="center"/>
              <w:spacing w:after="0"/>
              <w:rPr>
                <w:sz w:val="20"/>
                <w:szCs w:val="20"/>
                <w:color w:val="auto"/>
              </w:rPr>
            </w:pPr>
            <w:r>
              <w:rPr>
                <w:rFonts w:ascii="Arial" w:cs="Arial" w:eastAsia="Arial" w:hAnsi="Arial"/>
                <w:sz w:val="13"/>
                <w:szCs w:val="13"/>
                <w:color w:val="131E29"/>
                <w:w w:val="99"/>
              </w:rPr>
              <w:t>3.1</w:t>
            </w:r>
          </w:p>
        </w:tc>
        <w:tc>
          <w:tcPr>
            <w:tcW w:w="100" w:type="dxa"/>
            <w:vAlign w:val="bottom"/>
            <w:shd w:val="clear" w:color="auto" w:fill="D2DCE5"/>
          </w:tcPr>
          <w:p>
            <w:pPr>
              <w:spacing w:after="0"/>
              <w:rPr>
                <w:sz w:val="14"/>
                <w:szCs w:val="14"/>
                <w:color w:val="auto"/>
              </w:rPr>
            </w:pPr>
          </w:p>
        </w:tc>
        <w:tc>
          <w:tcPr>
            <w:tcW w:w="1640" w:type="dxa"/>
            <w:vAlign w:val="bottom"/>
            <w:gridSpan w:val="2"/>
            <w:shd w:val="clear" w:color="auto" w:fill="D2DCE5"/>
          </w:tcPr>
          <w:p>
            <w:pPr>
              <w:jc w:val="center"/>
              <w:ind w:right="80"/>
              <w:spacing w:after="0"/>
              <w:rPr>
                <w:sz w:val="20"/>
                <w:szCs w:val="20"/>
                <w:color w:val="auto"/>
              </w:rPr>
            </w:pPr>
            <w:r>
              <w:rPr>
                <w:rFonts w:ascii="Arial" w:cs="Arial" w:eastAsia="Arial" w:hAnsi="Arial"/>
                <w:sz w:val="13"/>
                <w:szCs w:val="13"/>
                <w:color w:val="131E29"/>
                <w:w w:val="98"/>
              </w:rPr>
              <w:t>September 17, 2021</w:t>
            </w:r>
          </w:p>
        </w:tc>
        <w:tc>
          <w:tcPr>
            <w:tcW w:w="960" w:type="dxa"/>
            <w:vAlign w:val="bottom"/>
            <w:shd w:val="clear" w:color="auto" w:fill="D2DCE5"/>
          </w:tcPr>
          <w:p>
            <w:pPr>
              <w:spacing w:after="0"/>
              <w:rPr>
                <w:sz w:val="14"/>
                <w:szCs w:val="14"/>
                <w:color w:val="auto"/>
              </w:rPr>
            </w:pPr>
          </w:p>
        </w:tc>
      </w:tr>
      <w:tr>
        <w:trPr>
          <w:trHeight w:val="149"/>
        </w:trPr>
        <w:tc>
          <w:tcPr>
            <w:tcW w:w="1080" w:type="dxa"/>
            <w:vAlign w:val="bottom"/>
            <w:tcBorders>
              <w:top w:val="single" w:sz="8" w:color="D2DCE5"/>
            </w:tcBorders>
          </w:tcPr>
          <w:p>
            <w:pPr>
              <w:jc w:val="center"/>
              <w:spacing w:after="0"/>
              <w:rPr>
                <w:sz w:val="20"/>
                <w:szCs w:val="20"/>
                <w:color w:val="auto"/>
              </w:rPr>
            </w:pPr>
            <w:r>
              <w:rPr>
                <w:rFonts w:ascii="Arial" w:cs="Arial" w:eastAsia="Arial" w:hAnsi="Arial"/>
                <w:sz w:val="13"/>
                <w:szCs w:val="13"/>
                <w:color w:val="131E29"/>
                <w:w w:val="88"/>
              </w:rPr>
              <w:t>3.2</w:t>
            </w:r>
          </w:p>
        </w:tc>
        <w:tc>
          <w:tcPr>
            <w:tcW w:w="80" w:type="dxa"/>
            <w:vAlign w:val="bottom"/>
            <w:tcBorders>
              <w:top w:val="single" w:sz="8" w:color="D2DCE5"/>
            </w:tcBorders>
          </w:tcPr>
          <w:p>
            <w:pPr>
              <w:spacing w:after="0"/>
              <w:rPr>
                <w:sz w:val="12"/>
                <w:szCs w:val="12"/>
                <w:color w:val="auto"/>
              </w:rPr>
            </w:pPr>
          </w:p>
        </w:tc>
        <w:tc>
          <w:tcPr>
            <w:tcW w:w="20" w:type="dxa"/>
            <w:vAlign w:val="bottom"/>
            <w:tcBorders>
              <w:top w:val="single" w:sz="8" w:color="D2DCE5"/>
            </w:tcBorders>
          </w:tcPr>
          <w:p>
            <w:pPr>
              <w:spacing w:after="0"/>
              <w:rPr>
                <w:sz w:val="12"/>
                <w:szCs w:val="12"/>
                <w:color w:val="auto"/>
              </w:rPr>
            </w:pPr>
          </w:p>
        </w:tc>
        <w:tc>
          <w:tcPr>
            <w:tcW w:w="3620" w:type="dxa"/>
            <w:vAlign w:val="bottom"/>
            <w:tcBorders>
              <w:top w:val="single" w:sz="8" w:color="0000FF"/>
            </w:tcBorders>
            <w:gridSpan w:val="12"/>
          </w:tcPr>
          <w:p>
            <w:pPr>
              <w:spacing w:after="0"/>
              <w:rPr>
                <w:rFonts w:ascii="Arial" w:cs="Arial" w:eastAsia="Arial" w:hAnsi="Arial"/>
                <w:sz w:val="13"/>
                <w:szCs w:val="13"/>
                <w:color w:val="0000FF"/>
              </w:rPr>
            </w:pPr>
            <w:hyperlink r:id="rId381">
              <w:r>
                <w:rPr>
                  <w:rFonts w:ascii="Arial" w:cs="Arial" w:eastAsia="Arial" w:hAnsi="Arial"/>
                  <w:sz w:val="13"/>
                  <w:szCs w:val="13"/>
                  <w:color w:val="0000FF"/>
                </w:rPr>
                <w:t>Amended and Restated Bylaws of Registrant</w:t>
              </w:r>
            </w:hyperlink>
            <w:r>
              <w:rPr>
                <w:rFonts w:ascii="Arial" w:cs="Arial" w:eastAsia="Arial" w:hAnsi="Arial"/>
                <w:sz w:val="13"/>
                <w:szCs w:val="13"/>
                <w:color w:val="131E29"/>
              </w:rPr>
              <w:t>.</w:t>
            </w:r>
          </w:p>
        </w:tc>
        <w:tc>
          <w:tcPr>
            <w:tcW w:w="760" w:type="dxa"/>
            <w:vAlign w:val="bottom"/>
            <w:tcBorders>
              <w:top w:val="single" w:sz="8" w:color="D2DCE5"/>
            </w:tcBorders>
            <w:gridSpan w:val="12"/>
          </w:tcPr>
          <w:p>
            <w:pPr>
              <w:spacing w:after="0"/>
              <w:rPr>
                <w:sz w:val="12"/>
                <w:szCs w:val="12"/>
                <w:color w:val="auto"/>
              </w:rPr>
            </w:pPr>
          </w:p>
        </w:tc>
        <w:tc>
          <w:tcPr>
            <w:tcW w:w="880" w:type="dxa"/>
            <w:vAlign w:val="bottom"/>
            <w:tcBorders>
              <w:top w:val="single" w:sz="8" w:color="D2DCE5"/>
            </w:tcBorders>
          </w:tcPr>
          <w:p>
            <w:pPr>
              <w:jc w:val="center"/>
              <w:spacing w:after="0"/>
              <w:rPr>
                <w:sz w:val="20"/>
                <w:szCs w:val="20"/>
                <w:color w:val="auto"/>
              </w:rPr>
            </w:pPr>
            <w:r>
              <w:rPr>
                <w:rFonts w:ascii="Arial" w:cs="Arial" w:eastAsia="Arial" w:hAnsi="Arial"/>
                <w:sz w:val="13"/>
                <w:szCs w:val="13"/>
                <w:color w:val="131E29"/>
                <w:w w:val="98"/>
              </w:rPr>
              <w:t>8-K</w:t>
            </w:r>
          </w:p>
        </w:tc>
        <w:tc>
          <w:tcPr>
            <w:tcW w:w="1260" w:type="dxa"/>
            <w:vAlign w:val="bottom"/>
            <w:tcBorders>
              <w:top w:val="single" w:sz="8" w:color="D2DCE5"/>
            </w:tcBorders>
          </w:tcPr>
          <w:p>
            <w:pPr>
              <w:jc w:val="center"/>
              <w:spacing w:after="0"/>
              <w:rPr>
                <w:sz w:val="20"/>
                <w:szCs w:val="20"/>
                <w:color w:val="auto"/>
              </w:rPr>
            </w:pPr>
            <w:r>
              <w:rPr>
                <w:rFonts w:ascii="Arial" w:cs="Arial" w:eastAsia="Arial" w:hAnsi="Arial"/>
                <w:sz w:val="13"/>
                <w:szCs w:val="13"/>
                <w:color w:val="131E29"/>
                <w:w w:val="96"/>
              </w:rPr>
              <w:t>001-40798</w:t>
            </w:r>
          </w:p>
        </w:tc>
        <w:tc>
          <w:tcPr>
            <w:tcW w:w="880" w:type="dxa"/>
            <w:vAlign w:val="bottom"/>
            <w:tcBorders>
              <w:top w:val="single" w:sz="8" w:color="D2DCE5"/>
            </w:tcBorders>
          </w:tcPr>
          <w:p>
            <w:pPr>
              <w:jc w:val="center"/>
              <w:spacing w:after="0"/>
              <w:rPr>
                <w:sz w:val="20"/>
                <w:szCs w:val="20"/>
                <w:color w:val="auto"/>
              </w:rPr>
            </w:pPr>
            <w:r>
              <w:rPr>
                <w:rFonts w:ascii="Arial" w:cs="Arial" w:eastAsia="Arial" w:hAnsi="Arial"/>
                <w:sz w:val="13"/>
                <w:szCs w:val="13"/>
                <w:color w:val="131E29"/>
                <w:w w:val="99"/>
              </w:rPr>
              <w:t>3.2</w:t>
            </w:r>
          </w:p>
        </w:tc>
        <w:tc>
          <w:tcPr>
            <w:tcW w:w="100" w:type="dxa"/>
            <w:vAlign w:val="bottom"/>
            <w:tcBorders>
              <w:top w:val="single" w:sz="8" w:color="D2DCE5"/>
            </w:tcBorders>
          </w:tcPr>
          <w:p>
            <w:pPr>
              <w:spacing w:after="0"/>
              <w:rPr>
                <w:sz w:val="12"/>
                <w:szCs w:val="12"/>
                <w:color w:val="auto"/>
              </w:rPr>
            </w:pPr>
          </w:p>
        </w:tc>
        <w:tc>
          <w:tcPr>
            <w:tcW w:w="1640" w:type="dxa"/>
            <w:vAlign w:val="bottom"/>
            <w:tcBorders>
              <w:top w:val="single" w:sz="8" w:color="D2DCE5"/>
            </w:tcBorders>
            <w:gridSpan w:val="2"/>
          </w:tcPr>
          <w:p>
            <w:pPr>
              <w:jc w:val="center"/>
              <w:ind w:right="80"/>
              <w:spacing w:after="0"/>
              <w:rPr>
                <w:sz w:val="20"/>
                <w:szCs w:val="20"/>
                <w:color w:val="auto"/>
              </w:rPr>
            </w:pPr>
            <w:r>
              <w:rPr>
                <w:rFonts w:ascii="Arial" w:cs="Arial" w:eastAsia="Arial" w:hAnsi="Arial"/>
                <w:sz w:val="13"/>
                <w:szCs w:val="13"/>
                <w:color w:val="131E29"/>
                <w:w w:val="98"/>
              </w:rPr>
              <w:t>September 17, 2021</w:t>
            </w:r>
          </w:p>
        </w:tc>
        <w:tc>
          <w:tcPr>
            <w:tcW w:w="960" w:type="dxa"/>
            <w:vAlign w:val="bottom"/>
            <w:tcBorders>
              <w:top w:val="single" w:sz="8" w:color="D2DCE5"/>
            </w:tcBorders>
          </w:tcPr>
          <w:p>
            <w:pPr>
              <w:spacing w:after="0"/>
              <w:rPr>
                <w:sz w:val="12"/>
                <w:szCs w:val="12"/>
                <w:color w:val="auto"/>
              </w:rPr>
            </w:pPr>
          </w:p>
        </w:tc>
      </w:tr>
      <w:tr>
        <w:trPr>
          <w:trHeight w:val="22"/>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71"/>
        </w:trPr>
        <w:tc>
          <w:tcPr>
            <w:tcW w:w="1080" w:type="dxa"/>
            <w:vAlign w:val="bottom"/>
            <w:shd w:val="clear" w:color="auto" w:fill="D2DCE5"/>
          </w:tcPr>
          <w:p>
            <w:pPr>
              <w:jc w:val="center"/>
              <w:spacing w:after="0"/>
              <w:rPr>
                <w:sz w:val="20"/>
                <w:szCs w:val="20"/>
                <w:color w:val="auto"/>
              </w:rPr>
            </w:pPr>
            <w:r>
              <w:rPr>
                <w:rFonts w:ascii="Arial" w:cs="Arial" w:eastAsia="Arial" w:hAnsi="Arial"/>
                <w:sz w:val="13"/>
                <w:szCs w:val="13"/>
                <w:color w:val="131E29"/>
                <w:w w:val="88"/>
              </w:rPr>
              <w:t>4.1</w:t>
            </w:r>
          </w:p>
        </w:tc>
        <w:tc>
          <w:tcPr>
            <w:tcW w:w="80" w:type="dxa"/>
            <w:vAlign w:val="bottom"/>
            <w:shd w:val="clear" w:color="auto" w:fill="D2DCE5"/>
          </w:tcPr>
          <w:p>
            <w:pPr>
              <w:spacing w:after="0"/>
              <w:rPr>
                <w:sz w:val="14"/>
                <w:szCs w:val="14"/>
                <w:color w:val="auto"/>
              </w:rPr>
            </w:pPr>
          </w:p>
        </w:tc>
        <w:tc>
          <w:tcPr>
            <w:tcW w:w="20" w:type="dxa"/>
            <w:vAlign w:val="bottom"/>
            <w:shd w:val="clear" w:color="auto" w:fill="D2DCE5"/>
          </w:tcPr>
          <w:p>
            <w:pPr>
              <w:spacing w:after="0"/>
              <w:rPr>
                <w:sz w:val="14"/>
                <w:szCs w:val="14"/>
                <w:color w:val="auto"/>
              </w:rPr>
            </w:pPr>
          </w:p>
        </w:tc>
        <w:tc>
          <w:tcPr>
            <w:tcW w:w="4380" w:type="dxa"/>
            <w:vAlign w:val="bottom"/>
            <w:gridSpan w:val="24"/>
            <w:shd w:val="clear" w:color="auto" w:fill="D2DCE5"/>
          </w:tcPr>
          <w:p>
            <w:pPr>
              <w:spacing w:after="0"/>
              <w:rPr>
                <w:rFonts w:ascii="Arial" w:cs="Arial" w:eastAsia="Arial" w:hAnsi="Arial"/>
                <w:sz w:val="13"/>
                <w:szCs w:val="13"/>
                <w:color w:val="0000FF"/>
              </w:rPr>
            </w:pPr>
            <w:hyperlink r:id="rId382">
              <w:r>
                <w:rPr>
                  <w:rFonts w:ascii="Arial" w:cs="Arial" w:eastAsia="Arial" w:hAnsi="Arial"/>
                  <w:sz w:val="13"/>
                  <w:szCs w:val="13"/>
                  <w:color w:val="0000FF"/>
                </w:rPr>
                <w:t>Form of Common Stock Certificate</w:t>
              </w:r>
            </w:hyperlink>
            <w:r>
              <w:rPr>
                <w:rFonts w:ascii="Arial" w:cs="Arial" w:eastAsia="Arial" w:hAnsi="Arial"/>
                <w:sz w:val="13"/>
                <w:szCs w:val="13"/>
                <w:color w:val="131E29"/>
              </w:rPr>
              <w:t>.</w:t>
            </w:r>
          </w:p>
        </w:tc>
        <w:tc>
          <w:tcPr>
            <w:tcW w:w="880" w:type="dxa"/>
            <w:vAlign w:val="bottom"/>
            <w:shd w:val="clear" w:color="auto" w:fill="D2DCE5"/>
          </w:tcPr>
          <w:p>
            <w:pPr>
              <w:jc w:val="center"/>
              <w:spacing w:after="0"/>
              <w:rPr>
                <w:sz w:val="20"/>
                <w:szCs w:val="20"/>
                <w:color w:val="auto"/>
              </w:rPr>
            </w:pPr>
            <w:r>
              <w:rPr>
                <w:rFonts w:ascii="Arial" w:cs="Arial" w:eastAsia="Arial" w:hAnsi="Arial"/>
                <w:sz w:val="13"/>
                <w:szCs w:val="13"/>
                <w:color w:val="131E29"/>
                <w:w w:val="98"/>
              </w:rPr>
              <w:t>S-1/A</w:t>
            </w:r>
          </w:p>
        </w:tc>
        <w:tc>
          <w:tcPr>
            <w:tcW w:w="1260" w:type="dxa"/>
            <w:vAlign w:val="bottom"/>
            <w:shd w:val="clear" w:color="auto" w:fill="D2DCE5"/>
          </w:tcPr>
          <w:p>
            <w:pPr>
              <w:jc w:val="center"/>
              <w:spacing w:after="0"/>
              <w:rPr>
                <w:sz w:val="20"/>
                <w:szCs w:val="20"/>
                <w:color w:val="auto"/>
              </w:rPr>
            </w:pPr>
            <w:r>
              <w:rPr>
                <w:rFonts w:ascii="Arial" w:cs="Arial" w:eastAsia="Arial" w:hAnsi="Arial"/>
                <w:sz w:val="13"/>
                <w:szCs w:val="13"/>
                <w:color w:val="131E29"/>
                <w:w w:val="97"/>
              </w:rPr>
              <w:t>333-258988</w:t>
            </w:r>
          </w:p>
        </w:tc>
        <w:tc>
          <w:tcPr>
            <w:tcW w:w="880" w:type="dxa"/>
            <w:vAlign w:val="bottom"/>
            <w:shd w:val="clear" w:color="auto" w:fill="D2DCE5"/>
          </w:tcPr>
          <w:p>
            <w:pPr>
              <w:jc w:val="center"/>
              <w:spacing w:after="0"/>
              <w:rPr>
                <w:sz w:val="20"/>
                <w:szCs w:val="20"/>
                <w:color w:val="auto"/>
              </w:rPr>
            </w:pPr>
            <w:r>
              <w:rPr>
                <w:rFonts w:ascii="Arial" w:cs="Arial" w:eastAsia="Arial" w:hAnsi="Arial"/>
                <w:sz w:val="13"/>
                <w:szCs w:val="13"/>
                <w:color w:val="131E29"/>
                <w:w w:val="99"/>
              </w:rPr>
              <w:t>4.1</w:t>
            </w:r>
          </w:p>
        </w:tc>
        <w:tc>
          <w:tcPr>
            <w:tcW w:w="100" w:type="dxa"/>
            <w:vAlign w:val="bottom"/>
            <w:shd w:val="clear" w:color="auto" w:fill="D2DCE5"/>
          </w:tcPr>
          <w:p>
            <w:pPr>
              <w:spacing w:after="0"/>
              <w:rPr>
                <w:sz w:val="14"/>
                <w:szCs w:val="14"/>
                <w:color w:val="auto"/>
              </w:rPr>
            </w:pPr>
          </w:p>
        </w:tc>
        <w:tc>
          <w:tcPr>
            <w:tcW w:w="1640" w:type="dxa"/>
            <w:vAlign w:val="bottom"/>
            <w:gridSpan w:val="2"/>
            <w:shd w:val="clear" w:color="auto" w:fill="D2DCE5"/>
          </w:tcPr>
          <w:p>
            <w:pPr>
              <w:jc w:val="center"/>
              <w:ind w:right="80"/>
              <w:spacing w:after="0"/>
              <w:rPr>
                <w:sz w:val="20"/>
                <w:szCs w:val="20"/>
                <w:color w:val="auto"/>
              </w:rPr>
            </w:pPr>
            <w:r>
              <w:rPr>
                <w:rFonts w:ascii="Arial" w:cs="Arial" w:eastAsia="Arial" w:hAnsi="Arial"/>
                <w:sz w:val="13"/>
                <w:szCs w:val="13"/>
                <w:color w:val="131E29"/>
                <w:w w:val="97"/>
              </w:rPr>
              <w:t>September 7, 2021</w:t>
            </w:r>
          </w:p>
        </w:tc>
        <w:tc>
          <w:tcPr>
            <w:tcW w:w="960" w:type="dxa"/>
            <w:vAlign w:val="bottom"/>
            <w:shd w:val="clear" w:color="auto" w:fill="D2DCE5"/>
          </w:tcPr>
          <w:p>
            <w:pPr>
              <w:spacing w:after="0"/>
              <w:rPr>
                <w:sz w:val="14"/>
                <w:szCs w:val="14"/>
                <w:color w:val="auto"/>
              </w:rPr>
            </w:pPr>
          </w:p>
        </w:tc>
      </w:tr>
      <w:tr>
        <w:trPr>
          <w:trHeight w:val="149"/>
        </w:trPr>
        <w:tc>
          <w:tcPr>
            <w:tcW w:w="1080" w:type="dxa"/>
            <w:vAlign w:val="bottom"/>
            <w:tcBorders>
              <w:top w:val="single" w:sz="8" w:color="D2DCE5"/>
            </w:tcBorders>
          </w:tcPr>
          <w:p>
            <w:pPr>
              <w:jc w:val="center"/>
              <w:spacing w:after="0"/>
              <w:rPr>
                <w:sz w:val="20"/>
                <w:szCs w:val="20"/>
                <w:color w:val="auto"/>
              </w:rPr>
            </w:pPr>
            <w:r>
              <w:rPr>
                <w:rFonts w:ascii="Arial" w:cs="Arial" w:eastAsia="Arial" w:hAnsi="Arial"/>
                <w:sz w:val="13"/>
                <w:szCs w:val="13"/>
                <w:color w:val="131E29"/>
                <w:w w:val="88"/>
              </w:rPr>
              <w:t>4.2</w:t>
            </w:r>
          </w:p>
        </w:tc>
        <w:tc>
          <w:tcPr>
            <w:tcW w:w="80" w:type="dxa"/>
            <w:vAlign w:val="bottom"/>
            <w:tcBorders>
              <w:top w:val="single" w:sz="8" w:color="D2DCE5"/>
            </w:tcBorders>
          </w:tcPr>
          <w:p>
            <w:pPr>
              <w:spacing w:after="0"/>
              <w:rPr>
                <w:sz w:val="12"/>
                <w:szCs w:val="12"/>
                <w:color w:val="auto"/>
              </w:rPr>
            </w:pPr>
          </w:p>
        </w:tc>
        <w:tc>
          <w:tcPr>
            <w:tcW w:w="20" w:type="dxa"/>
            <w:vAlign w:val="bottom"/>
            <w:tcBorders>
              <w:top w:val="single" w:sz="8" w:color="D2DCE5"/>
            </w:tcBorders>
          </w:tcPr>
          <w:p>
            <w:pPr>
              <w:spacing w:after="0"/>
              <w:rPr>
                <w:sz w:val="12"/>
                <w:szCs w:val="12"/>
                <w:color w:val="auto"/>
              </w:rPr>
            </w:pPr>
          </w:p>
        </w:tc>
        <w:tc>
          <w:tcPr>
            <w:tcW w:w="1940" w:type="dxa"/>
            <w:vAlign w:val="bottom"/>
            <w:tcBorders>
              <w:top w:val="single" w:sz="8" w:color="0000FF"/>
            </w:tcBorders>
            <w:gridSpan w:val="5"/>
          </w:tcPr>
          <w:p>
            <w:pPr>
              <w:spacing w:after="0"/>
              <w:rPr>
                <w:sz w:val="20"/>
                <w:szCs w:val="20"/>
                <w:color w:val="auto"/>
              </w:rPr>
            </w:pPr>
            <w:r>
              <w:rPr>
                <w:rFonts w:ascii="Arial" w:cs="Arial" w:eastAsia="Arial" w:hAnsi="Arial"/>
                <w:sz w:val="13"/>
                <w:szCs w:val="13"/>
                <w:color w:val="0000FF"/>
              </w:rPr>
              <w:t>Description of Capital Stock</w:t>
            </w:r>
          </w:p>
        </w:tc>
        <w:tc>
          <w:tcPr>
            <w:tcW w:w="2440" w:type="dxa"/>
            <w:vAlign w:val="bottom"/>
            <w:tcBorders>
              <w:top w:val="single" w:sz="8" w:color="D2DCE5"/>
            </w:tcBorders>
            <w:gridSpan w:val="19"/>
          </w:tcPr>
          <w:p>
            <w:pPr>
              <w:spacing w:after="0"/>
              <w:rPr>
                <w:sz w:val="12"/>
                <w:szCs w:val="12"/>
                <w:color w:val="auto"/>
              </w:rPr>
            </w:pPr>
          </w:p>
        </w:tc>
        <w:tc>
          <w:tcPr>
            <w:tcW w:w="880" w:type="dxa"/>
            <w:vAlign w:val="bottom"/>
            <w:tcBorders>
              <w:top w:val="single" w:sz="8" w:color="D2DCE5"/>
            </w:tcBorders>
          </w:tcPr>
          <w:p>
            <w:pPr>
              <w:spacing w:after="0"/>
              <w:rPr>
                <w:sz w:val="12"/>
                <w:szCs w:val="12"/>
                <w:color w:val="auto"/>
              </w:rPr>
            </w:pPr>
          </w:p>
        </w:tc>
        <w:tc>
          <w:tcPr>
            <w:tcW w:w="1260" w:type="dxa"/>
            <w:vAlign w:val="bottom"/>
            <w:tcBorders>
              <w:top w:val="single" w:sz="8" w:color="D2DCE5"/>
            </w:tcBorders>
          </w:tcPr>
          <w:p>
            <w:pPr>
              <w:spacing w:after="0"/>
              <w:rPr>
                <w:sz w:val="12"/>
                <w:szCs w:val="12"/>
                <w:color w:val="auto"/>
              </w:rPr>
            </w:pPr>
          </w:p>
        </w:tc>
        <w:tc>
          <w:tcPr>
            <w:tcW w:w="880" w:type="dxa"/>
            <w:vAlign w:val="bottom"/>
            <w:tcBorders>
              <w:top w:val="single" w:sz="8" w:color="D2DCE5"/>
            </w:tcBorders>
          </w:tcPr>
          <w:p>
            <w:pPr>
              <w:spacing w:after="0"/>
              <w:rPr>
                <w:sz w:val="12"/>
                <w:szCs w:val="12"/>
                <w:color w:val="auto"/>
              </w:rPr>
            </w:pPr>
          </w:p>
        </w:tc>
        <w:tc>
          <w:tcPr>
            <w:tcW w:w="100" w:type="dxa"/>
            <w:vAlign w:val="bottom"/>
            <w:tcBorders>
              <w:top w:val="single" w:sz="8" w:color="D2DCE5"/>
            </w:tcBorders>
          </w:tcPr>
          <w:p>
            <w:pPr>
              <w:spacing w:after="0"/>
              <w:rPr>
                <w:sz w:val="12"/>
                <w:szCs w:val="12"/>
                <w:color w:val="auto"/>
              </w:rPr>
            </w:pPr>
          </w:p>
        </w:tc>
        <w:tc>
          <w:tcPr>
            <w:tcW w:w="1560" w:type="dxa"/>
            <w:vAlign w:val="bottom"/>
            <w:tcBorders>
              <w:top w:val="single" w:sz="8" w:color="D2DCE5"/>
            </w:tcBorders>
          </w:tcPr>
          <w:p>
            <w:pPr>
              <w:spacing w:after="0"/>
              <w:rPr>
                <w:sz w:val="12"/>
                <w:szCs w:val="12"/>
                <w:color w:val="auto"/>
              </w:rPr>
            </w:pPr>
          </w:p>
        </w:tc>
        <w:tc>
          <w:tcPr>
            <w:tcW w:w="80" w:type="dxa"/>
            <w:vAlign w:val="bottom"/>
            <w:tcBorders>
              <w:top w:val="single" w:sz="8" w:color="D2DCE5"/>
            </w:tcBorders>
          </w:tcPr>
          <w:p>
            <w:pPr>
              <w:spacing w:after="0"/>
              <w:rPr>
                <w:sz w:val="12"/>
                <w:szCs w:val="12"/>
                <w:color w:val="auto"/>
              </w:rPr>
            </w:pPr>
          </w:p>
        </w:tc>
        <w:tc>
          <w:tcPr>
            <w:tcW w:w="960" w:type="dxa"/>
            <w:vAlign w:val="bottom"/>
            <w:tcBorders>
              <w:top w:val="single" w:sz="8" w:color="D2DCE5"/>
            </w:tcBorders>
          </w:tcPr>
          <w:p>
            <w:pPr>
              <w:jc w:val="center"/>
              <w:spacing w:after="0"/>
              <w:rPr>
                <w:sz w:val="20"/>
                <w:szCs w:val="20"/>
                <w:color w:val="auto"/>
              </w:rPr>
            </w:pPr>
            <w:r>
              <w:rPr>
                <w:rFonts w:ascii="Arial" w:cs="Arial" w:eastAsia="Arial" w:hAnsi="Arial"/>
                <w:sz w:val="13"/>
                <w:szCs w:val="13"/>
                <w:color w:val="131E29"/>
                <w:w w:val="91"/>
              </w:rPr>
              <w:t>X</w:t>
            </w:r>
          </w:p>
        </w:tc>
      </w:tr>
      <w:tr>
        <w:trPr>
          <w:trHeight w:val="22"/>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49"/>
        </w:trPr>
        <w:tc>
          <w:tcPr>
            <w:tcW w:w="1080" w:type="dxa"/>
            <w:vAlign w:val="bottom"/>
            <w:shd w:val="clear" w:color="auto" w:fill="D2DCE5"/>
          </w:tcPr>
          <w:p>
            <w:pPr>
              <w:spacing w:after="0"/>
              <w:rPr>
                <w:sz w:val="12"/>
                <w:szCs w:val="12"/>
                <w:color w:val="auto"/>
              </w:rPr>
            </w:pPr>
          </w:p>
        </w:tc>
        <w:tc>
          <w:tcPr>
            <w:tcW w:w="80" w:type="dxa"/>
            <w:vAlign w:val="bottom"/>
            <w:shd w:val="clear" w:color="auto" w:fill="D2DCE5"/>
          </w:tcPr>
          <w:p>
            <w:pPr>
              <w:spacing w:after="0"/>
              <w:rPr>
                <w:sz w:val="12"/>
                <w:szCs w:val="12"/>
                <w:color w:val="auto"/>
              </w:rPr>
            </w:pPr>
          </w:p>
        </w:tc>
        <w:tc>
          <w:tcPr>
            <w:tcW w:w="20" w:type="dxa"/>
            <w:vAlign w:val="bottom"/>
            <w:shd w:val="clear" w:color="auto" w:fill="D2DCE5"/>
          </w:tcPr>
          <w:p>
            <w:pPr>
              <w:spacing w:after="0"/>
              <w:rPr>
                <w:sz w:val="12"/>
                <w:szCs w:val="12"/>
                <w:color w:val="auto"/>
              </w:rPr>
            </w:pPr>
          </w:p>
        </w:tc>
        <w:tc>
          <w:tcPr>
            <w:tcW w:w="4380" w:type="dxa"/>
            <w:vAlign w:val="bottom"/>
            <w:gridSpan w:val="24"/>
            <w:shd w:val="clear" w:color="auto" w:fill="D2DCE5"/>
          </w:tcPr>
          <w:p>
            <w:pPr>
              <w:spacing w:after="0"/>
              <w:rPr>
                <w:rFonts w:ascii="Arial" w:cs="Arial" w:eastAsia="Arial" w:hAnsi="Arial"/>
                <w:sz w:val="13"/>
                <w:szCs w:val="13"/>
                <w:color w:val="0000FF"/>
              </w:rPr>
            </w:pPr>
            <w:hyperlink r:id="rId383">
              <w:r>
                <w:rPr>
                  <w:rFonts w:ascii="Arial" w:cs="Arial" w:eastAsia="Arial" w:hAnsi="Arial"/>
                  <w:sz w:val="13"/>
                  <w:szCs w:val="13"/>
                  <w:color w:val="0000FF"/>
                </w:rPr>
                <w:t>Third Amended and Restated Limited Liability Company Agreement of</w:t>
              </w:r>
            </w:hyperlink>
          </w:p>
        </w:tc>
        <w:tc>
          <w:tcPr>
            <w:tcW w:w="880" w:type="dxa"/>
            <w:vAlign w:val="bottom"/>
            <w:shd w:val="clear" w:color="auto" w:fill="D2DCE5"/>
          </w:tcPr>
          <w:p>
            <w:pPr>
              <w:spacing w:after="0"/>
              <w:rPr>
                <w:sz w:val="12"/>
                <w:szCs w:val="12"/>
                <w:color w:val="auto"/>
              </w:rPr>
            </w:pPr>
          </w:p>
        </w:tc>
        <w:tc>
          <w:tcPr>
            <w:tcW w:w="1260" w:type="dxa"/>
            <w:vAlign w:val="bottom"/>
            <w:shd w:val="clear" w:color="auto" w:fill="D2DCE5"/>
          </w:tcPr>
          <w:p>
            <w:pPr>
              <w:spacing w:after="0"/>
              <w:rPr>
                <w:sz w:val="12"/>
                <w:szCs w:val="12"/>
                <w:color w:val="auto"/>
              </w:rPr>
            </w:pPr>
          </w:p>
        </w:tc>
        <w:tc>
          <w:tcPr>
            <w:tcW w:w="880" w:type="dxa"/>
            <w:vAlign w:val="bottom"/>
            <w:shd w:val="clear" w:color="auto" w:fill="D2DCE5"/>
          </w:tcPr>
          <w:p>
            <w:pPr>
              <w:spacing w:after="0"/>
              <w:rPr>
                <w:sz w:val="12"/>
                <w:szCs w:val="12"/>
                <w:color w:val="auto"/>
              </w:rPr>
            </w:pPr>
          </w:p>
        </w:tc>
        <w:tc>
          <w:tcPr>
            <w:tcW w:w="100" w:type="dxa"/>
            <w:vAlign w:val="bottom"/>
            <w:shd w:val="clear" w:color="auto" w:fill="D2DCE5"/>
          </w:tcPr>
          <w:p>
            <w:pPr>
              <w:spacing w:after="0"/>
              <w:rPr>
                <w:sz w:val="12"/>
                <w:szCs w:val="12"/>
                <w:color w:val="auto"/>
              </w:rPr>
            </w:pPr>
          </w:p>
        </w:tc>
        <w:tc>
          <w:tcPr>
            <w:tcW w:w="1560" w:type="dxa"/>
            <w:vAlign w:val="bottom"/>
            <w:shd w:val="clear" w:color="auto" w:fill="D2DCE5"/>
          </w:tcPr>
          <w:p>
            <w:pPr>
              <w:spacing w:after="0"/>
              <w:rPr>
                <w:sz w:val="12"/>
                <w:szCs w:val="12"/>
                <w:color w:val="auto"/>
              </w:rPr>
            </w:pPr>
          </w:p>
        </w:tc>
        <w:tc>
          <w:tcPr>
            <w:tcW w:w="80" w:type="dxa"/>
            <w:vAlign w:val="bottom"/>
            <w:shd w:val="clear" w:color="auto" w:fill="D2DCE5"/>
          </w:tcPr>
          <w:p>
            <w:pPr>
              <w:spacing w:after="0"/>
              <w:rPr>
                <w:sz w:val="12"/>
                <w:szCs w:val="12"/>
                <w:color w:val="auto"/>
              </w:rPr>
            </w:pPr>
          </w:p>
        </w:tc>
        <w:tc>
          <w:tcPr>
            <w:tcW w:w="960" w:type="dxa"/>
            <w:vAlign w:val="bottom"/>
            <w:shd w:val="clear" w:color="auto" w:fill="D2DCE5"/>
          </w:tcPr>
          <w:p>
            <w:pPr>
              <w:spacing w:after="0"/>
              <w:rPr>
                <w:sz w:val="12"/>
                <w:szCs w:val="12"/>
                <w:color w:val="auto"/>
              </w:rPr>
            </w:pPr>
          </w:p>
        </w:tc>
      </w:tr>
      <w:tr>
        <w:trPr>
          <w:trHeight w:val="162"/>
        </w:trPr>
        <w:tc>
          <w:tcPr>
            <w:tcW w:w="1080" w:type="dxa"/>
            <w:vAlign w:val="bottom"/>
            <w:tcBorders>
              <w:top w:val="single" w:sz="8" w:color="D2DCE5"/>
              <w:bottom w:val="single" w:sz="8" w:color="D2DCE5"/>
            </w:tcBorders>
            <w:shd w:val="clear" w:color="auto" w:fill="D2DCE5"/>
          </w:tcPr>
          <w:p>
            <w:pPr>
              <w:jc w:val="center"/>
              <w:spacing w:after="0" w:line="118" w:lineRule="exact"/>
              <w:rPr>
                <w:sz w:val="20"/>
                <w:szCs w:val="20"/>
                <w:color w:val="auto"/>
              </w:rPr>
            </w:pPr>
            <w:r>
              <w:rPr>
                <w:rFonts w:ascii="Arial" w:cs="Arial" w:eastAsia="Arial" w:hAnsi="Arial"/>
                <w:sz w:val="13"/>
                <w:szCs w:val="13"/>
                <w:color w:val="131E29"/>
                <w:w w:val="94"/>
              </w:rPr>
              <w:t>10.1</w:t>
            </w:r>
          </w:p>
        </w:tc>
        <w:tc>
          <w:tcPr>
            <w:tcW w:w="80" w:type="dxa"/>
            <w:vAlign w:val="bottom"/>
            <w:tcBorders>
              <w:top w:val="single" w:sz="8" w:color="D2DCE5"/>
              <w:bottom w:val="single" w:sz="8" w:color="D2DCE5"/>
            </w:tcBorders>
            <w:shd w:val="clear" w:color="auto" w:fill="D2DCE5"/>
          </w:tcPr>
          <w:p>
            <w:pPr>
              <w:spacing w:after="0"/>
              <w:rPr>
                <w:sz w:val="14"/>
                <w:szCs w:val="14"/>
                <w:color w:val="auto"/>
              </w:rPr>
            </w:pPr>
          </w:p>
        </w:tc>
        <w:tc>
          <w:tcPr>
            <w:tcW w:w="20" w:type="dxa"/>
            <w:vAlign w:val="bottom"/>
            <w:tcBorders>
              <w:top w:val="single" w:sz="8" w:color="D2DCE5"/>
              <w:bottom w:val="single" w:sz="8" w:color="D2DCE5"/>
            </w:tcBorders>
            <w:shd w:val="clear" w:color="auto" w:fill="D2DCE5"/>
          </w:tcPr>
          <w:p>
            <w:pPr>
              <w:spacing w:after="0"/>
              <w:rPr>
                <w:sz w:val="14"/>
                <w:szCs w:val="14"/>
                <w:color w:val="auto"/>
              </w:rPr>
            </w:pPr>
          </w:p>
        </w:tc>
        <w:tc>
          <w:tcPr>
            <w:tcW w:w="2600" w:type="dxa"/>
            <w:vAlign w:val="bottom"/>
            <w:tcBorders>
              <w:top w:val="single" w:sz="8" w:color="0000FF"/>
              <w:bottom w:val="single" w:sz="8" w:color="0000FF"/>
            </w:tcBorders>
            <w:gridSpan w:val="9"/>
            <w:shd w:val="clear" w:color="auto" w:fill="D2DCE5"/>
          </w:tcPr>
          <w:p>
            <w:pPr>
              <w:spacing w:after="0" w:line="118" w:lineRule="exact"/>
              <w:rPr>
                <w:rFonts w:ascii="Arial" w:cs="Arial" w:eastAsia="Arial" w:hAnsi="Arial"/>
                <w:sz w:val="13"/>
                <w:szCs w:val="13"/>
                <w:color w:val="0000FF"/>
                <w:w w:val="97"/>
              </w:rPr>
            </w:pPr>
            <w:hyperlink r:id="rId383">
              <w:r>
                <w:rPr>
                  <w:rFonts w:ascii="Arial" w:cs="Arial" w:eastAsia="Arial" w:hAnsi="Arial"/>
                  <w:sz w:val="13"/>
                  <w:szCs w:val="13"/>
                  <w:color w:val="0000FF"/>
                  <w:w w:val="97"/>
                </w:rPr>
                <w:t>Dutch Mafia, LLC, dated September 14, 2021.</w:t>
              </w:r>
            </w:hyperlink>
          </w:p>
        </w:tc>
        <w:tc>
          <w:tcPr>
            <w:tcW w:w="1340" w:type="dxa"/>
            <w:vAlign w:val="bottom"/>
            <w:tcBorders>
              <w:top w:val="single" w:sz="8" w:color="0000FF"/>
              <w:bottom w:val="single" w:sz="8" w:color="D2DCE5"/>
            </w:tcBorders>
            <w:gridSpan w:val="7"/>
            <w:shd w:val="clear" w:color="auto" w:fill="D2DCE5"/>
          </w:tcPr>
          <w:p>
            <w:pPr>
              <w:spacing w:after="0"/>
              <w:rPr>
                <w:sz w:val="14"/>
                <w:szCs w:val="14"/>
                <w:color w:val="auto"/>
              </w:rPr>
            </w:pPr>
          </w:p>
        </w:tc>
        <w:tc>
          <w:tcPr>
            <w:tcW w:w="440" w:type="dxa"/>
            <w:vAlign w:val="bottom"/>
            <w:tcBorders>
              <w:top w:val="single" w:sz="8" w:color="D2DCE5"/>
              <w:bottom w:val="single" w:sz="8" w:color="D2DCE5"/>
            </w:tcBorders>
            <w:gridSpan w:val="8"/>
            <w:shd w:val="clear" w:color="auto" w:fill="D2DCE5"/>
          </w:tcPr>
          <w:p>
            <w:pPr>
              <w:spacing w:after="0"/>
              <w:rPr>
                <w:sz w:val="14"/>
                <w:szCs w:val="14"/>
                <w:color w:val="auto"/>
              </w:rPr>
            </w:pPr>
          </w:p>
        </w:tc>
        <w:tc>
          <w:tcPr>
            <w:tcW w:w="880" w:type="dxa"/>
            <w:vAlign w:val="bottom"/>
            <w:tcBorders>
              <w:top w:val="single" w:sz="8" w:color="D2DCE5"/>
              <w:bottom w:val="single" w:sz="8" w:color="D2DCE5"/>
            </w:tcBorders>
            <w:shd w:val="clear" w:color="auto" w:fill="D2DCE5"/>
          </w:tcPr>
          <w:p>
            <w:pPr>
              <w:jc w:val="center"/>
              <w:spacing w:after="0" w:line="118" w:lineRule="exact"/>
              <w:rPr>
                <w:sz w:val="20"/>
                <w:szCs w:val="20"/>
                <w:color w:val="auto"/>
              </w:rPr>
            </w:pPr>
            <w:r>
              <w:rPr>
                <w:rFonts w:ascii="Arial" w:cs="Arial" w:eastAsia="Arial" w:hAnsi="Arial"/>
                <w:sz w:val="13"/>
                <w:szCs w:val="13"/>
                <w:color w:val="131E29"/>
                <w:w w:val="98"/>
              </w:rPr>
              <w:t>8-K</w:t>
            </w:r>
          </w:p>
        </w:tc>
        <w:tc>
          <w:tcPr>
            <w:tcW w:w="1260" w:type="dxa"/>
            <w:vAlign w:val="bottom"/>
            <w:tcBorders>
              <w:top w:val="single" w:sz="8" w:color="D2DCE5"/>
              <w:bottom w:val="single" w:sz="8" w:color="D2DCE5"/>
            </w:tcBorders>
            <w:shd w:val="clear" w:color="auto" w:fill="D2DCE5"/>
          </w:tcPr>
          <w:p>
            <w:pPr>
              <w:jc w:val="center"/>
              <w:spacing w:after="0" w:line="118" w:lineRule="exact"/>
              <w:rPr>
                <w:sz w:val="20"/>
                <w:szCs w:val="20"/>
                <w:color w:val="auto"/>
              </w:rPr>
            </w:pPr>
            <w:r>
              <w:rPr>
                <w:rFonts w:ascii="Arial" w:cs="Arial" w:eastAsia="Arial" w:hAnsi="Arial"/>
                <w:sz w:val="13"/>
                <w:szCs w:val="13"/>
                <w:color w:val="131E29"/>
                <w:w w:val="96"/>
              </w:rPr>
              <w:t>001-40798</w:t>
            </w:r>
          </w:p>
        </w:tc>
        <w:tc>
          <w:tcPr>
            <w:tcW w:w="880" w:type="dxa"/>
            <w:vAlign w:val="bottom"/>
            <w:tcBorders>
              <w:top w:val="single" w:sz="8" w:color="D2DCE5"/>
              <w:bottom w:val="single" w:sz="8" w:color="D2DCE5"/>
            </w:tcBorders>
            <w:shd w:val="clear" w:color="auto" w:fill="D2DCE5"/>
          </w:tcPr>
          <w:p>
            <w:pPr>
              <w:jc w:val="center"/>
              <w:spacing w:after="0" w:line="118" w:lineRule="exact"/>
              <w:rPr>
                <w:sz w:val="20"/>
                <w:szCs w:val="20"/>
                <w:color w:val="auto"/>
              </w:rPr>
            </w:pPr>
            <w:r>
              <w:rPr>
                <w:rFonts w:ascii="Arial" w:cs="Arial" w:eastAsia="Arial" w:hAnsi="Arial"/>
                <w:sz w:val="13"/>
                <w:szCs w:val="13"/>
                <w:color w:val="131E29"/>
                <w:w w:val="94"/>
              </w:rPr>
              <w:t>10.1</w:t>
            </w:r>
          </w:p>
        </w:tc>
        <w:tc>
          <w:tcPr>
            <w:tcW w:w="100" w:type="dxa"/>
            <w:vAlign w:val="bottom"/>
            <w:tcBorders>
              <w:top w:val="single" w:sz="8" w:color="D2DCE5"/>
              <w:bottom w:val="single" w:sz="8" w:color="D2DCE5"/>
            </w:tcBorders>
            <w:shd w:val="clear" w:color="auto" w:fill="D2DCE5"/>
          </w:tcPr>
          <w:p>
            <w:pPr>
              <w:spacing w:after="0"/>
              <w:rPr>
                <w:sz w:val="14"/>
                <w:szCs w:val="14"/>
                <w:color w:val="auto"/>
              </w:rPr>
            </w:pPr>
          </w:p>
        </w:tc>
        <w:tc>
          <w:tcPr>
            <w:tcW w:w="1640" w:type="dxa"/>
            <w:vAlign w:val="bottom"/>
            <w:tcBorders>
              <w:top w:val="single" w:sz="8" w:color="D2DCE5"/>
              <w:bottom w:val="single" w:sz="8" w:color="D2DCE5"/>
            </w:tcBorders>
            <w:gridSpan w:val="2"/>
            <w:shd w:val="clear" w:color="auto" w:fill="D2DCE5"/>
          </w:tcPr>
          <w:p>
            <w:pPr>
              <w:jc w:val="center"/>
              <w:ind w:right="80"/>
              <w:spacing w:after="0" w:line="118" w:lineRule="exact"/>
              <w:rPr>
                <w:sz w:val="20"/>
                <w:szCs w:val="20"/>
                <w:color w:val="auto"/>
              </w:rPr>
            </w:pPr>
            <w:r>
              <w:rPr>
                <w:rFonts w:ascii="Arial" w:cs="Arial" w:eastAsia="Arial" w:hAnsi="Arial"/>
                <w:sz w:val="13"/>
                <w:szCs w:val="13"/>
                <w:color w:val="131E29"/>
                <w:w w:val="98"/>
              </w:rPr>
              <w:t>September 17, 2021</w:t>
            </w:r>
          </w:p>
        </w:tc>
        <w:tc>
          <w:tcPr>
            <w:tcW w:w="960" w:type="dxa"/>
            <w:vAlign w:val="bottom"/>
            <w:tcBorders>
              <w:top w:val="single" w:sz="8" w:color="D2DCE5"/>
              <w:bottom w:val="single" w:sz="8" w:color="D2DCE5"/>
            </w:tcBorders>
            <w:shd w:val="clear" w:color="auto" w:fill="D2DCE5"/>
          </w:tcPr>
          <w:p>
            <w:pPr>
              <w:spacing w:after="0"/>
              <w:rPr>
                <w:sz w:val="14"/>
                <w:szCs w:val="14"/>
                <w:color w:val="auto"/>
              </w:rPr>
            </w:pPr>
          </w:p>
        </w:tc>
      </w:tr>
      <w:tr>
        <w:trPr>
          <w:trHeight w:val="149"/>
        </w:trPr>
        <w:tc>
          <w:tcPr>
            <w:tcW w:w="1080" w:type="dxa"/>
            <w:vAlign w:val="bottom"/>
          </w:tcPr>
          <w:p>
            <w:pPr>
              <w:jc w:val="center"/>
              <w:spacing w:after="0"/>
              <w:rPr>
                <w:sz w:val="20"/>
                <w:szCs w:val="20"/>
                <w:color w:val="auto"/>
              </w:rPr>
            </w:pPr>
            <w:r>
              <w:rPr>
                <w:rFonts w:ascii="Arial" w:cs="Arial" w:eastAsia="Arial" w:hAnsi="Arial"/>
                <w:sz w:val="13"/>
                <w:szCs w:val="13"/>
                <w:color w:val="131E29"/>
                <w:w w:val="94"/>
              </w:rPr>
              <w:t>10.2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80" w:type="dxa"/>
            <w:vAlign w:val="bottom"/>
            <w:gridSpan w:val="24"/>
          </w:tcPr>
          <w:p>
            <w:pPr>
              <w:spacing w:after="0"/>
              <w:rPr>
                <w:rFonts w:ascii="Arial" w:cs="Arial" w:eastAsia="Arial" w:hAnsi="Arial"/>
                <w:sz w:val="13"/>
                <w:szCs w:val="13"/>
                <w:color w:val="0000FF"/>
              </w:rPr>
            </w:pPr>
            <w:hyperlink r:id="rId384">
              <w:r>
                <w:rPr>
                  <w:rFonts w:ascii="Arial" w:cs="Arial" w:eastAsia="Arial" w:hAnsi="Arial"/>
                  <w:sz w:val="13"/>
                  <w:szCs w:val="13"/>
                  <w:color w:val="0000FF"/>
                </w:rPr>
                <w:t>Tax Receivable Agreement (Reorganization), dated September 14, 2021.</w:t>
              </w:r>
            </w:hyperlink>
          </w:p>
        </w:tc>
        <w:tc>
          <w:tcPr>
            <w:tcW w:w="880" w:type="dxa"/>
            <w:vAlign w:val="bottom"/>
          </w:tcPr>
          <w:p>
            <w:pPr>
              <w:jc w:val="center"/>
              <w:spacing w:after="0"/>
              <w:rPr>
                <w:sz w:val="20"/>
                <w:szCs w:val="20"/>
                <w:color w:val="auto"/>
              </w:rPr>
            </w:pPr>
            <w:r>
              <w:rPr>
                <w:rFonts w:ascii="Arial" w:cs="Arial" w:eastAsia="Arial" w:hAnsi="Arial"/>
                <w:sz w:val="13"/>
                <w:szCs w:val="13"/>
                <w:color w:val="131E29"/>
                <w:w w:val="98"/>
              </w:rPr>
              <w:t>8-K</w:t>
            </w:r>
          </w:p>
        </w:tc>
        <w:tc>
          <w:tcPr>
            <w:tcW w:w="1260" w:type="dxa"/>
            <w:vAlign w:val="bottom"/>
          </w:tcPr>
          <w:p>
            <w:pPr>
              <w:jc w:val="center"/>
              <w:spacing w:after="0"/>
              <w:rPr>
                <w:sz w:val="20"/>
                <w:szCs w:val="20"/>
                <w:color w:val="auto"/>
              </w:rPr>
            </w:pPr>
            <w:r>
              <w:rPr>
                <w:rFonts w:ascii="Arial" w:cs="Arial" w:eastAsia="Arial" w:hAnsi="Arial"/>
                <w:sz w:val="13"/>
                <w:szCs w:val="13"/>
                <w:color w:val="131E29"/>
                <w:w w:val="96"/>
              </w:rPr>
              <w:t>001-40798</w:t>
            </w:r>
          </w:p>
        </w:tc>
        <w:tc>
          <w:tcPr>
            <w:tcW w:w="880" w:type="dxa"/>
            <w:vAlign w:val="bottom"/>
          </w:tcPr>
          <w:p>
            <w:pPr>
              <w:jc w:val="center"/>
              <w:spacing w:after="0"/>
              <w:rPr>
                <w:sz w:val="20"/>
                <w:szCs w:val="20"/>
                <w:color w:val="auto"/>
              </w:rPr>
            </w:pPr>
            <w:r>
              <w:rPr>
                <w:rFonts w:ascii="Arial" w:cs="Arial" w:eastAsia="Arial" w:hAnsi="Arial"/>
                <w:sz w:val="13"/>
                <w:szCs w:val="13"/>
                <w:color w:val="131E29"/>
                <w:w w:val="94"/>
              </w:rPr>
              <w:t>10.2</w:t>
            </w:r>
          </w:p>
        </w:tc>
        <w:tc>
          <w:tcPr>
            <w:tcW w:w="100" w:type="dxa"/>
            <w:vAlign w:val="bottom"/>
          </w:tcPr>
          <w:p>
            <w:pPr>
              <w:spacing w:after="0"/>
              <w:rPr>
                <w:sz w:val="12"/>
                <w:szCs w:val="12"/>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3"/>
                <w:szCs w:val="13"/>
                <w:color w:val="131E29"/>
                <w:w w:val="98"/>
              </w:rPr>
              <w:t>September 17, 2021</w:t>
            </w:r>
          </w:p>
        </w:tc>
        <w:tc>
          <w:tcPr>
            <w:tcW w:w="960" w:type="dxa"/>
            <w:vAlign w:val="bottom"/>
          </w:tcPr>
          <w:p>
            <w:pPr>
              <w:spacing w:after="0"/>
              <w:rPr>
                <w:sz w:val="12"/>
                <w:szCs w:val="12"/>
                <w:color w:val="auto"/>
              </w:rPr>
            </w:pPr>
          </w:p>
        </w:tc>
      </w:tr>
      <w:tr>
        <w:trPr>
          <w:trHeight w:val="22"/>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71"/>
        </w:trPr>
        <w:tc>
          <w:tcPr>
            <w:tcW w:w="108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3"/>
                <w:szCs w:val="13"/>
                <w:color w:val="131E29"/>
                <w:w w:val="94"/>
              </w:rPr>
              <w:t>10.3</w:t>
            </w:r>
          </w:p>
        </w:tc>
        <w:tc>
          <w:tcPr>
            <w:tcW w:w="80" w:type="dxa"/>
            <w:vAlign w:val="bottom"/>
            <w:tcBorders>
              <w:bottom w:val="single" w:sz="8" w:color="D2DCE5"/>
            </w:tcBorders>
            <w:shd w:val="clear" w:color="auto" w:fill="D2DCE5"/>
          </w:tcPr>
          <w:p>
            <w:pPr>
              <w:spacing w:after="0"/>
              <w:rPr>
                <w:sz w:val="14"/>
                <w:szCs w:val="14"/>
                <w:color w:val="auto"/>
              </w:rPr>
            </w:pPr>
          </w:p>
        </w:tc>
        <w:tc>
          <w:tcPr>
            <w:tcW w:w="20" w:type="dxa"/>
            <w:vAlign w:val="bottom"/>
            <w:tcBorders>
              <w:bottom w:val="single" w:sz="8" w:color="D2DCE5"/>
            </w:tcBorders>
            <w:shd w:val="clear" w:color="auto" w:fill="D2DCE5"/>
          </w:tcPr>
          <w:p>
            <w:pPr>
              <w:spacing w:after="0"/>
              <w:rPr>
                <w:sz w:val="14"/>
                <w:szCs w:val="14"/>
                <w:color w:val="auto"/>
              </w:rPr>
            </w:pPr>
          </w:p>
        </w:tc>
        <w:tc>
          <w:tcPr>
            <w:tcW w:w="3900" w:type="dxa"/>
            <w:vAlign w:val="bottom"/>
            <w:tcBorders>
              <w:bottom w:val="single" w:sz="8" w:color="0000FF"/>
            </w:tcBorders>
            <w:gridSpan w:val="15"/>
            <w:shd w:val="clear" w:color="auto" w:fill="D2DCE5"/>
          </w:tcPr>
          <w:p>
            <w:pPr>
              <w:spacing w:after="0"/>
              <w:rPr>
                <w:rFonts w:ascii="Arial" w:cs="Arial" w:eastAsia="Arial" w:hAnsi="Arial"/>
                <w:sz w:val="13"/>
                <w:szCs w:val="13"/>
                <w:color w:val="0000FF"/>
                <w:w w:val="97"/>
              </w:rPr>
            </w:pPr>
            <w:hyperlink r:id="rId385">
              <w:r>
                <w:rPr>
                  <w:rFonts w:ascii="Arial" w:cs="Arial" w:eastAsia="Arial" w:hAnsi="Arial"/>
                  <w:sz w:val="13"/>
                  <w:szCs w:val="13"/>
                  <w:color w:val="0000FF"/>
                  <w:w w:val="97"/>
                </w:rPr>
                <w:t>Tax Receivable Agreement (Exchanges), dated September 14, 2021.</w:t>
              </w:r>
            </w:hyperlink>
          </w:p>
        </w:tc>
        <w:tc>
          <w:tcPr>
            <w:tcW w:w="480" w:type="dxa"/>
            <w:vAlign w:val="bottom"/>
            <w:tcBorders>
              <w:bottom w:val="single" w:sz="8" w:color="D2DCE5"/>
            </w:tcBorders>
            <w:gridSpan w:val="9"/>
            <w:shd w:val="clear" w:color="auto" w:fill="D2DCE5"/>
          </w:tcPr>
          <w:p>
            <w:pPr>
              <w:spacing w:after="0"/>
              <w:rPr>
                <w:sz w:val="14"/>
                <w:szCs w:val="14"/>
                <w:color w:val="auto"/>
              </w:rPr>
            </w:pPr>
          </w:p>
        </w:tc>
        <w:tc>
          <w:tcPr>
            <w:tcW w:w="88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3"/>
                <w:szCs w:val="13"/>
                <w:color w:val="131E29"/>
                <w:w w:val="98"/>
              </w:rPr>
              <w:t>8-K</w:t>
            </w:r>
          </w:p>
        </w:tc>
        <w:tc>
          <w:tcPr>
            <w:tcW w:w="126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3"/>
                <w:szCs w:val="13"/>
                <w:color w:val="131E29"/>
                <w:w w:val="96"/>
              </w:rPr>
              <w:t>001-40798</w:t>
            </w:r>
          </w:p>
        </w:tc>
        <w:tc>
          <w:tcPr>
            <w:tcW w:w="88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3"/>
                <w:szCs w:val="13"/>
                <w:color w:val="131E29"/>
                <w:w w:val="94"/>
              </w:rPr>
              <w:t>10.3</w:t>
            </w:r>
          </w:p>
        </w:tc>
        <w:tc>
          <w:tcPr>
            <w:tcW w:w="100" w:type="dxa"/>
            <w:vAlign w:val="bottom"/>
            <w:tcBorders>
              <w:bottom w:val="single" w:sz="8" w:color="D2DCE5"/>
            </w:tcBorders>
            <w:shd w:val="clear" w:color="auto" w:fill="D2DCE5"/>
          </w:tcPr>
          <w:p>
            <w:pPr>
              <w:spacing w:after="0"/>
              <w:rPr>
                <w:sz w:val="14"/>
                <w:szCs w:val="14"/>
                <w:color w:val="auto"/>
              </w:rPr>
            </w:pPr>
          </w:p>
        </w:tc>
        <w:tc>
          <w:tcPr>
            <w:tcW w:w="1640" w:type="dxa"/>
            <w:vAlign w:val="bottom"/>
            <w:tcBorders>
              <w:bottom w:val="single" w:sz="8" w:color="D2DCE5"/>
            </w:tcBorders>
            <w:gridSpan w:val="2"/>
            <w:shd w:val="clear" w:color="auto" w:fill="D2DCE5"/>
          </w:tcPr>
          <w:p>
            <w:pPr>
              <w:jc w:val="center"/>
              <w:ind w:right="80"/>
              <w:spacing w:after="0"/>
              <w:rPr>
                <w:sz w:val="20"/>
                <w:szCs w:val="20"/>
                <w:color w:val="auto"/>
              </w:rPr>
            </w:pPr>
            <w:r>
              <w:rPr>
                <w:rFonts w:ascii="Arial" w:cs="Arial" w:eastAsia="Arial" w:hAnsi="Arial"/>
                <w:sz w:val="13"/>
                <w:szCs w:val="13"/>
                <w:color w:val="131E29"/>
                <w:w w:val="98"/>
              </w:rPr>
              <w:t>September 17, 2021</w:t>
            </w:r>
          </w:p>
        </w:tc>
        <w:tc>
          <w:tcPr>
            <w:tcW w:w="960" w:type="dxa"/>
            <w:vAlign w:val="bottom"/>
            <w:tcBorders>
              <w:bottom w:val="single" w:sz="8" w:color="D2DCE5"/>
            </w:tcBorders>
            <w:shd w:val="clear" w:color="auto" w:fill="D2DCE5"/>
          </w:tcPr>
          <w:p>
            <w:pPr>
              <w:spacing w:after="0"/>
              <w:rPr>
                <w:sz w:val="14"/>
                <w:szCs w:val="14"/>
                <w:color w:val="auto"/>
              </w:rPr>
            </w:pPr>
          </w:p>
        </w:tc>
      </w:tr>
      <w:tr>
        <w:trPr>
          <w:trHeight w:val="149"/>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80" w:type="dxa"/>
            <w:vAlign w:val="bottom"/>
            <w:gridSpan w:val="24"/>
          </w:tcPr>
          <w:p>
            <w:pPr>
              <w:spacing w:after="0"/>
              <w:rPr>
                <w:rFonts w:ascii="Arial" w:cs="Arial" w:eastAsia="Arial" w:hAnsi="Arial"/>
                <w:sz w:val="13"/>
                <w:szCs w:val="13"/>
                <w:color w:val="0000FF"/>
              </w:rPr>
            </w:pPr>
            <w:hyperlink r:id="rId386">
              <w:r>
                <w:rPr>
                  <w:rFonts w:ascii="Arial" w:cs="Arial" w:eastAsia="Arial" w:hAnsi="Arial"/>
                  <w:sz w:val="13"/>
                  <w:szCs w:val="13"/>
                  <w:color w:val="0000FF"/>
                </w:rPr>
                <w:t>Registration Rights Agreement, by and between the Registrant and the</w:t>
              </w:r>
            </w:hyperlink>
          </w:p>
        </w:tc>
        <w:tc>
          <w:tcPr>
            <w:tcW w:w="8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29"/>
        </w:trPr>
        <w:tc>
          <w:tcPr>
            <w:tcW w:w="1080" w:type="dxa"/>
            <w:vAlign w:val="bottom"/>
          </w:tcPr>
          <w:p>
            <w:pPr>
              <w:jc w:val="center"/>
              <w:spacing w:after="0" w:line="118" w:lineRule="exact"/>
              <w:rPr>
                <w:sz w:val="20"/>
                <w:szCs w:val="20"/>
                <w:color w:val="auto"/>
              </w:rPr>
            </w:pPr>
            <w:r>
              <w:rPr>
                <w:rFonts w:ascii="Arial" w:cs="Arial" w:eastAsia="Arial" w:hAnsi="Arial"/>
                <w:sz w:val="13"/>
                <w:szCs w:val="13"/>
                <w:color w:val="131E29"/>
                <w:w w:val="94"/>
              </w:rPr>
              <w:t>10.4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980" w:type="dxa"/>
            <w:vAlign w:val="bottom"/>
            <w:tcBorders>
              <w:top w:val="single" w:sz="8" w:color="0000FF"/>
            </w:tcBorders>
            <w:gridSpan w:val="17"/>
          </w:tcPr>
          <w:p>
            <w:pPr>
              <w:spacing w:after="0" w:line="118" w:lineRule="exact"/>
              <w:rPr>
                <w:rFonts w:ascii="Arial" w:cs="Arial" w:eastAsia="Arial" w:hAnsi="Arial"/>
                <w:sz w:val="13"/>
                <w:szCs w:val="13"/>
                <w:color w:val="0000FF"/>
              </w:rPr>
            </w:pPr>
            <w:hyperlink r:id="rId386">
              <w:r>
                <w:rPr>
                  <w:rFonts w:ascii="Arial" w:cs="Arial" w:eastAsia="Arial" w:hAnsi="Arial"/>
                  <w:sz w:val="13"/>
                  <w:szCs w:val="13"/>
                  <w:color w:val="0000FF"/>
                </w:rPr>
                <w:t>Sponsor, dated September 17, 2021.</w:t>
              </w:r>
            </w:hyperlink>
          </w:p>
        </w:tc>
        <w:tc>
          <w:tcPr>
            <w:tcW w:w="400" w:type="dxa"/>
            <w:vAlign w:val="bottom"/>
            <w:gridSpan w:val="7"/>
          </w:tcPr>
          <w:p>
            <w:pPr>
              <w:spacing w:after="0"/>
              <w:rPr>
                <w:sz w:val="11"/>
                <w:szCs w:val="11"/>
                <w:color w:val="auto"/>
              </w:rPr>
            </w:pPr>
          </w:p>
        </w:tc>
        <w:tc>
          <w:tcPr>
            <w:tcW w:w="880" w:type="dxa"/>
            <w:vAlign w:val="bottom"/>
          </w:tcPr>
          <w:p>
            <w:pPr>
              <w:jc w:val="center"/>
              <w:spacing w:after="0" w:line="118" w:lineRule="exact"/>
              <w:rPr>
                <w:sz w:val="20"/>
                <w:szCs w:val="20"/>
                <w:color w:val="auto"/>
              </w:rPr>
            </w:pPr>
            <w:r>
              <w:rPr>
                <w:rFonts w:ascii="Arial" w:cs="Arial" w:eastAsia="Arial" w:hAnsi="Arial"/>
                <w:sz w:val="13"/>
                <w:szCs w:val="13"/>
                <w:color w:val="131E29"/>
                <w:w w:val="98"/>
              </w:rPr>
              <w:t>8-K</w:t>
            </w:r>
          </w:p>
        </w:tc>
        <w:tc>
          <w:tcPr>
            <w:tcW w:w="1260" w:type="dxa"/>
            <w:vAlign w:val="bottom"/>
          </w:tcPr>
          <w:p>
            <w:pPr>
              <w:jc w:val="center"/>
              <w:spacing w:after="0" w:line="118" w:lineRule="exact"/>
              <w:rPr>
                <w:sz w:val="20"/>
                <w:szCs w:val="20"/>
                <w:color w:val="auto"/>
              </w:rPr>
            </w:pPr>
            <w:r>
              <w:rPr>
                <w:rFonts w:ascii="Arial" w:cs="Arial" w:eastAsia="Arial" w:hAnsi="Arial"/>
                <w:sz w:val="13"/>
                <w:szCs w:val="13"/>
                <w:color w:val="131E29"/>
                <w:w w:val="96"/>
              </w:rPr>
              <w:t>001-40798</w:t>
            </w:r>
          </w:p>
        </w:tc>
        <w:tc>
          <w:tcPr>
            <w:tcW w:w="880" w:type="dxa"/>
            <w:vAlign w:val="bottom"/>
          </w:tcPr>
          <w:p>
            <w:pPr>
              <w:jc w:val="center"/>
              <w:spacing w:after="0" w:line="118" w:lineRule="exact"/>
              <w:rPr>
                <w:sz w:val="20"/>
                <w:szCs w:val="20"/>
                <w:color w:val="auto"/>
              </w:rPr>
            </w:pPr>
            <w:r>
              <w:rPr>
                <w:rFonts w:ascii="Arial" w:cs="Arial" w:eastAsia="Arial" w:hAnsi="Arial"/>
                <w:sz w:val="13"/>
                <w:szCs w:val="13"/>
                <w:color w:val="131E29"/>
                <w:w w:val="94"/>
              </w:rPr>
              <w:t>10.4</w:t>
            </w:r>
          </w:p>
        </w:tc>
        <w:tc>
          <w:tcPr>
            <w:tcW w:w="100" w:type="dxa"/>
            <w:vAlign w:val="bottom"/>
          </w:tcPr>
          <w:p>
            <w:pPr>
              <w:spacing w:after="0"/>
              <w:rPr>
                <w:sz w:val="11"/>
                <w:szCs w:val="11"/>
                <w:color w:val="auto"/>
              </w:rPr>
            </w:pPr>
          </w:p>
        </w:tc>
        <w:tc>
          <w:tcPr>
            <w:tcW w:w="1640" w:type="dxa"/>
            <w:vAlign w:val="bottom"/>
            <w:gridSpan w:val="2"/>
          </w:tcPr>
          <w:p>
            <w:pPr>
              <w:jc w:val="center"/>
              <w:ind w:right="80"/>
              <w:spacing w:after="0" w:line="118" w:lineRule="exact"/>
              <w:rPr>
                <w:sz w:val="20"/>
                <w:szCs w:val="20"/>
                <w:color w:val="auto"/>
              </w:rPr>
            </w:pPr>
            <w:r>
              <w:rPr>
                <w:rFonts w:ascii="Arial" w:cs="Arial" w:eastAsia="Arial" w:hAnsi="Arial"/>
                <w:sz w:val="13"/>
                <w:szCs w:val="13"/>
                <w:color w:val="131E29"/>
                <w:w w:val="98"/>
              </w:rPr>
              <w:t>September 17, 2021</w:t>
            </w:r>
          </w:p>
        </w:tc>
        <w:tc>
          <w:tcPr>
            <w:tcW w:w="960" w:type="dxa"/>
            <w:vAlign w:val="bottom"/>
          </w:tcPr>
          <w:p>
            <w:pPr>
              <w:spacing w:after="0"/>
              <w:rPr>
                <w:sz w:val="11"/>
                <w:szCs w:val="11"/>
                <w:color w:val="auto"/>
              </w:rPr>
            </w:pPr>
          </w:p>
        </w:tc>
      </w:tr>
      <w:tr>
        <w:trPr>
          <w:trHeight w:val="33"/>
        </w:trPr>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49"/>
        </w:trPr>
        <w:tc>
          <w:tcPr>
            <w:tcW w:w="1080" w:type="dxa"/>
            <w:vAlign w:val="bottom"/>
            <w:shd w:val="clear" w:color="auto" w:fill="D2DCE5"/>
          </w:tcPr>
          <w:p>
            <w:pPr>
              <w:spacing w:after="0"/>
              <w:rPr>
                <w:sz w:val="12"/>
                <w:szCs w:val="12"/>
                <w:color w:val="auto"/>
              </w:rPr>
            </w:pPr>
          </w:p>
        </w:tc>
        <w:tc>
          <w:tcPr>
            <w:tcW w:w="80" w:type="dxa"/>
            <w:vAlign w:val="bottom"/>
            <w:shd w:val="clear" w:color="auto" w:fill="D2DCE5"/>
          </w:tcPr>
          <w:p>
            <w:pPr>
              <w:spacing w:after="0"/>
              <w:rPr>
                <w:sz w:val="12"/>
                <w:szCs w:val="12"/>
                <w:color w:val="auto"/>
              </w:rPr>
            </w:pPr>
          </w:p>
        </w:tc>
        <w:tc>
          <w:tcPr>
            <w:tcW w:w="20" w:type="dxa"/>
            <w:vAlign w:val="bottom"/>
            <w:shd w:val="clear" w:color="auto" w:fill="D2DCE5"/>
          </w:tcPr>
          <w:p>
            <w:pPr>
              <w:spacing w:after="0"/>
              <w:rPr>
                <w:sz w:val="12"/>
                <w:szCs w:val="12"/>
                <w:color w:val="auto"/>
              </w:rPr>
            </w:pPr>
          </w:p>
        </w:tc>
        <w:tc>
          <w:tcPr>
            <w:tcW w:w="4380" w:type="dxa"/>
            <w:vAlign w:val="bottom"/>
            <w:gridSpan w:val="24"/>
            <w:shd w:val="clear" w:color="auto" w:fill="D2DCE5"/>
          </w:tcPr>
          <w:p>
            <w:pPr>
              <w:spacing w:after="0"/>
              <w:rPr>
                <w:rFonts w:ascii="Arial" w:cs="Arial" w:eastAsia="Arial" w:hAnsi="Arial"/>
                <w:sz w:val="13"/>
                <w:szCs w:val="13"/>
                <w:color w:val="0000FF"/>
              </w:rPr>
            </w:pPr>
            <w:hyperlink r:id="rId387">
              <w:r>
                <w:rPr>
                  <w:rFonts w:ascii="Arial" w:cs="Arial" w:eastAsia="Arial" w:hAnsi="Arial"/>
                  <w:sz w:val="13"/>
                  <w:szCs w:val="13"/>
                  <w:color w:val="0000FF"/>
                </w:rPr>
                <w:t>Stockholders Agreement, by and between the Registrant and the Sponsor,</w:t>
              </w:r>
            </w:hyperlink>
          </w:p>
        </w:tc>
        <w:tc>
          <w:tcPr>
            <w:tcW w:w="880" w:type="dxa"/>
            <w:vAlign w:val="bottom"/>
            <w:shd w:val="clear" w:color="auto" w:fill="D2DCE5"/>
          </w:tcPr>
          <w:p>
            <w:pPr>
              <w:spacing w:after="0"/>
              <w:rPr>
                <w:sz w:val="12"/>
                <w:szCs w:val="12"/>
                <w:color w:val="auto"/>
              </w:rPr>
            </w:pPr>
          </w:p>
        </w:tc>
        <w:tc>
          <w:tcPr>
            <w:tcW w:w="1260" w:type="dxa"/>
            <w:vAlign w:val="bottom"/>
            <w:shd w:val="clear" w:color="auto" w:fill="D2DCE5"/>
          </w:tcPr>
          <w:p>
            <w:pPr>
              <w:spacing w:after="0"/>
              <w:rPr>
                <w:sz w:val="12"/>
                <w:szCs w:val="12"/>
                <w:color w:val="auto"/>
              </w:rPr>
            </w:pPr>
          </w:p>
        </w:tc>
        <w:tc>
          <w:tcPr>
            <w:tcW w:w="880" w:type="dxa"/>
            <w:vAlign w:val="bottom"/>
            <w:shd w:val="clear" w:color="auto" w:fill="D2DCE5"/>
          </w:tcPr>
          <w:p>
            <w:pPr>
              <w:spacing w:after="0"/>
              <w:rPr>
                <w:sz w:val="12"/>
                <w:szCs w:val="12"/>
                <w:color w:val="auto"/>
              </w:rPr>
            </w:pPr>
          </w:p>
        </w:tc>
        <w:tc>
          <w:tcPr>
            <w:tcW w:w="100" w:type="dxa"/>
            <w:vAlign w:val="bottom"/>
            <w:shd w:val="clear" w:color="auto" w:fill="D2DCE5"/>
          </w:tcPr>
          <w:p>
            <w:pPr>
              <w:spacing w:after="0"/>
              <w:rPr>
                <w:sz w:val="12"/>
                <w:szCs w:val="12"/>
                <w:color w:val="auto"/>
              </w:rPr>
            </w:pPr>
          </w:p>
        </w:tc>
        <w:tc>
          <w:tcPr>
            <w:tcW w:w="1560" w:type="dxa"/>
            <w:vAlign w:val="bottom"/>
            <w:shd w:val="clear" w:color="auto" w:fill="D2DCE5"/>
          </w:tcPr>
          <w:p>
            <w:pPr>
              <w:spacing w:after="0"/>
              <w:rPr>
                <w:sz w:val="12"/>
                <w:szCs w:val="12"/>
                <w:color w:val="auto"/>
              </w:rPr>
            </w:pPr>
          </w:p>
        </w:tc>
        <w:tc>
          <w:tcPr>
            <w:tcW w:w="80" w:type="dxa"/>
            <w:vAlign w:val="bottom"/>
            <w:shd w:val="clear" w:color="auto" w:fill="D2DCE5"/>
          </w:tcPr>
          <w:p>
            <w:pPr>
              <w:spacing w:after="0"/>
              <w:rPr>
                <w:sz w:val="12"/>
                <w:szCs w:val="12"/>
                <w:color w:val="auto"/>
              </w:rPr>
            </w:pPr>
          </w:p>
        </w:tc>
        <w:tc>
          <w:tcPr>
            <w:tcW w:w="960" w:type="dxa"/>
            <w:vAlign w:val="bottom"/>
            <w:shd w:val="clear" w:color="auto" w:fill="D2DCE5"/>
          </w:tcPr>
          <w:p>
            <w:pPr>
              <w:spacing w:after="0"/>
              <w:rPr>
                <w:sz w:val="12"/>
                <w:szCs w:val="12"/>
                <w:color w:val="auto"/>
              </w:rPr>
            </w:pPr>
          </w:p>
        </w:tc>
      </w:tr>
      <w:tr>
        <w:trPr>
          <w:trHeight w:val="162"/>
        </w:trPr>
        <w:tc>
          <w:tcPr>
            <w:tcW w:w="1080" w:type="dxa"/>
            <w:vAlign w:val="bottom"/>
            <w:tcBorders>
              <w:top w:val="single" w:sz="8" w:color="D2DCE5"/>
              <w:bottom w:val="single" w:sz="8" w:color="D2DCE5"/>
            </w:tcBorders>
            <w:shd w:val="clear" w:color="auto" w:fill="D2DCE5"/>
          </w:tcPr>
          <w:p>
            <w:pPr>
              <w:jc w:val="center"/>
              <w:spacing w:after="0" w:line="118" w:lineRule="exact"/>
              <w:rPr>
                <w:sz w:val="20"/>
                <w:szCs w:val="20"/>
                <w:color w:val="auto"/>
              </w:rPr>
            </w:pPr>
            <w:r>
              <w:rPr>
                <w:rFonts w:ascii="Arial" w:cs="Arial" w:eastAsia="Arial" w:hAnsi="Arial"/>
                <w:sz w:val="13"/>
                <w:szCs w:val="13"/>
                <w:color w:val="131E29"/>
                <w:w w:val="94"/>
              </w:rPr>
              <w:t>10.5</w:t>
            </w:r>
          </w:p>
        </w:tc>
        <w:tc>
          <w:tcPr>
            <w:tcW w:w="80" w:type="dxa"/>
            <w:vAlign w:val="bottom"/>
            <w:tcBorders>
              <w:top w:val="single" w:sz="8" w:color="D2DCE5"/>
              <w:bottom w:val="single" w:sz="8" w:color="D2DCE5"/>
            </w:tcBorders>
            <w:shd w:val="clear" w:color="auto" w:fill="D2DCE5"/>
          </w:tcPr>
          <w:p>
            <w:pPr>
              <w:spacing w:after="0"/>
              <w:rPr>
                <w:sz w:val="14"/>
                <w:szCs w:val="14"/>
                <w:color w:val="auto"/>
              </w:rPr>
            </w:pPr>
          </w:p>
        </w:tc>
        <w:tc>
          <w:tcPr>
            <w:tcW w:w="20" w:type="dxa"/>
            <w:vAlign w:val="bottom"/>
            <w:tcBorders>
              <w:top w:val="single" w:sz="8" w:color="D2DCE5"/>
              <w:bottom w:val="single" w:sz="8" w:color="D2DCE5"/>
            </w:tcBorders>
            <w:shd w:val="clear" w:color="auto" w:fill="D2DCE5"/>
          </w:tcPr>
          <w:p>
            <w:pPr>
              <w:spacing w:after="0"/>
              <w:rPr>
                <w:sz w:val="14"/>
                <w:szCs w:val="14"/>
                <w:color w:val="auto"/>
              </w:rPr>
            </w:pPr>
          </w:p>
        </w:tc>
        <w:tc>
          <w:tcPr>
            <w:tcW w:w="1540" w:type="dxa"/>
            <w:vAlign w:val="bottom"/>
            <w:tcBorders>
              <w:top w:val="single" w:sz="8" w:color="0000FF"/>
              <w:bottom w:val="single" w:sz="8" w:color="0000FF"/>
            </w:tcBorders>
            <w:gridSpan w:val="3"/>
            <w:shd w:val="clear" w:color="auto" w:fill="D2DCE5"/>
          </w:tcPr>
          <w:p>
            <w:pPr>
              <w:spacing w:after="0" w:line="118" w:lineRule="exact"/>
              <w:rPr>
                <w:rFonts w:ascii="Arial" w:cs="Arial" w:eastAsia="Arial" w:hAnsi="Arial"/>
                <w:sz w:val="13"/>
                <w:szCs w:val="13"/>
                <w:color w:val="0000FF"/>
                <w:w w:val="96"/>
              </w:rPr>
            </w:pPr>
            <w:hyperlink r:id="rId387">
              <w:r>
                <w:rPr>
                  <w:rFonts w:ascii="Arial" w:cs="Arial" w:eastAsia="Arial" w:hAnsi="Arial"/>
                  <w:sz w:val="13"/>
                  <w:szCs w:val="13"/>
                  <w:color w:val="0000FF"/>
                  <w:w w:val="96"/>
                </w:rPr>
                <w:t>dated September 17, 2021.</w:t>
              </w:r>
            </w:hyperlink>
          </w:p>
        </w:tc>
        <w:tc>
          <w:tcPr>
            <w:tcW w:w="2640" w:type="dxa"/>
            <w:vAlign w:val="bottom"/>
            <w:tcBorders>
              <w:top w:val="single" w:sz="8" w:color="0000FF"/>
              <w:bottom w:val="single" w:sz="8" w:color="D2DCE5"/>
            </w:tcBorders>
            <w:gridSpan w:val="18"/>
            <w:shd w:val="clear" w:color="auto" w:fill="D2DCE5"/>
          </w:tcPr>
          <w:p>
            <w:pPr>
              <w:spacing w:after="0"/>
              <w:rPr>
                <w:sz w:val="14"/>
                <w:szCs w:val="14"/>
                <w:color w:val="auto"/>
              </w:rPr>
            </w:pPr>
          </w:p>
        </w:tc>
        <w:tc>
          <w:tcPr>
            <w:tcW w:w="200" w:type="dxa"/>
            <w:vAlign w:val="bottom"/>
            <w:tcBorders>
              <w:top w:val="single" w:sz="8" w:color="D2DCE5"/>
              <w:bottom w:val="single" w:sz="8" w:color="D2DCE5"/>
            </w:tcBorders>
            <w:gridSpan w:val="3"/>
            <w:shd w:val="clear" w:color="auto" w:fill="D2DCE5"/>
          </w:tcPr>
          <w:p>
            <w:pPr>
              <w:spacing w:after="0"/>
              <w:rPr>
                <w:sz w:val="14"/>
                <w:szCs w:val="14"/>
                <w:color w:val="auto"/>
              </w:rPr>
            </w:pPr>
          </w:p>
        </w:tc>
        <w:tc>
          <w:tcPr>
            <w:tcW w:w="880" w:type="dxa"/>
            <w:vAlign w:val="bottom"/>
            <w:tcBorders>
              <w:top w:val="single" w:sz="8" w:color="D2DCE5"/>
              <w:bottom w:val="single" w:sz="8" w:color="D2DCE5"/>
            </w:tcBorders>
            <w:shd w:val="clear" w:color="auto" w:fill="D2DCE5"/>
          </w:tcPr>
          <w:p>
            <w:pPr>
              <w:jc w:val="center"/>
              <w:spacing w:after="0" w:line="118" w:lineRule="exact"/>
              <w:rPr>
                <w:sz w:val="20"/>
                <w:szCs w:val="20"/>
                <w:color w:val="auto"/>
              </w:rPr>
            </w:pPr>
            <w:r>
              <w:rPr>
                <w:rFonts w:ascii="Arial" w:cs="Arial" w:eastAsia="Arial" w:hAnsi="Arial"/>
                <w:sz w:val="13"/>
                <w:szCs w:val="13"/>
                <w:color w:val="131E29"/>
                <w:w w:val="98"/>
              </w:rPr>
              <w:t>8-K</w:t>
            </w:r>
          </w:p>
        </w:tc>
        <w:tc>
          <w:tcPr>
            <w:tcW w:w="1260" w:type="dxa"/>
            <w:vAlign w:val="bottom"/>
            <w:tcBorders>
              <w:top w:val="single" w:sz="8" w:color="D2DCE5"/>
              <w:bottom w:val="single" w:sz="8" w:color="D2DCE5"/>
            </w:tcBorders>
            <w:shd w:val="clear" w:color="auto" w:fill="D2DCE5"/>
          </w:tcPr>
          <w:p>
            <w:pPr>
              <w:jc w:val="center"/>
              <w:spacing w:after="0" w:line="118" w:lineRule="exact"/>
              <w:rPr>
                <w:sz w:val="20"/>
                <w:szCs w:val="20"/>
                <w:color w:val="auto"/>
              </w:rPr>
            </w:pPr>
            <w:r>
              <w:rPr>
                <w:rFonts w:ascii="Arial" w:cs="Arial" w:eastAsia="Arial" w:hAnsi="Arial"/>
                <w:sz w:val="13"/>
                <w:szCs w:val="13"/>
                <w:color w:val="131E29"/>
                <w:w w:val="96"/>
              </w:rPr>
              <w:t>001-40798</w:t>
            </w:r>
          </w:p>
        </w:tc>
        <w:tc>
          <w:tcPr>
            <w:tcW w:w="880" w:type="dxa"/>
            <w:vAlign w:val="bottom"/>
            <w:tcBorders>
              <w:top w:val="single" w:sz="8" w:color="D2DCE5"/>
              <w:bottom w:val="single" w:sz="8" w:color="D2DCE5"/>
            </w:tcBorders>
            <w:shd w:val="clear" w:color="auto" w:fill="D2DCE5"/>
          </w:tcPr>
          <w:p>
            <w:pPr>
              <w:jc w:val="center"/>
              <w:spacing w:after="0" w:line="118" w:lineRule="exact"/>
              <w:rPr>
                <w:sz w:val="20"/>
                <w:szCs w:val="20"/>
                <w:color w:val="auto"/>
              </w:rPr>
            </w:pPr>
            <w:r>
              <w:rPr>
                <w:rFonts w:ascii="Arial" w:cs="Arial" w:eastAsia="Arial" w:hAnsi="Arial"/>
                <w:sz w:val="13"/>
                <w:szCs w:val="13"/>
                <w:color w:val="131E29"/>
                <w:w w:val="94"/>
              </w:rPr>
              <w:t>10.5</w:t>
            </w:r>
          </w:p>
        </w:tc>
        <w:tc>
          <w:tcPr>
            <w:tcW w:w="100" w:type="dxa"/>
            <w:vAlign w:val="bottom"/>
            <w:tcBorders>
              <w:top w:val="single" w:sz="8" w:color="D2DCE5"/>
              <w:bottom w:val="single" w:sz="8" w:color="D2DCE5"/>
            </w:tcBorders>
            <w:shd w:val="clear" w:color="auto" w:fill="D2DCE5"/>
          </w:tcPr>
          <w:p>
            <w:pPr>
              <w:spacing w:after="0"/>
              <w:rPr>
                <w:sz w:val="14"/>
                <w:szCs w:val="14"/>
                <w:color w:val="auto"/>
              </w:rPr>
            </w:pPr>
          </w:p>
        </w:tc>
        <w:tc>
          <w:tcPr>
            <w:tcW w:w="1640" w:type="dxa"/>
            <w:vAlign w:val="bottom"/>
            <w:tcBorders>
              <w:top w:val="single" w:sz="8" w:color="D2DCE5"/>
              <w:bottom w:val="single" w:sz="8" w:color="D2DCE5"/>
            </w:tcBorders>
            <w:gridSpan w:val="2"/>
            <w:shd w:val="clear" w:color="auto" w:fill="D2DCE5"/>
          </w:tcPr>
          <w:p>
            <w:pPr>
              <w:jc w:val="center"/>
              <w:ind w:right="80"/>
              <w:spacing w:after="0" w:line="118" w:lineRule="exact"/>
              <w:rPr>
                <w:sz w:val="20"/>
                <w:szCs w:val="20"/>
                <w:color w:val="auto"/>
              </w:rPr>
            </w:pPr>
            <w:r>
              <w:rPr>
                <w:rFonts w:ascii="Arial" w:cs="Arial" w:eastAsia="Arial" w:hAnsi="Arial"/>
                <w:sz w:val="13"/>
                <w:szCs w:val="13"/>
                <w:color w:val="131E29"/>
                <w:w w:val="98"/>
              </w:rPr>
              <w:t>September 17, 2021</w:t>
            </w:r>
          </w:p>
        </w:tc>
        <w:tc>
          <w:tcPr>
            <w:tcW w:w="960" w:type="dxa"/>
            <w:vAlign w:val="bottom"/>
            <w:tcBorders>
              <w:top w:val="single" w:sz="8" w:color="D2DCE5"/>
              <w:bottom w:val="single" w:sz="8" w:color="D2DCE5"/>
            </w:tcBorders>
            <w:shd w:val="clear" w:color="auto" w:fill="D2DCE5"/>
          </w:tcPr>
          <w:p>
            <w:pPr>
              <w:spacing w:after="0"/>
              <w:rPr>
                <w:sz w:val="14"/>
                <w:szCs w:val="14"/>
                <w:color w:val="auto"/>
              </w:rPr>
            </w:pPr>
          </w:p>
        </w:tc>
      </w:tr>
      <w:tr>
        <w:trPr>
          <w:trHeight w:val="149"/>
        </w:trPr>
        <w:tc>
          <w:tcPr>
            <w:tcW w:w="1080" w:type="dxa"/>
            <w:vAlign w:val="bottom"/>
          </w:tcPr>
          <w:p>
            <w:pPr>
              <w:jc w:val="center"/>
              <w:spacing w:after="0"/>
              <w:rPr>
                <w:sz w:val="20"/>
                <w:szCs w:val="20"/>
                <w:color w:val="auto"/>
              </w:rPr>
            </w:pPr>
            <w:r>
              <w:rPr>
                <w:rFonts w:ascii="Arial" w:cs="Arial" w:eastAsia="Arial" w:hAnsi="Arial"/>
                <w:sz w:val="13"/>
                <w:szCs w:val="13"/>
                <w:color w:val="131E29"/>
                <w:w w:val="94"/>
              </w:rPr>
              <w:t>10.6</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80" w:type="dxa"/>
            <w:vAlign w:val="bottom"/>
            <w:gridSpan w:val="24"/>
          </w:tcPr>
          <w:p>
            <w:pPr>
              <w:spacing w:after="0"/>
              <w:rPr>
                <w:rFonts w:ascii="Arial" w:cs="Arial" w:eastAsia="Arial" w:hAnsi="Arial"/>
                <w:sz w:val="13"/>
                <w:szCs w:val="13"/>
                <w:color w:val="0000FF"/>
              </w:rPr>
            </w:pPr>
            <w:hyperlink r:id="rId388">
              <w:r>
                <w:rPr>
                  <w:rFonts w:ascii="Arial" w:cs="Arial" w:eastAsia="Arial" w:hAnsi="Arial"/>
                  <w:sz w:val="13"/>
                  <w:szCs w:val="13"/>
                  <w:color w:val="0000FF"/>
                </w:rPr>
                <w:t>Form of Director and Officer Indemnification Agreement.</w:t>
              </w:r>
            </w:hyperlink>
          </w:p>
        </w:tc>
        <w:tc>
          <w:tcPr>
            <w:tcW w:w="880" w:type="dxa"/>
            <w:vAlign w:val="bottom"/>
          </w:tcPr>
          <w:p>
            <w:pPr>
              <w:jc w:val="center"/>
              <w:spacing w:after="0"/>
              <w:rPr>
                <w:sz w:val="20"/>
                <w:szCs w:val="20"/>
                <w:color w:val="auto"/>
              </w:rPr>
            </w:pPr>
            <w:r>
              <w:rPr>
                <w:rFonts w:ascii="Arial" w:cs="Arial" w:eastAsia="Arial" w:hAnsi="Arial"/>
                <w:sz w:val="13"/>
                <w:szCs w:val="13"/>
                <w:color w:val="131E29"/>
                <w:w w:val="98"/>
              </w:rPr>
              <w:t>S-1</w:t>
            </w:r>
          </w:p>
        </w:tc>
        <w:tc>
          <w:tcPr>
            <w:tcW w:w="1260" w:type="dxa"/>
            <w:vAlign w:val="bottom"/>
          </w:tcPr>
          <w:p>
            <w:pPr>
              <w:jc w:val="center"/>
              <w:spacing w:after="0"/>
              <w:rPr>
                <w:sz w:val="20"/>
                <w:szCs w:val="20"/>
                <w:color w:val="auto"/>
              </w:rPr>
            </w:pPr>
            <w:r>
              <w:rPr>
                <w:rFonts w:ascii="Arial" w:cs="Arial" w:eastAsia="Arial" w:hAnsi="Arial"/>
                <w:sz w:val="13"/>
                <w:szCs w:val="13"/>
                <w:color w:val="131E29"/>
                <w:w w:val="97"/>
              </w:rPr>
              <w:t>333-258988</w:t>
            </w:r>
          </w:p>
        </w:tc>
        <w:tc>
          <w:tcPr>
            <w:tcW w:w="880" w:type="dxa"/>
            <w:vAlign w:val="bottom"/>
          </w:tcPr>
          <w:p>
            <w:pPr>
              <w:jc w:val="center"/>
              <w:spacing w:after="0"/>
              <w:rPr>
                <w:sz w:val="20"/>
                <w:szCs w:val="20"/>
                <w:color w:val="auto"/>
              </w:rPr>
            </w:pPr>
            <w:r>
              <w:rPr>
                <w:rFonts w:ascii="Arial" w:cs="Arial" w:eastAsia="Arial" w:hAnsi="Arial"/>
                <w:sz w:val="13"/>
                <w:szCs w:val="13"/>
                <w:color w:val="131E29"/>
                <w:w w:val="94"/>
              </w:rPr>
              <w:t>10.2</w:t>
            </w:r>
          </w:p>
        </w:tc>
        <w:tc>
          <w:tcPr>
            <w:tcW w:w="100" w:type="dxa"/>
            <w:vAlign w:val="bottom"/>
          </w:tcPr>
          <w:p>
            <w:pPr>
              <w:spacing w:after="0"/>
              <w:rPr>
                <w:sz w:val="12"/>
                <w:szCs w:val="12"/>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3"/>
                <w:szCs w:val="13"/>
                <w:color w:val="131E29"/>
                <w:w w:val="97"/>
              </w:rPr>
              <w:t>August 20, 2021</w:t>
            </w:r>
          </w:p>
        </w:tc>
        <w:tc>
          <w:tcPr>
            <w:tcW w:w="960" w:type="dxa"/>
            <w:vAlign w:val="bottom"/>
          </w:tcPr>
          <w:p>
            <w:pPr>
              <w:spacing w:after="0"/>
              <w:rPr>
                <w:sz w:val="12"/>
                <w:szCs w:val="12"/>
                <w:color w:val="auto"/>
              </w:rPr>
            </w:pPr>
          </w:p>
        </w:tc>
      </w:tr>
      <w:tr>
        <w:trPr>
          <w:trHeight w:val="22"/>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71"/>
        </w:trPr>
        <w:tc>
          <w:tcPr>
            <w:tcW w:w="1160" w:type="dxa"/>
            <w:vAlign w:val="bottom"/>
            <w:tcBorders>
              <w:bottom w:val="single" w:sz="8" w:color="D2DCE5"/>
            </w:tcBorders>
            <w:gridSpan w:val="2"/>
            <w:shd w:val="clear" w:color="auto" w:fill="D2DCE5"/>
          </w:tcPr>
          <w:p>
            <w:pPr>
              <w:jc w:val="center"/>
              <w:ind w:right="80"/>
              <w:spacing w:after="0"/>
              <w:rPr>
                <w:sz w:val="20"/>
                <w:szCs w:val="20"/>
                <w:color w:val="auto"/>
              </w:rPr>
            </w:pPr>
            <w:r>
              <w:rPr>
                <w:rFonts w:ascii="Arial" w:cs="Arial" w:eastAsia="Arial" w:hAnsi="Arial"/>
                <w:sz w:val="13"/>
                <w:szCs w:val="13"/>
                <w:color w:val="131E29"/>
                <w:w w:val="98"/>
              </w:rPr>
              <w:t>10.7†</w:t>
            </w:r>
          </w:p>
        </w:tc>
        <w:tc>
          <w:tcPr>
            <w:tcW w:w="20" w:type="dxa"/>
            <w:vAlign w:val="bottom"/>
            <w:tcBorders>
              <w:bottom w:val="single" w:sz="8" w:color="D2DCE5"/>
            </w:tcBorders>
            <w:shd w:val="clear" w:color="auto" w:fill="D2DCE5"/>
          </w:tcPr>
          <w:p>
            <w:pPr>
              <w:spacing w:after="0"/>
              <w:rPr>
                <w:sz w:val="14"/>
                <w:szCs w:val="14"/>
                <w:color w:val="auto"/>
              </w:rPr>
            </w:pPr>
          </w:p>
        </w:tc>
        <w:tc>
          <w:tcPr>
            <w:tcW w:w="1540" w:type="dxa"/>
            <w:vAlign w:val="bottom"/>
            <w:tcBorders>
              <w:bottom w:val="single" w:sz="8" w:color="0000FF"/>
            </w:tcBorders>
            <w:gridSpan w:val="3"/>
            <w:shd w:val="clear" w:color="auto" w:fill="D2DCE5"/>
          </w:tcPr>
          <w:p>
            <w:pPr>
              <w:spacing w:after="0"/>
              <w:rPr>
                <w:rFonts w:ascii="Arial" w:cs="Arial" w:eastAsia="Arial" w:hAnsi="Arial"/>
                <w:sz w:val="13"/>
                <w:szCs w:val="13"/>
                <w:color w:val="0000FF"/>
                <w:w w:val="96"/>
              </w:rPr>
            </w:pPr>
            <w:hyperlink r:id="rId389">
              <w:r>
                <w:rPr>
                  <w:rFonts w:ascii="Arial" w:cs="Arial" w:eastAsia="Arial" w:hAnsi="Arial"/>
                  <w:sz w:val="13"/>
                  <w:szCs w:val="13"/>
                  <w:color w:val="0000FF"/>
                  <w:w w:val="96"/>
                </w:rPr>
                <w:t>2021 Equity Incentive Plan.</w:t>
              </w:r>
            </w:hyperlink>
          </w:p>
        </w:tc>
        <w:tc>
          <w:tcPr>
            <w:tcW w:w="2840" w:type="dxa"/>
            <w:vAlign w:val="bottom"/>
            <w:tcBorders>
              <w:bottom w:val="single" w:sz="8" w:color="D2DCE5"/>
            </w:tcBorders>
            <w:gridSpan w:val="21"/>
            <w:shd w:val="clear" w:color="auto" w:fill="D2DCE5"/>
          </w:tcPr>
          <w:p>
            <w:pPr>
              <w:spacing w:after="0"/>
              <w:rPr>
                <w:sz w:val="14"/>
                <w:szCs w:val="14"/>
                <w:color w:val="auto"/>
              </w:rPr>
            </w:pPr>
          </w:p>
        </w:tc>
        <w:tc>
          <w:tcPr>
            <w:tcW w:w="88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3"/>
                <w:szCs w:val="13"/>
                <w:color w:val="131E29"/>
                <w:w w:val="98"/>
              </w:rPr>
              <w:t>S-8</w:t>
            </w:r>
          </w:p>
        </w:tc>
        <w:tc>
          <w:tcPr>
            <w:tcW w:w="126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3"/>
                <w:szCs w:val="13"/>
                <w:color w:val="131E29"/>
                <w:w w:val="97"/>
              </w:rPr>
              <w:t>333-259618</w:t>
            </w:r>
          </w:p>
        </w:tc>
        <w:tc>
          <w:tcPr>
            <w:tcW w:w="88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3"/>
                <w:szCs w:val="13"/>
                <w:color w:val="131E29"/>
                <w:w w:val="94"/>
              </w:rPr>
              <w:t>99.1</w:t>
            </w:r>
          </w:p>
        </w:tc>
        <w:tc>
          <w:tcPr>
            <w:tcW w:w="100" w:type="dxa"/>
            <w:vAlign w:val="bottom"/>
            <w:tcBorders>
              <w:bottom w:val="single" w:sz="8" w:color="D2DCE5"/>
            </w:tcBorders>
            <w:shd w:val="clear" w:color="auto" w:fill="D2DCE5"/>
          </w:tcPr>
          <w:p>
            <w:pPr>
              <w:spacing w:after="0"/>
              <w:rPr>
                <w:sz w:val="14"/>
                <w:szCs w:val="14"/>
                <w:color w:val="auto"/>
              </w:rPr>
            </w:pPr>
          </w:p>
        </w:tc>
        <w:tc>
          <w:tcPr>
            <w:tcW w:w="1640" w:type="dxa"/>
            <w:vAlign w:val="bottom"/>
            <w:tcBorders>
              <w:bottom w:val="single" w:sz="8" w:color="D2DCE5"/>
            </w:tcBorders>
            <w:gridSpan w:val="2"/>
            <w:shd w:val="clear" w:color="auto" w:fill="D2DCE5"/>
          </w:tcPr>
          <w:p>
            <w:pPr>
              <w:jc w:val="center"/>
              <w:ind w:right="80"/>
              <w:spacing w:after="0"/>
              <w:rPr>
                <w:sz w:val="20"/>
                <w:szCs w:val="20"/>
                <w:color w:val="auto"/>
              </w:rPr>
            </w:pPr>
            <w:r>
              <w:rPr>
                <w:rFonts w:ascii="Arial" w:cs="Arial" w:eastAsia="Arial" w:hAnsi="Arial"/>
                <w:sz w:val="13"/>
                <w:szCs w:val="13"/>
                <w:color w:val="131E29"/>
                <w:w w:val="98"/>
              </w:rPr>
              <w:t>September 17, 2021</w:t>
            </w:r>
          </w:p>
        </w:tc>
        <w:tc>
          <w:tcPr>
            <w:tcW w:w="960" w:type="dxa"/>
            <w:vAlign w:val="bottom"/>
            <w:tcBorders>
              <w:bottom w:val="single" w:sz="8" w:color="D2DCE5"/>
            </w:tcBorders>
            <w:shd w:val="clear" w:color="auto" w:fill="D2DCE5"/>
          </w:tcPr>
          <w:p>
            <w:pPr>
              <w:spacing w:after="0"/>
              <w:rPr>
                <w:sz w:val="14"/>
                <w:szCs w:val="14"/>
                <w:color w:val="auto"/>
              </w:rPr>
            </w:pPr>
          </w:p>
        </w:tc>
      </w:tr>
      <w:tr>
        <w:trPr>
          <w:trHeight w:val="149"/>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0" w:type="dxa"/>
            <w:vAlign w:val="bottom"/>
            <w:tcBorders>
              <w:bottom w:val="single" w:sz="8" w:color="0000FF"/>
            </w:tcBorders>
            <w:gridSpan w:val="22"/>
          </w:tcPr>
          <w:p>
            <w:pPr>
              <w:spacing w:after="0"/>
              <w:rPr>
                <w:rFonts w:ascii="Arial" w:cs="Arial" w:eastAsia="Arial" w:hAnsi="Arial"/>
                <w:sz w:val="13"/>
                <w:szCs w:val="13"/>
                <w:color w:val="0000FF"/>
                <w:w w:val="97"/>
              </w:rPr>
            </w:pPr>
            <w:hyperlink r:id="rId390">
              <w:r>
                <w:rPr>
                  <w:rFonts w:ascii="Arial" w:cs="Arial" w:eastAsia="Arial" w:hAnsi="Arial"/>
                  <w:sz w:val="13"/>
                  <w:szCs w:val="13"/>
                  <w:color w:val="0000FF"/>
                  <w:w w:val="97"/>
                </w:rPr>
                <w:t>Form of Stock Option Grant Notice, Stock Option Agreement and Notice of</w:t>
              </w:r>
            </w:hyperlink>
          </w:p>
        </w:tc>
        <w:tc>
          <w:tcPr>
            <w:tcW w:w="180" w:type="dxa"/>
            <w:vAlign w:val="bottom"/>
            <w:gridSpan w:val="2"/>
          </w:tcPr>
          <w:p>
            <w:pPr>
              <w:spacing w:after="0"/>
              <w:rPr>
                <w:sz w:val="12"/>
                <w:szCs w:val="12"/>
                <w:color w:val="auto"/>
              </w:rPr>
            </w:pPr>
          </w:p>
        </w:tc>
        <w:tc>
          <w:tcPr>
            <w:tcW w:w="8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29"/>
        </w:trPr>
        <w:tc>
          <w:tcPr>
            <w:tcW w:w="1160" w:type="dxa"/>
            <w:vAlign w:val="bottom"/>
            <w:gridSpan w:val="2"/>
          </w:tcPr>
          <w:p>
            <w:pPr>
              <w:jc w:val="center"/>
              <w:ind w:right="80"/>
              <w:spacing w:after="0" w:line="118" w:lineRule="exact"/>
              <w:rPr>
                <w:sz w:val="20"/>
                <w:szCs w:val="20"/>
                <w:color w:val="auto"/>
              </w:rPr>
            </w:pPr>
            <w:r>
              <w:rPr>
                <w:rFonts w:ascii="Arial" w:cs="Arial" w:eastAsia="Arial" w:hAnsi="Arial"/>
                <w:sz w:val="13"/>
                <w:szCs w:val="13"/>
                <w:color w:val="131E29"/>
                <w:w w:val="98"/>
              </w:rPr>
              <w:t>10.8†</w:t>
            </w:r>
          </w:p>
        </w:tc>
        <w:tc>
          <w:tcPr>
            <w:tcW w:w="20" w:type="dxa"/>
            <w:vAlign w:val="bottom"/>
          </w:tcPr>
          <w:p>
            <w:pPr>
              <w:spacing w:after="0"/>
              <w:rPr>
                <w:sz w:val="11"/>
                <w:szCs w:val="11"/>
                <w:color w:val="auto"/>
              </w:rPr>
            </w:pPr>
          </w:p>
        </w:tc>
        <w:tc>
          <w:tcPr>
            <w:tcW w:w="4380" w:type="dxa"/>
            <w:vAlign w:val="bottom"/>
            <w:gridSpan w:val="24"/>
          </w:tcPr>
          <w:p>
            <w:pPr>
              <w:spacing w:after="0" w:line="118" w:lineRule="exact"/>
              <w:rPr>
                <w:rFonts w:ascii="Arial" w:cs="Arial" w:eastAsia="Arial" w:hAnsi="Arial"/>
                <w:sz w:val="13"/>
                <w:szCs w:val="13"/>
                <w:color w:val="0000FF"/>
              </w:rPr>
            </w:pPr>
            <w:hyperlink r:id="rId390">
              <w:r>
                <w:rPr>
                  <w:rFonts w:ascii="Arial" w:cs="Arial" w:eastAsia="Arial" w:hAnsi="Arial"/>
                  <w:sz w:val="13"/>
                  <w:szCs w:val="13"/>
                  <w:color w:val="0000FF"/>
                </w:rPr>
                <w:t>Exercise under the 2021 Equity Incentive Plan.</w:t>
              </w:r>
            </w:hyperlink>
          </w:p>
        </w:tc>
        <w:tc>
          <w:tcPr>
            <w:tcW w:w="880" w:type="dxa"/>
            <w:vAlign w:val="bottom"/>
          </w:tcPr>
          <w:p>
            <w:pPr>
              <w:jc w:val="center"/>
              <w:spacing w:after="0" w:line="118" w:lineRule="exact"/>
              <w:rPr>
                <w:sz w:val="20"/>
                <w:szCs w:val="20"/>
                <w:color w:val="auto"/>
              </w:rPr>
            </w:pPr>
            <w:r>
              <w:rPr>
                <w:rFonts w:ascii="Arial" w:cs="Arial" w:eastAsia="Arial" w:hAnsi="Arial"/>
                <w:sz w:val="13"/>
                <w:szCs w:val="13"/>
                <w:color w:val="131E29"/>
                <w:w w:val="98"/>
              </w:rPr>
              <w:t>S-1/A</w:t>
            </w:r>
          </w:p>
        </w:tc>
        <w:tc>
          <w:tcPr>
            <w:tcW w:w="1260" w:type="dxa"/>
            <w:vAlign w:val="bottom"/>
          </w:tcPr>
          <w:p>
            <w:pPr>
              <w:jc w:val="center"/>
              <w:spacing w:after="0" w:line="118" w:lineRule="exact"/>
              <w:rPr>
                <w:sz w:val="20"/>
                <w:szCs w:val="20"/>
                <w:color w:val="auto"/>
              </w:rPr>
            </w:pPr>
            <w:r>
              <w:rPr>
                <w:rFonts w:ascii="Arial" w:cs="Arial" w:eastAsia="Arial" w:hAnsi="Arial"/>
                <w:sz w:val="13"/>
                <w:szCs w:val="13"/>
                <w:color w:val="131E29"/>
                <w:w w:val="97"/>
              </w:rPr>
              <w:t>333-258988</w:t>
            </w:r>
          </w:p>
        </w:tc>
        <w:tc>
          <w:tcPr>
            <w:tcW w:w="880" w:type="dxa"/>
            <w:vAlign w:val="bottom"/>
          </w:tcPr>
          <w:p>
            <w:pPr>
              <w:jc w:val="center"/>
              <w:spacing w:after="0" w:line="118" w:lineRule="exact"/>
              <w:rPr>
                <w:sz w:val="20"/>
                <w:szCs w:val="20"/>
                <w:color w:val="auto"/>
              </w:rPr>
            </w:pPr>
            <w:r>
              <w:rPr>
                <w:rFonts w:ascii="Arial" w:cs="Arial" w:eastAsia="Arial" w:hAnsi="Arial"/>
                <w:sz w:val="13"/>
                <w:szCs w:val="13"/>
                <w:color w:val="131E29"/>
                <w:w w:val="94"/>
              </w:rPr>
              <w:t>10.8</w:t>
            </w:r>
          </w:p>
        </w:tc>
        <w:tc>
          <w:tcPr>
            <w:tcW w:w="100" w:type="dxa"/>
            <w:vAlign w:val="bottom"/>
          </w:tcPr>
          <w:p>
            <w:pPr>
              <w:spacing w:after="0"/>
              <w:rPr>
                <w:sz w:val="11"/>
                <w:szCs w:val="11"/>
                <w:color w:val="auto"/>
              </w:rPr>
            </w:pPr>
          </w:p>
        </w:tc>
        <w:tc>
          <w:tcPr>
            <w:tcW w:w="1640" w:type="dxa"/>
            <w:vAlign w:val="bottom"/>
            <w:gridSpan w:val="2"/>
          </w:tcPr>
          <w:p>
            <w:pPr>
              <w:jc w:val="center"/>
              <w:ind w:right="80"/>
              <w:spacing w:after="0" w:line="118" w:lineRule="exact"/>
              <w:rPr>
                <w:sz w:val="20"/>
                <w:szCs w:val="20"/>
                <w:color w:val="auto"/>
              </w:rPr>
            </w:pPr>
            <w:r>
              <w:rPr>
                <w:rFonts w:ascii="Arial" w:cs="Arial" w:eastAsia="Arial" w:hAnsi="Arial"/>
                <w:sz w:val="13"/>
                <w:szCs w:val="13"/>
                <w:color w:val="131E29"/>
                <w:w w:val="97"/>
              </w:rPr>
              <w:t>September 7, 2021</w:t>
            </w:r>
          </w:p>
        </w:tc>
        <w:tc>
          <w:tcPr>
            <w:tcW w:w="960" w:type="dxa"/>
            <w:vAlign w:val="bottom"/>
          </w:tcPr>
          <w:p>
            <w:pPr>
              <w:spacing w:after="0"/>
              <w:rPr>
                <w:sz w:val="11"/>
                <w:szCs w:val="11"/>
                <w:color w:val="auto"/>
              </w:rPr>
            </w:pPr>
          </w:p>
        </w:tc>
      </w:tr>
      <w:tr>
        <w:trPr>
          <w:trHeight w:val="33"/>
        </w:trPr>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49"/>
        </w:trPr>
        <w:tc>
          <w:tcPr>
            <w:tcW w:w="1080" w:type="dxa"/>
            <w:vAlign w:val="bottom"/>
            <w:tcBorders>
              <w:bottom w:val="single" w:sz="8" w:color="D2DCE5"/>
            </w:tcBorders>
            <w:shd w:val="clear" w:color="auto" w:fill="D2DCE5"/>
          </w:tcPr>
          <w:p>
            <w:pPr>
              <w:spacing w:after="0"/>
              <w:rPr>
                <w:sz w:val="12"/>
                <w:szCs w:val="12"/>
                <w:color w:val="auto"/>
              </w:rPr>
            </w:pPr>
          </w:p>
        </w:tc>
        <w:tc>
          <w:tcPr>
            <w:tcW w:w="80" w:type="dxa"/>
            <w:vAlign w:val="bottom"/>
            <w:tcBorders>
              <w:bottom w:val="single" w:sz="8" w:color="D2DCE5"/>
            </w:tcBorders>
            <w:shd w:val="clear" w:color="auto" w:fill="D2DCE5"/>
          </w:tcPr>
          <w:p>
            <w:pPr>
              <w:spacing w:after="0"/>
              <w:rPr>
                <w:sz w:val="12"/>
                <w:szCs w:val="12"/>
                <w:color w:val="auto"/>
              </w:rPr>
            </w:pPr>
          </w:p>
        </w:tc>
        <w:tc>
          <w:tcPr>
            <w:tcW w:w="20" w:type="dxa"/>
            <w:vAlign w:val="bottom"/>
            <w:tcBorders>
              <w:bottom w:val="single" w:sz="8" w:color="D2DCE5"/>
            </w:tcBorders>
            <w:shd w:val="clear" w:color="auto" w:fill="D2DCE5"/>
          </w:tcPr>
          <w:p>
            <w:pPr>
              <w:spacing w:after="0"/>
              <w:rPr>
                <w:sz w:val="12"/>
                <w:szCs w:val="12"/>
                <w:color w:val="auto"/>
              </w:rPr>
            </w:pPr>
          </w:p>
        </w:tc>
        <w:tc>
          <w:tcPr>
            <w:tcW w:w="4080" w:type="dxa"/>
            <w:vAlign w:val="bottom"/>
            <w:tcBorders>
              <w:bottom w:val="single" w:sz="8" w:color="0000FF"/>
            </w:tcBorders>
            <w:gridSpan w:val="19"/>
            <w:shd w:val="clear" w:color="auto" w:fill="D2DCE5"/>
          </w:tcPr>
          <w:p>
            <w:pPr>
              <w:spacing w:after="0"/>
              <w:rPr>
                <w:rFonts w:ascii="Arial" w:cs="Arial" w:eastAsia="Arial" w:hAnsi="Arial"/>
                <w:sz w:val="13"/>
                <w:szCs w:val="13"/>
                <w:color w:val="0000FF"/>
                <w:w w:val="97"/>
              </w:rPr>
            </w:pPr>
            <w:hyperlink r:id="rId391">
              <w:r>
                <w:rPr>
                  <w:rFonts w:ascii="Arial" w:cs="Arial" w:eastAsia="Arial" w:hAnsi="Arial"/>
                  <w:sz w:val="13"/>
                  <w:szCs w:val="13"/>
                  <w:color w:val="0000FF"/>
                  <w:w w:val="97"/>
                </w:rPr>
                <w:t>Form of RSU Award Grant Notice and Award Agreement under the 2021</w:t>
              </w:r>
            </w:hyperlink>
          </w:p>
        </w:tc>
        <w:tc>
          <w:tcPr>
            <w:tcW w:w="300" w:type="dxa"/>
            <w:vAlign w:val="bottom"/>
            <w:tcBorders>
              <w:bottom w:val="single" w:sz="8" w:color="D2DCE5"/>
            </w:tcBorders>
            <w:gridSpan w:val="5"/>
            <w:shd w:val="clear" w:color="auto" w:fill="D2DCE5"/>
          </w:tcPr>
          <w:p>
            <w:pPr>
              <w:spacing w:after="0"/>
              <w:rPr>
                <w:sz w:val="12"/>
                <w:szCs w:val="12"/>
                <w:color w:val="auto"/>
              </w:rPr>
            </w:pPr>
          </w:p>
        </w:tc>
        <w:tc>
          <w:tcPr>
            <w:tcW w:w="880" w:type="dxa"/>
            <w:vAlign w:val="bottom"/>
            <w:tcBorders>
              <w:bottom w:val="single" w:sz="8" w:color="D2DCE5"/>
            </w:tcBorders>
            <w:shd w:val="clear" w:color="auto" w:fill="D2DCE5"/>
          </w:tcPr>
          <w:p>
            <w:pPr>
              <w:spacing w:after="0"/>
              <w:rPr>
                <w:sz w:val="12"/>
                <w:szCs w:val="12"/>
                <w:color w:val="auto"/>
              </w:rPr>
            </w:pPr>
          </w:p>
        </w:tc>
        <w:tc>
          <w:tcPr>
            <w:tcW w:w="1260" w:type="dxa"/>
            <w:vAlign w:val="bottom"/>
            <w:tcBorders>
              <w:bottom w:val="single" w:sz="8" w:color="D2DCE5"/>
            </w:tcBorders>
            <w:shd w:val="clear" w:color="auto" w:fill="D2DCE5"/>
          </w:tcPr>
          <w:p>
            <w:pPr>
              <w:spacing w:after="0"/>
              <w:rPr>
                <w:sz w:val="12"/>
                <w:szCs w:val="12"/>
                <w:color w:val="auto"/>
              </w:rPr>
            </w:pPr>
          </w:p>
        </w:tc>
        <w:tc>
          <w:tcPr>
            <w:tcW w:w="880" w:type="dxa"/>
            <w:vAlign w:val="bottom"/>
            <w:tcBorders>
              <w:bottom w:val="single" w:sz="8" w:color="D2DCE5"/>
            </w:tcBorders>
            <w:shd w:val="clear" w:color="auto" w:fill="D2DCE5"/>
          </w:tcPr>
          <w:p>
            <w:pPr>
              <w:spacing w:after="0"/>
              <w:rPr>
                <w:sz w:val="12"/>
                <w:szCs w:val="12"/>
                <w:color w:val="auto"/>
              </w:rPr>
            </w:pPr>
          </w:p>
        </w:tc>
        <w:tc>
          <w:tcPr>
            <w:tcW w:w="100" w:type="dxa"/>
            <w:vAlign w:val="bottom"/>
            <w:tcBorders>
              <w:bottom w:val="single" w:sz="8" w:color="D2DCE5"/>
            </w:tcBorders>
            <w:shd w:val="clear" w:color="auto" w:fill="D2DCE5"/>
          </w:tcPr>
          <w:p>
            <w:pPr>
              <w:spacing w:after="0"/>
              <w:rPr>
                <w:sz w:val="12"/>
                <w:szCs w:val="12"/>
                <w:color w:val="auto"/>
              </w:rPr>
            </w:pPr>
          </w:p>
        </w:tc>
        <w:tc>
          <w:tcPr>
            <w:tcW w:w="1560" w:type="dxa"/>
            <w:vAlign w:val="bottom"/>
            <w:tcBorders>
              <w:bottom w:val="single" w:sz="8" w:color="D2DCE5"/>
            </w:tcBorders>
            <w:shd w:val="clear" w:color="auto" w:fill="D2DCE5"/>
          </w:tcPr>
          <w:p>
            <w:pPr>
              <w:spacing w:after="0"/>
              <w:rPr>
                <w:sz w:val="12"/>
                <w:szCs w:val="12"/>
                <w:color w:val="auto"/>
              </w:rPr>
            </w:pPr>
          </w:p>
        </w:tc>
        <w:tc>
          <w:tcPr>
            <w:tcW w:w="80" w:type="dxa"/>
            <w:vAlign w:val="bottom"/>
            <w:tcBorders>
              <w:bottom w:val="single" w:sz="8" w:color="D2DCE5"/>
            </w:tcBorders>
            <w:shd w:val="clear" w:color="auto" w:fill="D2DCE5"/>
          </w:tcPr>
          <w:p>
            <w:pPr>
              <w:spacing w:after="0"/>
              <w:rPr>
                <w:sz w:val="12"/>
                <w:szCs w:val="12"/>
                <w:color w:val="auto"/>
              </w:rPr>
            </w:pPr>
          </w:p>
        </w:tc>
        <w:tc>
          <w:tcPr>
            <w:tcW w:w="960" w:type="dxa"/>
            <w:vAlign w:val="bottom"/>
            <w:tcBorders>
              <w:bottom w:val="single" w:sz="8" w:color="D2DCE5"/>
            </w:tcBorders>
            <w:shd w:val="clear" w:color="auto" w:fill="D2DCE5"/>
          </w:tcPr>
          <w:p>
            <w:pPr>
              <w:spacing w:after="0"/>
              <w:rPr>
                <w:sz w:val="12"/>
                <w:szCs w:val="12"/>
                <w:color w:val="auto"/>
              </w:rPr>
            </w:pPr>
          </w:p>
        </w:tc>
      </w:tr>
      <w:tr>
        <w:trPr>
          <w:trHeight w:val="167"/>
        </w:trPr>
        <w:tc>
          <w:tcPr>
            <w:tcW w:w="1160" w:type="dxa"/>
            <w:vAlign w:val="bottom"/>
            <w:tcBorders>
              <w:bottom w:val="single" w:sz="8" w:color="D2DCE5"/>
            </w:tcBorders>
            <w:gridSpan w:val="2"/>
            <w:shd w:val="clear" w:color="auto" w:fill="D2DCE5"/>
          </w:tcPr>
          <w:p>
            <w:pPr>
              <w:jc w:val="center"/>
              <w:ind w:right="80"/>
              <w:spacing w:after="0" w:line="129" w:lineRule="exact"/>
              <w:rPr>
                <w:sz w:val="20"/>
                <w:szCs w:val="20"/>
                <w:color w:val="auto"/>
              </w:rPr>
            </w:pPr>
            <w:r>
              <w:rPr>
                <w:rFonts w:ascii="Arial" w:cs="Arial" w:eastAsia="Arial" w:hAnsi="Arial"/>
                <w:sz w:val="13"/>
                <w:szCs w:val="13"/>
                <w:color w:val="131E29"/>
                <w:w w:val="98"/>
              </w:rPr>
              <w:t>10.9†</w:t>
            </w:r>
          </w:p>
        </w:tc>
        <w:tc>
          <w:tcPr>
            <w:tcW w:w="20" w:type="dxa"/>
            <w:vAlign w:val="bottom"/>
            <w:tcBorders>
              <w:bottom w:val="single" w:sz="8" w:color="D2DCE5"/>
            </w:tcBorders>
            <w:shd w:val="clear" w:color="auto" w:fill="D2DCE5"/>
          </w:tcPr>
          <w:p>
            <w:pPr>
              <w:spacing w:after="0"/>
              <w:rPr>
                <w:sz w:val="14"/>
                <w:szCs w:val="14"/>
                <w:color w:val="auto"/>
              </w:rPr>
            </w:pPr>
          </w:p>
        </w:tc>
        <w:tc>
          <w:tcPr>
            <w:tcW w:w="1220" w:type="dxa"/>
            <w:vAlign w:val="bottom"/>
            <w:tcBorders>
              <w:bottom w:val="single" w:sz="8" w:color="0000FF"/>
            </w:tcBorders>
            <w:gridSpan w:val="2"/>
            <w:shd w:val="clear" w:color="auto" w:fill="D2DCE5"/>
          </w:tcPr>
          <w:p>
            <w:pPr>
              <w:spacing w:after="0" w:line="118" w:lineRule="exact"/>
              <w:rPr>
                <w:rFonts w:ascii="Arial" w:cs="Arial" w:eastAsia="Arial" w:hAnsi="Arial"/>
                <w:sz w:val="13"/>
                <w:szCs w:val="13"/>
                <w:color w:val="0000FF"/>
                <w:w w:val="95"/>
              </w:rPr>
            </w:pPr>
            <w:hyperlink r:id="rId391">
              <w:r>
                <w:rPr>
                  <w:rFonts w:ascii="Arial" w:cs="Arial" w:eastAsia="Arial" w:hAnsi="Arial"/>
                  <w:sz w:val="13"/>
                  <w:szCs w:val="13"/>
                  <w:color w:val="0000FF"/>
                  <w:w w:val="95"/>
                </w:rPr>
                <w:t>Equity Incentive Plan.</w:t>
              </w:r>
            </w:hyperlink>
          </w:p>
        </w:tc>
        <w:tc>
          <w:tcPr>
            <w:tcW w:w="900" w:type="dxa"/>
            <w:vAlign w:val="bottom"/>
            <w:tcBorders>
              <w:bottom w:val="single" w:sz="8" w:color="D2DCE5"/>
            </w:tcBorders>
            <w:gridSpan w:val="5"/>
            <w:shd w:val="clear" w:color="auto" w:fill="D2DCE5"/>
          </w:tcPr>
          <w:p>
            <w:pPr>
              <w:spacing w:after="0"/>
              <w:rPr>
                <w:sz w:val="14"/>
                <w:szCs w:val="14"/>
                <w:color w:val="auto"/>
              </w:rPr>
            </w:pPr>
          </w:p>
        </w:tc>
        <w:tc>
          <w:tcPr>
            <w:tcW w:w="1720" w:type="dxa"/>
            <w:vAlign w:val="bottom"/>
            <w:tcBorders>
              <w:bottom w:val="single" w:sz="8" w:color="D2DCE5"/>
            </w:tcBorders>
            <w:gridSpan w:val="6"/>
            <w:shd w:val="clear" w:color="auto" w:fill="D2DCE5"/>
          </w:tcPr>
          <w:p>
            <w:pPr>
              <w:spacing w:after="0"/>
              <w:rPr>
                <w:sz w:val="14"/>
                <w:szCs w:val="14"/>
                <w:color w:val="auto"/>
              </w:rPr>
            </w:pPr>
          </w:p>
        </w:tc>
        <w:tc>
          <w:tcPr>
            <w:tcW w:w="40" w:type="dxa"/>
            <w:vAlign w:val="bottom"/>
            <w:tcBorders>
              <w:bottom w:val="single" w:sz="8" w:color="D2DCE5"/>
            </w:tcBorders>
            <w:shd w:val="clear" w:color="auto" w:fill="D2DCE5"/>
          </w:tcPr>
          <w:p>
            <w:pPr>
              <w:spacing w:after="0"/>
              <w:rPr>
                <w:sz w:val="14"/>
                <w:szCs w:val="14"/>
                <w:color w:val="auto"/>
              </w:rPr>
            </w:pPr>
          </w:p>
        </w:tc>
        <w:tc>
          <w:tcPr>
            <w:tcW w:w="140" w:type="dxa"/>
            <w:vAlign w:val="bottom"/>
            <w:tcBorders>
              <w:bottom w:val="single" w:sz="8" w:color="D2DCE5"/>
            </w:tcBorders>
            <w:gridSpan w:val="4"/>
            <w:shd w:val="clear" w:color="auto" w:fill="D2DCE5"/>
          </w:tcPr>
          <w:p>
            <w:pPr>
              <w:spacing w:after="0"/>
              <w:rPr>
                <w:sz w:val="14"/>
                <w:szCs w:val="14"/>
                <w:color w:val="auto"/>
              </w:rPr>
            </w:pPr>
          </w:p>
        </w:tc>
        <w:tc>
          <w:tcPr>
            <w:tcW w:w="360" w:type="dxa"/>
            <w:vAlign w:val="bottom"/>
            <w:tcBorders>
              <w:bottom w:val="single" w:sz="8" w:color="D2DCE5"/>
            </w:tcBorders>
            <w:gridSpan w:val="6"/>
            <w:shd w:val="clear" w:color="auto" w:fill="D2DCE5"/>
          </w:tcPr>
          <w:p>
            <w:pPr>
              <w:spacing w:after="0"/>
              <w:rPr>
                <w:sz w:val="14"/>
                <w:szCs w:val="14"/>
                <w:color w:val="auto"/>
              </w:rPr>
            </w:pPr>
          </w:p>
        </w:tc>
        <w:tc>
          <w:tcPr>
            <w:tcW w:w="880" w:type="dxa"/>
            <w:vAlign w:val="bottom"/>
            <w:tcBorders>
              <w:bottom w:val="single" w:sz="8" w:color="D2DCE5"/>
            </w:tcBorders>
            <w:shd w:val="clear" w:color="auto" w:fill="D2DCE5"/>
          </w:tcPr>
          <w:p>
            <w:pPr>
              <w:jc w:val="center"/>
              <w:spacing w:after="0" w:line="129" w:lineRule="exact"/>
              <w:rPr>
                <w:sz w:val="20"/>
                <w:szCs w:val="20"/>
                <w:color w:val="auto"/>
              </w:rPr>
            </w:pPr>
            <w:r>
              <w:rPr>
                <w:rFonts w:ascii="Arial" w:cs="Arial" w:eastAsia="Arial" w:hAnsi="Arial"/>
                <w:sz w:val="13"/>
                <w:szCs w:val="13"/>
                <w:color w:val="131E29"/>
                <w:w w:val="98"/>
              </w:rPr>
              <w:t>S-1/A</w:t>
            </w:r>
          </w:p>
        </w:tc>
        <w:tc>
          <w:tcPr>
            <w:tcW w:w="1260" w:type="dxa"/>
            <w:vAlign w:val="bottom"/>
            <w:tcBorders>
              <w:bottom w:val="single" w:sz="8" w:color="D2DCE5"/>
            </w:tcBorders>
            <w:shd w:val="clear" w:color="auto" w:fill="D2DCE5"/>
          </w:tcPr>
          <w:p>
            <w:pPr>
              <w:jc w:val="center"/>
              <w:spacing w:after="0" w:line="129" w:lineRule="exact"/>
              <w:rPr>
                <w:sz w:val="20"/>
                <w:szCs w:val="20"/>
                <w:color w:val="auto"/>
              </w:rPr>
            </w:pPr>
            <w:r>
              <w:rPr>
                <w:rFonts w:ascii="Arial" w:cs="Arial" w:eastAsia="Arial" w:hAnsi="Arial"/>
                <w:sz w:val="13"/>
                <w:szCs w:val="13"/>
                <w:color w:val="131E29"/>
                <w:w w:val="97"/>
              </w:rPr>
              <w:t>333-258988</w:t>
            </w:r>
          </w:p>
        </w:tc>
        <w:tc>
          <w:tcPr>
            <w:tcW w:w="880" w:type="dxa"/>
            <w:vAlign w:val="bottom"/>
            <w:tcBorders>
              <w:bottom w:val="single" w:sz="8" w:color="D2DCE5"/>
            </w:tcBorders>
            <w:shd w:val="clear" w:color="auto" w:fill="D2DCE5"/>
          </w:tcPr>
          <w:p>
            <w:pPr>
              <w:jc w:val="center"/>
              <w:spacing w:after="0" w:line="129" w:lineRule="exact"/>
              <w:rPr>
                <w:sz w:val="20"/>
                <w:szCs w:val="20"/>
                <w:color w:val="auto"/>
              </w:rPr>
            </w:pPr>
            <w:r>
              <w:rPr>
                <w:rFonts w:ascii="Arial" w:cs="Arial" w:eastAsia="Arial" w:hAnsi="Arial"/>
                <w:sz w:val="13"/>
                <w:szCs w:val="13"/>
                <w:color w:val="131E29"/>
                <w:w w:val="94"/>
              </w:rPr>
              <w:t>10.9</w:t>
            </w:r>
          </w:p>
        </w:tc>
        <w:tc>
          <w:tcPr>
            <w:tcW w:w="100" w:type="dxa"/>
            <w:vAlign w:val="bottom"/>
            <w:tcBorders>
              <w:bottom w:val="single" w:sz="8" w:color="D2DCE5"/>
            </w:tcBorders>
            <w:shd w:val="clear" w:color="auto" w:fill="D2DCE5"/>
          </w:tcPr>
          <w:p>
            <w:pPr>
              <w:spacing w:after="0"/>
              <w:rPr>
                <w:sz w:val="14"/>
                <w:szCs w:val="14"/>
                <w:color w:val="auto"/>
              </w:rPr>
            </w:pPr>
          </w:p>
        </w:tc>
        <w:tc>
          <w:tcPr>
            <w:tcW w:w="1640" w:type="dxa"/>
            <w:vAlign w:val="bottom"/>
            <w:tcBorders>
              <w:bottom w:val="single" w:sz="8" w:color="D2DCE5"/>
            </w:tcBorders>
            <w:gridSpan w:val="2"/>
            <w:shd w:val="clear" w:color="auto" w:fill="D2DCE5"/>
          </w:tcPr>
          <w:p>
            <w:pPr>
              <w:jc w:val="center"/>
              <w:ind w:right="80"/>
              <w:spacing w:after="0" w:line="129" w:lineRule="exact"/>
              <w:rPr>
                <w:sz w:val="20"/>
                <w:szCs w:val="20"/>
                <w:color w:val="auto"/>
              </w:rPr>
            </w:pPr>
            <w:r>
              <w:rPr>
                <w:rFonts w:ascii="Arial" w:cs="Arial" w:eastAsia="Arial" w:hAnsi="Arial"/>
                <w:sz w:val="13"/>
                <w:szCs w:val="13"/>
                <w:color w:val="131E29"/>
                <w:w w:val="97"/>
              </w:rPr>
              <w:t>September 7, 2021</w:t>
            </w:r>
          </w:p>
        </w:tc>
        <w:tc>
          <w:tcPr>
            <w:tcW w:w="960" w:type="dxa"/>
            <w:vAlign w:val="bottom"/>
            <w:tcBorders>
              <w:bottom w:val="single" w:sz="8" w:color="D2DCE5"/>
            </w:tcBorders>
            <w:shd w:val="clear" w:color="auto" w:fill="D2DCE5"/>
          </w:tcPr>
          <w:p>
            <w:pPr>
              <w:spacing w:after="0"/>
              <w:rPr>
                <w:sz w:val="14"/>
                <w:szCs w:val="14"/>
                <w:color w:val="auto"/>
              </w:rPr>
            </w:pPr>
          </w:p>
        </w:tc>
      </w:tr>
      <w:tr>
        <w:trPr>
          <w:trHeight w:val="149"/>
        </w:trPr>
        <w:tc>
          <w:tcPr>
            <w:tcW w:w="1080" w:type="dxa"/>
            <w:vAlign w:val="bottom"/>
            <w:tcBorders>
              <w:top w:val="single" w:sz="8" w:color="D2DCE5"/>
            </w:tcBorders>
          </w:tcPr>
          <w:p>
            <w:pPr>
              <w:spacing w:after="0"/>
              <w:rPr>
                <w:sz w:val="12"/>
                <w:szCs w:val="12"/>
                <w:color w:val="auto"/>
              </w:rPr>
            </w:pPr>
          </w:p>
        </w:tc>
        <w:tc>
          <w:tcPr>
            <w:tcW w:w="80" w:type="dxa"/>
            <w:vAlign w:val="bottom"/>
            <w:tcBorders>
              <w:top w:val="single" w:sz="8" w:color="D2DCE5"/>
            </w:tcBorders>
          </w:tcPr>
          <w:p>
            <w:pPr>
              <w:spacing w:after="0"/>
              <w:rPr>
                <w:sz w:val="12"/>
                <w:szCs w:val="12"/>
                <w:color w:val="auto"/>
              </w:rPr>
            </w:pPr>
          </w:p>
        </w:tc>
        <w:tc>
          <w:tcPr>
            <w:tcW w:w="20" w:type="dxa"/>
            <w:vAlign w:val="bottom"/>
            <w:tcBorders>
              <w:top w:val="single" w:sz="8" w:color="D2DCE5"/>
            </w:tcBorders>
          </w:tcPr>
          <w:p>
            <w:pPr>
              <w:spacing w:after="0"/>
              <w:rPr>
                <w:sz w:val="12"/>
                <w:szCs w:val="12"/>
                <w:color w:val="auto"/>
              </w:rPr>
            </w:pPr>
          </w:p>
        </w:tc>
        <w:tc>
          <w:tcPr>
            <w:tcW w:w="4020" w:type="dxa"/>
            <w:vAlign w:val="bottom"/>
            <w:tcBorders>
              <w:top w:val="single" w:sz="8" w:color="D2DCE5"/>
              <w:bottom w:val="single" w:sz="8" w:color="0000FF"/>
            </w:tcBorders>
            <w:gridSpan w:val="18"/>
          </w:tcPr>
          <w:p>
            <w:pPr>
              <w:spacing w:after="0"/>
              <w:rPr>
                <w:rFonts w:ascii="Arial" w:cs="Arial" w:eastAsia="Arial" w:hAnsi="Arial"/>
                <w:sz w:val="13"/>
                <w:szCs w:val="13"/>
                <w:color w:val="0000FF"/>
                <w:w w:val="97"/>
              </w:rPr>
            </w:pPr>
            <w:hyperlink r:id="rId392">
              <w:r>
                <w:rPr>
                  <w:rFonts w:ascii="Arial" w:cs="Arial" w:eastAsia="Arial" w:hAnsi="Arial"/>
                  <w:sz w:val="13"/>
                  <w:szCs w:val="13"/>
                  <w:color w:val="0000FF"/>
                  <w:w w:val="97"/>
                </w:rPr>
                <w:t>Form of Restricted Stock Grant Notice and Restricted Stock Agreement</w:t>
              </w:r>
            </w:hyperlink>
          </w:p>
        </w:tc>
        <w:tc>
          <w:tcPr>
            <w:tcW w:w="360" w:type="dxa"/>
            <w:vAlign w:val="bottom"/>
            <w:tcBorders>
              <w:top w:val="single" w:sz="8" w:color="D2DCE5"/>
            </w:tcBorders>
            <w:gridSpan w:val="6"/>
          </w:tcPr>
          <w:p>
            <w:pPr>
              <w:spacing w:after="0"/>
              <w:rPr>
                <w:sz w:val="12"/>
                <w:szCs w:val="12"/>
                <w:color w:val="auto"/>
              </w:rPr>
            </w:pPr>
          </w:p>
        </w:tc>
        <w:tc>
          <w:tcPr>
            <w:tcW w:w="880" w:type="dxa"/>
            <w:vAlign w:val="bottom"/>
            <w:tcBorders>
              <w:top w:val="single" w:sz="8" w:color="D2DCE5"/>
            </w:tcBorders>
          </w:tcPr>
          <w:p>
            <w:pPr>
              <w:spacing w:after="0"/>
              <w:rPr>
                <w:sz w:val="12"/>
                <w:szCs w:val="12"/>
                <w:color w:val="auto"/>
              </w:rPr>
            </w:pPr>
          </w:p>
        </w:tc>
        <w:tc>
          <w:tcPr>
            <w:tcW w:w="1260" w:type="dxa"/>
            <w:vAlign w:val="bottom"/>
            <w:tcBorders>
              <w:top w:val="single" w:sz="8" w:color="D2DCE5"/>
            </w:tcBorders>
          </w:tcPr>
          <w:p>
            <w:pPr>
              <w:spacing w:after="0"/>
              <w:rPr>
                <w:sz w:val="12"/>
                <w:szCs w:val="12"/>
                <w:color w:val="auto"/>
              </w:rPr>
            </w:pPr>
          </w:p>
        </w:tc>
        <w:tc>
          <w:tcPr>
            <w:tcW w:w="880" w:type="dxa"/>
            <w:vAlign w:val="bottom"/>
            <w:tcBorders>
              <w:top w:val="single" w:sz="8" w:color="D2DCE5"/>
            </w:tcBorders>
          </w:tcPr>
          <w:p>
            <w:pPr>
              <w:spacing w:after="0"/>
              <w:rPr>
                <w:sz w:val="12"/>
                <w:szCs w:val="12"/>
                <w:color w:val="auto"/>
              </w:rPr>
            </w:pPr>
          </w:p>
        </w:tc>
        <w:tc>
          <w:tcPr>
            <w:tcW w:w="100" w:type="dxa"/>
            <w:vAlign w:val="bottom"/>
            <w:tcBorders>
              <w:top w:val="single" w:sz="8" w:color="D2DCE5"/>
            </w:tcBorders>
          </w:tcPr>
          <w:p>
            <w:pPr>
              <w:spacing w:after="0"/>
              <w:rPr>
                <w:sz w:val="12"/>
                <w:szCs w:val="12"/>
                <w:color w:val="auto"/>
              </w:rPr>
            </w:pPr>
          </w:p>
        </w:tc>
        <w:tc>
          <w:tcPr>
            <w:tcW w:w="1560" w:type="dxa"/>
            <w:vAlign w:val="bottom"/>
            <w:tcBorders>
              <w:top w:val="single" w:sz="8" w:color="D2DCE5"/>
            </w:tcBorders>
          </w:tcPr>
          <w:p>
            <w:pPr>
              <w:spacing w:after="0"/>
              <w:rPr>
                <w:sz w:val="12"/>
                <w:szCs w:val="12"/>
                <w:color w:val="auto"/>
              </w:rPr>
            </w:pPr>
          </w:p>
        </w:tc>
        <w:tc>
          <w:tcPr>
            <w:tcW w:w="80" w:type="dxa"/>
            <w:vAlign w:val="bottom"/>
            <w:tcBorders>
              <w:top w:val="single" w:sz="8" w:color="D2DCE5"/>
            </w:tcBorders>
          </w:tcPr>
          <w:p>
            <w:pPr>
              <w:spacing w:after="0"/>
              <w:rPr>
                <w:sz w:val="12"/>
                <w:szCs w:val="12"/>
                <w:color w:val="auto"/>
              </w:rPr>
            </w:pPr>
          </w:p>
        </w:tc>
        <w:tc>
          <w:tcPr>
            <w:tcW w:w="960" w:type="dxa"/>
            <w:vAlign w:val="bottom"/>
            <w:tcBorders>
              <w:top w:val="single" w:sz="8" w:color="D2DCE5"/>
            </w:tcBorders>
          </w:tcPr>
          <w:p>
            <w:pPr>
              <w:spacing w:after="0"/>
              <w:rPr>
                <w:sz w:val="12"/>
                <w:szCs w:val="12"/>
                <w:color w:val="auto"/>
              </w:rPr>
            </w:pPr>
          </w:p>
        </w:tc>
      </w:tr>
      <w:tr>
        <w:trPr>
          <w:trHeight w:val="129"/>
        </w:trPr>
        <w:tc>
          <w:tcPr>
            <w:tcW w:w="1160" w:type="dxa"/>
            <w:vAlign w:val="bottom"/>
            <w:gridSpan w:val="2"/>
          </w:tcPr>
          <w:p>
            <w:pPr>
              <w:jc w:val="center"/>
              <w:ind w:right="80"/>
              <w:spacing w:after="0" w:line="118" w:lineRule="exact"/>
              <w:rPr>
                <w:sz w:val="20"/>
                <w:szCs w:val="20"/>
                <w:color w:val="auto"/>
              </w:rPr>
            </w:pPr>
            <w:r>
              <w:rPr>
                <w:rFonts w:ascii="Arial" w:cs="Arial" w:eastAsia="Arial" w:hAnsi="Arial"/>
                <w:sz w:val="13"/>
                <w:szCs w:val="13"/>
                <w:color w:val="131E29"/>
              </w:rPr>
              <w:t>10.10†</w:t>
            </w:r>
          </w:p>
        </w:tc>
        <w:tc>
          <w:tcPr>
            <w:tcW w:w="20" w:type="dxa"/>
            <w:vAlign w:val="bottom"/>
          </w:tcPr>
          <w:p>
            <w:pPr>
              <w:spacing w:after="0"/>
              <w:rPr>
                <w:sz w:val="11"/>
                <w:szCs w:val="11"/>
                <w:color w:val="auto"/>
              </w:rPr>
            </w:pPr>
          </w:p>
        </w:tc>
        <w:tc>
          <w:tcPr>
            <w:tcW w:w="4380" w:type="dxa"/>
            <w:vAlign w:val="bottom"/>
            <w:gridSpan w:val="24"/>
          </w:tcPr>
          <w:p>
            <w:pPr>
              <w:spacing w:after="0" w:line="118" w:lineRule="exact"/>
              <w:rPr>
                <w:rFonts w:ascii="Arial" w:cs="Arial" w:eastAsia="Arial" w:hAnsi="Arial"/>
                <w:sz w:val="13"/>
                <w:szCs w:val="13"/>
                <w:color w:val="0000FF"/>
              </w:rPr>
            </w:pPr>
            <w:hyperlink r:id="rId392">
              <w:r>
                <w:rPr>
                  <w:rFonts w:ascii="Arial" w:cs="Arial" w:eastAsia="Arial" w:hAnsi="Arial"/>
                  <w:sz w:val="13"/>
                  <w:szCs w:val="13"/>
                  <w:color w:val="0000FF"/>
                </w:rPr>
                <w:t>under the 2021 Equity Incentive Plan.</w:t>
              </w:r>
            </w:hyperlink>
          </w:p>
        </w:tc>
        <w:tc>
          <w:tcPr>
            <w:tcW w:w="880" w:type="dxa"/>
            <w:vAlign w:val="bottom"/>
          </w:tcPr>
          <w:p>
            <w:pPr>
              <w:jc w:val="center"/>
              <w:spacing w:after="0" w:line="118" w:lineRule="exact"/>
              <w:rPr>
                <w:sz w:val="20"/>
                <w:szCs w:val="20"/>
                <w:color w:val="auto"/>
              </w:rPr>
            </w:pPr>
            <w:r>
              <w:rPr>
                <w:rFonts w:ascii="Arial" w:cs="Arial" w:eastAsia="Arial" w:hAnsi="Arial"/>
                <w:sz w:val="13"/>
                <w:szCs w:val="13"/>
                <w:color w:val="131E29"/>
                <w:w w:val="98"/>
              </w:rPr>
              <w:t>S-1/A</w:t>
            </w:r>
          </w:p>
        </w:tc>
        <w:tc>
          <w:tcPr>
            <w:tcW w:w="1260" w:type="dxa"/>
            <w:vAlign w:val="bottom"/>
          </w:tcPr>
          <w:p>
            <w:pPr>
              <w:jc w:val="center"/>
              <w:spacing w:after="0" w:line="118" w:lineRule="exact"/>
              <w:rPr>
                <w:sz w:val="20"/>
                <w:szCs w:val="20"/>
                <w:color w:val="auto"/>
              </w:rPr>
            </w:pPr>
            <w:r>
              <w:rPr>
                <w:rFonts w:ascii="Arial" w:cs="Arial" w:eastAsia="Arial" w:hAnsi="Arial"/>
                <w:sz w:val="13"/>
                <w:szCs w:val="13"/>
                <w:color w:val="131E29"/>
                <w:w w:val="97"/>
              </w:rPr>
              <w:t>333-258988</w:t>
            </w:r>
          </w:p>
        </w:tc>
        <w:tc>
          <w:tcPr>
            <w:tcW w:w="880" w:type="dxa"/>
            <w:vAlign w:val="bottom"/>
          </w:tcPr>
          <w:p>
            <w:pPr>
              <w:jc w:val="center"/>
              <w:spacing w:after="0" w:line="118" w:lineRule="exact"/>
              <w:rPr>
                <w:sz w:val="20"/>
                <w:szCs w:val="20"/>
                <w:color w:val="auto"/>
              </w:rPr>
            </w:pPr>
            <w:r>
              <w:rPr>
                <w:rFonts w:ascii="Arial" w:cs="Arial" w:eastAsia="Arial" w:hAnsi="Arial"/>
                <w:sz w:val="13"/>
                <w:szCs w:val="13"/>
                <w:color w:val="131E29"/>
                <w:w w:val="94"/>
              </w:rPr>
              <w:t>10.1</w:t>
            </w:r>
          </w:p>
        </w:tc>
        <w:tc>
          <w:tcPr>
            <w:tcW w:w="100" w:type="dxa"/>
            <w:vAlign w:val="bottom"/>
          </w:tcPr>
          <w:p>
            <w:pPr>
              <w:spacing w:after="0"/>
              <w:rPr>
                <w:sz w:val="11"/>
                <w:szCs w:val="11"/>
                <w:color w:val="auto"/>
              </w:rPr>
            </w:pPr>
          </w:p>
        </w:tc>
        <w:tc>
          <w:tcPr>
            <w:tcW w:w="1640" w:type="dxa"/>
            <w:vAlign w:val="bottom"/>
            <w:gridSpan w:val="2"/>
          </w:tcPr>
          <w:p>
            <w:pPr>
              <w:jc w:val="center"/>
              <w:ind w:right="80"/>
              <w:spacing w:after="0" w:line="118" w:lineRule="exact"/>
              <w:rPr>
                <w:sz w:val="20"/>
                <w:szCs w:val="20"/>
                <w:color w:val="auto"/>
              </w:rPr>
            </w:pPr>
            <w:r>
              <w:rPr>
                <w:rFonts w:ascii="Arial" w:cs="Arial" w:eastAsia="Arial" w:hAnsi="Arial"/>
                <w:sz w:val="13"/>
                <w:szCs w:val="13"/>
                <w:color w:val="131E29"/>
                <w:w w:val="97"/>
              </w:rPr>
              <w:t>September 7, 2021</w:t>
            </w:r>
          </w:p>
        </w:tc>
        <w:tc>
          <w:tcPr>
            <w:tcW w:w="960" w:type="dxa"/>
            <w:vAlign w:val="bottom"/>
          </w:tcPr>
          <w:p>
            <w:pPr>
              <w:spacing w:after="0"/>
              <w:rPr>
                <w:sz w:val="11"/>
                <w:szCs w:val="11"/>
                <w:color w:val="auto"/>
              </w:rPr>
            </w:pPr>
          </w:p>
        </w:tc>
      </w:tr>
      <w:tr>
        <w:trPr>
          <w:trHeight w:val="33"/>
        </w:trPr>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49"/>
        </w:trPr>
        <w:tc>
          <w:tcPr>
            <w:tcW w:w="1080" w:type="dxa"/>
            <w:vAlign w:val="bottom"/>
            <w:tcBorders>
              <w:bottom w:val="single" w:sz="8" w:color="D2DCE5"/>
            </w:tcBorders>
            <w:shd w:val="clear" w:color="auto" w:fill="D2DCE5"/>
          </w:tcPr>
          <w:p>
            <w:pPr>
              <w:spacing w:after="0"/>
              <w:rPr>
                <w:sz w:val="12"/>
                <w:szCs w:val="12"/>
                <w:color w:val="auto"/>
              </w:rPr>
            </w:pPr>
          </w:p>
        </w:tc>
        <w:tc>
          <w:tcPr>
            <w:tcW w:w="80" w:type="dxa"/>
            <w:vAlign w:val="bottom"/>
            <w:tcBorders>
              <w:bottom w:val="single" w:sz="8" w:color="D2DCE5"/>
            </w:tcBorders>
            <w:shd w:val="clear" w:color="auto" w:fill="D2DCE5"/>
          </w:tcPr>
          <w:p>
            <w:pPr>
              <w:spacing w:after="0"/>
              <w:rPr>
                <w:sz w:val="12"/>
                <w:szCs w:val="12"/>
                <w:color w:val="auto"/>
              </w:rPr>
            </w:pPr>
          </w:p>
        </w:tc>
        <w:tc>
          <w:tcPr>
            <w:tcW w:w="20" w:type="dxa"/>
            <w:vAlign w:val="bottom"/>
            <w:tcBorders>
              <w:bottom w:val="single" w:sz="8" w:color="D2DCE5"/>
            </w:tcBorders>
            <w:shd w:val="clear" w:color="auto" w:fill="D2DCE5"/>
          </w:tcPr>
          <w:p>
            <w:pPr>
              <w:spacing w:after="0"/>
              <w:rPr>
                <w:sz w:val="12"/>
                <w:szCs w:val="12"/>
                <w:color w:val="auto"/>
              </w:rPr>
            </w:pPr>
          </w:p>
        </w:tc>
        <w:tc>
          <w:tcPr>
            <w:tcW w:w="3840" w:type="dxa"/>
            <w:vAlign w:val="bottom"/>
            <w:tcBorders>
              <w:bottom w:val="single" w:sz="8" w:color="0000FF"/>
            </w:tcBorders>
            <w:gridSpan w:val="13"/>
            <w:shd w:val="clear" w:color="auto" w:fill="D2DCE5"/>
          </w:tcPr>
          <w:p>
            <w:pPr>
              <w:spacing w:after="0"/>
              <w:rPr>
                <w:rFonts w:ascii="Arial" w:cs="Arial" w:eastAsia="Arial" w:hAnsi="Arial"/>
                <w:sz w:val="13"/>
                <w:szCs w:val="13"/>
                <w:color w:val="0000FF"/>
                <w:w w:val="97"/>
              </w:rPr>
            </w:pPr>
            <w:hyperlink r:id="rId393">
              <w:r>
                <w:rPr>
                  <w:rFonts w:ascii="Arial" w:cs="Arial" w:eastAsia="Arial" w:hAnsi="Arial"/>
                  <w:sz w:val="13"/>
                  <w:szCs w:val="13"/>
                  <w:color w:val="0000FF"/>
                  <w:w w:val="97"/>
                </w:rPr>
                <w:t>Offer Letter by and between Jonathan Ricci and the Company dated</w:t>
              </w:r>
            </w:hyperlink>
          </w:p>
        </w:tc>
        <w:tc>
          <w:tcPr>
            <w:tcW w:w="540" w:type="dxa"/>
            <w:vAlign w:val="bottom"/>
            <w:tcBorders>
              <w:bottom w:val="single" w:sz="8" w:color="D2DCE5"/>
            </w:tcBorders>
            <w:gridSpan w:val="11"/>
            <w:shd w:val="clear" w:color="auto" w:fill="D2DCE5"/>
          </w:tcPr>
          <w:p>
            <w:pPr>
              <w:spacing w:after="0"/>
              <w:rPr>
                <w:sz w:val="12"/>
                <w:szCs w:val="12"/>
                <w:color w:val="auto"/>
              </w:rPr>
            </w:pPr>
          </w:p>
        </w:tc>
        <w:tc>
          <w:tcPr>
            <w:tcW w:w="880" w:type="dxa"/>
            <w:vAlign w:val="bottom"/>
            <w:tcBorders>
              <w:bottom w:val="single" w:sz="8" w:color="D2DCE5"/>
            </w:tcBorders>
            <w:shd w:val="clear" w:color="auto" w:fill="D2DCE5"/>
          </w:tcPr>
          <w:p>
            <w:pPr>
              <w:spacing w:after="0"/>
              <w:rPr>
                <w:sz w:val="12"/>
                <w:szCs w:val="12"/>
                <w:color w:val="auto"/>
              </w:rPr>
            </w:pPr>
          </w:p>
        </w:tc>
        <w:tc>
          <w:tcPr>
            <w:tcW w:w="1260" w:type="dxa"/>
            <w:vAlign w:val="bottom"/>
            <w:tcBorders>
              <w:bottom w:val="single" w:sz="8" w:color="D2DCE5"/>
            </w:tcBorders>
            <w:shd w:val="clear" w:color="auto" w:fill="D2DCE5"/>
          </w:tcPr>
          <w:p>
            <w:pPr>
              <w:spacing w:after="0"/>
              <w:rPr>
                <w:sz w:val="12"/>
                <w:szCs w:val="12"/>
                <w:color w:val="auto"/>
              </w:rPr>
            </w:pPr>
          </w:p>
        </w:tc>
        <w:tc>
          <w:tcPr>
            <w:tcW w:w="880" w:type="dxa"/>
            <w:vAlign w:val="bottom"/>
            <w:tcBorders>
              <w:bottom w:val="single" w:sz="8" w:color="D2DCE5"/>
            </w:tcBorders>
            <w:shd w:val="clear" w:color="auto" w:fill="D2DCE5"/>
          </w:tcPr>
          <w:p>
            <w:pPr>
              <w:spacing w:after="0"/>
              <w:rPr>
                <w:sz w:val="12"/>
                <w:szCs w:val="12"/>
                <w:color w:val="auto"/>
              </w:rPr>
            </w:pPr>
          </w:p>
        </w:tc>
        <w:tc>
          <w:tcPr>
            <w:tcW w:w="100" w:type="dxa"/>
            <w:vAlign w:val="bottom"/>
            <w:tcBorders>
              <w:bottom w:val="single" w:sz="8" w:color="D2DCE5"/>
            </w:tcBorders>
            <w:shd w:val="clear" w:color="auto" w:fill="D2DCE5"/>
          </w:tcPr>
          <w:p>
            <w:pPr>
              <w:spacing w:after="0"/>
              <w:rPr>
                <w:sz w:val="12"/>
                <w:szCs w:val="12"/>
                <w:color w:val="auto"/>
              </w:rPr>
            </w:pPr>
          </w:p>
        </w:tc>
        <w:tc>
          <w:tcPr>
            <w:tcW w:w="1560" w:type="dxa"/>
            <w:vAlign w:val="bottom"/>
            <w:tcBorders>
              <w:bottom w:val="single" w:sz="8" w:color="D2DCE5"/>
            </w:tcBorders>
            <w:shd w:val="clear" w:color="auto" w:fill="D2DCE5"/>
          </w:tcPr>
          <w:p>
            <w:pPr>
              <w:spacing w:after="0"/>
              <w:rPr>
                <w:sz w:val="12"/>
                <w:szCs w:val="12"/>
                <w:color w:val="auto"/>
              </w:rPr>
            </w:pPr>
          </w:p>
        </w:tc>
        <w:tc>
          <w:tcPr>
            <w:tcW w:w="80" w:type="dxa"/>
            <w:vAlign w:val="bottom"/>
            <w:tcBorders>
              <w:bottom w:val="single" w:sz="8" w:color="D2DCE5"/>
            </w:tcBorders>
            <w:shd w:val="clear" w:color="auto" w:fill="D2DCE5"/>
          </w:tcPr>
          <w:p>
            <w:pPr>
              <w:spacing w:after="0"/>
              <w:rPr>
                <w:sz w:val="12"/>
                <w:szCs w:val="12"/>
                <w:color w:val="auto"/>
              </w:rPr>
            </w:pPr>
          </w:p>
        </w:tc>
        <w:tc>
          <w:tcPr>
            <w:tcW w:w="960" w:type="dxa"/>
            <w:vAlign w:val="bottom"/>
            <w:tcBorders>
              <w:bottom w:val="single" w:sz="8" w:color="D2DCE5"/>
            </w:tcBorders>
            <w:shd w:val="clear" w:color="auto" w:fill="D2DCE5"/>
          </w:tcPr>
          <w:p>
            <w:pPr>
              <w:spacing w:after="0"/>
              <w:rPr>
                <w:sz w:val="12"/>
                <w:szCs w:val="12"/>
                <w:color w:val="auto"/>
              </w:rPr>
            </w:pPr>
          </w:p>
        </w:tc>
      </w:tr>
      <w:tr>
        <w:trPr>
          <w:trHeight w:val="129"/>
        </w:trPr>
        <w:tc>
          <w:tcPr>
            <w:tcW w:w="1160" w:type="dxa"/>
            <w:vAlign w:val="bottom"/>
            <w:gridSpan w:val="2"/>
            <w:shd w:val="clear" w:color="auto" w:fill="D2DCE5"/>
          </w:tcPr>
          <w:p>
            <w:pPr>
              <w:jc w:val="center"/>
              <w:ind w:right="80"/>
              <w:spacing w:after="0" w:line="118" w:lineRule="exact"/>
              <w:rPr>
                <w:sz w:val="20"/>
                <w:szCs w:val="20"/>
                <w:color w:val="auto"/>
              </w:rPr>
            </w:pPr>
            <w:r>
              <w:rPr>
                <w:rFonts w:ascii="Arial" w:cs="Arial" w:eastAsia="Arial" w:hAnsi="Arial"/>
                <w:sz w:val="13"/>
                <w:szCs w:val="13"/>
                <w:color w:val="131E29"/>
              </w:rPr>
              <w:t>10.11†</w:t>
            </w:r>
          </w:p>
        </w:tc>
        <w:tc>
          <w:tcPr>
            <w:tcW w:w="20" w:type="dxa"/>
            <w:vAlign w:val="bottom"/>
            <w:shd w:val="clear" w:color="auto" w:fill="D2DCE5"/>
          </w:tcPr>
          <w:p>
            <w:pPr>
              <w:spacing w:after="0"/>
              <w:rPr>
                <w:sz w:val="11"/>
                <w:szCs w:val="11"/>
                <w:color w:val="auto"/>
              </w:rPr>
            </w:pPr>
          </w:p>
        </w:tc>
        <w:tc>
          <w:tcPr>
            <w:tcW w:w="4380" w:type="dxa"/>
            <w:vAlign w:val="bottom"/>
            <w:gridSpan w:val="24"/>
            <w:shd w:val="clear" w:color="auto" w:fill="D2DCE5"/>
          </w:tcPr>
          <w:p>
            <w:pPr>
              <w:spacing w:after="0" w:line="118" w:lineRule="exact"/>
              <w:rPr>
                <w:rFonts w:ascii="Arial" w:cs="Arial" w:eastAsia="Arial" w:hAnsi="Arial"/>
                <w:sz w:val="13"/>
                <w:szCs w:val="13"/>
                <w:color w:val="0000FF"/>
              </w:rPr>
            </w:pPr>
            <w:hyperlink r:id="rId393">
              <w:r>
                <w:rPr>
                  <w:rFonts w:ascii="Arial" w:cs="Arial" w:eastAsia="Arial" w:hAnsi="Arial"/>
                  <w:sz w:val="13"/>
                  <w:szCs w:val="13"/>
                  <w:color w:val="0000FF"/>
                </w:rPr>
                <w:t>November 23, 2021.</w:t>
              </w:r>
            </w:hyperlink>
          </w:p>
        </w:tc>
        <w:tc>
          <w:tcPr>
            <w:tcW w:w="880" w:type="dxa"/>
            <w:vAlign w:val="bottom"/>
            <w:shd w:val="clear" w:color="auto" w:fill="D2DCE5"/>
          </w:tcPr>
          <w:p>
            <w:pPr>
              <w:jc w:val="center"/>
              <w:spacing w:after="0" w:line="118" w:lineRule="exact"/>
              <w:rPr>
                <w:sz w:val="20"/>
                <w:szCs w:val="20"/>
                <w:color w:val="auto"/>
              </w:rPr>
            </w:pPr>
            <w:r>
              <w:rPr>
                <w:rFonts w:ascii="Arial" w:cs="Arial" w:eastAsia="Arial" w:hAnsi="Arial"/>
                <w:sz w:val="13"/>
                <w:szCs w:val="13"/>
                <w:color w:val="131E29"/>
                <w:w w:val="98"/>
              </w:rPr>
              <w:t>8-K</w:t>
            </w:r>
          </w:p>
        </w:tc>
        <w:tc>
          <w:tcPr>
            <w:tcW w:w="1260" w:type="dxa"/>
            <w:vAlign w:val="bottom"/>
            <w:shd w:val="clear" w:color="auto" w:fill="D2DCE5"/>
          </w:tcPr>
          <w:p>
            <w:pPr>
              <w:jc w:val="center"/>
              <w:spacing w:after="0" w:line="118" w:lineRule="exact"/>
              <w:rPr>
                <w:sz w:val="20"/>
                <w:szCs w:val="20"/>
                <w:color w:val="auto"/>
              </w:rPr>
            </w:pPr>
            <w:r>
              <w:rPr>
                <w:rFonts w:ascii="Arial" w:cs="Arial" w:eastAsia="Arial" w:hAnsi="Arial"/>
                <w:sz w:val="13"/>
                <w:szCs w:val="13"/>
                <w:color w:val="131E29"/>
                <w:w w:val="96"/>
              </w:rPr>
              <w:t>001-40798</w:t>
            </w:r>
          </w:p>
        </w:tc>
        <w:tc>
          <w:tcPr>
            <w:tcW w:w="880" w:type="dxa"/>
            <w:vAlign w:val="bottom"/>
            <w:shd w:val="clear" w:color="auto" w:fill="D2DCE5"/>
          </w:tcPr>
          <w:p>
            <w:pPr>
              <w:jc w:val="center"/>
              <w:spacing w:after="0" w:line="118" w:lineRule="exact"/>
              <w:rPr>
                <w:sz w:val="20"/>
                <w:szCs w:val="20"/>
                <w:color w:val="auto"/>
              </w:rPr>
            </w:pPr>
            <w:r>
              <w:rPr>
                <w:rFonts w:ascii="Arial" w:cs="Arial" w:eastAsia="Arial" w:hAnsi="Arial"/>
                <w:sz w:val="13"/>
                <w:szCs w:val="13"/>
                <w:color w:val="131E29"/>
                <w:w w:val="94"/>
              </w:rPr>
              <w:t>10.1</w:t>
            </w:r>
          </w:p>
        </w:tc>
        <w:tc>
          <w:tcPr>
            <w:tcW w:w="100" w:type="dxa"/>
            <w:vAlign w:val="bottom"/>
            <w:shd w:val="clear" w:color="auto" w:fill="D2DCE5"/>
          </w:tcPr>
          <w:p>
            <w:pPr>
              <w:spacing w:after="0"/>
              <w:rPr>
                <w:sz w:val="11"/>
                <w:szCs w:val="11"/>
                <w:color w:val="auto"/>
              </w:rPr>
            </w:pPr>
          </w:p>
        </w:tc>
        <w:tc>
          <w:tcPr>
            <w:tcW w:w="1640" w:type="dxa"/>
            <w:vAlign w:val="bottom"/>
            <w:gridSpan w:val="2"/>
            <w:shd w:val="clear" w:color="auto" w:fill="D2DCE5"/>
          </w:tcPr>
          <w:p>
            <w:pPr>
              <w:jc w:val="center"/>
              <w:ind w:right="80"/>
              <w:spacing w:after="0" w:line="118" w:lineRule="exact"/>
              <w:rPr>
                <w:sz w:val="20"/>
                <w:szCs w:val="20"/>
                <w:color w:val="auto"/>
              </w:rPr>
            </w:pPr>
            <w:r>
              <w:rPr>
                <w:rFonts w:ascii="Arial" w:cs="Arial" w:eastAsia="Arial" w:hAnsi="Arial"/>
                <w:sz w:val="13"/>
                <w:szCs w:val="13"/>
                <w:color w:val="131E29"/>
                <w:w w:val="97"/>
              </w:rPr>
              <w:t>December 1, 2021</w:t>
            </w:r>
          </w:p>
        </w:tc>
        <w:tc>
          <w:tcPr>
            <w:tcW w:w="960" w:type="dxa"/>
            <w:vAlign w:val="bottom"/>
            <w:shd w:val="clear" w:color="auto" w:fill="D2DCE5"/>
          </w:tcPr>
          <w:p>
            <w:pPr>
              <w:spacing w:after="0"/>
              <w:rPr>
                <w:sz w:val="11"/>
                <w:szCs w:val="11"/>
                <w:color w:val="auto"/>
              </w:rPr>
            </w:pPr>
          </w:p>
        </w:tc>
      </w:tr>
      <w:tr>
        <w:trPr>
          <w:trHeight w:val="33"/>
        </w:trPr>
        <w:tc>
          <w:tcPr>
            <w:tcW w:w="1080" w:type="dxa"/>
            <w:vAlign w:val="bottom"/>
            <w:tcBorders>
              <w:top w:val="single" w:sz="8" w:color="D2DCE5"/>
            </w:tcBorders>
            <w:shd w:val="clear" w:color="auto" w:fill="D2DCE5"/>
          </w:tcPr>
          <w:p>
            <w:pPr>
              <w:spacing w:after="0"/>
              <w:rPr>
                <w:sz w:val="2"/>
                <w:szCs w:val="2"/>
                <w:color w:val="auto"/>
              </w:rPr>
            </w:pPr>
          </w:p>
        </w:tc>
        <w:tc>
          <w:tcPr>
            <w:tcW w:w="80" w:type="dxa"/>
            <w:vAlign w:val="bottom"/>
            <w:tcBorders>
              <w:top w:val="single" w:sz="8" w:color="D2DCE5"/>
            </w:tcBorders>
            <w:shd w:val="clear" w:color="auto" w:fill="D2DCE5"/>
          </w:tcPr>
          <w:p>
            <w:pPr>
              <w:spacing w:after="0"/>
              <w:rPr>
                <w:sz w:val="2"/>
                <w:szCs w:val="2"/>
                <w:color w:val="auto"/>
              </w:rPr>
            </w:pPr>
          </w:p>
        </w:tc>
        <w:tc>
          <w:tcPr>
            <w:tcW w:w="20" w:type="dxa"/>
            <w:vAlign w:val="bottom"/>
            <w:tcBorders>
              <w:top w:val="single" w:sz="8" w:color="D2DCE5"/>
            </w:tcBorders>
            <w:shd w:val="clear" w:color="auto" w:fill="D2DCE5"/>
          </w:tcPr>
          <w:p>
            <w:pPr>
              <w:spacing w:after="0"/>
              <w:rPr>
                <w:sz w:val="2"/>
                <w:szCs w:val="2"/>
                <w:color w:val="auto"/>
              </w:rPr>
            </w:pPr>
          </w:p>
        </w:tc>
        <w:tc>
          <w:tcPr>
            <w:tcW w:w="1140" w:type="dxa"/>
            <w:vAlign w:val="bottom"/>
            <w:tcBorders>
              <w:top w:val="single" w:sz="8" w:color="0000FF"/>
            </w:tcBorders>
            <w:shd w:val="clear" w:color="auto" w:fill="D2DCE5"/>
          </w:tcPr>
          <w:p>
            <w:pPr>
              <w:spacing w:after="0"/>
              <w:rPr>
                <w:sz w:val="2"/>
                <w:szCs w:val="2"/>
                <w:color w:val="auto"/>
              </w:rPr>
            </w:pPr>
          </w:p>
        </w:tc>
        <w:tc>
          <w:tcPr>
            <w:tcW w:w="80" w:type="dxa"/>
            <w:vAlign w:val="bottom"/>
            <w:tcBorders>
              <w:top w:val="single" w:sz="8" w:color="D2DCE5"/>
            </w:tcBorders>
            <w:shd w:val="clear" w:color="auto" w:fill="D2DCE5"/>
          </w:tcPr>
          <w:p>
            <w:pPr>
              <w:spacing w:after="0"/>
              <w:rPr>
                <w:sz w:val="2"/>
                <w:szCs w:val="2"/>
                <w:color w:val="auto"/>
              </w:rPr>
            </w:pPr>
          </w:p>
        </w:tc>
        <w:tc>
          <w:tcPr>
            <w:tcW w:w="320" w:type="dxa"/>
            <w:vAlign w:val="bottom"/>
            <w:tcBorders>
              <w:top w:val="single" w:sz="8" w:color="D2DCE5"/>
            </w:tcBorders>
            <w:shd w:val="clear" w:color="auto" w:fill="D2DCE5"/>
          </w:tcPr>
          <w:p>
            <w:pPr>
              <w:spacing w:after="0"/>
              <w:rPr>
                <w:sz w:val="2"/>
                <w:szCs w:val="2"/>
                <w:color w:val="auto"/>
              </w:rPr>
            </w:pPr>
          </w:p>
        </w:tc>
        <w:tc>
          <w:tcPr>
            <w:tcW w:w="20" w:type="dxa"/>
            <w:vAlign w:val="bottom"/>
            <w:tcBorders>
              <w:top w:val="single" w:sz="8" w:color="D2DCE5"/>
            </w:tcBorders>
            <w:shd w:val="clear" w:color="auto" w:fill="D2DCE5"/>
          </w:tcPr>
          <w:p>
            <w:pPr>
              <w:spacing w:after="0"/>
              <w:rPr>
                <w:sz w:val="2"/>
                <w:szCs w:val="2"/>
                <w:color w:val="auto"/>
              </w:rPr>
            </w:pPr>
          </w:p>
        </w:tc>
        <w:tc>
          <w:tcPr>
            <w:tcW w:w="380" w:type="dxa"/>
            <w:vAlign w:val="bottom"/>
            <w:tcBorders>
              <w:top w:val="single" w:sz="8" w:color="D2DCE5"/>
            </w:tcBorders>
            <w:shd w:val="clear" w:color="auto" w:fill="D2DCE5"/>
          </w:tcPr>
          <w:p>
            <w:pPr>
              <w:spacing w:after="0"/>
              <w:rPr>
                <w:sz w:val="2"/>
                <w:szCs w:val="2"/>
                <w:color w:val="auto"/>
              </w:rPr>
            </w:pPr>
          </w:p>
        </w:tc>
        <w:tc>
          <w:tcPr>
            <w:tcW w:w="140" w:type="dxa"/>
            <w:vAlign w:val="bottom"/>
            <w:tcBorders>
              <w:top w:val="single" w:sz="8" w:color="D2DCE5"/>
            </w:tcBorders>
            <w:shd w:val="clear" w:color="auto" w:fill="D2DCE5"/>
          </w:tcPr>
          <w:p>
            <w:pPr>
              <w:spacing w:after="0"/>
              <w:rPr>
                <w:sz w:val="2"/>
                <w:szCs w:val="2"/>
                <w:color w:val="auto"/>
              </w:rPr>
            </w:pPr>
          </w:p>
        </w:tc>
        <w:tc>
          <w:tcPr>
            <w:tcW w:w="40" w:type="dxa"/>
            <w:vAlign w:val="bottom"/>
            <w:tcBorders>
              <w:top w:val="single" w:sz="8" w:color="D2DCE5"/>
            </w:tcBorders>
            <w:shd w:val="clear" w:color="auto" w:fill="D2DCE5"/>
          </w:tcPr>
          <w:p>
            <w:pPr>
              <w:spacing w:after="0"/>
              <w:rPr>
                <w:sz w:val="2"/>
                <w:szCs w:val="2"/>
                <w:color w:val="auto"/>
              </w:rPr>
            </w:pPr>
          </w:p>
        </w:tc>
        <w:tc>
          <w:tcPr>
            <w:tcW w:w="400" w:type="dxa"/>
            <w:vAlign w:val="bottom"/>
            <w:tcBorders>
              <w:top w:val="single" w:sz="8" w:color="D2DCE5"/>
            </w:tcBorders>
            <w:shd w:val="clear" w:color="auto" w:fill="D2DCE5"/>
          </w:tcPr>
          <w:p>
            <w:pPr>
              <w:spacing w:after="0"/>
              <w:rPr>
                <w:sz w:val="2"/>
                <w:szCs w:val="2"/>
                <w:color w:val="auto"/>
              </w:rPr>
            </w:pPr>
          </w:p>
        </w:tc>
        <w:tc>
          <w:tcPr>
            <w:tcW w:w="80" w:type="dxa"/>
            <w:vAlign w:val="bottom"/>
            <w:tcBorders>
              <w:top w:val="single" w:sz="8" w:color="D2DCE5"/>
            </w:tcBorders>
            <w:shd w:val="clear" w:color="auto" w:fill="D2DCE5"/>
          </w:tcPr>
          <w:p>
            <w:pPr>
              <w:spacing w:after="0"/>
              <w:rPr>
                <w:sz w:val="2"/>
                <w:szCs w:val="2"/>
                <w:color w:val="auto"/>
              </w:rPr>
            </w:pPr>
          </w:p>
        </w:tc>
        <w:tc>
          <w:tcPr>
            <w:tcW w:w="40" w:type="dxa"/>
            <w:vAlign w:val="bottom"/>
            <w:tcBorders>
              <w:top w:val="single" w:sz="8" w:color="D2DCE5"/>
            </w:tcBorders>
            <w:shd w:val="clear" w:color="auto" w:fill="D2DCE5"/>
          </w:tcPr>
          <w:p>
            <w:pPr>
              <w:spacing w:after="0"/>
              <w:rPr>
                <w:sz w:val="2"/>
                <w:szCs w:val="2"/>
                <w:color w:val="auto"/>
              </w:rPr>
            </w:pPr>
          </w:p>
        </w:tc>
        <w:tc>
          <w:tcPr>
            <w:tcW w:w="520" w:type="dxa"/>
            <w:vAlign w:val="bottom"/>
            <w:tcBorders>
              <w:top w:val="single" w:sz="8" w:color="D2DCE5"/>
            </w:tcBorders>
            <w:shd w:val="clear" w:color="auto" w:fill="D2DCE5"/>
          </w:tcPr>
          <w:p>
            <w:pPr>
              <w:spacing w:after="0"/>
              <w:rPr>
                <w:sz w:val="2"/>
                <w:szCs w:val="2"/>
                <w:color w:val="auto"/>
              </w:rPr>
            </w:pPr>
          </w:p>
        </w:tc>
        <w:tc>
          <w:tcPr>
            <w:tcW w:w="460" w:type="dxa"/>
            <w:vAlign w:val="bottom"/>
            <w:tcBorders>
              <w:top w:val="single" w:sz="8" w:color="D2DCE5"/>
            </w:tcBorders>
            <w:shd w:val="clear" w:color="auto" w:fill="D2DCE5"/>
          </w:tcPr>
          <w:p>
            <w:pPr>
              <w:spacing w:after="0"/>
              <w:rPr>
                <w:sz w:val="2"/>
                <w:szCs w:val="2"/>
                <w:color w:val="auto"/>
              </w:rPr>
            </w:pPr>
          </w:p>
        </w:tc>
        <w:tc>
          <w:tcPr>
            <w:tcW w:w="220" w:type="dxa"/>
            <w:vAlign w:val="bottom"/>
            <w:tcBorders>
              <w:top w:val="single" w:sz="8" w:color="D2DCE5"/>
            </w:tcBorders>
            <w:shd w:val="clear" w:color="auto" w:fill="D2DCE5"/>
          </w:tcPr>
          <w:p>
            <w:pPr>
              <w:spacing w:after="0"/>
              <w:rPr>
                <w:sz w:val="2"/>
                <w:szCs w:val="2"/>
                <w:color w:val="auto"/>
              </w:rPr>
            </w:pPr>
          </w:p>
        </w:tc>
        <w:tc>
          <w:tcPr>
            <w:tcW w:w="40" w:type="dxa"/>
            <w:vAlign w:val="bottom"/>
            <w:tcBorders>
              <w:top w:val="single" w:sz="8" w:color="D2DCE5"/>
            </w:tcBorders>
            <w:shd w:val="clear" w:color="auto" w:fill="D2DCE5"/>
          </w:tcPr>
          <w:p>
            <w:pPr>
              <w:spacing w:after="0"/>
              <w:rPr>
                <w:sz w:val="2"/>
                <w:szCs w:val="2"/>
                <w:color w:val="auto"/>
              </w:rPr>
            </w:pPr>
          </w:p>
        </w:tc>
        <w:tc>
          <w:tcPr>
            <w:tcW w:w="20" w:type="dxa"/>
            <w:vAlign w:val="bottom"/>
            <w:tcBorders>
              <w:top w:val="single" w:sz="8" w:color="D2DCE5"/>
            </w:tcBorders>
            <w:shd w:val="clear" w:color="auto" w:fill="D2DCE5"/>
          </w:tcPr>
          <w:p>
            <w:pPr>
              <w:spacing w:after="0"/>
              <w:rPr>
                <w:sz w:val="2"/>
                <w:szCs w:val="2"/>
                <w:color w:val="auto"/>
              </w:rPr>
            </w:pPr>
          </w:p>
        </w:tc>
        <w:tc>
          <w:tcPr>
            <w:tcW w:w="40" w:type="dxa"/>
            <w:vAlign w:val="bottom"/>
            <w:tcBorders>
              <w:top w:val="single" w:sz="8" w:color="D2DCE5"/>
            </w:tcBorders>
            <w:shd w:val="clear" w:color="auto" w:fill="D2DCE5"/>
          </w:tcPr>
          <w:p>
            <w:pPr>
              <w:spacing w:after="0"/>
              <w:rPr>
                <w:sz w:val="2"/>
                <w:szCs w:val="2"/>
                <w:color w:val="auto"/>
              </w:rPr>
            </w:pPr>
          </w:p>
        </w:tc>
        <w:tc>
          <w:tcPr>
            <w:tcW w:w="40" w:type="dxa"/>
            <w:vAlign w:val="bottom"/>
            <w:tcBorders>
              <w:top w:val="single" w:sz="8" w:color="D2DCE5"/>
            </w:tcBorders>
            <w:shd w:val="clear" w:color="auto" w:fill="D2DCE5"/>
          </w:tcPr>
          <w:p>
            <w:pPr>
              <w:spacing w:after="0"/>
              <w:rPr>
                <w:sz w:val="2"/>
                <w:szCs w:val="2"/>
                <w:color w:val="auto"/>
              </w:rPr>
            </w:pPr>
          </w:p>
        </w:tc>
        <w:tc>
          <w:tcPr>
            <w:tcW w:w="40" w:type="dxa"/>
            <w:vAlign w:val="bottom"/>
            <w:tcBorders>
              <w:top w:val="single" w:sz="8" w:color="D2DCE5"/>
            </w:tcBorders>
            <w:shd w:val="clear" w:color="auto" w:fill="D2DCE5"/>
          </w:tcPr>
          <w:p>
            <w:pPr>
              <w:spacing w:after="0"/>
              <w:rPr>
                <w:sz w:val="2"/>
                <w:szCs w:val="2"/>
                <w:color w:val="auto"/>
              </w:rPr>
            </w:pPr>
          </w:p>
        </w:tc>
        <w:tc>
          <w:tcPr>
            <w:tcW w:w="60" w:type="dxa"/>
            <w:vAlign w:val="bottom"/>
            <w:tcBorders>
              <w:top w:val="single" w:sz="8" w:color="D2DCE5"/>
            </w:tcBorders>
            <w:shd w:val="clear" w:color="auto" w:fill="D2DCE5"/>
          </w:tcPr>
          <w:p>
            <w:pPr>
              <w:spacing w:after="0"/>
              <w:rPr>
                <w:sz w:val="2"/>
                <w:szCs w:val="2"/>
                <w:color w:val="auto"/>
              </w:rPr>
            </w:pPr>
          </w:p>
        </w:tc>
        <w:tc>
          <w:tcPr>
            <w:tcW w:w="20" w:type="dxa"/>
            <w:vAlign w:val="bottom"/>
            <w:tcBorders>
              <w:top w:val="single" w:sz="8" w:color="D2DCE5"/>
            </w:tcBorders>
            <w:shd w:val="clear" w:color="auto" w:fill="D2DCE5"/>
          </w:tcPr>
          <w:p>
            <w:pPr>
              <w:spacing w:after="0"/>
              <w:rPr>
                <w:sz w:val="2"/>
                <w:szCs w:val="2"/>
                <w:color w:val="auto"/>
              </w:rPr>
            </w:pPr>
          </w:p>
        </w:tc>
        <w:tc>
          <w:tcPr>
            <w:tcW w:w="80" w:type="dxa"/>
            <w:vAlign w:val="bottom"/>
            <w:tcBorders>
              <w:top w:val="single" w:sz="8" w:color="D2DCE5"/>
            </w:tcBorders>
            <w:shd w:val="clear" w:color="auto" w:fill="D2DCE5"/>
          </w:tcPr>
          <w:p>
            <w:pPr>
              <w:spacing w:after="0"/>
              <w:rPr>
                <w:sz w:val="2"/>
                <w:szCs w:val="2"/>
                <w:color w:val="auto"/>
              </w:rPr>
            </w:pPr>
          </w:p>
        </w:tc>
        <w:tc>
          <w:tcPr>
            <w:tcW w:w="20" w:type="dxa"/>
            <w:vAlign w:val="bottom"/>
            <w:tcBorders>
              <w:top w:val="single" w:sz="8" w:color="D2DCE5"/>
            </w:tcBorders>
            <w:shd w:val="clear" w:color="auto" w:fill="D2DCE5"/>
          </w:tcPr>
          <w:p>
            <w:pPr>
              <w:spacing w:after="0"/>
              <w:rPr>
                <w:sz w:val="2"/>
                <w:szCs w:val="2"/>
                <w:color w:val="auto"/>
              </w:rPr>
            </w:pPr>
          </w:p>
        </w:tc>
        <w:tc>
          <w:tcPr>
            <w:tcW w:w="80" w:type="dxa"/>
            <w:vAlign w:val="bottom"/>
            <w:tcBorders>
              <w:top w:val="single" w:sz="8" w:color="D2DCE5"/>
            </w:tcBorders>
            <w:shd w:val="clear" w:color="auto" w:fill="D2DCE5"/>
          </w:tcPr>
          <w:p>
            <w:pPr>
              <w:spacing w:after="0"/>
              <w:rPr>
                <w:sz w:val="2"/>
                <w:szCs w:val="2"/>
                <w:color w:val="auto"/>
              </w:rPr>
            </w:pPr>
          </w:p>
        </w:tc>
        <w:tc>
          <w:tcPr>
            <w:tcW w:w="100" w:type="dxa"/>
            <w:vAlign w:val="bottom"/>
            <w:tcBorders>
              <w:top w:val="single" w:sz="8" w:color="D2DCE5"/>
            </w:tcBorders>
            <w:shd w:val="clear" w:color="auto" w:fill="D2DCE5"/>
          </w:tcPr>
          <w:p>
            <w:pPr>
              <w:spacing w:after="0"/>
              <w:rPr>
                <w:sz w:val="2"/>
                <w:szCs w:val="2"/>
                <w:color w:val="auto"/>
              </w:rPr>
            </w:pPr>
          </w:p>
        </w:tc>
        <w:tc>
          <w:tcPr>
            <w:tcW w:w="880" w:type="dxa"/>
            <w:vAlign w:val="bottom"/>
            <w:tcBorders>
              <w:top w:val="single" w:sz="8" w:color="D2DCE5"/>
            </w:tcBorders>
            <w:shd w:val="clear" w:color="auto" w:fill="D2DCE5"/>
          </w:tcPr>
          <w:p>
            <w:pPr>
              <w:spacing w:after="0"/>
              <w:rPr>
                <w:sz w:val="2"/>
                <w:szCs w:val="2"/>
                <w:color w:val="auto"/>
              </w:rPr>
            </w:pPr>
          </w:p>
        </w:tc>
        <w:tc>
          <w:tcPr>
            <w:tcW w:w="1260" w:type="dxa"/>
            <w:vAlign w:val="bottom"/>
            <w:tcBorders>
              <w:top w:val="single" w:sz="8" w:color="D2DCE5"/>
            </w:tcBorders>
            <w:shd w:val="clear" w:color="auto" w:fill="D2DCE5"/>
          </w:tcPr>
          <w:p>
            <w:pPr>
              <w:spacing w:after="0"/>
              <w:rPr>
                <w:sz w:val="2"/>
                <w:szCs w:val="2"/>
                <w:color w:val="auto"/>
              </w:rPr>
            </w:pPr>
          </w:p>
        </w:tc>
        <w:tc>
          <w:tcPr>
            <w:tcW w:w="880" w:type="dxa"/>
            <w:vAlign w:val="bottom"/>
            <w:tcBorders>
              <w:top w:val="single" w:sz="8" w:color="D2DCE5"/>
            </w:tcBorders>
            <w:shd w:val="clear" w:color="auto" w:fill="D2DCE5"/>
          </w:tcPr>
          <w:p>
            <w:pPr>
              <w:spacing w:after="0"/>
              <w:rPr>
                <w:sz w:val="2"/>
                <w:szCs w:val="2"/>
                <w:color w:val="auto"/>
              </w:rPr>
            </w:pPr>
          </w:p>
        </w:tc>
        <w:tc>
          <w:tcPr>
            <w:tcW w:w="100" w:type="dxa"/>
            <w:vAlign w:val="bottom"/>
            <w:tcBorders>
              <w:top w:val="single" w:sz="8" w:color="D2DCE5"/>
            </w:tcBorders>
            <w:shd w:val="clear" w:color="auto" w:fill="D2DCE5"/>
          </w:tcPr>
          <w:p>
            <w:pPr>
              <w:spacing w:after="0"/>
              <w:rPr>
                <w:sz w:val="2"/>
                <w:szCs w:val="2"/>
                <w:color w:val="auto"/>
              </w:rPr>
            </w:pPr>
          </w:p>
        </w:tc>
        <w:tc>
          <w:tcPr>
            <w:tcW w:w="1560" w:type="dxa"/>
            <w:vAlign w:val="bottom"/>
            <w:tcBorders>
              <w:top w:val="single" w:sz="8" w:color="D2DCE5"/>
            </w:tcBorders>
            <w:shd w:val="clear" w:color="auto" w:fill="D2DCE5"/>
          </w:tcPr>
          <w:p>
            <w:pPr>
              <w:spacing w:after="0"/>
              <w:rPr>
                <w:sz w:val="2"/>
                <w:szCs w:val="2"/>
                <w:color w:val="auto"/>
              </w:rPr>
            </w:pPr>
          </w:p>
        </w:tc>
        <w:tc>
          <w:tcPr>
            <w:tcW w:w="80" w:type="dxa"/>
            <w:vAlign w:val="bottom"/>
            <w:tcBorders>
              <w:top w:val="single" w:sz="8" w:color="D2DCE5"/>
            </w:tcBorders>
            <w:shd w:val="clear" w:color="auto" w:fill="D2DCE5"/>
          </w:tcPr>
          <w:p>
            <w:pPr>
              <w:spacing w:after="0"/>
              <w:rPr>
                <w:sz w:val="2"/>
                <w:szCs w:val="2"/>
                <w:color w:val="auto"/>
              </w:rPr>
            </w:pPr>
          </w:p>
        </w:tc>
        <w:tc>
          <w:tcPr>
            <w:tcW w:w="960" w:type="dxa"/>
            <w:vAlign w:val="bottom"/>
            <w:tcBorders>
              <w:top w:val="single" w:sz="8" w:color="D2DCE5"/>
            </w:tcBorders>
            <w:shd w:val="clear" w:color="auto" w:fill="D2DCE5"/>
          </w:tcPr>
          <w:p>
            <w:pPr>
              <w:spacing w:after="0"/>
              <w:rPr>
                <w:sz w:val="2"/>
                <w:szCs w:val="2"/>
                <w:color w:val="auto"/>
              </w:rPr>
            </w:pPr>
          </w:p>
        </w:tc>
      </w:tr>
      <w:tr>
        <w:trPr>
          <w:trHeight w:val="149"/>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80" w:type="dxa"/>
            <w:vAlign w:val="bottom"/>
            <w:tcBorders>
              <w:bottom w:val="single" w:sz="8" w:color="0000FF"/>
            </w:tcBorders>
            <w:gridSpan w:val="14"/>
          </w:tcPr>
          <w:p>
            <w:pPr>
              <w:spacing w:after="0"/>
              <w:rPr>
                <w:rFonts w:ascii="Arial" w:cs="Arial" w:eastAsia="Arial" w:hAnsi="Arial"/>
                <w:sz w:val="13"/>
                <w:szCs w:val="13"/>
                <w:color w:val="0000FF"/>
                <w:w w:val="97"/>
              </w:rPr>
            </w:pPr>
            <w:hyperlink r:id="rId394">
              <w:r>
                <w:rPr>
                  <w:rFonts w:ascii="Arial" w:cs="Arial" w:eastAsia="Arial" w:hAnsi="Arial"/>
                  <w:sz w:val="13"/>
                  <w:szCs w:val="13"/>
                  <w:color w:val="0000FF"/>
                  <w:w w:val="97"/>
                </w:rPr>
                <w:t>Offer Letter by and between Charles Jemley and the Company dated</w:t>
              </w:r>
            </w:hyperlink>
          </w:p>
        </w:tc>
        <w:tc>
          <w:tcPr>
            <w:tcW w:w="500" w:type="dxa"/>
            <w:vAlign w:val="bottom"/>
            <w:gridSpan w:val="10"/>
          </w:tcPr>
          <w:p>
            <w:pPr>
              <w:spacing w:after="0"/>
              <w:rPr>
                <w:sz w:val="12"/>
                <w:szCs w:val="12"/>
                <w:color w:val="auto"/>
              </w:rPr>
            </w:pPr>
          </w:p>
        </w:tc>
        <w:tc>
          <w:tcPr>
            <w:tcW w:w="8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29"/>
        </w:trPr>
        <w:tc>
          <w:tcPr>
            <w:tcW w:w="1160" w:type="dxa"/>
            <w:vAlign w:val="bottom"/>
            <w:gridSpan w:val="2"/>
          </w:tcPr>
          <w:p>
            <w:pPr>
              <w:jc w:val="center"/>
              <w:ind w:right="80"/>
              <w:spacing w:after="0" w:line="129" w:lineRule="exact"/>
              <w:rPr>
                <w:sz w:val="20"/>
                <w:szCs w:val="20"/>
                <w:color w:val="auto"/>
              </w:rPr>
            </w:pPr>
            <w:r>
              <w:rPr>
                <w:rFonts w:ascii="Arial" w:cs="Arial" w:eastAsia="Arial" w:hAnsi="Arial"/>
                <w:sz w:val="13"/>
                <w:szCs w:val="13"/>
                <w:color w:val="131E29"/>
              </w:rPr>
              <w:t>10.12†</w:t>
            </w:r>
          </w:p>
        </w:tc>
        <w:tc>
          <w:tcPr>
            <w:tcW w:w="20" w:type="dxa"/>
            <w:vAlign w:val="bottom"/>
          </w:tcPr>
          <w:p>
            <w:pPr>
              <w:spacing w:after="0"/>
              <w:rPr>
                <w:sz w:val="11"/>
                <w:szCs w:val="11"/>
                <w:color w:val="auto"/>
              </w:rPr>
            </w:pPr>
          </w:p>
        </w:tc>
        <w:tc>
          <w:tcPr>
            <w:tcW w:w="1140" w:type="dxa"/>
            <w:vAlign w:val="bottom"/>
            <w:tcBorders>
              <w:bottom w:val="single" w:sz="8" w:color="0000FF"/>
            </w:tcBorders>
          </w:tcPr>
          <w:p>
            <w:pPr>
              <w:spacing w:after="0" w:line="118" w:lineRule="exact"/>
              <w:rPr>
                <w:rFonts w:ascii="Arial" w:cs="Arial" w:eastAsia="Arial" w:hAnsi="Arial"/>
                <w:sz w:val="13"/>
                <w:szCs w:val="13"/>
                <w:color w:val="0000FF"/>
                <w:w w:val="95"/>
              </w:rPr>
            </w:pPr>
            <w:hyperlink r:id="rId394">
              <w:r>
                <w:rPr>
                  <w:rFonts w:ascii="Arial" w:cs="Arial" w:eastAsia="Arial" w:hAnsi="Arial"/>
                  <w:sz w:val="13"/>
                  <w:szCs w:val="13"/>
                  <w:color w:val="0000FF"/>
                  <w:w w:val="95"/>
                </w:rPr>
                <w:t>November 23, 2021.</w:t>
              </w:r>
            </w:hyperlink>
          </w:p>
        </w:tc>
        <w:tc>
          <w:tcPr>
            <w:tcW w:w="3240" w:type="dxa"/>
            <w:vAlign w:val="bottom"/>
            <w:gridSpan w:val="23"/>
          </w:tcPr>
          <w:p>
            <w:pPr>
              <w:spacing w:after="0"/>
              <w:rPr>
                <w:sz w:val="11"/>
                <w:szCs w:val="11"/>
                <w:color w:val="auto"/>
              </w:rPr>
            </w:pPr>
          </w:p>
        </w:tc>
        <w:tc>
          <w:tcPr>
            <w:tcW w:w="880" w:type="dxa"/>
            <w:vAlign w:val="bottom"/>
          </w:tcPr>
          <w:p>
            <w:pPr>
              <w:jc w:val="center"/>
              <w:spacing w:after="0" w:line="129" w:lineRule="exact"/>
              <w:rPr>
                <w:sz w:val="20"/>
                <w:szCs w:val="20"/>
                <w:color w:val="auto"/>
              </w:rPr>
            </w:pPr>
            <w:r>
              <w:rPr>
                <w:rFonts w:ascii="Arial" w:cs="Arial" w:eastAsia="Arial" w:hAnsi="Arial"/>
                <w:sz w:val="13"/>
                <w:szCs w:val="13"/>
                <w:color w:val="131E29"/>
                <w:w w:val="98"/>
              </w:rPr>
              <w:t>8-K</w:t>
            </w:r>
          </w:p>
        </w:tc>
        <w:tc>
          <w:tcPr>
            <w:tcW w:w="1260" w:type="dxa"/>
            <w:vAlign w:val="bottom"/>
          </w:tcPr>
          <w:p>
            <w:pPr>
              <w:jc w:val="center"/>
              <w:spacing w:after="0" w:line="129" w:lineRule="exact"/>
              <w:rPr>
                <w:sz w:val="20"/>
                <w:szCs w:val="20"/>
                <w:color w:val="auto"/>
              </w:rPr>
            </w:pPr>
            <w:r>
              <w:rPr>
                <w:rFonts w:ascii="Arial" w:cs="Arial" w:eastAsia="Arial" w:hAnsi="Arial"/>
                <w:sz w:val="13"/>
                <w:szCs w:val="13"/>
                <w:color w:val="131E29"/>
                <w:w w:val="96"/>
              </w:rPr>
              <w:t>001-40798</w:t>
            </w:r>
          </w:p>
        </w:tc>
        <w:tc>
          <w:tcPr>
            <w:tcW w:w="880" w:type="dxa"/>
            <w:vAlign w:val="bottom"/>
          </w:tcPr>
          <w:p>
            <w:pPr>
              <w:jc w:val="center"/>
              <w:spacing w:after="0" w:line="129" w:lineRule="exact"/>
              <w:rPr>
                <w:sz w:val="20"/>
                <w:szCs w:val="20"/>
                <w:color w:val="auto"/>
              </w:rPr>
            </w:pPr>
            <w:r>
              <w:rPr>
                <w:rFonts w:ascii="Arial" w:cs="Arial" w:eastAsia="Arial" w:hAnsi="Arial"/>
                <w:sz w:val="13"/>
                <w:szCs w:val="13"/>
                <w:color w:val="131E29"/>
                <w:w w:val="94"/>
              </w:rPr>
              <w:t>10.2</w:t>
            </w:r>
          </w:p>
        </w:tc>
        <w:tc>
          <w:tcPr>
            <w:tcW w:w="100" w:type="dxa"/>
            <w:vAlign w:val="bottom"/>
          </w:tcPr>
          <w:p>
            <w:pPr>
              <w:spacing w:after="0"/>
              <w:rPr>
                <w:sz w:val="11"/>
                <w:szCs w:val="11"/>
                <w:color w:val="auto"/>
              </w:rPr>
            </w:pPr>
          </w:p>
        </w:tc>
        <w:tc>
          <w:tcPr>
            <w:tcW w:w="1640" w:type="dxa"/>
            <w:vAlign w:val="bottom"/>
            <w:gridSpan w:val="2"/>
          </w:tcPr>
          <w:p>
            <w:pPr>
              <w:jc w:val="center"/>
              <w:ind w:right="80"/>
              <w:spacing w:after="0" w:line="129" w:lineRule="exact"/>
              <w:rPr>
                <w:sz w:val="20"/>
                <w:szCs w:val="20"/>
                <w:color w:val="auto"/>
              </w:rPr>
            </w:pPr>
            <w:r>
              <w:rPr>
                <w:rFonts w:ascii="Arial" w:cs="Arial" w:eastAsia="Arial" w:hAnsi="Arial"/>
                <w:sz w:val="13"/>
                <w:szCs w:val="13"/>
                <w:color w:val="131E29"/>
                <w:w w:val="97"/>
              </w:rPr>
              <w:t>December 1, 2021</w:t>
            </w:r>
          </w:p>
        </w:tc>
        <w:tc>
          <w:tcPr>
            <w:tcW w:w="960" w:type="dxa"/>
            <w:vAlign w:val="bottom"/>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5">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144" w:name="page145"/>
    <w:bookmarkEnd w:id="144"/>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1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131E29"/>
              </w:rPr>
              <w:t>Exhibit Number</w:t>
            </w:r>
          </w:p>
        </w:tc>
        <w:tc>
          <w:tcPr>
            <w:tcW w:w="20" w:type="dxa"/>
            <w:vAlign w:val="bottom"/>
          </w:tcPr>
          <w:p>
            <w:pPr>
              <w:spacing w:after="0"/>
              <w:rPr>
                <w:sz w:val="13"/>
                <w:szCs w:val="13"/>
                <w:color w:val="auto"/>
              </w:rPr>
            </w:pPr>
          </w:p>
        </w:tc>
        <w:tc>
          <w:tcPr>
            <w:tcW w:w="4280" w:type="dxa"/>
            <w:vAlign w:val="bottom"/>
            <w:gridSpan w:val="21"/>
          </w:tcPr>
          <w:p>
            <w:pPr>
              <w:spacing w:after="0"/>
              <w:rPr>
                <w:sz w:val="20"/>
                <w:szCs w:val="20"/>
                <w:color w:val="auto"/>
              </w:rPr>
            </w:pPr>
            <w:r>
              <w:rPr>
                <w:rFonts w:ascii="Arial" w:cs="Arial" w:eastAsia="Arial" w:hAnsi="Arial"/>
                <w:sz w:val="11"/>
                <w:szCs w:val="11"/>
                <w:b w:val="1"/>
                <w:bCs w:val="1"/>
                <w:color w:val="131E29"/>
              </w:rPr>
              <w:t>Description</w:t>
            </w:r>
          </w:p>
        </w:tc>
      </w:tr>
      <w:tr>
        <w:trPr>
          <w:trHeight w:val="149"/>
        </w:trPr>
        <w:tc>
          <w:tcPr>
            <w:tcW w:w="10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840" w:type="dxa"/>
            <w:vAlign w:val="bottom"/>
            <w:tcBorders>
              <w:top w:val="single" w:sz="8" w:color="auto"/>
              <w:bottom w:val="single" w:sz="8" w:color="0000FF"/>
            </w:tcBorders>
            <w:gridSpan w:val="12"/>
          </w:tcPr>
          <w:p>
            <w:pPr>
              <w:spacing w:after="0"/>
              <w:rPr>
                <w:rFonts w:ascii="Arial" w:cs="Arial" w:eastAsia="Arial" w:hAnsi="Arial"/>
                <w:sz w:val="13"/>
                <w:szCs w:val="13"/>
                <w:color w:val="0000FF"/>
                <w:w w:val="97"/>
              </w:rPr>
            </w:pPr>
            <w:hyperlink r:id="rId397">
              <w:r>
                <w:rPr>
                  <w:rFonts w:ascii="Arial" w:cs="Arial" w:eastAsia="Arial" w:hAnsi="Arial"/>
                  <w:sz w:val="13"/>
                  <w:szCs w:val="13"/>
                  <w:color w:val="0000FF"/>
                  <w:w w:val="97"/>
                </w:rPr>
                <w:t>Offer Letter by and between Stephen Gillett and the Company dated</w:t>
              </w:r>
            </w:hyperlink>
          </w:p>
        </w:tc>
        <w:tc>
          <w:tcPr>
            <w:tcW w:w="440" w:type="dxa"/>
            <w:vAlign w:val="bottom"/>
            <w:tcBorders>
              <w:top w:val="single" w:sz="8" w:color="auto"/>
            </w:tcBorders>
            <w:gridSpan w:val="9"/>
          </w:tcPr>
          <w:p>
            <w:pPr>
              <w:spacing w:after="0"/>
              <w:rPr>
                <w:sz w:val="12"/>
                <w:szCs w:val="12"/>
                <w:color w:val="auto"/>
              </w:rPr>
            </w:pPr>
          </w:p>
        </w:tc>
      </w:tr>
      <w:tr>
        <w:trPr>
          <w:trHeight w:val="129"/>
        </w:trPr>
        <w:tc>
          <w:tcPr>
            <w:tcW w:w="1160" w:type="dxa"/>
            <w:vAlign w:val="bottom"/>
            <w:gridSpan w:val="2"/>
          </w:tcPr>
          <w:p>
            <w:pPr>
              <w:jc w:val="center"/>
              <w:ind w:right="80"/>
              <w:spacing w:after="0" w:line="129" w:lineRule="exact"/>
              <w:rPr>
                <w:sz w:val="20"/>
                <w:szCs w:val="20"/>
                <w:color w:val="auto"/>
              </w:rPr>
            </w:pPr>
            <w:r>
              <w:rPr>
                <w:rFonts w:ascii="Arial" w:cs="Arial" w:eastAsia="Arial" w:hAnsi="Arial"/>
                <w:sz w:val="13"/>
                <w:szCs w:val="13"/>
                <w:color w:val="131E29"/>
              </w:rPr>
              <w:t>10.13†</w:t>
            </w:r>
          </w:p>
        </w:tc>
        <w:tc>
          <w:tcPr>
            <w:tcW w:w="20" w:type="dxa"/>
            <w:vAlign w:val="bottom"/>
          </w:tcPr>
          <w:p>
            <w:pPr>
              <w:spacing w:after="0"/>
              <w:rPr>
                <w:sz w:val="11"/>
                <w:szCs w:val="11"/>
                <w:color w:val="auto"/>
              </w:rPr>
            </w:pPr>
          </w:p>
        </w:tc>
        <w:tc>
          <w:tcPr>
            <w:tcW w:w="1080" w:type="dxa"/>
            <w:vAlign w:val="bottom"/>
            <w:tcBorders>
              <w:bottom w:val="single" w:sz="8" w:color="0000FF"/>
            </w:tcBorders>
            <w:gridSpan w:val="2"/>
          </w:tcPr>
          <w:p>
            <w:pPr>
              <w:spacing w:after="0" w:line="118" w:lineRule="exact"/>
              <w:rPr>
                <w:rFonts w:ascii="Arial" w:cs="Arial" w:eastAsia="Arial" w:hAnsi="Arial"/>
                <w:sz w:val="13"/>
                <w:szCs w:val="13"/>
                <w:color w:val="0000FF"/>
                <w:w w:val="95"/>
              </w:rPr>
            </w:pPr>
            <w:hyperlink r:id="rId397">
              <w:r>
                <w:rPr>
                  <w:rFonts w:ascii="Arial" w:cs="Arial" w:eastAsia="Arial" w:hAnsi="Arial"/>
                  <w:sz w:val="13"/>
                  <w:szCs w:val="13"/>
                  <w:color w:val="0000FF"/>
                  <w:w w:val="95"/>
                </w:rPr>
                <w:t>November 5, 2021.</w:t>
              </w:r>
            </w:hyperlink>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82"/>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tcBorders>
              <w:bottom w:val="single" w:sz="8" w:color="0000FF"/>
            </w:tcBorders>
            <w:gridSpan w:val="11"/>
          </w:tcPr>
          <w:p>
            <w:pPr>
              <w:spacing w:after="0"/>
              <w:rPr>
                <w:rFonts w:ascii="Arial" w:cs="Arial" w:eastAsia="Arial" w:hAnsi="Arial"/>
                <w:sz w:val="13"/>
                <w:szCs w:val="13"/>
                <w:color w:val="0000FF"/>
                <w:w w:val="97"/>
              </w:rPr>
            </w:pPr>
            <w:hyperlink r:id="rId398">
              <w:r>
                <w:rPr>
                  <w:rFonts w:ascii="Arial" w:cs="Arial" w:eastAsia="Arial" w:hAnsi="Arial"/>
                  <w:sz w:val="13"/>
                  <w:szCs w:val="13"/>
                  <w:color w:val="0000FF"/>
                  <w:w w:val="97"/>
                </w:rPr>
                <w:t>Offer Letter by and between Brian Maxwell and the Company dated</w:t>
              </w:r>
            </w:hyperlink>
          </w:p>
        </w:tc>
        <w:tc>
          <w:tcPr>
            <w:tcW w:w="480" w:type="dxa"/>
            <w:vAlign w:val="bottom"/>
            <w:gridSpan w:val="10"/>
          </w:tcPr>
          <w:p>
            <w:pPr>
              <w:spacing w:after="0"/>
              <w:rPr>
                <w:sz w:val="15"/>
                <w:szCs w:val="15"/>
                <w:color w:val="auto"/>
              </w:rPr>
            </w:pPr>
          </w:p>
        </w:tc>
      </w:tr>
      <w:tr>
        <w:trPr>
          <w:trHeight w:val="129"/>
        </w:trPr>
        <w:tc>
          <w:tcPr>
            <w:tcW w:w="1160" w:type="dxa"/>
            <w:vAlign w:val="bottom"/>
            <w:gridSpan w:val="2"/>
          </w:tcPr>
          <w:p>
            <w:pPr>
              <w:jc w:val="center"/>
              <w:ind w:right="80"/>
              <w:spacing w:after="0" w:line="129" w:lineRule="exact"/>
              <w:rPr>
                <w:sz w:val="20"/>
                <w:szCs w:val="20"/>
                <w:color w:val="auto"/>
              </w:rPr>
            </w:pPr>
            <w:r>
              <w:rPr>
                <w:rFonts w:ascii="Arial" w:cs="Arial" w:eastAsia="Arial" w:hAnsi="Arial"/>
                <w:sz w:val="13"/>
                <w:szCs w:val="13"/>
                <w:color w:val="131E29"/>
              </w:rPr>
              <w:t>10.14†</w:t>
            </w:r>
          </w:p>
        </w:tc>
        <w:tc>
          <w:tcPr>
            <w:tcW w:w="20" w:type="dxa"/>
            <w:vAlign w:val="bottom"/>
          </w:tcPr>
          <w:p>
            <w:pPr>
              <w:spacing w:after="0"/>
              <w:rPr>
                <w:sz w:val="11"/>
                <w:szCs w:val="11"/>
                <w:color w:val="auto"/>
              </w:rPr>
            </w:pPr>
          </w:p>
        </w:tc>
        <w:tc>
          <w:tcPr>
            <w:tcW w:w="1140" w:type="dxa"/>
            <w:vAlign w:val="bottom"/>
            <w:tcBorders>
              <w:bottom w:val="single" w:sz="8" w:color="0000FF"/>
            </w:tcBorders>
            <w:gridSpan w:val="3"/>
          </w:tcPr>
          <w:p>
            <w:pPr>
              <w:spacing w:after="0" w:line="118" w:lineRule="exact"/>
              <w:rPr>
                <w:rFonts w:ascii="Arial" w:cs="Arial" w:eastAsia="Arial" w:hAnsi="Arial"/>
                <w:sz w:val="13"/>
                <w:szCs w:val="13"/>
                <w:color w:val="0000FF"/>
                <w:w w:val="95"/>
              </w:rPr>
            </w:pPr>
            <w:hyperlink r:id="rId398">
              <w:r>
                <w:rPr>
                  <w:rFonts w:ascii="Arial" w:cs="Arial" w:eastAsia="Arial" w:hAnsi="Arial"/>
                  <w:sz w:val="13"/>
                  <w:szCs w:val="13"/>
                  <w:color w:val="0000FF"/>
                  <w:w w:val="95"/>
                </w:rPr>
                <w:t>November 23, 2021.</w:t>
              </w:r>
            </w:hyperlink>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82"/>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20" w:type="dxa"/>
            <w:vAlign w:val="bottom"/>
            <w:tcBorders>
              <w:bottom w:val="single" w:sz="8" w:color="0000FF"/>
            </w:tcBorders>
            <w:gridSpan w:val="14"/>
          </w:tcPr>
          <w:p>
            <w:pPr>
              <w:spacing w:after="0"/>
              <w:rPr>
                <w:rFonts w:ascii="Arial" w:cs="Arial" w:eastAsia="Arial" w:hAnsi="Arial"/>
                <w:sz w:val="13"/>
                <w:szCs w:val="13"/>
                <w:color w:val="0000FF"/>
                <w:w w:val="97"/>
              </w:rPr>
            </w:pPr>
            <w:hyperlink r:id="rId399">
              <w:r>
                <w:rPr>
                  <w:rFonts w:ascii="Arial" w:cs="Arial" w:eastAsia="Arial" w:hAnsi="Arial"/>
                  <w:sz w:val="13"/>
                  <w:szCs w:val="13"/>
                  <w:color w:val="0000FF"/>
                  <w:w w:val="97"/>
                </w:rPr>
                <w:t>Amended and Restated Credit Agreement by and between JPMorgan</w:t>
              </w:r>
            </w:hyperlink>
          </w:p>
        </w:tc>
        <w:tc>
          <w:tcPr>
            <w:tcW w:w="360" w:type="dxa"/>
            <w:vAlign w:val="bottom"/>
            <w:gridSpan w:val="7"/>
          </w:tcPr>
          <w:p>
            <w:pPr>
              <w:spacing w:after="0"/>
              <w:rPr>
                <w:sz w:val="15"/>
                <w:szCs w:val="15"/>
                <w:color w:val="auto"/>
              </w:rPr>
            </w:pPr>
          </w:p>
        </w:tc>
      </w:tr>
      <w:tr>
        <w:trPr>
          <w:trHeight w:val="129"/>
        </w:trPr>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20" w:type="dxa"/>
            <w:vAlign w:val="bottom"/>
            <w:tcBorders>
              <w:bottom w:val="single" w:sz="8" w:color="0000FF"/>
            </w:tcBorders>
            <w:gridSpan w:val="19"/>
          </w:tcPr>
          <w:p>
            <w:pPr>
              <w:spacing w:after="0" w:line="129" w:lineRule="exact"/>
              <w:rPr>
                <w:rFonts w:ascii="Arial" w:cs="Arial" w:eastAsia="Arial" w:hAnsi="Arial"/>
                <w:sz w:val="13"/>
                <w:szCs w:val="13"/>
                <w:color w:val="0000FF"/>
                <w:w w:val="97"/>
              </w:rPr>
            </w:pPr>
            <w:hyperlink r:id="rId399">
              <w:r>
                <w:rPr>
                  <w:rFonts w:ascii="Arial" w:cs="Arial" w:eastAsia="Arial" w:hAnsi="Arial"/>
                  <w:sz w:val="13"/>
                  <w:szCs w:val="13"/>
                  <w:color w:val="0000FF"/>
                  <w:w w:val="97"/>
                </w:rPr>
                <w:t>Chase Bank, N.A., the Company, and the other parties listed therein, dated</w:t>
              </w:r>
            </w:hyperlink>
          </w:p>
        </w:tc>
        <w:tc>
          <w:tcPr>
            <w:tcW w:w="60" w:type="dxa"/>
            <w:vAlign w:val="bottom"/>
            <w:gridSpan w:val="2"/>
          </w:tcPr>
          <w:p>
            <w:pPr>
              <w:spacing w:after="0"/>
              <w:rPr>
                <w:sz w:val="11"/>
                <w:szCs w:val="11"/>
                <w:color w:val="auto"/>
              </w:rPr>
            </w:pPr>
          </w:p>
        </w:tc>
      </w:tr>
      <w:tr>
        <w:trPr>
          <w:trHeight w:val="139"/>
        </w:trPr>
        <w:tc>
          <w:tcPr>
            <w:tcW w:w="1080" w:type="dxa"/>
            <w:vAlign w:val="bottom"/>
          </w:tcPr>
          <w:p>
            <w:pPr>
              <w:jc w:val="center"/>
              <w:spacing w:after="0" w:line="139" w:lineRule="exact"/>
              <w:rPr>
                <w:sz w:val="20"/>
                <w:szCs w:val="20"/>
                <w:color w:val="auto"/>
              </w:rPr>
            </w:pPr>
            <w:r>
              <w:rPr>
                <w:rFonts w:ascii="Arial" w:cs="Arial" w:eastAsia="Arial" w:hAnsi="Arial"/>
                <w:sz w:val="13"/>
                <w:szCs w:val="13"/>
                <w:color w:val="131E29"/>
                <w:w w:val="98"/>
              </w:rPr>
              <w:t>10.15</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Borders>
              <w:bottom w:val="single" w:sz="8" w:color="0000FF"/>
            </w:tcBorders>
            <w:gridSpan w:val="2"/>
          </w:tcPr>
          <w:p>
            <w:pPr>
              <w:spacing w:after="0" w:line="139" w:lineRule="exact"/>
              <w:rPr>
                <w:rFonts w:ascii="Arial" w:cs="Arial" w:eastAsia="Arial" w:hAnsi="Arial"/>
                <w:sz w:val="13"/>
                <w:szCs w:val="13"/>
                <w:color w:val="0000FF"/>
                <w:w w:val="96"/>
              </w:rPr>
            </w:pPr>
            <w:hyperlink r:id="rId399">
              <w:r>
                <w:rPr>
                  <w:rFonts w:ascii="Arial" w:cs="Arial" w:eastAsia="Arial" w:hAnsi="Arial"/>
                  <w:sz w:val="13"/>
                  <w:szCs w:val="13"/>
                  <w:color w:val="0000FF"/>
                  <w:w w:val="96"/>
                </w:rPr>
                <w:t>February 28, 2022.</w:t>
              </w:r>
            </w:hyperlink>
          </w:p>
        </w:tc>
        <w:tc>
          <w:tcPr>
            <w:tcW w:w="3200" w:type="dxa"/>
            <w:vAlign w:val="bottom"/>
            <w:gridSpan w:val="19"/>
          </w:tcPr>
          <w:p>
            <w:pPr>
              <w:spacing w:after="0"/>
              <w:rPr>
                <w:sz w:val="12"/>
                <w:szCs w:val="12"/>
                <w:color w:val="auto"/>
              </w:rPr>
            </w:pPr>
          </w:p>
        </w:tc>
      </w:tr>
      <w:tr>
        <w:trPr>
          <w:trHeight w:val="171"/>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80" w:type="dxa"/>
            <w:vAlign w:val="bottom"/>
            <w:gridSpan w:val="21"/>
          </w:tcPr>
          <w:p>
            <w:pPr>
              <w:spacing w:after="0"/>
              <w:rPr>
                <w:rFonts w:ascii="Arial" w:cs="Arial" w:eastAsia="Arial" w:hAnsi="Arial"/>
                <w:sz w:val="13"/>
                <w:szCs w:val="13"/>
                <w:color w:val="0000FF"/>
                <w:w w:val="98"/>
              </w:rPr>
            </w:pPr>
            <w:hyperlink r:id="rId400">
              <w:r>
                <w:rPr>
                  <w:rFonts w:ascii="Arial" w:cs="Arial" w:eastAsia="Arial" w:hAnsi="Arial"/>
                  <w:sz w:val="13"/>
                  <w:szCs w:val="13"/>
                  <w:color w:val="0000FF"/>
                  <w:w w:val="98"/>
                </w:rPr>
                <w:t>Offer Letter by and between Ann M. Miller and the Company, dated August</w:t>
              </w:r>
            </w:hyperlink>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1160" w:type="dxa"/>
            <w:vAlign w:val="bottom"/>
            <w:gridSpan w:val="2"/>
          </w:tcPr>
          <w:p>
            <w:pPr>
              <w:jc w:val="center"/>
              <w:ind w:right="80"/>
              <w:spacing w:after="0" w:line="118" w:lineRule="exact"/>
              <w:rPr>
                <w:sz w:val="20"/>
                <w:szCs w:val="20"/>
                <w:color w:val="auto"/>
              </w:rPr>
            </w:pPr>
            <w:r>
              <w:rPr>
                <w:rFonts w:ascii="Arial" w:cs="Arial" w:eastAsia="Arial" w:hAnsi="Arial"/>
                <w:sz w:val="13"/>
                <w:szCs w:val="13"/>
                <w:color w:val="131E29"/>
              </w:rPr>
              <w:t>10.16†</w:t>
            </w:r>
          </w:p>
        </w:tc>
        <w:tc>
          <w:tcPr>
            <w:tcW w:w="540" w:type="dxa"/>
            <w:vAlign w:val="bottom"/>
            <w:gridSpan w:val="2"/>
          </w:tcPr>
          <w:p>
            <w:pPr>
              <w:ind w:left="20"/>
              <w:spacing w:after="0" w:line="118" w:lineRule="exact"/>
              <w:rPr>
                <w:rFonts w:ascii="Arial" w:cs="Arial" w:eastAsia="Arial" w:hAnsi="Arial"/>
                <w:sz w:val="13"/>
                <w:szCs w:val="13"/>
                <w:color w:val="0000FF"/>
                <w:w w:val="92"/>
              </w:rPr>
            </w:pPr>
            <w:hyperlink r:id="rId400">
              <w:r>
                <w:rPr>
                  <w:rFonts w:ascii="Arial" w:cs="Arial" w:eastAsia="Arial" w:hAnsi="Arial"/>
                  <w:sz w:val="13"/>
                  <w:szCs w:val="13"/>
                  <w:color w:val="0000FF"/>
                  <w:w w:val="92"/>
                </w:rPr>
                <w:t>12, 2022.</w:t>
              </w:r>
            </w:hyperlink>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80" w:type="dxa"/>
            <w:vAlign w:val="bottom"/>
            <w:tcBorders>
              <w:bottom w:val="single" w:sz="8" w:color="0000FF"/>
            </w:tcBorders>
            <w:gridSpan w:val="15"/>
          </w:tcPr>
          <w:p>
            <w:pPr>
              <w:spacing w:after="0"/>
              <w:rPr>
                <w:rFonts w:ascii="Arial" w:cs="Arial" w:eastAsia="Arial" w:hAnsi="Arial"/>
                <w:sz w:val="13"/>
                <w:szCs w:val="13"/>
                <w:color w:val="0000FF"/>
                <w:w w:val="97"/>
              </w:rPr>
            </w:pPr>
            <w:hyperlink r:id="rId401">
              <w:r>
                <w:rPr>
                  <w:rFonts w:ascii="Arial" w:cs="Arial" w:eastAsia="Arial" w:hAnsi="Arial"/>
                  <w:sz w:val="13"/>
                  <w:szCs w:val="13"/>
                  <w:color w:val="0000FF"/>
                  <w:w w:val="97"/>
                </w:rPr>
                <w:t>Offer Letter by and between Christine Barone and the Company, dated</w:t>
              </w:r>
            </w:hyperlink>
          </w:p>
        </w:tc>
        <w:tc>
          <w:tcPr>
            <w:tcW w:w="300" w:type="dxa"/>
            <w:vAlign w:val="bottom"/>
            <w:gridSpan w:val="6"/>
          </w:tcPr>
          <w:p>
            <w:pPr>
              <w:spacing w:after="0"/>
              <w:rPr>
                <w:sz w:val="15"/>
                <w:szCs w:val="15"/>
                <w:color w:val="auto"/>
              </w:rPr>
            </w:pPr>
          </w:p>
        </w:tc>
      </w:tr>
      <w:tr>
        <w:trPr>
          <w:trHeight w:val="129"/>
        </w:trPr>
        <w:tc>
          <w:tcPr>
            <w:tcW w:w="1160" w:type="dxa"/>
            <w:vAlign w:val="bottom"/>
            <w:gridSpan w:val="2"/>
          </w:tcPr>
          <w:p>
            <w:pPr>
              <w:jc w:val="center"/>
              <w:ind w:right="80"/>
              <w:spacing w:after="0" w:line="118" w:lineRule="exact"/>
              <w:rPr>
                <w:sz w:val="20"/>
                <w:szCs w:val="20"/>
                <w:color w:val="auto"/>
              </w:rPr>
            </w:pPr>
            <w:r>
              <w:rPr>
                <w:rFonts w:ascii="Arial" w:cs="Arial" w:eastAsia="Arial" w:hAnsi="Arial"/>
                <w:sz w:val="13"/>
                <w:szCs w:val="13"/>
                <w:color w:val="131E29"/>
              </w:rPr>
              <w:t>10.17†</w:t>
            </w:r>
          </w:p>
        </w:tc>
        <w:tc>
          <w:tcPr>
            <w:tcW w:w="20" w:type="dxa"/>
            <w:vAlign w:val="bottom"/>
          </w:tcPr>
          <w:p>
            <w:pPr>
              <w:spacing w:after="0"/>
              <w:rPr>
                <w:sz w:val="11"/>
                <w:szCs w:val="11"/>
                <w:color w:val="auto"/>
              </w:rPr>
            </w:pPr>
          </w:p>
        </w:tc>
        <w:tc>
          <w:tcPr>
            <w:tcW w:w="1080" w:type="dxa"/>
            <w:vAlign w:val="bottom"/>
            <w:tcBorders>
              <w:bottom w:val="single" w:sz="8" w:color="0000FF"/>
            </w:tcBorders>
            <w:gridSpan w:val="2"/>
          </w:tcPr>
          <w:p>
            <w:pPr>
              <w:spacing w:after="0" w:line="118" w:lineRule="exact"/>
              <w:rPr>
                <w:rFonts w:ascii="Arial" w:cs="Arial" w:eastAsia="Arial" w:hAnsi="Arial"/>
                <w:sz w:val="13"/>
                <w:szCs w:val="13"/>
                <w:color w:val="0000FF"/>
                <w:w w:val="95"/>
              </w:rPr>
            </w:pPr>
            <w:hyperlink r:id="rId401">
              <w:r>
                <w:rPr>
                  <w:rFonts w:ascii="Arial" w:cs="Arial" w:eastAsia="Arial" w:hAnsi="Arial"/>
                  <w:sz w:val="13"/>
                  <w:szCs w:val="13"/>
                  <w:color w:val="0000FF"/>
                  <w:w w:val="95"/>
                </w:rPr>
                <w:t>November 7, 2022.</w:t>
              </w:r>
            </w:hyperlink>
          </w:p>
        </w:tc>
        <w:tc>
          <w:tcPr>
            <w:tcW w:w="3200" w:type="dxa"/>
            <w:vAlign w:val="bottom"/>
            <w:gridSpan w:val="19"/>
          </w:tcPr>
          <w:p>
            <w:pPr>
              <w:spacing w:after="0"/>
              <w:rPr>
                <w:sz w:val="11"/>
                <w:szCs w:val="11"/>
                <w:color w:val="auto"/>
              </w:rPr>
            </w:pPr>
          </w:p>
        </w:tc>
      </w:tr>
      <w:tr>
        <w:trPr>
          <w:trHeight w:val="182"/>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40" w:type="dxa"/>
            <w:vAlign w:val="bottom"/>
            <w:tcBorders>
              <w:bottom w:val="single" w:sz="8" w:color="0000FF"/>
            </w:tcBorders>
            <w:gridSpan w:val="10"/>
          </w:tcPr>
          <w:p>
            <w:pPr>
              <w:spacing w:after="0"/>
              <w:rPr>
                <w:rFonts w:ascii="Arial" w:cs="Arial" w:eastAsia="Arial" w:hAnsi="Arial"/>
                <w:sz w:val="13"/>
                <w:szCs w:val="13"/>
                <w:color w:val="0000FF"/>
                <w:w w:val="97"/>
              </w:rPr>
            </w:pPr>
            <w:hyperlink r:id="rId402">
              <w:r>
                <w:rPr>
                  <w:rFonts w:ascii="Arial" w:cs="Arial" w:eastAsia="Arial" w:hAnsi="Arial"/>
                  <w:sz w:val="13"/>
                  <w:szCs w:val="13"/>
                  <w:color w:val="0000FF"/>
                  <w:w w:val="97"/>
                </w:rPr>
                <w:t>Participation Agreement by and between Christine Barone and the</w:t>
              </w:r>
            </w:hyperlink>
          </w:p>
        </w:tc>
        <w:tc>
          <w:tcPr>
            <w:tcW w:w="540" w:type="dxa"/>
            <w:vAlign w:val="bottom"/>
            <w:gridSpan w:val="11"/>
          </w:tcPr>
          <w:p>
            <w:pPr>
              <w:spacing w:after="0"/>
              <w:rPr>
                <w:sz w:val="15"/>
                <w:szCs w:val="15"/>
                <w:color w:val="auto"/>
              </w:rPr>
            </w:pPr>
          </w:p>
        </w:tc>
      </w:tr>
      <w:tr>
        <w:trPr>
          <w:trHeight w:val="129"/>
        </w:trPr>
        <w:tc>
          <w:tcPr>
            <w:tcW w:w="1160" w:type="dxa"/>
            <w:vAlign w:val="bottom"/>
            <w:gridSpan w:val="2"/>
          </w:tcPr>
          <w:p>
            <w:pPr>
              <w:jc w:val="center"/>
              <w:ind w:right="80"/>
              <w:spacing w:after="0" w:line="118" w:lineRule="exact"/>
              <w:rPr>
                <w:sz w:val="20"/>
                <w:szCs w:val="20"/>
                <w:color w:val="auto"/>
              </w:rPr>
            </w:pPr>
            <w:r>
              <w:rPr>
                <w:rFonts w:ascii="Arial" w:cs="Arial" w:eastAsia="Arial" w:hAnsi="Arial"/>
                <w:sz w:val="13"/>
                <w:szCs w:val="13"/>
                <w:color w:val="131E29"/>
              </w:rPr>
              <w:t>10.18†</w:t>
            </w:r>
          </w:p>
        </w:tc>
        <w:tc>
          <w:tcPr>
            <w:tcW w:w="20" w:type="dxa"/>
            <w:vAlign w:val="bottom"/>
          </w:tcPr>
          <w:p>
            <w:pPr>
              <w:spacing w:after="0"/>
              <w:rPr>
                <w:sz w:val="11"/>
                <w:szCs w:val="11"/>
                <w:color w:val="auto"/>
              </w:rPr>
            </w:pPr>
          </w:p>
        </w:tc>
        <w:tc>
          <w:tcPr>
            <w:tcW w:w="2040" w:type="dxa"/>
            <w:vAlign w:val="bottom"/>
            <w:tcBorders>
              <w:bottom w:val="single" w:sz="8" w:color="0000FF"/>
            </w:tcBorders>
            <w:gridSpan w:val="6"/>
          </w:tcPr>
          <w:p>
            <w:pPr>
              <w:spacing w:after="0" w:line="118" w:lineRule="exact"/>
              <w:rPr>
                <w:rFonts w:ascii="Arial" w:cs="Arial" w:eastAsia="Arial" w:hAnsi="Arial"/>
                <w:sz w:val="13"/>
                <w:szCs w:val="13"/>
                <w:color w:val="0000FF"/>
                <w:w w:val="96"/>
              </w:rPr>
            </w:pPr>
            <w:hyperlink r:id="rId402">
              <w:r>
                <w:rPr>
                  <w:rFonts w:ascii="Arial" w:cs="Arial" w:eastAsia="Arial" w:hAnsi="Arial"/>
                  <w:sz w:val="13"/>
                  <w:szCs w:val="13"/>
                  <w:color w:val="0000FF"/>
                  <w:w w:val="96"/>
                </w:rPr>
                <w:t>Company, dated November 9, 2022.</w:t>
              </w:r>
            </w:hyperlink>
          </w:p>
        </w:tc>
        <w:tc>
          <w:tcPr>
            <w:tcW w:w="2240" w:type="dxa"/>
            <w:vAlign w:val="bottom"/>
            <w:gridSpan w:val="15"/>
          </w:tcPr>
          <w:p>
            <w:pPr>
              <w:spacing w:after="0"/>
              <w:rPr>
                <w:sz w:val="11"/>
                <w:szCs w:val="11"/>
                <w:color w:val="auto"/>
              </w:rPr>
            </w:pPr>
          </w:p>
        </w:tc>
      </w:tr>
      <w:tr>
        <w:trPr>
          <w:trHeight w:val="182"/>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80" w:type="dxa"/>
            <w:vAlign w:val="bottom"/>
            <w:gridSpan w:val="21"/>
          </w:tcPr>
          <w:p>
            <w:pPr>
              <w:spacing w:after="0"/>
              <w:rPr>
                <w:sz w:val="20"/>
                <w:szCs w:val="20"/>
                <w:color w:val="auto"/>
              </w:rPr>
            </w:pPr>
            <w:r>
              <w:rPr>
                <w:rFonts w:ascii="Arial" w:cs="Arial" w:eastAsia="Arial" w:hAnsi="Arial"/>
                <w:sz w:val="13"/>
                <w:szCs w:val="13"/>
                <w:color w:val="0000FF"/>
              </w:rPr>
              <w:t>Separation Letter Agreement, by and between John Graham and the</w:t>
            </w:r>
          </w:p>
        </w:tc>
      </w:tr>
      <w:tr>
        <w:trPr>
          <w:trHeight w:val="129"/>
        </w:trPr>
        <w:tc>
          <w:tcPr>
            <w:tcW w:w="1160" w:type="dxa"/>
            <w:vAlign w:val="bottom"/>
            <w:gridSpan w:val="2"/>
          </w:tcPr>
          <w:p>
            <w:pPr>
              <w:jc w:val="center"/>
              <w:ind w:right="80"/>
              <w:spacing w:after="0" w:line="118" w:lineRule="exact"/>
              <w:rPr>
                <w:sz w:val="20"/>
                <w:szCs w:val="20"/>
                <w:color w:val="auto"/>
              </w:rPr>
            </w:pPr>
            <w:r>
              <w:rPr>
                <w:rFonts w:ascii="Arial" w:cs="Arial" w:eastAsia="Arial" w:hAnsi="Arial"/>
                <w:sz w:val="13"/>
                <w:szCs w:val="13"/>
                <w:color w:val="131E29"/>
              </w:rPr>
              <w:t>10.19†</w:t>
            </w:r>
          </w:p>
        </w:tc>
        <w:tc>
          <w:tcPr>
            <w:tcW w:w="20" w:type="dxa"/>
            <w:vAlign w:val="bottom"/>
          </w:tcPr>
          <w:p>
            <w:pPr>
              <w:spacing w:after="0"/>
              <w:rPr>
                <w:sz w:val="11"/>
                <w:szCs w:val="11"/>
                <w:color w:val="auto"/>
              </w:rPr>
            </w:pPr>
          </w:p>
        </w:tc>
        <w:tc>
          <w:tcPr>
            <w:tcW w:w="3860" w:type="dxa"/>
            <w:vAlign w:val="bottom"/>
            <w:tcBorders>
              <w:top w:val="single" w:sz="8" w:color="0000FF"/>
            </w:tcBorders>
            <w:gridSpan w:val="13"/>
          </w:tcPr>
          <w:p>
            <w:pPr>
              <w:spacing w:after="0" w:line="118" w:lineRule="exact"/>
              <w:rPr>
                <w:sz w:val="20"/>
                <w:szCs w:val="20"/>
                <w:color w:val="auto"/>
              </w:rPr>
            </w:pPr>
            <w:r>
              <w:rPr>
                <w:rFonts w:ascii="Arial" w:cs="Arial" w:eastAsia="Arial" w:hAnsi="Arial"/>
                <w:sz w:val="13"/>
                <w:szCs w:val="13"/>
                <w:color w:val="0000FF"/>
              </w:rPr>
              <w:t>Company, dated November 11, 2022.</w:t>
            </w:r>
          </w:p>
        </w:tc>
        <w:tc>
          <w:tcPr>
            <w:tcW w:w="420" w:type="dxa"/>
            <w:vAlign w:val="bottom"/>
            <w:gridSpan w:val="8"/>
          </w:tcPr>
          <w:p>
            <w:pPr>
              <w:spacing w:after="0"/>
              <w:rPr>
                <w:sz w:val="11"/>
                <w:szCs w:val="11"/>
                <w:color w:val="auto"/>
              </w:rPr>
            </w:pPr>
          </w:p>
        </w:tc>
      </w:tr>
      <w:tr>
        <w:trPr>
          <w:trHeight w:val="182"/>
        </w:trPr>
        <w:tc>
          <w:tcPr>
            <w:tcW w:w="1080" w:type="dxa"/>
            <w:vAlign w:val="bottom"/>
          </w:tcPr>
          <w:p>
            <w:pPr>
              <w:jc w:val="center"/>
              <w:spacing w:after="0"/>
              <w:rPr>
                <w:sz w:val="20"/>
                <w:szCs w:val="20"/>
                <w:color w:val="auto"/>
              </w:rPr>
            </w:pPr>
            <w:r>
              <w:rPr>
                <w:rFonts w:ascii="Arial" w:cs="Arial" w:eastAsia="Arial" w:hAnsi="Arial"/>
                <w:sz w:val="13"/>
                <w:szCs w:val="13"/>
                <w:color w:val="131E29"/>
                <w:w w:val="94"/>
              </w:rPr>
              <w:t>21.1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4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3"/>
                <w:szCs w:val="13"/>
                <w:color w:val="0000FF"/>
                <w:w w:val="96"/>
              </w:rPr>
              <w:t>Subsidiaries of Dutch Bros Inc.</w:t>
            </w:r>
          </w:p>
        </w:tc>
        <w:tc>
          <w:tcPr>
            <w:tcW w:w="360" w:type="dxa"/>
            <w:vAlign w:val="bottom"/>
            <w:tcBorders>
              <w:top w:val="single" w:sz="8" w:color="0000FF"/>
            </w:tcBorders>
            <w:gridSpan w:val="3"/>
          </w:tcPr>
          <w:p>
            <w:pPr>
              <w:spacing w:after="0"/>
              <w:rPr>
                <w:sz w:val="15"/>
                <w:szCs w:val="15"/>
                <w:color w:val="auto"/>
              </w:rPr>
            </w:pPr>
          </w:p>
        </w:tc>
        <w:tc>
          <w:tcPr>
            <w:tcW w:w="2180" w:type="dxa"/>
            <w:vAlign w:val="bottom"/>
            <w:gridSpan w:val="14"/>
          </w:tcPr>
          <w:p>
            <w:pPr>
              <w:spacing w:after="0"/>
              <w:rPr>
                <w:sz w:val="15"/>
                <w:szCs w:val="15"/>
                <w:color w:val="auto"/>
              </w:rPr>
            </w:pPr>
          </w:p>
        </w:tc>
      </w:tr>
      <w:tr>
        <w:trPr>
          <w:trHeight w:val="171"/>
        </w:trPr>
        <w:tc>
          <w:tcPr>
            <w:tcW w:w="1080" w:type="dxa"/>
            <w:vAlign w:val="bottom"/>
          </w:tcPr>
          <w:p>
            <w:pPr>
              <w:jc w:val="center"/>
              <w:spacing w:after="0"/>
              <w:rPr>
                <w:sz w:val="20"/>
                <w:szCs w:val="20"/>
                <w:color w:val="auto"/>
              </w:rPr>
            </w:pPr>
            <w:r>
              <w:rPr>
                <w:rFonts w:ascii="Arial" w:cs="Arial" w:eastAsia="Arial" w:hAnsi="Arial"/>
                <w:sz w:val="13"/>
                <w:szCs w:val="13"/>
                <w:color w:val="131E29"/>
                <w:w w:val="94"/>
              </w:rPr>
              <w:t>23.1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80" w:type="dxa"/>
            <w:vAlign w:val="bottom"/>
            <w:gridSpan w:val="21"/>
          </w:tcPr>
          <w:p>
            <w:pPr>
              <w:spacing w:after="0"/>
              <w:rPr>
                <w:sz w:val="20"/>
                <w:szCs w:val="20"/>
                <w:color w:val="auto"/>
              </w:rPr>
            </w:pPr>
            <w:r>
              <w:rPr>
                <w:rFonts w:ascii="Arial" w:cs="Arial" w:eastAsia="Arial" w:hAnsi="Arial"/>
                <w:sz w:val="13"/>
                <w:szCs w:val="13"/>
                <w:color w:val="0000FF"/>
              </w:rPr>
              <w:t>Consent of KPMG LLP, Independent Registered Public Accounting Firm.</w:t>
            </w:r>
          </w:p>
        </w:tc>
      </w:tr>
      <w:tr>
        <w:trPr>
          <w:trHeight w:val="171"/>
        </w:trPr>
        <w:tc>
          <w:tcPr>
            <w:tcW w:w="1080" w:type="dxa"/>
            <w:vAlign w:val="bottom"/>
          </w:tcPr>
          <w:p>
            <w:pPr>
              <w:jc w:val="center"/>
              <w:spacing w:after="0"/>
              <w:rPr>
                <w:sz w:val="20"/>
                <w:szCs w:val="20"/>
                <w:color w:val="auto"/>
              </w:rPr>
            </w:pPr>
            <w:r>
              <w:rPr>
                <w:rFonts w:ascii="Arial" w:cs="Arial" w:eastAsia="Arial" w:hAnsi="Arial"/>
                <w:sz w:val="13"/>
                <w:szCs w:val="13"/>
                <w:color w:val="131E29"/>
                <w:w w:val="94"/>
              </w:rPr>
              <w:t>24.1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60" w:type="dxa"/>
            <w:vAlign w:val="bottom"/>
            <w:tcBorders>
              <w:top w:val="single" w:sz="8" w:color="0000FF"/>
            </w:tcBorders>
            <w:gridSpan w:val="17"/>
          </w:tcPr>
          <w:p>
            <w:pPr>
              <w:spacing w:after="0"/>
              <w:rPr>
                <w:sz w:val="20"/>
                <w:szCs w:val="20"/>
                <w:color w:val="auto"/>
              </w:rPr>
            </w:pPr>
            <w:r>
              <w:rPr>
                <w:rFonts w:ascii="Arial" w:cs="Arial" w:eastAsia="Arial" w:hAnsi="Arial"/>
                <w:sz w:val="13"/>
                <w:szCs w:val="13"/>
                <w:color w:val="0000FF"/>
              </w:rPr>
              <w:t>Power of Attorney (included on signature page of this Form 10-K)</w:t>
            </w:r>
            <w:r>
              <w:rPr>
                <w:rFonts w:ascii="Arial" w:cs="Arial" w:eastAsia="Arial" w:hAnsi="Arial"/>
                <w:sz w:val="13"/>
                <w:szCs w:val="13"/>
                <w:color w:val="131E29"/>
              </w:rPr>
              <w:t>.</w:t>
            </w:r>
          </w:p>
        </w:tc>
        <w:tc>
          <w:tcPr>
            <w:tcW w:w="220" w:type="dxa"/>
            <w:vAlign w:val="bottom"/>
            <w:gridSpan w:val="4"/>
          </w:tcPr>
          <w:p>
            <w:pPr>
              <w:spacing w:after="0"/>
              <w:rPr>
                <w:sz w:val="14"/>
                <w:szCs w:val="14"/>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5"/>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20" w:type="dxa"/>
            <w:vAlign w:val="bottom"/>
            <w:tcBorders>
              <w:bottom w:val="single" w:sz="8" w:color="0000FF"/>
            </w:tcBorders>
            <w:gridSpan w:val="16"/>
          </w:tcPr>
          <w:p>
            <w:pPr>
              <w:spacing w:after="0"/>
              <w:rPr>
                <w:sz w:val="20"/>
                <w:szCs w:val="20"/>
                <w:color w:val="auto"/>
              </w:rPr>
            </w:pPr>
            <w:r>
              <w:rPr>
                <w:rFonts w:ascii="Arial" w:cs="Arial" w:eastAsia="Arial" w:hAnsi="Arial"/>
                <w:sz w:val="13"/>
                <w:szCs w:val="13"/>
                <w:color w:val="0000FF"/>
                <w:w w:val="97"/>
              </w:rPr>
              <w:t>Certification of Chief Executive Officer Pursuant to Rules 13a-14(a) and</w:t>
            </w:r>
          </w:p>
        </w:tc>
        <w:tc>
          <w:tcPr>
            <w:tcW w:w="260" w:type="dxa"/>
            <w:vAlign w:val="bottom"/>
            <w:gridSpan w:val="5"/>
          </w:tcPr>
          <w:p>
            <w:pPr>
              <w:spacing w:after="0"/>
              <w:rPr>
                <w:sz w:val="14"/>
                <w:szCs w:val="14"/>
                <w:color w:val="auto"/>
              </w:rPr>
            </w:pPr>
          </w:p>
        </w:tc>
      </w:tr>
      <w:tr>
        <w:trPr>
          <w:trHeight w:val="129"/>
        </w:trPr>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0" w:type="dxa"/>
            <w:vAlign w:val="bottom"/>
            <w:tcBorders>
              <w:bottom w:val="single" w:sz="8" w:color="0000FF"/>
            </w:tcBorders>
            <w:gridSpan w:val="18"/>
          </w:tcPr>
          <w:p>
            <w:pPr>
              <w:spacing w:after="0" w:line="129" w:lineRule="exact"/>
              <w:rPr>
                <w:sz w:val="20"/>
                <w:szCs w:val="20"/>
                <w:color w:val="auto"/>
              </w:rPr>
            </w:pPr>
            <w:r>
              <w:rPr>
                <w:rFonts w:ascii="Arial" w:cs="Arial" w:eastAsia="Arial" w:hAnsi="Arial"/>
                <w:sz w:val="13"/>
                <w:szCs w:val="13"/>
                <w:color w:val="0000FF"/>
                <w:w w:val="97"/>
              </w:rPr>
              <w:t>15d-14(a) of the Securities Exchange Act of 1934, as Adopted Pursuant to</w:t>
            </w:r>
          </w:p>
        </w:tc>
        <w:tc>
          <w:tcPr>
            <w:tcW w:w="80" w:type="dxa"/>
            <w:vAlign w:val="bottom"/>
            <w:gridSpan w:val="3"/>
          </w:tcPr>
          <w:p>
            <w:pPr>
              <w:spacing w:after="0"/>
              <w:rPr>
                <w:sz w:val="11"/>
                <w:szCs w:val="11"/>
                <w:color w:val="auto"/>
              </w:rPr>
            </w:pPr>
          </w:p>
        </w:tc>
      </w:tr>
      <w:tr>
        <w:trPr>
          <w:trHeight w:val="139"/>
        </w:trPr>
        <w:tc>
          <w:tcPr>
            <w:tcW w:w="1080" w:type="dxa"/>
            <w:vAlign w:val="bottom"/>
          </w:tcPr>
          <w:p>
            <w:pPr>
              <w:jc w:val="center"/>
              <w:spacing w:after="0" w:line="139" w:lineRule="exact"/>
              <w:rPr>
                <w:sz w:val="20"/>
                <w:szCs w:val="20"/>
                <w:color w:val="auto"/>
              </w:rPr>
            </w:pPr>
            <w:r>
              <w:rPr>
                <w:rFonts w:ascii="Arial" w:cs="Arial" w:eastAsia="Arial" w:hAnsi="Arial"/>
                <w:sz w:val="13"/>
                <w:szCs w:val="13"/>
                <w:color w:val="131E29"/>
                <w:w w:val="94"/>
              </w:rPr>
              <w:t>31.1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80" w:type="dxa"/>
            <w:vAlign w:val="bottom"/>
            <w:gridSpan w:val="21"/>
          </w:tcPr>
          <w:p>
            <w:pPr>
              <w:spacing w:after="0" w:line="139" w:lineRule="exact"/>
              <w:rPr>
                <w:sz w:val="20"/>
                <w:szCs w:val="20"/>
                <w:color w:val="auto"/>
              </w:rPr>
            </w:pPr>
            <w:r>
              <w:rPr>
                <w:rFonts w:ascii="Arial" w:cs="Arial" w:eastAsia="Arial" w:hAnsi="Arial"/>
                <w:sz w:val="13"/>
                <w:szCs w:val="13"/>
                <w:color w:val="0000FF"/>
              </w:rPr>
              <w:t>Section 302 of the Sarbanes-Oxley Act of 2002</w:t>
            </w:r>
            <w:r>
              <w:rPr>
                <w:rFonts w:ascii="Arial" w:cs="Arial" w:eastAsia="Arial" w:hAnsi="Arial"/>
                <w:sz w:val="13"/>
                <w:szCs w:val="13"/>
                <w:color w:val="131E29"/>
              </w:rPr>
              <w:t>.</w:t>
            </w: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5"/>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80" w:type="dxa"/>
            <w:vAlign w:val="bottom"/>
            <w:tcBorders>
              <w:bottom w:val="single" w:sz="8" w:color="0000FF"/>
            </w:tcBorders>
            <w:gridSpan w:val="21"/>
          </w:tcPr>
          <w:p>
            <w:pPr>
              <w:spacing w:after="0"/>
              <w:rPr>
                <w:sz w:val="20"/>
                <w:szCs w:val="20"/>
                <w:color w:val="auto"/>
              </w:rPr>
            </w:pPr>
            <w:r>
              <w:rPr>
                <w:rFonts w:ascii="Arial" w:cs="Arial" w:eastAsia="Arial" w:hAnsi="Arial"/>
                <w:sz w:val="13"/>
                <w:szCs w:val="13"/>
                <w:color w:val="0000FF"/>
                <w:w w:val="97"/>
              </w:rPr>
              <w:t>Certification of Chief Financial Officer Pursuant to Rules 13a-14(a) and 15d-</w:t>
            </w:r>
          </w:p>
        </w:tc>
      </w:tr>
      <w:tr>
        <w:trPr>
          <w:trHeight w:val="129"/>
        </w:trPr>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80" w:type="dxa"/>
            <w:vAlign w:val="bottom"/>
            <w:gridSpan w:val="21"/>
          </w:tcPr>
          <w:p>
            <w:pPr>
              <w:spacing w:after="0" w:line="129" w:lineRule="exact"/>
              <w:rPr>
                <w:sz w:val="20"/>
                <w:szCs w:val="20"/>
                <w:color w:val="auto"/>
              </w:rPr>
            </w:pPr>
            <w:r>
              <w:rPr>
                <w:rFonts w:ascii="Arial" w:cs="Arial" w:eastAsia="Arial" w:hAnsi="Arial"/>
                <w:sz w:val="13"/>
                <w:szCs w:val="13"/>
                <w:color w:val="0000FF"/>
              </w:rPr>
              <w:t>14(a) of the Securities Exchange Act of 1934, as Adopted Pursuant to</w:t>
            </w:r>
          </w:p>
        </w:tc>
      </w:tr>
      <w:tr>
        <w:trPr>
          <w:trHeight w:val="139"/>
        </w:trPr>
        <w:tc>
          <w:tcPr>
            <w:tcW w:w="1080" w:type="dxa"/>
            <w:vAlign w:val="bottom"/>
          </w:tcPr>
          <w:p>
            <w:pPr>
              <w:jc w:val="center"/>
              <w:spacing w:after="0" w:line="139" w:lineRule="exact"/>
              <w:rPr>
                <w:sz w:val="20"/>
                <w:szCs w:val="20"/>
                <w:color w:val="auto"/>
              </w:rPr>
            </w:pPr>
            <w:r>
              <w:rPr>
                <w:rFonts w:ascii="Arial" w:cs="Arial" w:eastAsia="Arial" w:hAnsi="Arial"/>
                <w:sz w:val="13"/>
                <w:szCs w:val="13"/>
                <w:color w:val="131E29"/>
                <w:w w:val="94"/>
              </w:rPr>
              <w:t>31.2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20" w:type="dxa"/>
            <w:vAlign w:val="bottom"/>
            <w:tcBorders>
              <w:top w:val="single" w:sz="8" w:color="0000FF"/>
            </w:tcBorders>
            <w:gridSpan w:val="14"/>
          </w:tcPr>
          <w:p>
            <w:pPr>
              <w:spacing w:after="0" w:line="139" w:lineRule="exact"/>
              <w:rPr>
                <w:sz w:val="20"/>
                <w:szCs w:val="20"/>
                <w:color w:val="auto"/>
              </w:rPr>
            </w:pPr>
            <w:r>
              <w:rPr>
                <w:rFonts w:ascii="Arial" w:cs="Arial" w:eastAsia="Arial" w:hAnsi="Arial"/>
                <w:sz w:val="13"/>
                <w:szCs w:val="13"/>
                <w:color w:val="0000FF"/>
              </w:rPr>
              <w:t>Section 302 of the Sarbanes-Oxley Act of 2002</w:t>
            </w:r>
            <w:r>
              <w:rPr>
                <w:rFonts w:ascii="Arial" w:cs="Arial" w:eastAsia="Arial" w:hAnsi="Arial"/>
                <w:sz w:val="13"/>
                <w:szCs w:val="13"/>
                <w:color w:val="131E29"/>
              </w:rPr>
              <w:t>.</w:t>
            </w:r>
          </w:p>
        </w:tc>
        <w:tc>
          <w:tcPr>
            <w:tcW w:w="360" w:type="dxa"/>
            <w:vAlign w:val="bottom"/>
            <w:gridSpan w:val="7"/>
          </w:tcPr>
          <w:p>
            <w:pPr>
              <w:spacing w:after="0"/>
              <w:rPr>
                <w:sz w:val="12"/>
                <w:szCs w:val="12"/>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5"/>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40" w:type="dxa"/>
            <w:vAlign w:val="bottom"/>
            <w:tcBorders>
              <w:bottom w:val="single" w:sz="8" w:color="0000FF"/>
            </w:tcBorders>
            <w:gridSpan w:val="10"/>
          </w:tcPr>
          <w:p>
            <w:pPr>
              <w:spacing w:after="0"/>
              <w:rPr>
                <w:sz w:val="20"/>
                <w:szCs w:val="20"/>
                <w:color w:val="auto"/>
              </w:rPr>
            </w:pPr>
            <w:r>
              <w:rPr>
                <w:rFonts w:ascii="Arial" w:cs="Arial" w:eastAsia="Arial" w:hAnsi="Arial"/>
                <w:sz w:val="13"/>
                <w:szCs w:val="13"/>
                <w:color w:val="0000FF"/>
                <w:w w:val="97"/>
              </w:rPr>
              <w:t>Certifications of Chief Executive Officer and Chief Financial Officer</w:t>
            </w:r>
          </w:p>
        </w:tc>
        <w:tc>
          <w:tcPr>
            <w:tcW w:w="540" w:type="dxa"/>
            <w:vAlign w:val="bottom"/>
            <w:gridSpan w:val="11"/>
          </w:tcPr>
          <w:p>
            <w:pPr>
              <w:spacing w:after="0"/>
              <w:rPr>
                <w:sz w:val="14"/>
                <w:szCs w:val="14"/>
                <w:color w:val="auto"/>
              </w:rPr>
            </w:pPr>
          </w:p>
        </w:tc>
      </w:tr>
      <w:tr>
        <w:trPr>
          <w:trHeight w:val="129"/>
        </w:trPr>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80" w:type="dxa"/>
            <w:vAlign w:val="bottom"/>
            <w:gridSpan w:val="21"/>
          </w:tcPr>
          <w:p>
            <w:pPr>
              <w:spacing w:after="0" w:line="129" w:lineRule="exact"/>
              <w:rPr>
                <w:sz w:val="20"/>
                <w:szCs w:val="20"/>
                <w:color w:val="auto"/>
              </w:rPr>
            </w:pPr>
            <w:r>
              <w:rPr>
                <w:rFonts w:ascii="Arial" w:cs="Arial" w:eastAsia="Arial" w:hAnsi="Arial"/>
                <w:sz w:val="13"/>
                <w:szCs w:val="13"/>
                <w:color w:val="0000FF"/>
                <w:w w:val="97"/>
              </w:rPr>
              <w:t>Pursuant to 18 U.S.C. Section 1350, as Adopted Pursuant to Section 906 of</w:t>
            </w:r>
          </w:p>
        </w:tc>
      </w:tr>
      <w:tr>
        <w:trPr>
          <w:trHeight w:val="139"/>
        </w:trPr>
        <w:tc>
          <w:tcPr>
            <w:tcW w:w="1080" w:type="dxa"/>
            <w:vAlign w:val="bottom"/>
          </w:tcPr>
          <w:p>
            <w:pPr>
              <w:jc w:val="center"/>
              <w:spacing w:after="0" w:line="139" w:lineRule="exact"/>
              <w:rPr>
                <w:sz w:val="20"/>
                <w:szCs w:val="20"/>
                <w:color w:val="auto"/>
              </w:rPr>
            </w:pPr>
            <w:r>
              <w:rPr>
                <w:rFonts w:ascii="Arial" w:cs="Arial" w:eastAsia="Arial" w:hAnsi="Arial"/>
                <w:sz w:val="13"/>
                <w:szCs w:val="13"/>
                <w:color w:val="131E29"/>
                <w:w w:val="92"/>
              </w:rPr>
              <w:t>32.1*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60" w:type="dxa"/>
            <w:vAlign w:val="bottom"/>
            <w:tcBorders>
              <w:top w:val="single" w:sz="8" w:color="0000FF"/>
            </w:tcBorders>
            <w:gridSpan w:val="20"/>
          </w:tcPr>
          <w:p>
            <w:pPr>
              <w:spacing w:after="0" w:line="139" w:lineRule="exact"/>
              <w:rPr>
                <w:sz w:val="20"/>
                <w:szCs w:val="20"/>
                <w:color w:val="auto"/>
              </w:rPr>
            </w:pPr>
            <w:r>
              <w:rPr>
                <w:rFonts w:ascii="Arial" w:cs="Arial" w:eastAsia="Arial" w:hAnsi="Arial"/>
                <w:sz w:val="13"/>
                <w:szCs w:val="13"/>
                <w:color w:val="0000FF"/>
              </w:rPr>
              <w:t>the Sarbanes-Oxley Act of 2002</w:t>
            </w:r>
            <w:r>
              <w:rPr>
                <w:rFonts w:ascii="Arial" w:cs="Arial" w:eastAsia="Arial" w:hAnsi="Arial"/>
                <w:sz w:val="13"/>
                <w:szCs w:val="13"/>
                <w:color w:val="131E29"/>
              </w:rPr>
              <w:t>.</w:t>
            </w:r>
          </w:p>
        </w:tc>
        <w:tc>
          <w:tcPr>
            <w:tcW w:w="20" w:type="dxa"/>
            <w:vAlign w:val="bottom"/>
          </w:tcPr>
          <w:p>
            <w:pPr>
              <w:spacing w:after="0"/>
              <w:rPr>
                <w:sz w:val="12"/>
                <w:szCs w:val="12"/>
                <w:color w:val="auto"/>
              </w:rPr>
            </w:pPr>
          </w:p>
        </w:tc>
      </w:tr>
      <w:tr>
        <w:trPr>
          <w:trHeight w:val="198"/>
        </w:trPr>
        <w:tc>
          <w:tcPr>
            <w:tcW w:w="1160" w:type="dxa"/>
            <w:vAlign w:val="bottom"/>
            <w:gridSpan w:val="2"/>
          </w:tcPr>
          <w:p>
            <w:pPr>
              <w:jc w:val="center"/>
              <w:ind w:right="60"/>
              <w:spacing w:after="0"/>
              <w:rPr>
                <w:sz w:val="20"/>
                <w:szCs w:val="20"/>
                <w:color w:val="auto"/>
              </w:rPr>
            </w:pPr>
            <w:r>
              <w:rPr>
                <w:rFonts w:ascii="Arial" w:cs="Arial" w:eastAsia="Arial" w:hAnsi="Arial"/>
                <w:sz w:val="13"/>
                <w:szCs w:val="13"/>
                <w:color w:val="131E29"/>
                <w:w w:val="97"/>
              </w:rPr>
              <w:t>101.INS</w:t>
            </w:r>
          </w:p>
        </w:tc>
        <w:tc>
          <w:tcPr>
            <w:tcW w:w="20" w:type="dxa"/>
            <w:vAlign w:val="bottom"/>
          </w:tcPr>
          <w:p>
            <w:pPr>
              <w:spacing w:after="0"/>
              <w:rPr>
                <w:sz w:val="17"/>
                <w:szCs w:val="17"/>
                <w:color w:val="auto"/>
              </w:rPr>
            </w:pPr>
          </w:p>
        </w:tc>
        <w:tc>
          <w:tcPr>
            <w:tcW w:w="1800" w:type="dxa"/>
            <w:vAlign w:val="bottom"/>
            <w:tcBorders>
              <w:top w:val="single" w:sz="8" w:color="0000FF"/>
            </w:tcBorders>
            <w:gridSpan w:val="5"/>
          </w:tcPr>
          <w:p>
            <w:pPr>
              <w:spacing w:after="0"/>
              <w:rPr>
                <w:sz w:val="20"/>
                <w:szCs w:val="20"/>
                <w:color w:val="auto"/>
              </w:rPr>
            </w:pPr>
            <w:r>
              <w:rPr>
                <w:rFonts w:ascii="Arial" w:cs="Arial" w:eastAsia="Arial" w:hAnsi="Arial"/>
                <w:sz w:val="13"/>
                <w:szCs w:val="13"/>
                <w:color w:val="131E29"/>
              </w:rPr>
              <w:t>XBRL Instance Document.</w:t>
            </w:r>
          </w:p>
        </w:tc>
        <w:tc>
          <w:tcPr>
            <w:tcW w:w="2480" w:type="dxa"/>
            <w:vAlign w:val="bottom"/>
            <w:gridSpan w:val="16"/>
          </w:tcPr>
          <w:p>
            <w:pPr>
              <w:spacing w:after="0"/>
              <w:rPr>
                <w:sz w:val="17"/>
                <w:szCs w:val="17"/>
                <w:color w:val="auto"/>
              </w:rPr>
            </w:pPr>
          </w:p>
        </w:tc>
      </w:tr>
      <w:tr>
        <w:trPr>
          <w:trHeight w:val="191"/>
        </w:trPr>
        <w:tc>
          <w:tcPr>
            <w:tcW w:w="1160" w:type="dxa"/>
            <w:vAlign w:val="bottom"/>
            <w:gridSpan w:val="2"/>
          </w:tcPr>
          <w:p>
            <w:pPr>
              <w:jc w:val="center"/>
              <w:ind w:right="80"/>
              <w:spacing w:after="0"/>
              <w:rPr>
                <w:sz w:val="20"/>
                <w:szCs w:val="20"/>
                <w:color w:val="auto"/>
              </w:rPr>
            </w:pPr>
            <w:r>
              <w:rPr>
                <w:rFonts w:ascii="Arial" w:cs="Arial" w:eastAsia="Arial" w:hAnsi="Arial"/>
                <w:sz w:val="13"/>
                <w:szCs w:val="13"/>
                <w:color w:val="131E29"/>
                <w:w w:val="98"/>
              </w:rPr>
              <w:t>101.SCH</w:t>
            </w:r>
          </w:p>
        </w:tc>
        <w:tc>
          <w:tcPr>
            <w:tcW w:w="20" w:type="dxa"/>
            <w:vAlign w:val="bottom"/>
          </w:tcPr>
          <w:p>
            <w:pPr>
              <w:spacing w:after="0"/>
              <w:rPr>
                <w:sz w:val="16"/>
                <w:szCs w:val="16"/>
                <w:color w:val="auto"/>
              </w:rPr>
            </w:pPr>
          </w:p>
        </w:tc>
        <w:tc>
          <w:tcPr>
            <w:tcW w:w="4280" w:type="dxa"/>
            <w:vAlign w:val="bottom"/>
            <w:gridSpan w:val="21"/>
          </w:tcPr>
          <w:p>
            <w:pPr>
              <w:spacing w:after="0"/>
              <w:rPr>
                <w:sz w:val="20"/>
                <w:szCs w:val="20"/>
                <w:color w:val="auto"/>
              </w:rPr>
            </w:pPr>
            <w:r>
              <w:rPr>
                <w:rFonts w:ascii="Arial" w:cs="Arial" w:eastAsia="Arial" w:hAnsi="Arial"/>
                <w:sz w:val="13"/>
                <w:szCs w:val="13"/>
                <w:color w:val="131E29"/>
              </w:rPr>
              <w:t>XBRL Taxonomy Extension Schema Document.</w:t>
            </w:r>
          </w:p>
        </w:tc>
      </w:tr>
      <w:tr>
        <w:trPr>
          <w:trHeight w:val="191"/>
        </w:trPr>
        <w:tc>
          <w:tcPr>
            <w:tcW w:w="1160" w:type="dxa"/>
            <w:vAlign w:val="bottom"/>
            <w:gridSpan w:val="2"/>
          </w:tcPr>
          <w:p>
            <w:pPr>
              <w:jc w:val="center"/>
              <w:ind w:right="80"/>
              <w:spacing w:after="0"/>
              <w:rPr>
                <w:sz w:val="20"/>
                <w:szCs w:val="20"/>
                <w:color w:val="auto"/>
              </w:rPr>
            </w:pPr>
            <w:r>
              <w:rPr>
                <w:rFonts w:ascii="Arial" w:cs="Arial" w:eastAsia="Arial" w:hAnsi="Arial"/>
                <w:sz w:val="13"/>
                <w:szCs w:val="13"/>
                <w:color w:val="131E29"/>
                <w:w w:val="94"/>
              </w:rPr>
              <w:t>101.CAL</w:t>
            </w:r>
          </w:p>
        </w:tc>
        <w:tc>
          <w:tcPr>
            <w:tcW w:w="20" w:type="dxa"/>
            <w:vAlign w:val="bottom"/>
          </w:tcPr>
          <w:p>
            <w:pPr>
              <w:spacing w:after="0"/>
              <w:rPr>
                <w:sz w:val="16"/>
                <w:szCs w:val="16"/>
                <w:color w:val="auto"/>
              </w:rPr>
            </w:pPr>
          </w:p>
        </w:tc>
        <w:tc>
          <w:tcPr>
            <w:tcW w:w="4280" w:type="dxa"/>
            <w:vAlign w:val="bottom"/>
            <w:gridSpan w:val="21"/>
          </w:tcPr>
          <w:p>
            <w:pPr>
              <w:spacing w:after="0"/>
              <w:rPr>
                <w:sz w:val="20"/>
                <w:szCs w:val="20"/>
                <w:color w:val="auto"/>
              </w:rPr>
            </w:pPr>
            <w:r>
              <w:rPr>
                <w:rFonts w:ascii="Arial" w:cs="Arial" w:eastAsia="Arial" w:hAnsi="Arial"/>
                <w:sz w:val="13"/>
                <w:szCs w:val="13"/>
                <w:color w:val="131E29"/>
              </w:rPr>
              <w:t>XBRL Taxonomy Extension Calculation Linkbase Document.</w:t>
            </w:r>
          </w:p>
        </w:tc>
      </w:tr>
      <w:tr>
        <w:trPr>
          <w:trHeight w:val="191"/>
        </w:trPr>
        <w:tc>
          <w:tcPr>
            <w:tcW w:w="1160" w:type="dxa"/>
            <w:vAlign w:val="bottom"/>
            <w:gridSpan w:val="2"/>
          </w:tcPr>
          <w:p>
            <w:pPr>
              <w:jc w:val="center"/>
              <w:ind w:right="80"/>
              <w:spacing w:after="0"/>
              <w:rPr>
                <w:sz w:val="20"/>
                <w:szCs w:val="20"/>
                <w:color w:val="auto"/>
              </w:rPr>
            </w:pPr>
            <w:r>
              <w:rPr>
                <w:rFonts w:ascii="Arial" w:cs="Arial" w:eastAsia="Arial" w:hAnsi="Arial"/>
                <w:sz w:val="13"/>
                <w:szCs w:val="13"/>
                <w:color w:val="131E29"/>
              </w:rPr>
              <w:t>101.DEF</w:t>
            </w:r>
          </w:p>
        </w:tc>
        <w:tc>
          <w:tcPr>
            <w:tcW w:w="20" w:type="dxa"/>
            <w:vAlign w:val="bottom"/>
          </w:tcPr>
          <w:p>
            <w:pPr>
              <w:spacing w:after="0"/>
              <w:rPr>
                <w:sz w:val="16"/>
                <w:szCs w:val="16"/>
                <w:color w:val="auto"/>
              </w:rPr>
            </w:pPr>
          </w:p>
        </w:tc>
        <w:tc>
          <w:tcPr>
            <w:tcW w:w="4280" w:type="dxa"/>
            <w:vAlign w:val="bottom"/>
            <w:gridSpan w:val="21"/>
          </w:tcPr>
          <w:p>
            <w:pPr>
              <w:spacing w:after="0"/>
              <w:rPr>
                <w:sz w:val="20"/>
                <w:szCs w:val="20"/>
                <w:color w:val="auto"/>
              </w:rPr>
            </w:pPr>
            <w:r>
              <w:rPr>
                <w:rFonts w:ascii="Arial" w:cs="Arial" w:eastAsia="Arial" w:hAnsi="Arial"/>
                <w:sz w:val="13"/>
                <w:szCs w:val="13"/>
                <w:color w:val="131E29"/>
              </w:rPr>
              <w:t>XBRL Taxonomy Extension Definition Linkbase Document.</w:t>
            </w:r>
          </w:p>
        </w:tc>
      </w:tr>
      <w:tr>
        <w:trPr>
          <w:trHeight w:val="191"/>
        </w:trPr>
        <w:tc>
          <w:tcPr>
            <w:tcW w:w="1160" w:type="dxa"/>
            <w:vAlign w:val="bottom"/>
            <w:gridSpan w:val="2"/>
          </w:tcPr>
          <w:p>
            <w:pPr>
              <w:jc w:val="center"/>
              <w:ind w:right="80"/>
              <w:spacing w:after="0"/>
              <w:rPr>
                <w:sz w:val="20"/>
                <w:szCs w:val="20"/>
                <w:color w:val="auto"/>
              </w:rPr>
            </w:pPr>
            <w:r>
              <w:rPr>
                <w:rFonts w:ascii="Arial" w:cs="Arial" w:eastAsia="Arial" w:hAnsi="Arial"/>
                <w:sz w:val="13"/>
                <w:szCs w:val="13"/>
                <w:color w:val="131E29"/>
                <w:w w:val="96"/>
              </w:rPr>
              <w:t>101.LAB</w:t>
            </w:r>
          </w:p>
        </w:tc>
        <w:tc>
          <w:tcPr>
            <w:tcW w:w="20" w:type="dxa"/>
            <w:vAlign w:val="bottom"/>
          </w:tcPr>
          <w:p>
            <w:pPr>
              <w:spacing w:after="0"/>
              <w:rPr>
                <w:sz w:val="16"/>
                <w:szCs w:val="16"/>
                <w:color w:val="auto"/>
              </w:rPr>
            </w:pPr>
          </w:p>
        </w:tc>
        <w:tc>
          <w:tcPr>
            <w:tcW w:w="4280" w:type="dxa"/>
            <w:vAlign w:val="bottom"/>
            <w:gridSpan w:val="21"/>
          </w:tcPr>
          <w:p>
            <w:pPr>
              <w:spacing w:after="0"/>
              <w:rPr>
                <w:sz w:val="20"/>
                <w:szCs w:val="20"/>
                <w:color w:val="auto"/>
              </w:rPr>
            </w:pPr>
            <w:r>
              <w:rPr>
                <w:rFonts w:ascii="Arial" w:cs="Arial" w:eastAsia="Arial" w:hAnsi="Arial"/>
                <w:sz w:val="13"/>
                <w:szCs w:val="13"/>
                <w:color w:val="131E29"/>
              </w:rPr>
              <w:t>XBRL Taxonomy Extension Label Linkbase Document.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3"/>
          </w:tcPr>
          <w:p>
            <w:pPr>
              <w:ind w:left="680"/>
              <w:spacing w:after="0"/>
              <w:rPr>
                <w:sz w:val="20"/>
                <w:szCs w:val="20"/>
                <w:color w:val="auto"/>
              </w:rPr>
            </w:pPr>
            <w:r>
              <w:rPr>
                <w:rFonts w:ascii="Arial" w:cs="Arial" w:eastAsia="Arial" w:hAnsi="Arial"/>
                <w:sz w:val="11"/>
                <w:szCs w:val="11"/>
                <w:b w:val="1"/>
                <w:bCs w:val="1"/>
                <w:color w:val="131E29"/>
              </w:rPr>
              <w:t>Incorporated by Reference</w:t>
            </w:r>
          </w:p>
        </w:tc>
        <w:tc>
          <w:tcPr>
            <w:tcW w:w="1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71"/>
        </w:trPr>
        <w:tc>
          <w:tcPr>
            <w:tcW w:w="1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131E29"/>
              </w:rPr>
              <w:t>Form</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131E29"/>
              </w:rPr>
              <w:t>File No.</w:t>
            </w:r>
          </w:p>
        </w:tc>
        <w:tc>
          <w:tcPr>
            <w:tcW w:w="900" w:type="dxa"/>
            <w:vAlign w:val="bottom"/>
            <w:tcBorders>
              <w:bottom w:val="single" w:sz="8" w:color="auto"/>
            </w:tcBorders>
          </w:tcPr>
          <w:p>
            <w:pPr>
              <w:ind w:left="300"/>
              <w:spacing w:after="0"/>
              <w:rPr>
                <w:sz w:val="20"/>
                <w:szCs w:val="20"/>
                <w:color w:val="auto"/>
              </w:rPr>
            </w:pPr>
            <w:r>
              <w:rPr>
                <w:rFonts w:ascii="Arial" w:cs="Arial" w:eastAsia="Arial" w:hAnsi="Arial"/>
                <w:sz w:val="11"/>
                <w:szCs w:val="11"/>
                <w:b w:val="1"/>
                <w:bCs w:val="1"/>
                <w:color w:val="131E29"/>
              </w:rPr>
              <w:t>Exhibit</w:t>
            </w:r>
          </w:p>
        </w:tc>
        <w:tc>
          <w:tcPr>
            <w:tcW w:w="100" w:type="dxa"/>
            <w:vAlign w:val="bottom"/>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131E29"/>
              </w:rPr>
              <w:t>Filing Date</w:t>
            </w:r>
          </w:p>
        </w:tc>
        <w:tc>
          <w:tcPr>
            <w:tcW w:w="80" w:type="dxa"/>
            <w:vAlign w:val="bottom"/>
          </w:tcPr>
          <w:p>
            <w:pPr>
              <w:spacing w:after="0"/>
              <w:rPr>
                <w:sz w:val="14"/>
                <w:szCs w:val="14"/>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131E29"/>
              </w:rPr>
              <w:t>Filed Herewith</w:t>
            </w:r>
          </w:p>
        </w:tc>
      </w:tr>
      <w:tr>
        <w:trPr>
          <w:trHeight w:val="335"/>
        </w:trPr>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131E29"/>
                <w:w w:val="98"/>
              </w:rPr>
              <w:t>8-K</w:t>
            </w:r>
          </w:p>
        </w:tc>
        <w:tc>
          <w:tcPr>
            <w:tcW w:w="1220" w:type="dxa"/>
            <w:vAlign w:val="bottom"/>
          </w:tcPr>
          <w:p>
            <w:pPr>
              <w:jc w:val="center"/>
              <w:spacing w:after="0"/>
              <w:rPr>
                <w:sz w:val="20"/>
                <w:szCs w:val="20"/>
                <w:color w:val="auto"/>
              </w:rPr>
            </w:pPr>
            <w:r>
              <w:rPr>
                <w:rFonts w:ascii="Arial" w:cs="Arial" w:eastAsia="Arial" w:hAnsi="Arial"/>
                <w:sz w:val="13"/>
                <w:szCs w:val="13"/>
                <w:color w:val="131E29"/>
                <w:w w:val="96"/>
              </w:rPr>
              <w:t>001-40798</w:t>
            </w:r>
          </w:p>
        </w:tc>
        <w:tc>
          <w:tcPr>
            <w:tcW w:w="900" w:type="dxa"/>
            <w:vAlign w:val="bottom"/>
          </w:tcPr>
          <w:p>
            <w:pPr>
              <w:jc w:val="center"/>
              <w:spacing w:after="0"/>
              <w:rPr>
                <w:sz w:val="20"/>
                <w:szCs w:val="20"/>
                <w:color w:val="auto"/>
              </w:rPr>
            </w:pPr>
            <w:r>
              <w:rPr>
                <w:rFonts w:ascii="Arial" w:cs="Arial" w:eastAsia="Arial" w:hAnsi="Arial"/>
                <w:sz w:val="13"/>
                <w:szCs w:val="13"/>
                <w:color w:val="131E29"/>
                <w:w w:val="94"/>
              </w:rPr>
              <w:t>10.1</w:t>
            </w:r>
          </w:p>
        </w:tc>
        <w:tc>
          <w:tcPr>
            <w:tcW w:w="100" w:type="dxa"/>
            <w:vAlign w:val="bottom"/>
          </w:tcPr>
          <w:p>
            <w:pPr>
              <w:spacing w:after="0"/>
              <w:rPr>
                <w:sz w:val="24"/>
                <w:szCs w:val="24"/>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3"/>
                <w:szCs w:val="13"/>
                <w:color w:val="131E29"/>
                <w:w w:val="98"/>
              </w:rPr>
              <w:t>December 15, 2021</w:t>
            </w:r>
          </w:p>
        </w:tc>
        <w:tc>
          <w:tcPr>
            <w:tcW w:w="960" w:type="dxa"/>
            <w:vAlign w:val="bottom"/>
          </w:tcPr>
          <w:p>
            <w:pPr>
              <w:spacing w:after="0"/>
              <w:rPr>
                <w:sz w:val="24"/>
                <w:szCs w:val="24"/>
                <w:color w:val="auto"/>
              </w:rPr>
            </w:pPr>
          </w:p>
        </w:tc>
      </w:tr>
      <w:tr>
        <w:trPr>
          <w:trHeight w:val="350"/>
        </w:trPr>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131E29"/>
                <w:w w:val="94"/>
              </w:rPr>
              <w:t>10-K</w:t>
            </w:r>
          </w:p>
        </w:tc>
        <w:tc>
          <w:tcPr>
            <w:tcW w:w="1220" w:type="dxa"/>
            <w:vAlign w:val="bottom"/>
          </w:tcPr>
          <w:p>
            <w:pPr>
              <w:jc w:val="center"/>
              <w:spacing w:after="0"/>
              <w:rPr>
                <w:sz w:val="20"/>
                <w:szCs w:val="20"/>
                <w:color w:val="auto"/>
              </w:rPr>
            </w:pPr>
            <w:r>
              <w:rPr>
                <w:rFonts w:ascii="Arial" w:cs="Arial" w:eastAsia="Arial" w:hAnsi="Arial"/>
                <w:sz w:val="13"/>
                <w:szCs w:val="13"/>
                <w:color w:val="131E29"/>
                <w:w w:val="96"/>
              </w:rPr>
              <w:t>001-40798</w:t>
            </w:r>
          </w:p>
        </w:tc>
        <w:tc>
          <w:tcPr>
            <w:tcW w:w="900" w:type="dxa"/>
            <w:vAlign w:val="bottom"/>
          </w:tcPr>
          <w:p>
            <w:pPr>
              <w:jc w:val="center"/>
              <w:spacing w:after="0"/>
              <w:rPr>
                <w:sz w:val="20"/>
                <w:szCs w:val="20"/>
                <w:color w:val="auto"/>
              </w:rPr>
            </w:pPr>
            <w:r>
              <w:rPr>
                <w:rFonts w:ascii="Arial" w:cs="Arial" w:eastAsia="Arial" w:hAnsi="Arial"/>
                <w:sz w:val="13"/>
                <w:szCs w:val="13"/>
                <w:color w:val="131E29"/>
                <w:w w:val="98"/>
              </w:rPr>
              <w:t>10.15</w:t>
            </w:r>
          </w:p>
        </w:tc>
        <w:tc>
          <w:tcPr>
            <w:tcW w:w="100" w:type="dxa"/>
            <w:vAlign w:val="bottom"/>
          </w:tcPr>
          <w:p>
            <w:pPr>
              <w:spacing w:after="0"/>
              <w:rPr>
                <w:sz w:val="24"/>
                <w:szCs w:val="24"/>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3"/>
                <w:szCs w:val="13"/>
                <w:color w:val="131E29"/>
                <w:w w:val="97"/>
              </w:rPr>
              <w:t>March 11, 2022</w:t>
            </w:r>
          </w:p>
        </w:tc>
        <w:tc>
          <w:tcPr>
            <w:tcW w:w="960" w:type="dxa"/>
            <w:vAlign w:val="bottom"/>
          </w:tcPr>
          <w:p>
            <w:pPr>
              <w:spacing w:after="0"/>
              <w:rPr>
                <w:sz w:val="24"/>
                <w:szCs w:val="24"/>
                <w:color w:val="auto"/>
              </w:rPr>
            </w:pPr>
          </w:p>
        </w:tc>
      </w:tr>
      <w:tr>
        <w:trPr>
          <w:trHeight w:val="499"/>
        </w:trPr>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131E29"/>
                <w:w w:val="94"/>
              </w:rPr>
              <w:t>10-K</w:t>
            </w:r>
          </w:p>
        </w:tc>
        <w:tc>
          <w:tcPr>
            <w:tcW w:w="1220" w:type="dxa"/>
            <w:vAlign w:val="bottom"/>
          </w:tcPr>
          <w:p>
            <w:pPr>
              <w:jc w:val="center"/>
              <w:spacing w:after="0"/>
              <w:rPr>
                <w:sz w:val="20"/>
                <w:szCs w:val="20"/>
                <w:color w:val="auto"/>
              </w:rPr>
            </w:pPr>
            <w:r>
              <w:rPr>
                <w:rFonts w:ascii="Arial" w:cs="Arial" w:eastAsia="Arial" w:hAnsi="Arial"/>
                <w:sz w:val="13"/>
                <w:szCs w:val="13"/>
                <w:color w:val="131E29"/>
                <w:w w:val="96"/>
              </w:rPr>
              <w:t>001-40798</w:t>
            </w:r>
          </w:p>
        </w:tc>
        <w:tc>
          <w:tcPr>
            <w:tcW w:w="900" w:type="dxa"/>
            <w:vAlign w:val="bottom"/>
          </w:tcPr>
          <w:p>
            <w:pPr>
              <w:jc w:val="center"/>
              <w:spacing w:after="0"/>
              <w:rPr>
                <w:sz w:val="20"/>
                <w:szCs w:val="20"/>
                <w:color w:val="auto"/>
              </w:rPr>
            </w:pPr>
            <w:r>
              <w:rPr>
                <w:rFonts w:ascii="Arial" w:cs="Arial" w:eastAsia="Arial" w:hAnsi="Arial"/>
                <w:sz w:val="13"/>
                <w:szCs w:val="13"/>
                <w:color w:val="131E29"/>
                <w:w w:val="98"/>
              </w:rPr>
              <w:t>10.16</w:t>
            </w:r>
          </w:p>
        </w:tc>
        <w:tc>
          <w:tcPr>
            <w:tcW w:w="100" w:type="dxa"/>
            <w:vAlign w:val="bottom"/>
          </w:tcPr>
          <w:p>
            <w:pPr>
              <w:spacing w:after="0"/>
              <w:rPr>
                <w:sz w:val="24"/>
                <w:szCs w:val="24"/>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3"/>
                <w:szCs w:val="13"/>
                <w:color w:val="131E29"/>
                <w:w w:val="97"/>
              </w:rPr>
              <w:t>March 11, 2022</w:t>
            </w:r>
          </w:p>
        </w:tc>
        <w:tc>
          <w:tcPr>
            <w:tcW w:w="960" w:type="dxa"/>
            <w:vAlign w:val="bottom"/>
          </w:tcPr>
          <w:p>
            <w:pPr>
              <w:spacing w:after="0"/>
              <w:rPr>
                <w:sz w:val="24"/>
                <w:szCs w:val="24"/>
                <w:color w:val="auto"/>
              </w:rPr>
            </w:pPr>
          </w:p>
        </w:tc>
      </w:tr>
      <w:tr>
        <w:trPr>
          <w:trHeight w:val="350"/>
        </w:trPr>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131E29"/>
                <w:w w:val="98"/>
              </w:rPr>
              <w:t>8-K</w:t>
            </w:r>
          </w:p>
        </w:tc>
        <w:tc>
          <w:tcPr>
            <w:tcW w:w="1220" w:type="dxa"/>
            <w:vAlign w:val="bottom"/>
          </w:tcPr>
          <w:p>
            <w:pPr>
              <w:jc w:val="center"/>
              <w:spacing w:after="0"/>
              <w:rPr>
                <w:sz w:val="20"/>
                <w:szCs w:val="20"/>
                <w:color w:val="auto"/>
              </w:rPr>
            </w:pPr>
            <w:r>
              <w:rPr>
                <w:rFonts w:ascii="Arial" w:cs="Arial" w:eastAsia="Arial" w:hAnsi="Arial"/>
                <w:sz w:val="13"/>
                <w:szCs w:val="13"/>
                <w:color w:val="131E29"/>
                <w:w w:val="96"/>
              </w:rPr>
              <w:t>001-40798</w:t>
            </w:r>
          </w:p>
        </w:tc>
        <w:tc>
          <w:tcPr>
            <w:tcW w:w="900" w:type="dxa"/>
            <w:vAlign w:val="bottom"/>
          </w:tcPr>
          <w:p>
            <w:pPr>
              <w:jc w:val="center"/>
              <w:spacing w:after="0"/>
              <w:rPr>
                <w:sz w:val="20"/>
                <w:szCs w:val="20"/>
                <w:color w:val="auto"/>
              </w:rPr>
            </w:pPr>
            <w:r>
              <w:rPr>
                <w:rFonts w:ascii="Arial" w:cs="Arial" w:eastAsia="Arial" w:hAnsi="Arial"/>
                <w:sz w:val="13"/>
                <w:szCs w:val="13"/>
                <w:color w:val="131E29"/>
                <w:w w:val="94"/>
              </w:rPr>
              <w:t>10.1</w:t>
            </w:r>
          </w:p>
        </w:tc>
        <w:tc>
          <w:tcPr>
            <w:tcW w:w="100" w:type="dxa"/>
            <w:vAlign w:val="bottom"/>
          </w:tcPr>
          <w:p>
            <w:pPr>
              <w:spacing w:after="0"/>
              <w:rPr>
                <w:sz w:val="24"/>
                <w:szCs w:val="24"/>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3"/>
                <w:szCs w:val="13"/>
                <w:color w:val="131E29"/>
                <w:w w:val="97"/>
              </w:rPr>
              <w:t>August 22, 2022</w:t>
            </w:r>
          </w:p>
        </w:tc>
        <w:tc>
          <w:tcPr>
            <w:tcW w:w="960" w:type="dxa"/>
            <w:vAlign w:val="bottom"/>
          </w:tcPr>
          <w:p>
            <w:pPr>
              <w:spacing w:after="0"/>
              <w:rPr>
                <w:sz w:val="24"/>
                <w:szCs w:val="24"/>
                <w:color w:val="auto"/>
              </w:rPr>
            </w:pPr>
          </w:p>
        </w:tc>
      </w:tr>
      <w:tr>
        <w:trPr>
          <w:trHeight w:val="350"/>
        </w:trPr>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131E29"/>
                <w:w w:val="98"/>
              </w:rPr>
              <w:t>8-K</w:t>
            </w:r>
          </w:p>
        </w:tc>
        <w:tc>
          <w:tcPr>
            <w:tcW w:w="1220" w:type="dxa"/>
            <w:vAlign w:val="bottom"/>
          </w:tcPr>
          <w:p>
            <w:pPr>
              <w:jc w:val="center"/>
              <w:spacing w:after="0"/>
              <w:rPr>
                <w:sz w:val="20"/>
                <w:szCs w:val="20"/>
                <w:color w:val="auto"/>
              </w:rPr>
            </w:pPr>
            <w:r>
              <w:rPr>
                <w:rFonts w:ascii="Arial" w:cs="Arial" w:eastAsia="Arial" w:hAnsi="Arial"/>
                <w:sz w:val="13"/>
                <w:szCs w:val="13"/>
                <w:color w:val="131E29"/>
                <w:w w:val="96"/>
              </w:rPr>
              <w:t>001-40798</w:t>
            </w:r>
          </w:p>
        </w:tc>
        <w:tc>
          <w:tcPr>
            <w:tcW w:w="900" w:type="dxa"/>
            <w:vAlign w:val="bottom"/>
          </w:tcPr>
          <w:p>
            <w:pPr>
              <w:jc w:val="center"/>
              <w:spacing w:after="0"/>
              <w:rPr>
                <w:sz w:val="20"/>
                <w:szCs w:val="20"/>
                <w:color w:val="auto"/>
              </w:rPr>
            </w:pPr>
            <w:r>
              <w:rPr>
                <w:rFonts w:ascii="Arial" w:cs="Arial" w:eastAsia="Arial" w:hAnsi="Arial"/>
                <w:sz w:val="13"/>
                <w:szCs w:val="13"/>
                <w:color w:val="131E29"/>
                <w:w w:val="94"/>
              </w:rPr>
              <w:t>10.1</w:t>
            </w:r>
          </w:p>
        </w:tc>
        <w:tc>
          <w:tcPr>
            <w:tcW w:w="100" w:type="dxa"/>
            <w:vAlign w:val="bottom"/>
          </w:tcPr>
          <w:p>
            <w:pPr>
              <w:spacing w:after="0"/>
              <w:rPr>
                <w:sz w:val="24"/>
                <w:szCs w:val="24"/>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3"/>
                <w:szCs w:val="13"/>
                <w:color w:val="131E29"/>
                <w:w w:val="98"/>
              </w:rPr>
              <w:t>November 28, 2022</w:t>
            </w:r>
          </w:p>
        </w:tc>
        <w:tc>
          <w:tcPr>
            <w:tcW w:w="960" w:type="dxa"/>
            <w:vAlign w:val="bottom"/>
          </w:tcPr>
          <w:p>
            <w:pPr>
              <w:spacing w:after="0"/>
              <w:rPr>
                <w:sz w:val="24"/>
                <w:szCs w:val="24"/>
                <w:color w:val="auto"/>
              </w:rPr>
            </w:pPr>
          </w:p>
        </w:tc>
      </w:tr>
      <w:tr>
        <w:trPr>
          <w:trHeight w:val="350"/>
        </w:trPr>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131E29"/>
                <w:w w:val="98"/>
              </w:rPr>
              <w:t>8-K</w:t>
            </w:r>
          </w:p>
        </w:tc>
        <w:tc>
          <w:tcPr>
            <w:tcW w:w="1220" w:type="dxa"/>
            <w:vAlign w:val="bottom"/>
          </w:tcPr>
          <w:p>
            <w:pPr>
              <w:jc w:val="center"/>
              <w:spacing w:after="0"/>
              <w:rPr>
                <w:sz w:val="20"/>
                <w:szCs w:val="20"/>
                <w:color w:val="auto"/>
              </w:rPr>
            </w:pPr>
            <w:r>
              <w:rPr>
                <w:rFonts w:ascii="Arial" w:cs="Arial" w:eastAsia="Arial" w:hAnsi="Arial"/>
                <w:sz w:val="13"/>
                <w:szCs w:val="13"/>
                <w:color w:val="131E29"/>
                <w:w w:val="96"/>
              </w:rPr>
              <w:t>001-40798</w:t>
            </w:r>
          </w:p>
        </w:tc>
        <w:tc>
          <w:tcPr>
            <w:tcW w:w="900" w:type="dxa"/>
            <w:vAlign w:val="bottom"/>
          </w:tcPr>
          <w:p>
            <w:pPr>
              <w:jc w:val="center"/>
              <w:spacing w:after="0"/>
              <w:rPr>
                <w:sz w:val="20"/>
                <w:szCs w:val="20"/>
                <w:color w:val="auto"/>
              </w:rPr>
            </w:pPr>
            <w:r>
              <w:rPr>
                <w:rFonts w:ascii="Arial" w:cs="Arial" w:eastAsia="Arial" w:hAnsi="Arial"/>
                <w:sz w:val="13"/>
                <w:szCs w:val="13"/>
                <w:color w:val="131E29"/>
                <w:w w:val="94"/>
              </w:rPr>
              <w:t>10.2</w:t>
            </w:r>
          </w:p>
        </w:tc>
        <w:tc>
          <w:tcPr>
            <w:tcW w:w="100" w:type="dxa"/>
            <w:vAlign w:val="bottom"/>
          </w:tcPr>
          <w:p>
            <w:pPr>
              <w:spacing w:after="0"/>
              <w:rPr>
                <w:sz w:val="24"/>
                <w:szCs w:val="24"/>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3"/>
                <w:szCs w:val="13"/>
                <w:color w:val="131E29"/>
                <w:w w:val="98"/>
              </w:rPr>
              <w:t>November 28, 2022</w:t>
            </w:r>
          </w:p>
        </w:tc>
        <w:tc>
          <w:tcPr>
            <w:tcW w:w="9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-3463290</wp:posOffset>
            </wp:positionH>
            <wp:positionV relativeFrom="paragraph">
              <wp:posOffset>-1424940</wp:posOffset>
            </wp:positionV>
            <wp:extent cx="7161530" cy="2292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3">
                      <a:extLst>
                        <a:ext uri="{28A0092B-C50C-407E-A947-70E740481C1C}"/>
                      </a:extLst>
                    </a:blip>
                    <a:srcRect/>
                    <a:stretch>
                      <a:fillRect/>
                    </a:stretch>
                  </pic:blipFill>
                  <pic:spPr bwMode="auto">
                    <a:xfrm>
                      <a:off x="0" y="0"/>
                      <a:ext cx="7161530" cy="229235"/>
                    </a:xfrm>
                    <a:prstGeom prst="rect">
                      <a:avLst/>
                    </a:prstGeom>
                    <a:noFill/>
                  </pic:spPr>
                </pic:pic>
              </a:graphicData>
            </a:graphic>
          </wp:anchor>
        </w:drawing>
        <w:drawing>
          <wp:anchor simplePos="0" relativeHeight="251657728" behindDoc="1" locked="0" layoutInCell="0" allowOverlap="1">
            <wp:simplePos x="0" y="0"/>
            <wp:positionH relativeFrom="column">
              <wp:posOffset>-3463290</wp:posOffset>
            </wp:positionH>
            <wp:positionV relativeFrom="paragraph">
              <wp:posOffset>-973455</wp:posOffset>
            </wp:positionV>
            <wp:extent cx="7161530" cy="31686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4">
                      <a:extLst>
                        <a:ext uri="{28A0092B-C50C-407E-A947-70E740481C1C}"/>
                      </a:extLst>
                    </a:blip>
                    <a:srcRect/>
                    <a:stretch>
                      <a:fillRect/>
                    </a:stretch>
                  </pic:blipFill>
                  <pic:spPr bwMode="auto">
                    <a:xfrm>
                      <a:off x="0" y="0"/>
                      <a:ext cx="7161530" cy="316865"/>
                    </a:xfrm>
                    <a:prstGeom prst="rect">
                      <a:avLst/>
                    </a:prstGeom>
                    <a:noFill/>
                  </pic:spPr>
                </pic:pic>
              </a:graphicData>
            </a:graphic>
          </wp:anchor>
        </w:drawing>
        <w:drawing>
          <wp:anchor simplePos="0" relativeHeight="251657728" behindDoc="1" locked="0" layoutInCell="0" allowOverlap="1">
            <wp:simplePos x="0" y="0"/>
            <wp:positionH relativeFrom="column">
              <wp:posOffset>-3463290</wp:posOffset>
            </wp:positionH>
            <wp:positionV relativeFrom="paragraph">
              <wp:posOffset>-434340</wp:posOffset>
            </wp:positionV>
            <wp:extent cx="7161530" cy="2222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5">
                      <a:extLst>
                        <a:ext uri="{28A0092B-C50C-407E-A947-70E740481C1C}"/>
                      </a:extLst>
                    </a:blip>
                    <a:srcRect/>
                    <a:stretch>
                      <a:fillRect/>
                    </a:stretch>
                  </pic:blipFill>
                  <pic:spPr bwMode="auto">
                    <a:xfrm>
                      <a:off x="0" y="0"/>
                      <a:ext cx="7161530" cy="222250"/>
                    </a:xfrm>
                    <a:prstGeom prst="rect">
                      <a:avLst/>
                    </a:prstGeom>
                    <a:noFill/>
                  </pic:spPr>
                </pic:pic>
              </a:graphicData>
            </a:graphic>
          </wp:anchor>
        </w:drawing>
        <w:drawing>
          <wp:anchor simplePos="0" relativeHeight="251657728" behindDoc="1" locked="0" layoutInCell="0" allowOverlap="1">
            <wp:simplePos x="0" y="0"/>
            <wp:positionH relativeFrom="column">
              <wp:posOffset>-3463290</wp:posOffset>
            </wp:positionH>
            <wp:positionV relativeFrom="paragraph">
              <wp:posOffset>9525</wp:posOffset>
            </wp:positionV>
            <wp:extent cx="7161530" cy="22225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6">
                      <a:extLst>
                        <a:ext uri="{28A0092B-C50C-407E-A947-70E740481C1C}"/>
                      </a:extLst>
                    </a:blip>
                    <a:srcRect/>
                    <a:stretch>
                      <a:fillRect/>
                    </a:stretch>
                  </pic:blipFill>
                  <pic:spPr bwMode="auto">
                    <a:xfrm>
                      <a:off x="0" y="0"/>
                      <a:ext cx="7161530" cy="222250"/>
                    </a:xfrm>
                    <a:prstGeom prst="rect">
                      <a:avLst/>
                    </a:prstGeom>
                    <a:noFill/>
                  </pic:spPr>
                </pic:pic>
              </a:graphicData>
            </a:graphic>
          </wp:anchor>
        </w:drawing>
      </w:r>
    </w:p>
    <w:p>
      <w:pPr>
        <w:spacing w:after="0" w:line="177" w:lineRule="exact"/>
        <w:rPr>
          <w:sz w:val="20"/>
          <w:szCs w:val="20"/>
          <w:color w:val="auto"/>
        </w:rPr>
      </w:pPr>
    </w:p>
    <w:p>
      <w:pPr>
        <w:ind w:left="5300"/>
        <w:spacing w:after="0"/>
        <w:rPr>
          <w:sz w:val="20"/>
          <w:szCs w:val="20"/>
          <w:color w:val="auto"/>
        </w:rPr>
      </w:pPr>
      <w:r>
        <w:rPr>
          <w:rFonts w:ascii="Arial" w:cs="Arial" w:eastAsia="Arial" w:hAnsi="Arial"/>
          <w:sz w:val="13"/>
          <w:szCs w:val="13"/>
          <w:color w:val="131E29"/>
        </w:rPr>
        <w:t>X</w:t>
      </w:r>
    </w:p>
    <w:p>
      <w:pPr>
        <w:spacing w:after="0" w:line="41" w:lineRule="exact"/>
        <w:rPr>
          <w:sz w:val="20"/>
          <w:szCs w:val="20"/>
          <w:color w:val="auto"/>
        </w:rPr>
      </w:pPr>
    </w:p>
    <w:p>
      <w:pPr>
        <w:ind w:left="5300"/>
        <w:spacing w:after="0"/>
        <w:rPr>
          <w:sz w:val="20"/>
          <w:szCs w:val="20"/>
          <w:color w:val="auto"/>
        </w:rPr>
      </w:pPr>
      <w:r>
        <w:rPr>
          <w:rFonts w:ascii="Arial" w:cs="Arial" w:eastAsia="Arial" w:hAnsi="Arial"/>
          <w:sz w:val="13"/>
          <w:szCs w:val="13"/>
          <w:color w:val="131E29"/>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-3463290</wp:posOffset>
            </wp:positionH>
            <wp:positionV relativeFrom="paragraph">
              <wp:posOffset>12065</wp:posOffset>
            </wp:positionV>
            <wp:extent cx="7161530" cy="12128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7">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1" w:lineRule="exact"/>
        <w:rPr>
          <w:sz w:val="20"/>
          <w:szCs w:val="20"/>
          <w:color w:val="auto"/>
        </w:rPr>
      </w:pPr>
    </w:p>
    <w:p>
      <w:pPr>
        <w:ind w:left="5300"/>
        <w:spacing w:after="0"/>
        <w:rPr>
          <w:sz w:val="20"/>
          <w:szCs w:val="20"/>
          <w:color w:val="auto"/>
        </w:rPr>
      </w:pPr>
      <w:r>
        <w:rPr>
          <w:rFonts w:ascii="Arial" w:cs="Arial" w:eastAsia="Arial" w:hAnsi="Arial"/>
          <w:sz w:val="13"/>
          <w:szCs w:val="13"/>
          <w:color w:val="131E29"/>
        </w:rPr>
        <w:t>X</w:t>
      </w:r>
    </w:p>
    <w:p>
      <w:pPr>
        <w:spacing w:after="0" w:line="41" w:lineRule="exact"/>
        <w:rPr>
          <w:sz w:val="20"/>
          <w:szCs w:val="20"/>
          <w:color w:val="auto"/>
        </w:rPr>
      </w:pPr>
    </w:p>
    <w:p>
      <w:pPr>
        <w:ind w:left="5300"/>
        <w:spacing w:after="0"/>
        <w:rPr>
          <w:sz w:val="20"/>
          <w:szCs w:val="20"/>
          <w:color w:val="auto"/>
        </w:rPr>
      </w:pPr>
      <w:r>
        <w:rPr>
          <w:rFonts w:ascii="Arial" w:cs="Arial" w:eastAsia="Arial" w:hAnsi="Arial"/>
          <w:sz w:val="13"/>
          <w:szCs w:val="13"/>
          <w:color w:val="131E29"/>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-3463290</wp:posOffset>
            </wp:positionH>
            <wp:positionV relativeFrom="paragraph">
              <wp:posOffset>12065</wp:posOffset>
            </wp:positionV>
            <wp:extent cx="7161530" cy="31686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8">
                      <a:extLst>
                        <a:ext uri="{28A0092B-C50C-407E-A947-70E740481C1C}"/>
                      </a:extLst>
                    </a:blip>
                    <a:srcRect/>
                    <a:stretch>
                      <a:fillRect/>
                    </a:stretch>
                  </pic:blipFill>
                  <pic:spPr bwMode="auto">
                    <a:xfrm>
                      <a:off x="0" y="0"/>
                      <a:ext cx="7161530" cy="316865"/>
                    </a:xfrm>
                    <a:prstGeom prst="rect">
                      <a:avLst/>
                    </a:prstGeom>
                    <a:noFill/>
                  </pic:spPr>
                </pic:pic>
              </a:graphicData>
            </a:graphic>
          </wp:anchor>
        </w:drawing>
      </w:r>
    </w:p>
    <w:p>
      <w:pPr>
        <w:spacing w:after="0" w:line="329" w:lineRule="exact"/>
        <w:rPr>
          <w:sz w:val="20"/>
          <w:szCs w:val="20"/>
          <w:color w:val="auto"/>
        </w:rPr>
      </w:pPr>
    </w:p>
    <w:p>
      <w:pPr>
        <w:ind w:left="5300"/>
        <w:spacing w:after="0"/>
        <w:rPr>
          <w:sz w:val="20"/>
          <w:szCs w:val="20"/>
          <w:color w:val="auto"/>
        </w:rPr>
      </w:pPr>
      <w:r>
        <w:rPr>
          <w:rFonts w:ascii="Arial" w:cs="Arial" w:eastAsia="Arial" w:hAnsi="Arial"/>
          <w:sz w:val="13"/>
          <w:szCs w:val="13"/>
          <w:color w:val="131E29"/>
        </w:rPr>
        <w:t>X</w:t>
      </w:r>
    </w:p>
    <w:p>
      <w:pPr>
        <w:spacing w:after="0" w:line="349" w:lineRule="exact"/>
        <w:rPr>
          <w:sz w:val="20"/>
          <w:szCs w:val="20"/>
          <w:color w:val="auto"/>
        </w:rPr>
      </w:pPr>
    </w:p>
    <w:p>
      <w:pPr>
        <w:ind w:left="5300"/>
        <w:spacing w:after="0"/>
        <w:rPr>
          <w:sz w:val="20"/>
          <w:szCs w:val="20"/>
          <w:color w:val="auto"/>
        </w:rPr>
      </w:pPr>
      <w:r>
        <w:rPr>
          <w:rFonts w:ascii="Arial" w:cs="Arial" w:eastAsia="Arial" w:hAnsi="Arial"/>
          <w:sz w:val="13"/>
          <w:szCs w:val="13"/>
          <w:color w:val="131E29"/>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-3463290</wp:posOffset>
            </wp:positionH>
            <wp:positionV relativeFrom="paragraph">
              <wp:posOffset>12065</wp:posOffset>
            </wp:positionV>
            <wp:extent cx="7161530" cy="31686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9">
                      <a:extLst>
                        <a:ext uri="{28A0092B-C50C-407E-A947-70E740481C1C}"/>
                      </a:extLst>
                    </a:blip>
                    <a:srcRect/>
                    <a:stretch>
                      <a:fillRect/>
                    </a:stretch>
                  </pic:blipFill>
                  <pic:spPr bwMode="auto">
                    <a:xfrm>
                      <a:off x="0" y="0"/>
                      <a:ext cx="7161530" cy="316865"/>
                    </a:xfrm>
                    <a:prstGeom prst="rect">
                      <a:avLst/>
                    </a:prstGeom>
                    <a:noFill/>
                  </pic:spPr>
                </pic:pic>
              </a:graphicData>
            </a:graphic>
          </wp:anchor>
        </w:drawing>
      </w:r>
    </w:p>
    <w:p>
      <w:pPr>
        <w:spacing w:after="0" w:line="329" w:lineRule="exact"/>
        <w:rPr>
          <w:sz w:val="20"/>
          <w:szCs w:val="20"/>
          <w:color w:val="auto"/>
        </w:rPr>
      </w:pPr>
    </w:p>
    <w:p>
      <w:pPr>
        <w:ind w:left="5300"/>
        <w:spacing w:after="0"/>
        <w:rPr>
          <w:sz w:val="20"/>
          <w:szCs w:val="20"/>
          <w:color w:val="auto"/>
        </w:rPr>
      </w:pPr>
      <w:r>
        <w:rPr>
          <w:rFonts w:ascii="Arial" w:cs="Arial" w:eastAsia="Arial" w:hAnsi="Arial"/>
          <w:sz w:val="13"/>
          <w:szCs w:val="13"/>
          <w:color w:val="131E29"/>
        </w:rPr>
        <w:t>X</w:t>
      </w:r>
    </w:p>
    <w:p>
      <w:pPr>
        <w:spacing w:after="0" w:line="41" w:lineRule="exact"/>
        <w:rPr>
          <w:sz w:val="20"/>
          <w:szCs w:val="20"/>
          <w:color w:val="auto"/>
        </w:rPr>
      </w:pPr>
    </w:p>
    <w:p>
      <w:pPr>
        <w:ind w:left="5300"/>
        <w:spacing w:after="0"/>
        <w:rPr>
          <w:sz w:val="20"/>
          <w:szCs w:val="20"/>
          <w:color w:val="auto"/>
        </w:rPr>
      </w:pPr>
      <w:r>
        <w:rPr>
          <w:rFonts w:ascii="Arial" w:cs="Arial" w:eastAsia="Arial" w:hAnsi="Arial"/>
          <w:sz w:val="13"/>
          <w:szCs w:val="13"/>
          <w:color w:val="131E29"/>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-3463290</wp:posOffset>
            </wp:positionH>
            <wp:positionV relativeFrom="paragraph">
              <wp:posOffset>12065</wp:posOffset>
            </wp:positionV>
            <wp:extent cx="7161530" cy="1212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0">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1" w:lineRule="exact"/>
        <w:rPr>
          <w:sz w:val="20"/>
          <w:szCs w:val="20"/>
          <w:color w:val="auto"/>
        </w:rPr>
      </w:pPr>
    </w:p>
    <w:p>
      <w:pPr>
        <w:ind w:left="5300"/>
        <w:spacing w:after="0"/>
        <w:rPr>
          <w:sz w:val="20"/>
          <w:szCs w:val="20"/>
          <w:color w:val="auto"/>
        </w:rPr>
      </w:pPr>
      <w:r>
        <w:rPr>
          <w:rFonts w:ascii="Arial" w:cs="Arial" w:eastAsia="Arial" w:hAnsi="Arial"/>
          <w:sz w:val="13"/>
          <w:szCs w:val="13"/>
          <w:color w:val="131E29"/>
        </w:rPr>
        <w:t>X</w:t>
      </w:r>
    </w:p>
    <w:p>
      <w:pPr>
        <w:spacing w:after="0" w:line="41" w:lineRule="exact"/>
        <w:rPr>
          <w:sz w:val="20"/>
          <w:szCs w:val="20"/>
          <w:color w:val="auto"/>
        </w:rPr>
      </w:pPr>
    </w:p>
    <w:p>
      <w:pPr>
        <w:ind w:left="5300"/>
        <w:spacing w:after="0"/>
        <w:rPr>
          <w:sz w:val="20"/>
          <w:szCs w:val="20"/>
          <w:color w:val="auto"/>
        </w:rPr>
      </w:pPr>
      <w:r>
        <w:rPr>
          <w:rFonts w:ascii="Arial" w:cs="Arial" w:eastAsia="Arial" w:hAnsi="Arial"/>
          <w:sz w:val="13"/>
          <w:szCs w:val="13"/>
          <w:color w:val="131E29"/>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-3463290</wp:posOffset>
            </wp:positionH>
            <wp:positionV relativeFrom="paragraph">
              <wp:posOffset>12065</wp:posOffset>
            </wp:positionV>
            <wp:extent cx="7161530" cy="12128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1">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1" w:lineRule="exact"/>
        <w:rPr>
          <w:sz w:val="20"/>
          <w:szCs w:val="20"/>
          <w:color w:val="auto"/>
        </w:rPr>
      </w:pPr>
    </w:p>
    <w:p>
      <w:pPr>
        <w:ind w:left="5300"/>
        <w:spacing w:after="0"/>
        <w:rPr>
          <w:sz w:val="20"/>
          <w:szCs w:val="20"/>
          <w:color w:val="auto"/>
        </w:rPr>
      </w:pPr>
      <w:r>
        <w:rPr>
          <w:rFonts w:ascii="Arial" w:cs="Arial" w:eastAsia="Arial" w:hAnsi="Arial"/>
          <w:sz w:val="13"/>
          <w:szCs w:val="13"/>
          <w:color w:val="131E29"/>
        </w:rPr>
        <w:t>X</w:t>
      </w:r>
    </w:p>
    <w:p>
      <w:pPr>
        <w:spacing w:after="0" w:line="41" w:lineRule="exact"/>
        <w:rPr>
          <w:sz w:val="20"/>
          <w:szCs w:val="20"/>
          <w:color w:val="auto"/>
        </w:rPr>
      </w:pPr>
    </w:p>
    <w:p>
      <w:pPr>
        <w:ind w:left="5300"/>
        <w:spacing w:after="0"/>
        <w:rPr>
          <w:sz w:val="20"/>
          <w:szCs w:val="20"/>
          <w:color w:val="auto"/>
        </w:rPr>
      </w:pPr>
      <w:r>
        <w:rPr>
          <w:rFonts w:ascii="Arial" w:cs="Arial" w:eastAsia="Arial" w:hAnsi="Arial"/>
          <w:sz w:val="13"/>
          <w:szCs w:val="13"/>
          <w:color w:val="131E29"/>
        </w:rPr>
        <w:t>X</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2">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-3475990</wp:posOffset>
            </wp:positionH>
            <wp:positionV relativeFrom="paragraph">
              <wp:posOffset>73660</wp:posOffset>
            </wp:positionV>
            <wp:extent cx="7186930"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5460" w:space="0"/>
            <w:col w:w="5820"/>
          </w:cols>
          <w:pgMar w:left="300" w:top="143" w:right="319" w:bottom="1440" w:gutter="0" w:footer="0" w:header="0"/>
        </w:sectPr>
      </w:pPr>
    </w:p>
    <w:bookmarkStart w:id="145" w:name="page146"/>
    <w:bookmarkEnd w:id="145"/>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3"/>
          </w:tcPr>
          <w:p>
            <w:pPr>
              <w:ind w:left="640"/>
              <w:spacing w:after="0"/>
              <w:rPr>
                <w:sz w:val="20"/>
                <w:szCs w:val="20"/>
                <w:color w:val="auto"/>
              </w:rPr>
            </w:pPr>
            <w:r>
              <w:rPr>
                <w:rFonts w:ascii="Arial" w:cs="Arial" w:eastAsia="Arial" w:hAnsi="Arial"/>
                <w:sz w:val="11"/>
                <w:szCs w:val="11"/>
                <w:b w:val="1"/>
                <w:bCs w:val="1"/>
                <w:color w:val="131E29"/>
              </w:rPr>
              <w:t>Incorporated by Reference</w:t>
            </w:r>
          </w:p>
        </w:tc>
        <w:tc>
          <w:tcPr>
            <w:tcW w:w="1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71"/>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131E29"/>
              </w:rPr>
              <w:t>Exhibit Number</w:t>
            </w:r>
          </w:p>
        </w:tc>
        <w:tc>
          <w:tcPr>
            <w:tcW w:w="80" w:type="dxa"/>
            <w:vAlign w:val="bottom"/>
            <w:tcBorders>
              <w:bottom w:val="single" w:sz="8" w:color="D2DCE5"/>
            </w:tcBorders>
          </w:tcPr>
          <w:p>
            <w:pPr>
              <w:spacing w:after="0"/>
              <w:rPr>
                <w:sz w:val="14"/>
                <w:szCs w:val="14"/>
                <w:color w:val="auto"/>
              </w:rPr>
            </w:pPr>
          </w:p>
        </w:tc>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131E29"/>
              </w:rPr>
              <w:t>Description</w:t>
            </w:r>
          </w:p>
        </w:tc>
        <w:tc>
          <w:tcPr>
            <w:tcW w:w="100" w:type="dxa"/>
            <w:vAlign w:val="bottom"/>
            <w:tcBorders>
              <w:bottom w:val="single" w:sz="8" w:color="D2DCE5"/>
            </w:tcBorders>
          </w:tcPr>
          <w:p>
            <w:pPr>
              <w:spacing w:after="0"/>
              <w:rPr>
                <w:sz w:val="14"/>
                <w:szCs w:val="14"/>
                <w:color w:val="auto"/>
              </w:rPr>
            </w:pPr>
          </w:p>
        </w:tc>
        <w:tc>
          <w:tcPr>
            <w:tcW w:w="940" w:type="dxa"/>
            <w:vAlign w:val="bottom"/>
            <w:tcBorders>
              <w:bottom w:val="single" w:sz="8" w:color="auto"/>
            </w:tcBorders>
          </w:tcPr>
          <w:p>
            <w:pPr>
              <w:ind w:left="280"/>
              <w:spacing w:after="0"/>
              <w:rPr>
                <w:sz w:val="20"/>
                <w:szCs w:val="20"/>
                <w:color w:val="auto"/>
              </w:rPr>
            </w:pPr>
            <w:r>
              <w:rPr>
                <w:rFonts w:ascii="Arial" w:cs="Arial" w:eastAsia="Arial" w:hAnsi="Arial"/>
                <w:sz w:val="11"/>
                <w:szCs w:val="11"/>
                <w:b w:val="1"/>
                <w:bCs w:val="1"/>
                <w:color w:val="131E29"/>
              </w:rPr>
              <w:t>Form</w:t>
            </w:r>
          </w:p>
        </w:tc>
        <w:tc>
          <w:tcPr>
            <w:tcW w:w="1140" w:type="dxa"/>
            <w:vAlign w:val="bottom"/>
            <w:tcBorders>
              <w:bottom w:val="single" w:sz="8" w:color="auto"/>
            </w:tcBorders>
          </w:tcPr>
          <w:p>
            <w:pPr>
              <w:ind w:left="380"/>
              <w:spacing w:after="0"/>
              <w:rPr>
                <w:sz w:val="20"/>
                <w:szCs w:val="20"/>
                <w:color w:val="auto"/>
              </w:rPr>
            </w:pPr>
            <w:r>
              <w:rPr>
                <w:rFonts w:ascii="Arial" w:cs="Arial" w:eastAsia="Arial" w:hAnsi="Arial"/>
                <w:sz w:val="11"/>
                <w:szCs w:val="11"/>
                <w:b w:val="1"/>
                <w:bCs w:val="1"/>
                <w:color w:val="131E29"/>
              </w:rPr>
              <w:t>File No.</w:t>
            </w:r>
          </w:p>
        </w:tc>
        <w:tc>
          <w:tcPr>
            <w:tcW w:w="940" w:type="dxa"/>
            <w:vAlign w:val="bottom"/>
            <w:tcBorders>
              <w:bottom w:val="single" w:sz="8" w:color="auto"/>
            </w:tcBorders>
          </w:tcPr>
          <w:p>
            <w:pPr>
              <w:ind w:left="340"/>
              <w:spacing w:after="0"/>
              <w:rPr>
                <w:sz w:val="20"/>
                <w:szCs w:val="20"/>
                <w:color w:val="auto"/>
              </w:rPr>
            </w:pPr>
            <w:r>
              <w:rPr>
                <w:rFonts w:ascii="Arial" w:cs="Arial" w:eastAsia="Arial" w:hAnsi="Arial"/>
                <w:sz w:val="11"/>
                <w:szCs w:val="11"/>
                <w:b w:val="1"/>
                <w:bCs w:val="1"/>
                <w:color w:val="131E29"/>
              </w:rPr>
              <w:t>Exhibit</w:t>
            </w:r>
          </w:p>
        </w:tc>
        <w:tc>
          <w:tcPr>
            <w:tcW w:w="100" w:type="dxa"/>
            <w:vAlign w:val="bottom"/>
            <w:tcBorders>
              <w:bottom w:val="single" w:sz="8" w:color="D2DCE5"/>
            </w:tcBorders>
          </w:tcPr>
          <w:p>
            <w:pPr>
              <w:spacing w:after="0"/>
              <w:rPr>
                <w:sz w:val="14"/>
                <w:szCs w:val="14"/>
                <w:color w:val="auto"/>
              </w:rPr>
            </w:pPr>
          </w:p>
        </w:tc>
        <w:tc>
          <w:tcPr>
            <w:tcW w:w="1560" w:type="dxa"/>
            <w:vAlign w:val="bottom"/>
            <w:tcBorders>
              <w:bottom w:val="single" w:sz="8" w:color="auto"/>
            </w:tcBorders>
          </w:tcPr>
          <w:p>
            <w:pPr>
              <w:ind w:left="480"/>
              <w:spacing w:after="0"/>
              <w:rPr>
                <w:sz w:val="20"/>
                <w:szCs w:val="20"/>
                <w:color w:val="auto"/>
              </w:rPr>
            </w:pPr>
            <w:r>
              <w:rPr>
                <w:rFonts w:ascii="Arial" w:cs="Arial" w:eastAsia="Arial" w:hAnsi="Arial"/>
                <w:sz w:val="11"/>
                <w:szCs w:val="11"/>
                <w:b w:val="1"/>
                <w:bCs w:val="1"/>
                <w:color w:val="131E29"/>
              </w:rPr>
              <w:t>Filing Date</w:t>
            </w:r>
          </w:p>
        </w:tc>
        <w:tc>
          <w:tcPr>
            <w:tcW w:w="80" w:type="dxa"/>
            <w:vAlign w:val="bottom"/>
            <w:tcBorders>
              <w:bottom w:val="single" w:sz="8" w:color="D2DCE5"/>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131E29"/>
              </w:rPr>
              <w:t>Filed Herewith</w:t>
            </w:r>
          </w:p>
        </w:tc>
      </w:tr>
      <w:tr>
        <w:trPr>
          <w:trHeight w:val="191"/>
        </w:trPr>
        <w:tc>
          <w:tcPr>
            <w:tcW w:w="1160" w:type="dxa"/>
            <w:vAlign w:val="bottom"/>
            <w:gridSpan w:val="2"/>
            <w:shd w:val="clear" w:color="auto" w:fill="D2DCE5"/>
          </w:tcPr>
          <w:p>
            <w:pPr>
              <w:jc w:val="center"/>
              <w:ind w:right="80"/>
              <w:spacing w:after="0"/>
              <w:rPr>
                <w:sz w:val="20"/>
                <w:szCs w:val="20"/>
                <w:color w:val="auto"/>
              </w:rPr>
            </w:pPr>
            <w:r>
              <w:rPr>
                <w:rFonts w:ascii="Arial" w:cs="Arial" w:eastAsia="Arial" w:hAnsi="Arial"/>
                <w:sz w:val="13"/>
                <w:szCs w:val="13"/>
                <w:color w:val="131E29"/>
                <w:w w:val="99"/>
              </w:rPr>
              <w:t>101.PRE</w:t>
            </w:r>
          </w:p>
        </w:tc>
        <w:tc>
          <w:tcPr>
            <w:tcW w:w="440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XBRL Taxonomy Extension Presentation Linkbase Document.</w:t>
            </w:r>
          </w:p>
        </w:tc>
        <w:tc>
          <w:tcPr>
            <w:tcW w:w="940" w:type="dxa"/>
            <w:vAlign w:val="bottom"/>
            <w:shd w:val="clear" w:color="auto" w:fill="D2DCE5"/>
          </w:tcPr>
          <w:p>
            <w:pPr>
              <w:spacing w:after="0"/>
              <w:rPr>
                <w:sz w:val="16"/>
                <w:szCs w:val="16"/>
                <w:color w:val="auto"/>
              </w:rPr>
            </w:pPr>
          </w:p>
        </w:tc>
        <w:tc>
          <w:tcPr>
            <w:tcW w:w="1140" w:type="dxa"/>
            <w:vAlign w:val="bottom"/>
            <w:shd w:val="clear" w:color="auto" w:fill="D2DCE5"/>
          </w:tcPr>
          <w:p>
            <w:pPr>
              <w:spacing w:after="0"/>
              <w:rPr>
                <w:sz w:val="16"/>
                <w:szCs w:val="16"/>
                <w:color w:val="auto"/>
              </w:rPr>
            </w:pPr>
          </w:p>
        </w:tc>
        <w:tc>
          <w:tcPr>
            <w:tcW w:w="94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15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960" w:type="dxa"/>
            <w:vAlign w:val="bottom"/>
            <w:shd w:val="clear" w:color="auto" w:fill="D2DCE5"/>
          </w:tcPr>
          <w:p>
            <w:pPr>
              <w:jc w:val="center"/>
              <w:spacing w:after="0"/>
              <w:rPr>
                <w:sz w:val="20"/>
                <w:szCs w:val="20"/>
                <w:color w:val="auto"/>
              </w:rPr>
            </w:pPr>
            <w:r>
              <w:rPr>
                <w:rFonts w:ascii="Arial" w:cs="Arial" w:eastAsia="Arial" w:hAnsi="Arial"/>
                <w:sz w:val="13"/>
                <w:szCs w:val="13"/>
                <w:color w:val="131E29"/>
                <w:w w:val="91"/>
              </w:rPr>
              <w:t>X</w:t>
            </w:r>
          </w:p>
        </w:tc>
      </w:tr>
      <w:tr>
        <w:trPr>
          <w:trHeight w:val="171"/>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0" w:type="dxa"/>
            <w:vAlign w:val="bottom"/>
            <w:gridSpan w:val="2"/>
          </w:tcPr>
          <w:p>
            <w:pPr>
              <w:ind w:left="20"/>
              <w:spacing w:after="0"/>
              <w:rPr>
                <w:sz w:val="20"/>
                <w:szCs w:val="20"/>
                <w:color w:val="auto"/>
              </w:rPr>
            </w:pPr>
            <w:r>
              <w:rPr>
                <w:rFonts w:ascii="Arial" w:cs="Arial" w:eastAsia="Arial" w:hAnsi="Arial"/>
                <w:sz w:val="13"/>
                <w:szCs w:val="13"/>
                <w:color w:val="131E29"/>
              </w:rPr>
              <w:t>Cover Page with Interactive Data File (formatted as Inline XBRL with</w:t>
            </w: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4"/>
        </w:trPr>
        <w:tc>
          <w:tcPr>
            <w:tcW w:w="1080" w:type="dxa"/>
            <w:vAlign w:val="bottom"/>
          </w:tcPr>
          <w:p>
            <w:pPr>
              <w:jc w:val="center"/>
              <w:spacing w:after="0"/>
              <w:rPr>
                <w:sz w:val="20"/>
                <w:szCs w:val="20"/>
                <w:color w:val="auto"/>
              </w:rPr>
            </w:pPr>
            <w:r>
              <w:rPr>
                <w:rFonts w:ascii="Arial" w:cs="Arial" w:eastAsia="Arial" w:hAnsi="Arial"/>
                <w:sz w:val="13"/>
                <w:szCs w:val="13"/>
                <w:color w:val="131E29"/>
                <w:w w:val="92"/>
              </w:rPr>
              <w:t>104</w:t>
            </w:r>
          </w:p>
        </w:tc>
        <w:tc>
          <w:tcPr>
            <w:tcW w:w="80" w:type="dxa"/>
            <w:vAlign w:val="bottom"/>
          </w:tcPr>
          <w:p>
            <w:pPr>
              <w:spacing w:after="0"/>
              <w:rPr>
                <w:sz w:val="14"/>
                <w:szCs w:val="14"/>
                <w:color w:val="auto"/>
              </w:rPr>
            </w:pPr>
          </w:p>
        </w:tc>
        <w:tc>
          <w:tcPr>
            <w:tcW w:w="4400" w:type="dxa"/>
            <w:vAlign w:val="bottom"/>
            <w:gridSpan w:val="2"/>
          </w:tcPr>
          <w:p>
            <w:pPr>
              <w:ind w:left="20"/>
              <w:spacing w:after="0"/>
              <w:rPr>
                <w:sz w:val="20"/>
                <w:szCs w:val="20"/>
                <w:color w:val="auto"/>
              </w:rPr>
            </w:pPr>
            <w:r>
              <w:rPr>
                <w:rFonts w:ascii="Arial" w:cs="Arial" w:eastAsia="Arial" w:hAnsi="Arial"/>
                <w:sz w:val="13"/>
                <w:szCs w:val="13"/>
                <w:color w:val="131E29"/>
              </w:rPr>
              <w:t>applicable taxonomy extension information contained in Exhibits 101).</w:t>
            </w: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131E29"/>
                <w:w w:val="91"/>
              </w:rPr>
              <w:t>X</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131E29"/>
        </w:rPr>
        <w:t>_______________________</w:t>
      </w:r>
    </w:p>
    <w:p>
      <w:pPr>
        <w:spacing w:after="0" w:line="52" w:lineRule="exact"/>
        <w:rPr>
          <w:sz w:val="20"/>
          <w:szCs w:val="20"/>
          <w:color w:val="auto"/>
        </w:rPr>
      </w:pPr>
    </w:p>
    <w:p>
      <w:pPr>
        <w:ind w:left="240" w:hanging="235"/>
        <w:spacing w:after="0"/>
        <w:tabs>
          <w:tab w:leader="none" w:pos="240" w:val="left"/>
        </w:tabs>
        <w:numPr>
          <w:ilvl w:val="0"/>
          <w:numId w:val="87"/>
        </w:numPr>
        <w:rPr>
          <w:rFonts w:ascii="Arial" w:cs="Arial" w:eastAsia="Arial" w:hAnsi="Arial"/>
          <w:sz w:val="14"/>
          <w:szCs w:val="14"/>
          <w:color w:val="131E29"/>
        </w:rPr>
      </w:pPr>
      <w:r>
        <w:rPr>
          <w:rFonts w:ascii="Arial" w:cs="Arial" w:eastAsia="Arial" w:hAnsi="Arial"/>
          <w:sz w:val="11"/>
          <w:szCs w:val="11"/>
          <w:color w:val="131E29"/>
        </w:rPr>
        <w:t>Management contract or compensatory plan or arrangement.</w:t>
      </w:r>
    </w:p>
    <w:p>
      <w:pPr>
        <w:spacing w:after="0" w:line="139" w:lineRule="exact"/>
        <w:rPr>
          <w:sz w:val="20"/>
          <w:szCs w:val="20"/>
          <w:color w:val="auto"/>
        </w:rPr>
      </w:pPr>
    </w:p>
    <w:p>
      <w:pPr>
        <w:ind w:left="140" w:hanging="135"/>
        <w:spacing w:after="0" w:line="260" w:lineRule="auto"/>
        <w:tabs>
          <w:tab w:leader="none" w:pos="185" w:val="left"/>
        </w:tabs>
        <w:numPr>
          <w:ilvl w:val="0"/>
          <w:numId w:val="88"/>
        </w:numPr>
        <w:rPr>
          <w:rFonts w:ascii="Arial" w:cs="Arial" w:eastAsia="Arial" w:hAnsi="Arial"/>
          <w:sz w:val="11"/>
          <w:szCs w:val="11"/>
          <w:color w:val="131E29"/>
        </w:rPr>
      </w:pPr>
      <w:r>
        <w:rPr>
          <w:rFonts w:ascii="Arial" w:cs="Arial" w:eastAsia="Arial" w:hAnsi="Arial"/>
          <w:sz w:val="11"/>
          <w:szCs w:val="11"/>
          <w:color w:val="131E29"/>
        </w:rPr>
        <w:t>The certifications furnished in Exhibit 32.1 hereto are deemed to accompany this Annual Report on Form 10-K and will not be deemed "filed" for purposes of Section 18 of the Securities Exchange Act of 1934, as amended, except to the extent that the registrant specifically incorporates it by reference.</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16. FORM 10-K SUMMARY</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131E29"/>
        </w:rPr>
        <w:t>None.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4">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 w:right="319" w:bottom="1440" w:gutter="0" w:footer="0" w:header="0"/>
        </w:sectPr>
      </w:pPr>
    </w:p>
    <w:bookmarkStart w:id="146" w:name="page147"/>
    <w:bookmarkEnd w:id="146"/>
    <w:p>
      <w:pPr>
        <w:jc w:val="center"/>
        <w:spacing w:after="0"/>
        <w:rPr>
          <w:sz w:val="20"/>
          <w:szCs w:val="20"/>
          <w:color w:val="auto"/>
        </w:rPr>
      </w:pPr>
      <w:r>
        <w:rPr>
          <w:rFonts w:ascii="Arial" w:cs="Arial" w:eastAsia="Arial" w:hAnsi="Arial"/>
          <w:sz w:val="23"/>
          <w:szCs w:val="23"/>
          <w:b w:val="1"/>
          <w:bCs w:val="1"/>
          <w:color w:val="006098"/>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161530" cy="806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6">
                      <a:extLst>
                        <a:ext uri="{28A0092B-C50C-407E-A947-70E740481C1C}"/>
                      </a:extLst>
                    </a:blip>
                    <a:srcRect/>
                    <a:stretch>
                      <a:fillRect/>
                    </a:stretch>
                  </pic:blipFill>
                  <pic:spPr bwMode="auto">
                    <a:xfrm>
                      <a:off x="0" y="0"/>
                      <a:ext cx="7161530" cy="80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Pursuant to the requirements of Section 13 or 15(d) of the Securities Exchange Act of 1934, the Registrant has duly caused this report to be signed on its behalf by the undersigned, thereunto duly authorized.</w:t>
      </w:r>
    </w:p>
    <w:p>
      <w:pPr>
        <w:spacing w:after="0" w:line="139" w:lineRule="exact"/>
        <w:rPr>
          <w:sz w:val="20"/>
          <w:szCs w:val="20"/>
          <w:color w:val="auto"/>
        </w:rPr>
      </w:pPr>
    </w:p>
    <w:tbl>
      <w:tblPr>
        <w:tblLayout w:type="fixed"/>
        <w:tblInd w:w="4080" w:type="dxa"/>
        <w:tblCellMar>
          <w:top w:w="0" w:type="dxa"/>
          <w:left w:w="0" w:type="dxa"/>
          <w:bottom w:w="0" w:type="dxa"/>
          <w:right w:w="0" w:type="dxa"/>
        </w:tblCellMar>
      </w:tblPr>
      <w:tr>
        <w:trPr>
          <w:trHeight w:val="169"/>
        </w:trPr>
        <w:tc>
          <w:tcPr>
            <w:tcW w:w="1700" w:type="dxa"/>
            <w:vAlign w:val="bottom"/>
          </w:tcPr>
          <w:p>
            <w:pPr>
              <w:spacing w:after="0"/>
              <w:rPr>
                <w:sz w:val="14"/>
                <w:szCs w:val="14"/>
                <w:color w:val="auto"/>
              </w:rPr>
            </w:pPr>
          </w:p>
        </w:tc>
        <w:tc>
          <w:tcPr>
            <w:tcW w:w="3280" w:type="dxa"/>
            <w:vAlign w:val="bottom"/>
            <w:gridSpan w:val="2"/>
          </w:tcPr>
          <w:p>
            <w:pPr>
              <w:ind w:left="2100"/>
              <w:spacing w:after="0"/>
              <w:rPr>
                <w:sz w:val="20"/>
                <w:szCs w:val="20"/>
                <w:color w:val="auto"/>
              </w:rPr>
            </w:pPr>
            <w:r>
              <w:rPr>
                <w:rFonts w:ascii="Arial" w:cs="Arial" w:eastAsia="Arial" w:hAnsi="Arial"/>
                <w:sz w:val="13"/>
                <w:szCs w:val="13"/>
                <w:b w:val="1"/>
                <w:bCs w:val="1"/>
                <w:color w:val="131E29"/>
                <w:w w:val="99"/>
              </w:rPr>
              <w:t>DUTCH BROS INC.</w:t>
            </w:r>
          </w:p>
        </w:tc>
        <w:tc>
          <w:tcPr>
            <w:tcW w:w="2220" w:type="dxa"/>
            <w:vAlign w:val="bottom"/>
          </w:tcPr>
          <w:p>
            <w:pPr>
              <w:spacing w:after="0"/>
              <w:rPr>
                <w:sz w:val="14"/>
                <w:szCs w:val="14"/>
                <w:color w:val="auto"/>
              </w:rPr>
            </w:pPr>
          </w:p>
        </w:tc>
      </w:tr>
      <w:tr>
        <w:trPr>
          <w:trHeight w:val="368"/>
        </w:trPr>
        <w:tc>
          <w:tcPr>
            <w:tcW w:w="1700" w:type="dxa"/>
            <w:vAlign w:val="bottom"/>
          </w:tcPr>
          <w:p>
            <w:pPr>
              <w:ind w:left="20"/>
              <w:spacing w:after="0"/>
              <w:rPr>
                <w:sz w:val="20"/>
                <w:szCs w:val="20"/>
                <w:color w:val="auto"/>
              </w:rPr>
            </w:pPr>
            <w:r>
              <w:rPr>
                <w:rFonts w:ascii="Arial" w:cs="Arial" w:eastAsia="Arial" w:hAnsi="Arial"/>
                <w:sz w:val="13"/>
                <w:szCs w:val="13"/>
                <w:color w:val="131E29"/>
              </w:rPr>
              <w:t>February 27, 2023</w:t>
            </w:r>
          </w:p>
        </w:tc>
        <w:tc>
          <w:tcPr>
            <w:tcW w:w="3280" w:type="dxa"/>
            <w:vAlign w:val="bottom"/>
            <w:gridSpan w:val="2"/>
          </w:tcPr>
          <w:p>
            <w:pPr>
              <w:ind w:left="2100"/>
              <w:spacing w:after="0"/>
              <w:rPr>
                <w:sz w:val="20"/>
                <w:szCs w:val="20"/>
                <w:color w:val="auto"/>
              </w:rPr>
            </w:pPr>
            <w:r>
              <w:rPr>
                <w:rFonts w:ascii="Arial" w:cs="Arial" w:eastAsia="Arial" w:hAnsi="Arial"/>
                <w:sz w:val="13"/>
                <w:szCs w:val="13"/>
                <w:color w:val="131E29"/>
              </w:rPr>
              <w:t>By:</w:t>
            </w:r>
          </w:p>
        </w:tc>
        <w:tc>
          <w:tcPr>
            <w:tcW w:w="2220" w:type="dxa"/>
            <w:vAlign w:val="bottom"/>
          </w:tcPr>
          <w:p>
            <w:pPr>
              <w:jc w:val="center"/>
              <w:ind w:right="776"/>
              <w:spacing w:after="0"/>
              <w:rPr>
                <w:sz w:val="20"/>
                <w:szCs w:val="20"/>
                <w:color w:val="auto"/>
              </w:rPr>
            </w:pPr>
            <w:r>
              <w:rPr>
                <w:rFonts w:ascii="Arial" w:cs="Arial" w:eastAsia="Arial" w:hAnsi="Arial"/>
                <w:sz w:val="13"/>
                <w:szCs w:val="13"/>
                <w:color w:val="131E29"/>
                <w:w w:val="96"/>
              </w:rPr>
              <w:t>/s/ JONATHAN RICCI</w:t>
            </w:r>
          </w:p>
        </w:tc>
      </w:tr>
      <w:tr>
        <w:trPr>
          <w:trHeight w:val="174"/>
        </w:trPr>
        <w:tc>
          <w:tcPr>
            <w:tcW w:w="170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131E29"/>
              </w:rPr>
              <w:t>Date</w:t>
            </w:r>
          </w:p>
        </w:tc>
        <w:tc>
          <w:tcPr>
            <w:tcW w:w="244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220" w:type="dxa"/>
            <w:vAlign w:val="bottom"/>
            <w:tcBorders>
              <w:top w:val="single" w:sz="8" w:color="auto"/>
            </w:tcBorders>
          </w:tcPr>
          <w:p>
            <w:pPr>
              <w:jc w:val="center"/>
              <w:ind w:right="756"/>
              <w:spacing w:after="0"/>
              <w:rPr>
                <w:sz w:val="20"/>
                <w:szCs w:val="20"/>
                <w:color w:val="auto"/>
              </w:rPr>
            </w:pPr>
            <w:r>
              <w:rPr>
                <w:rFonts w:ascii="Arial" w:cs="Arial" w:eastAsia="Arial" w:hAnsi="Arial"/>
                <w:sz w:val="13"/>
                <w:szCs w:val="13"/>
                <w:color w:val="131E29"/>
                <w:w w:val="98"/>
              </w:rPr>
              <w:t>Jonathan Ricci</w:t>
            </w:r>
          </w:p>
        </w:tc>
      </w:tr>
      <w:tr>
        <w:trPr>
          <w:trHeight w:val="191"/>
        </w:trPr>
        <w:tc>
          <w:tcPr>
            <w:tcW w:w="17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20" w:type="dxa"/>
            <w:vAlign w:val="bottom"/>
          </w:tcPr>
          <w:p>
            <w:pPr>
              <w:jc w:val="center"/>
              <w:ind w:right="776"/>
              <w:spacing w:after="0"/>
              <w:rPr>
                <w:sz w:val="20"/>
                <w:szCs w:val="20"/>
                <w:color w:val="auto"/>
              </w:rPr>
            </w:pPr>
            <w:r>
              <w:rPr>
                <w:rFonts w:ascii="Arial" w:cs="Arial" w:eastAsia="Arial" w:hAnsi="Arial"/>
                <w:sz w:val="13"/>
                <w:szCs w:val="13"/>
                <w:color w:val="131E29"/>
                <w:w w:val="98"/>
              </w:rPr>
              <w:t>Chief Executive Officer</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131E29"/>
        </w:rPr>
        <w:t>POWER OF ATTORNEY</w:t>
      </w:r>
    </w:p>
    <w:p>
      <w:pPr>
        <w:spacing w:after="0" w:line="136" w:lineRule="exact"/>
        <w:rPr>
          <w:sz w:val="20"/>
          <w:szCs w:val="20"/>
          <w:color w:val="auto"/>
        </w:rPr>
      </w:pPr>
    </w:p>
    <w:p>
      <w:pPr>
        <w:jc w:val="both"/>
        <w:spacing w:after="0" w:line="261" w:lineRule="auto"/>
        <w:rPr>
          <w:sz w:val="20"/>
          <w:szCs w:val="20"/>
          <w:color w:val="auto"/>
        </w:rPr>
      </w:pPr>
      <w:r>
        <w:rPr>
          <w:rFonts w:ascii="Arial" w:cs="Arial" w:eastAsia="Arial" w:hAnsi="Arial"/>
          <w:sz w:val="14"/>
          <w:szCs w:val="14"/>
          <w:b w:val="1"/>
          <w:bCs w:val="1"/>
          <w:color w:val="131E29"/>
        </w:rPr>
        <w:t>KNOW ALL PERSONS BY THESE PRESENTS</w:t>
      </w:r>
      <w:r>
        <w:rPr>
          <w:rFonts w:ascii="Arial" w:cs="Arial" w:eastAsia="Arial" w:hAnsi="Arial"/>
          <w:sz w:val="14"/>
          <w:szCs w:val="14"/>
          <w:color w:val="131E29"/>
        </w:rPr>
        <w:t>, that each person whose signature appears below constitutes and appoints Jonathan Ricci and Charles L. Jemley, and each one of</w:t>
      </w:r>
      <w:r>
        <w:rPr>
          <w:rFonts w:ascii="Arial" w:cs="Arial" w:eastAsia="Arial" w:hAnsi="Arial"/>
          <w:sz w:val="14"/>
          <w:szCs w:val="14"/>
          <w:b w:val="1"/>
          <w:bCs w:val="1"/>
          <w:color w:val="131E29"/>
        </w:rPr>
        <w:t xml:space="preserve"> </w:t>
      </w:r>
      <w:r>
        <w:rPr>
          <w:rFonts w:ascii="Arial" w:cs="Arial" w:eastAsia="Arial" w:hAnsi="Arial"/>
          <w:sz w:val="14"/>
          <w:szCs w:val="14"/>
          <w:color w:val="131E29"/>
        </w:rPr>
        <w:t>them, as his or her true and lawful attorneys-in-fact and agents, with full power of substitution and resubstitution, for him or her in his or her name, place and stead, in any and all capacities, to sign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her or their substitute or substitutes, may lawfully do or cause to be done by virtue hereof.</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131E29"/>
        </w:rPr>
        <w:t>Pursuant to the requirements of the Securities Exchange Act of 1934, this report has been signed by the following persons on behalf of the registrant and in the capacities and on the dates indicated.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131E29"/>
                <w:w w:val="96"/>
              </w:rPr>
              <w:t>Signature</w:t>
            </w:r>
          </w:p>
        </w:tc>
        <w:tc>
          <w:tcPr>
            <w:tcW w:w="80" w:type="dxa"/>
            <w:vAlign w:val="bottom"/>
          </w:tcPr>
          <w:p>
            <w:pPr>
              <w:spacing w:after="0"/>
              <w:rPr>
                <w:sz w:val="15"/>
                <w:szCs w:val="15"/>
                <w:color w:val="auto"/>
              </w:rPr>
            </w:pPr>
          </w:p>
        </w:tc>
        <w:tc>
          <w:tcPr>
            <w:tcW w:w="5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131E29"/>
                <w:w w:val="97"/>
              </w:rPr>
              <w:t>Title</w:t>
            </w:r>
          </w:p>
        </w:tc>
        <w:tc>
          <w:tcPr>
            <w:tcW w:w="100" w:type="dxa"/>
            <w:vAlign w:val="bottom"/>
          </w:tcPr>
          <w:p>
            <w:pPr>
              <w:spacing w:after="0"/>
              <w:rPr>
                <w:sz w:val="15"/>
                <w:szCs w:val="15"/>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131E29"/>
                <w:w w:val="99"/>
              </w:rPr>
              <w:t>Date</w:t>
            </w:r>
          </w:p>
        </w:tc>
      </w:tr>
      <w:tr>
        <w:trPr>
          <w:trHeight w:val="232"/>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131E29"/>
                <w:w w:val="96"/>
              </w:rPr>
              <w:t>/s/ JONATHAN RICCI</w:t>
            </w:r>
          </w:p>
        </w:tc>
        <w:tc>
          <w:tcPr>
            <w:tcW w:w="80" w:type="dxa"/>
            <w:vAlign w:val="bottom"/>
          </w:tcPr>
          <w:p>
            <w:pPr>
              <w:spacing w:after="0"/>
              <w:rPr>
                <w:sz w:val="20"/>
                <w:szCs w:val="20"/>
                <w:color w:val="auto"/>
              </w:rPr>
            </w:pPr>
          </w:p>
        </w:tc>
        <w:tc>
          <w:tcPr>
            <w:tcW w:w="5740" w:type="dxa"/>
            <w:vAlign w:val="bottom"/>
            <w:gridSpan w:val="2"/>
          </w:tcPr>
          <w:p>
            <w:pPr>
              <w:jc w:val="center"/>
              <w:ind w:right="120"/>
              <w:spacing w:after="0"/>
              <w:rPr>
                <w:sz w:val="20"/>
                <w:szCs w:val="20"/>
                <w:color w:val="auto"/>
              </w:rPr>
            </w:pPr>
            <w:r>
              <w:rPr>
                <w:rFonts w:ascii="Arial" w:cs="Arial" w:eastAsia="Arial" w:hAnsi="Arial"/>
                <w:sz w:val="13"/>
                <w:szCs w:val="13"/>
                <w:color w:val="131E29"/>
                <w:w w:val="97"/>
              </w:rPr>
              <w:t>Chief Executive Officer and Director</w:t>
            </w:r>
          </w:p>
        </w:tc>
        <w:tc>
          <w:tcPr>
            <w:tcW w:w="2280" w:type="dxa"/>
            <w:vAlign w:val="bottom"/>
          </w:tcPr>
          <w:p>
            <w:pPr>
              <w:spacing w:after="0"/>
              <w:rPr>
                <w:sz w:val="20"/>
                <w:szCs w:val="20"/>
                <w:color w:val="auto"/>
              </w:rPr>
            </w:pPr>
          </w:p>
        </w:tc>
      </w:tr>
      <w:tr>
        <w:trPr>
          <w:trHeight w:val="167"/>
        </w:trPr>
        <w:tc>
          <w:tcPr>
            <w:tcW w:w="3180" w:type="dxa"/>
            <w:vAlign w:val="bottom"/>
          </w:tcPr>
          <w:p>
            <w:pPr>
              <w:jc w:val="center"/>
              <w:spacing w:after="0"/>
              <w:rPr>
                <w:sz w:val="20"/>
                <w:szCs w:val="20"/>
                <w:color w:val="auto"/>
              </w:rPr>
            </w:pPr>
            <w:r>
              <w:rPr>
                <w:rFonts w:ascii="Arial" w:cs="Arial" w:eastAsia="Arial" w:hAnsi="Arial"/>
                <w:sz w:val="13"/>
                <w:szCs w:val="13"/>
                <w:color w:val="131E29"/>
                <w:w w:val="96"/>
              </w:rPr>
              <w:t>Jonathan Ricci</w:t>
            </w:r>
          </w:p>
        </w:tc>
        <w:tc>
          <w:tcPr>
            <w:tcW w:w="80" w:type="dxa"/>
            <w:vAlign w:val="bottom"/>
          </w:tcPr>
          <w:p>
            <w:pPr>
              <w:spacing w:after="0"/>
              <w:rPr>
                <w:sz w:val="14"/>
                <w:szCs w:val="14"/>
                <w:color w:val="auto"/>
              </w:rPr>
            </w:pPr>
          </w:p>
        </w:tc>
        <w:tc>
          <w:tcPr>
            <w:tcW w:w="5740" w:type="dxa"/>
            <w:vAlign w:val="bottom"/>
            <w:gridSpan w:val="2"/>
          </w:tcPr>
          <w:p>
            <w:pPr>
              <w:jc w:val="center"/>
              <w:ind w:right="100"/>
              <w:spacing w:after="0"/>
              <w:rPr>
                <w:sz w:val="20"/>
                <w:szCs w:val="20"/>
                <w:color w:val="auto"/>
              </w:rPr>
            </w:pPr>
            <w:r>
              <w:rPr>
                <w:rFonts w:ascii="Arial" w:cs="Arial" w:eastAsia="Arial" w:hAnsi="Arial"/>
                <w:sz w:val="13"/>
                <w:szCs w:val="13"/>
                <w:color w:val="131E29"/>
                <w:w w:val="97"/>
              </w:rPr>
              <w:t>(Principal Executive Officer)</w:t>
            </w:r>
          </w:p>
        </w:tc>
        <w:tc>
          <w:tcPr>
            <w:tcW w:w="2280" w:type="dxa"/>
            <w:vAlign w:val="bottom"/>
          </w:tcPr>
          <w:p>
            <w:pPr>
              <w:jc w:val="center"/>
              <w:spacing w:after="0"/>
              <w:rPr>
                <w:sz w:val="20"/>
                <w:szCs w:val="20"/>
                <w:color w:val="auto"/>
              </w:rPr>
            </w:pPr>
            <w:r>
              <w:rPr>
                <w:rFonts w:ascii="Arial" w:cs="Arial" w:eastAsia="Arial" w:hAnsi="Arial"/>
                <w:sz w:val="13"/>
                <w:szCs w:val="13"/>
                <w:color w:val="131E29"/>
                <w:w w:val="97"/>
              </w:rPr>
              <w:t>February 27, 2023</w:t>
            </w:r>
          </w:p>
        </w:tc>
      </w:tr>
      <w:tr>
        <w:trPr>
          <w:trHeight w:val="241"/>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131E29"/>
                <w:w w:val="97"/>
              </w:rPr>
              <w:t>/s/ TRAVIS BOERSMA</w:t>
            </w:r>
          </w:p>
        </w:tc>
        <w:tc>
          <w:tcPr>
            <w:tcW w:w="8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174"/>
        </w:trPr>
        <w:tc>
          <w:tcPr>
            <w:tcW w:w="3180" w:type="dxa"/>
            <w:vAlign w:val="bottom"/>
          </w:tcPr>
          <w:p>
            <w:pPr>
              <w:jc w:val="center"/>
              <w:spacing w:after="0"/>
              <w:rPr>
                <w:sz w:val="20"/>
                <w:szCs w:val="20"/>
                <w:color w:val="auto"/>
              </w:rPr>
            </w:pPr>
            <w:r>
              <w:rPr>
                <w:rFonts w:ascii="Arial" w:cs="Arial" w:eastAsia="Arial" w:hAnsi="Arial"/>
                <w:sz w:val="13"/>
                <w:szCs w:val="13"/>
                <w:color w:val="131E29"/>
                <w:w w:val="98"/>
              </w:rPr>
              <w:t>Travis Boersma</w:t>
            </w:r>
          </w:p>
        </w:tc>
        <w:tc>
          <w:tcPr>
            <w:tcW w:w="80" w:type="dxa"/>
            <w:vAlign w:val="bottom"/>
          </w:tcPr>
          <w:p>
            <w:pPr>
              <w:spacing w:after="0"/>
              <w:rPr>
                <w:sz w:val="15"/>
                <w:szCs w:val="15"/>
                <w:color w:val="auto"/>
              </w:rPr>
            </w:pPr>
          </w:p>
        </w:tc>
        <w:tc>
          <w:tcPr>
            <w:tcW w:w="5740" w:type="dxa"/>
            <w:vAlign w:val="bottom"/>
            <w:gridSpan w:val="2"/>
          </w:tcPr>
          <w:p>
            <w:pPr>
              <w:jc w:val="center"/>
              <w:ind w:right="80"/>
              <w:spacing w:after="0"/>
              <w:rPr>
                <w:sz w:val="20"/>
                <w:szCs w:val="20"/>
                <w:color w:val="auto"/>
              </w:rPr>
            </w:pPr>
            <w:r>
              <w:rPr>
                <w:rFonts w:ascii="Arial" w:cs="Arial" w:eastAsia="Arial" w:hAnsi="Arial"/>
                <w:sz w:val="13"/>
                <w:szCs w:val="13"/>
                <w:color w:val="131E29"/>
                <w:w w:val="97"/>
              </w:rPr>
              <w:t>Executive Chairman</w:t>
            </w:r>
          </w:p>
        </w:tc>
        <w:tc>
          <w:tcPr>
            <w:tcW w:w="2280" w:type="dxa"/>
            <w:vAlign w:val="bottom"/>
          </w:tcPr>
          <w:p>
            <w:pPr>
              <w:jc w:val="center"/>
              <w:spacing w:after="0"/>
              <w:rPr>
                <w:sz w:val="20"/>
                <w:szCs w:val="20"/>
                <w:color w:val="auto"/>
              </w:rPr>
            </w:pPr>
            <w:r>
              <w:rPr>
                <w:rFonts w:ascii="Arial" w:cs="Arial" w:eastAsia="Arial" w:hAnsi="Arial"/>
                <w:sz w:val="13"/>
                <w:szCs w:val="13"/>
                <w:color w:val="131E29"/>
                <w:w w:val="97"/>
              </w:rPr>
              <w:t>February 27, 2023</w:t>
            </w:r>
          </w:p>
        </w:tc>
      </w:tr>
      <w:tr>
        <w:trPr>
          <w:trHeight w:val="259"/>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131E29"/>
                <w:w w:val="99"/>
              </w:rPr>
              <w:t>/s/ CHARLES L. JEMLEY</w:t>
            </w:r>
          </w:p>
        </w:tc>
        <w:tc>
          <w:tcPr>
            <w:tcW w:w="80" w:type="dxa"/>
            <w:vAlign w:val="bottom"/>
          </w:tcPr>
          <w:p>
            <w:pPr>
              <w:spacing w:after="0"/>
              <w:rPr>
                <w:sz w:val="22"/>
                <w:szCs w:val="22"/>
                <w:color w:val="auto"/>
              </w:rPr>
            </w:pPr>
          </w:p>
        </w:tc>
        <w:tc>
          <w:tcPr>
            <w:tcW w:w="5740" w:type="dxa"/>
            <w:vAlign w:val="bottom"/>
            <w:gridSpan w:val="2"/>
          </w:tcPr>
          <w:p>
            <w:pPr>
              <w:jc w:val="center"/>
              <w:ind w:right="100"/>
              <w:spacing w:after="0"/>
              <w:rPr>
                <w:sz w:val="20"/>
                <w:szCs w:val="20"/>
                <w:color w:val="auto"/>
              </w:rPr>
            </w:pPr>
            <w:r>
              <w:rPr>
                <w:rFonts w:ascii="Arial" w:cs="Arial" w:eastAsia="Arial" w:hAnsi="Arial"/>
                <w:sz w:val="13"/>
                <w:szCs w:val="13"/>
                <w:color w:val="131E29"/>
                <w:w w:val="96"/>
              </w:rPr>
              <w:t>Chief Financial Officer</w:t>
            </w:r>
          </w:p>
        </w:tc>
        <w:tc>
          <w:tcPr>
            <w:tcW w:w="2280" w:type="dxa"/>
            <w:vAlign w:val="bottom"/>
          </w:tcPr>
          <w:p>
            <w:pPr>
              <w:spacing w:after="0"/>
              <w:rPr>
                <w:sz w:val="22"/>
                <w:szCs w:val="22"/>
                <w:color w:val="auto"/>
              </w:rPr>
            </w:pPr>
          </w:p>
        </w:tc>
      </w:tr>
      <w:tr>
        <w:trPr>
          <w:trHeight w:val="167"/>
        </w:trPr>
        <w:tc>
          <w:tcPr>
            <w:tcW w:w="3180" w:type="dxa"/>
            <w:vAlign w:val="bottom"/>
          </w:tcPr>
          <w:p>
            <w:pPr>
              <w:jc w:val="center"/>
              <w:spacing w:after="0"/>
              <w:rPr>
                <w:sz w:val="20"/>
                <w:szCs w:val="20"/>
                <w:color w:val="auto"/>
              </w:rPr>
            </w:pPr>
            <w:r>
              <w:rPr>
                <w:rFonts w:ascii="Arial" w:cs="Arial" w:eastAsia="Arial" w:hAnsi="Arial"/>
                <w:sz w:val="13"/>
                <w:szCs w:val="13"/>
                <w:color w:val="131E29"/>
                <w:w w:val="98"/>
              </w:rPr>
              <w:t>Charles L. Jemley</w:t>
            </w:r>
          </w:p>
        </w:tc>
        <w:tc>
          <w:tcPr>
            <w:tcW w:w="80" w:type="dxa"/>
            <w:vAlign w:val="bottom"/>
          </w:tcPr>
          <w:p>
            <w:pPr>
              <w:spacing w:after="0"/>
              <w:rPr>
                <w:sz w:val="14"/>
                <w:szCs w:val="14"/>
                <w:color w:val="auto"/>
              </w:rPr>
            </w:pPr>
          </w:p>
        </w:tc>
        <w:tc>
          <w:tcPr>
            <w:tcW w:w="5740" w:type="dxa"/>
            <w:vAlign w:val="bottom"/>
            <w:gridSpan w:val="2"/>
          </w:tcPr>
          <w:p>
            <w:pPr>
              <w:jc w:val="center"/>
              <w:ind w:right="100"/>
              <w:spacing w:after="0"/>
              <w:rPr>
                <w:sz w:val="20"/>
                <w:szCs w:val="20"/>
                <w:color w:val="auto"/>
              </w:rPr>
            </w:pPr>
            <w:r>
              <w:rPr>
                <w:rFonts w:ascii="Arial" w:cs="Arial" w:eastAsia="Arial" w:hAnsi="Arial"/>
                <w:sz w:val="13"/>
                <w:szCs w:val="13"/>
                <w:color w:val="131E29"/>
                <w:w w:val="97"/>
              </w:rPr>
              <w:t>(Principal Financial and Accounting Officer)</w:t>
            </w:r>
          </w:p>
        </w:tc>
        <w:tc>
          <w:tcPr>
            <w:tcW w:w="2280" w:type="dxa"/>
            <w:vAlign w:val="bottom"/>
          </w:tcPr>
          <w:p>
            <w:pPr>
              <w:jc w:val="center"/>
              <w:spacing w:after="0"/>
              <w:rPr>
                <w:sz w:val="20"/>
                <w:szCs w:val="20"/>
                <w:color w:val="auto"/>
              </w:rPr>
            </w:pPr>
            <w:r>
              <w:rPr>
                <w:rFonts w:ascii="Arial" w:cs="Arial" w:eastAsia="Arial" w:hAnsi="Arial"/>
                <w:sz w:val="13"/>
                <w:szCs w:val="13"/>
                <w:color w:val="131E29"/>
                <w:w w:val="97"/>
              </w:rPr>
              <w:t>February 27, 2023</w:t>
            </w:r>
          </w:p>
        </w:tc>
      </w:tr>
      <w:tr>
        <w:trPr>
          <w:trHeight w:val="241"/>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131E29"/>
                <w:w w:val="98"/>
              </w:rPr>
              <w:t>/s/ SHELLEY BROADER</w:t>
            </w:r>
          </w:p>
        </w:tc>
        <w:tc>
          <w:tcPr>
            <w:tcW w:w="8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174"/>
        </w:trPr>
        <w:tc>
          <w:tcPr>
            <w:tcW w:w="3180" w:type="dxa"/>
            <w:vAlign w:val="bottom"/>
          </w:tcPr>
          <w:p>
            <w:pPr>
              <w:jc w:val="center"/>
              <w:spacing w:after="0"/>
              <w:rPr>
                <w:sz w:val="20"/>
                <w:szCs w:val="20"/>
                <w:color w:val="auto"/>
              </w:rPr>
            </w:pPr>
            <w:r>
              <w:rPr>
                <w:rFonts w:ascii="Arial" w:cs="Arial" w:eastAsia="Arial" w:hAnsi="Arial"/>
                <w:sz w:val="13"/>
                <w:szCs w:val="13"/>
                <w:color w:val="131E29"/>
                <w:w w:val="97"/>
              </w:rPr>
              <w:t>Shelley Broader</w:t>
            </w:r>
          </w:p>
        </w:tc>
        <w:tc>
          <w:tcPr>
            <w:tcW w:w="80" w:type="dxa"/>
            <w:vAlign w:val="bottom"/>
          </w:tcPr>
          <w:p>
            <w:pPr>
              <w:spacing w:after="0"/>
              <w:rPr>
                <w:sz w:val="15"/>
                <w:szCs w:val="15"/>
                <w:color w:val="auto"/>
              </w:rPr>
            </w:pPr>
          </w:p>
        </w:tc>
        <w:tc>
          <w:tcPr>
            <w:tcW w:w="5740" w:type="dxa"/>
            <w:vAlign w:val="bottom"/>
            <w:gridSpan w:val="2"/>
          </w:tcPr>
          <w:p>
            <w:pPr>
              <w:jc w:val="center"/>
              <w:ind w:right="100"/>
              <w:spacing w:after="0"/>
              <w:rPr>
                <w:sz w:val="20"/>
                <w:szCs w:val="20"/>
                <w:color w:val="auto"/>
              </w:rPr>
            </w:pPr>
            <w:r>
              <w:rPr>
                <w:rFonts w:ascii="Arial" w:cs="Arial" w:eastAsia="Arial" w:hAnsi="Arial"/>
                <w:sz w:val="13"/>
                <w:szCs w:val="13"/>
                <w:color w:val="131E29"/>
                <w:w w:val="96"/>
              </w:rPr>
              <w:t>Director</w:t>
            </w:r>
          </w:p>
        </w:tc>
        <w:tc>
          <w:tcPr>
            <w:tcW w:w="2280" w:type="dxa"/>
            <w:vAlign w:val="bottom"/>
          </w:tcPr>
          <w:p>
            <w:pPr>
              <w:jc w:val="center"/>
              <w:spacing w:after="0"/>
              <w:rPr>
                <w:sz w:val="20"/>
                <w:szCs w:val="20"/>
                <w:color w:val="auto"/>
              </w:rPr>
            </w:pPr>
            <w:r>
              <w:rPr>
                <w:rFonts w:ascii="Arial" w:cs="Arial" w:eastAsia="Arial" w:hAnsi="Arial"/>
                <w:sz w:val="13"/>
                <w:szCs w:val="13"/>
                <w:color w:val="131E29"/>
                <w:w w:val="97"/>
              </w:rPr>
              <w:t>February 27, 2023</w:t>
            </w:r>
          </w:p>
        </w:tc>
      </w:tr>
      <w:tr>
        <w:trPr>
          <w:trHeight w:val="252"/>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131E29"/>
                <w:w w:val="98"/>
              </w:rPr>
              <w:t>/s/ THOMAS DAVIS</w:t>
            </w:r>
          </w:p>
        </w:tc>
        <w:tc>
          <w:tcPr>
            <w:tcW w:w="8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174"/>
        </w:trPr>
        <w:tc>
          <w:tcPr>
            <w:tcW w:w="3180" w:type="dxa"/>
            <w:vAlign w:val="bottom"/>
          </w:tcPr>
          <w:p>
            <w:pPr>
              <w:jc w:val="center"/>
              <w:spacing w:after="0"/>
              <w:rPr>
                <w:sz w:val="20"/>
                <w:szCs w:val="20"/>
                <w:color w:val="auto"/>
              </w:rPr>
            </w:pPr>
            <w:r>
              <w:rPr>
                <w:rFonts w:ascii="Arial" w:cs="Arial" w:eastAsia="Arial" w:hAnsi="Arial"/>
                <w:sz w:val="13"/>
                <w:szCs w:val="13"/>
                <w:color w:val="131E29"/>
                <w:w w:val="98"/>
              </w:rPr>
              <w:t>Thomas Davis</w:t>
            </w:r>
          </w:p>
        </w:tc>
        <w:tc>
          <w:tcPr>
            <w:tcW w:w="80" w:type="dxa"/>
            <w:vAlign w:val="bottom"/>
          </w:tcPr>
          <w:p>
            <w:pPr>
              <w:spacing w:after="0"/>
              <w:rPr>
                <w:sz w:val="15"/>
                <w:szCs w:val="15"/>
                <w:color w:val="auto"/>
              </w:rPr>
            </w:pPr>
          </w:p>
        </w:tc>
        <w:tc>
          <w:tcPr>
            <w:tcW w:w="5740" w:type="dxa"/>
            <w:vAlign w:val="bottom"/>
            <w:gridSpan w:val="2"/>
          </w:tcPr>
          <w:p>
            <w:pPr>
              <w:jc w:val="center"/>
              <w:ind w:right="100"/>
              <w:spacing w:after="0"/>
              <w:rPr>
                <w:sz w:val="20"/>
                <w:szCs w:val="20"/>
                <w:color w:val="auto"/>
              </w:rPr>
            </w:pPr>
            <w:r>
              <w:rPr>
                <w:rFonts w:ascii="Arial" w:cs="Arial" w:eastAsia="Arial" w:hAnsi="Arial"/>
                <w:sz w:val="13"/>
                <w:szCs w:val="13"/>
                <w:color w:val="131E29"/>
                <w:w w:val="96"/>
              </w:rPr>
              <w:t>Director</w:t>
            </w:r>
          </w:p>
        </w:tc>
        <w:tc>
          <w:tcPr>
            <w:tcW w:w="2280" w:type="dxa"/>
            <w:vAlign w:val="bottom"/>
          </w:tcPr>
          <w:p>
            <w:pPr>
              <w:jc w:val="center"/>
              <w:spacing w:after="0"/>
              <w:rPr>
                <w:sz w:val="20"/>
                <w:szCs w:val="20"/>
                <w:color w:val="auto"/>
              </w:rPr>
            </w:pPr>
            <w:r>
              <w:rPr>
                <w:rFonts w:ascii="Arial" w:cs="Arial" w:eastAsia="Arial" w:hAnsi="Arial"/>
                <w:sz w:val="13"/>
                <w:szCs w:val="13"/>
                <w:color w:val="131E29"/>
                <w:w w:val="97"/>
              </w:rPr>
              <w:t>February 27, 2023</w:t>
            </w:r>
          </w:p>
        </w:tc>
      </w:tr>
      <w:tr>
        <w:trPr>
          <w:trHeight w:val="252"/>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131E29"/>
                <w:w w:val="97"/>
              </w:rPr>
              <w:t>/s/ CHARLES ESSERMAN</w:t>
            </w:r>
          </w:p>
        </w:tc>
        <w:tc>
          <w:tcPr>
            <w:tcW w:w="8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174"/>
        </w:trPr>
        <w:tc>
          <w:tcPr>
            <w:tcW w:w="3180" w:type="dxa"/>
            <w:vAlign w:val="bottom"/>
          </w:tcPr>
          <w:p>
            <w:pPr>
              <w:jc w:val="center"/>
              <w:spacing w:after="0"/>
              <w:rPr>
                <w:sz w:val="20"/>
                <w:szCs w:val="20"/>
                <w:color w:val="auto"/>
              </w:rPr>
            </w:pPr>
            <w:r>
              <w:rPr>
                <w:rFonts w:ascii="Arial" w:cs="Arial" w:eastAsia="Arial" w:hAnsi="Arial"/>
                <w:sz w:val="13"/>
                <w:szCs w:val="13"/>
                <w:color w:val="131E29"/>
                <w:w w:val="99"/>
              </w:rPr>
              <w:t>Charles Esserman</w:t>
            </w:r>
          </w:p>
        </w:tc>
        <w:tc>
          <w:tcPr>
            <w:tcW w:w="80" w:type="dxa"/>
            <w:vAlign w:val="bottom"/>
          </w:tcPr>
          <w:p>
            <w:pPr>
              <w:spacing w:after="0"/>
              <w:rPr>
                <w:sz w:val="15"/>
                <w:szCs w:val="15"/>
                <w:color w:val="auto"/>
              </w:rPr>
            </w:pPr>
          </w:p>
        </w:tc>
        <w:tc>
          <w:tcPr>
            <w:tcW w:w="5740" w:type="dxa"/>
            <w:vAlign w:val="bottom"/>
            <w:gridSpan w:val="2"/>
          </w:tcPr>
          <w:p>
            <w:pPr>
              <w:jc w:val="center"/>
              <w:ind w:right="100"/>
              <w:spacing w:after="0"/>
              <w:rPr>
                <w:sz w:val="20"/>
                <w:szCs w:val="20"/>
                <w:color w:val="auto"/>
              </w:rPr>
            </w:pPr>
            <w:r>
              <w:rPr>
                <w:rFonts w:ascii="Arial" w:cs="Arial" w:eastAsia="Arial" w:hAnsi="Arial"/>
                <w:sz w:val="13"/>
                <w:szCs w:val="13"/>
                <w:color w:val="131E29"/>
                <w:w w:val="96"/>
              </w:rPr>
              <w:t>Director</w:t>
            </w:r>
          </w:p>
        </w:tc>
        <w:tc>
          <w:tcPr>
            <w:tcW w:w="2280" w:type="dxa"/>
            <w:vAlign w:val="bottom"/>
          </w:tcPr>
          <w:p>
            <w:pPr>
              <w:jc w:val="center"/>
              <w:spacing w:after="0"/>
              <w:rPr>
                <w:sz w:val="20"/>
                <w:szCs w:val="20"/>
                <w:color w:val="auto"/>
              </w:rPr>
            </w:pPr>
            <w:r>
              <w:rPr>
                <w:rFonts w:ascii="Arial" w:cs="Arial" w:eastAsia="Arial" w:hAnsi="Arial"/>
                <w:sz w:val="13"/>
                <w:szCs w:val="13"/>
                <w:color w:val="131E29"/>
                <w:w w:val="97"/>
              </w:rPr>
              <w:t>February 27, 2023</w:t>
            </w:r>
          </w:p>
        </w:tc>
      </w:tr>
      <w:tr>
        <w:trPr>
          <w:trHeight w:val="241"/>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131E29"/>
                <w:w w:val="97"/>
              </w:rPr>
              <w:t>/s/ KATHRYN GEORGE</w:t>
            </w:r>
          </w:p>
        </w:tc>
        <w:tc>
          <w:tcPr>
            <w:tcW w:w="8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174"/>
        </w:trPr>
        <w:tc>
          <w:tcPr>
            <w:tcW w:w="3180" w:type="dxa"/>
            <w:vAlign w:val="bottom"/>
          </w:tcPr>
          <w:p>
            <w:pPr>
              <w:jc w:val="center"/>
              <w:spacing w:after="0"/>
              <w:rPr>
                <w:sz w:val="20"/>
                <w:szCs w:val="20"/>
                <w:color w:val="auto"/>
              </w:rPr>
            </w:pPr>
            <w:r>
              <w:rPr>
                <w:rFonts w:ascii="Arial" w:cs="Arial" w:eastAsia="Arial" w:hAnsi="Arial"/>
                <w:sz w:val="13"/>
                <w:szCs w:val="13"/>
                <w:color w:val="131E29"/>
                <w:w w:val="98"/>
              </w:rPr>
              <w:t>Kathryn George</w:t>
            </w:r>
          </w:p>
        </w:tc>
        <w:tc>
          <w:tcPr>
            <w:tcW w:w="80" w:type="dxa"/>
            <w:vAlign w:val="bottom"/>
          </w:tcPr>
          <w:p>
            <w:pPr>
              <w:spacing w:after="0"/>
              <w:rPr>
                <w:sz w:val="15"/>
                <w:szCs w:val="15"/>
                <w:color w:val="auto"/>
              </w:rPr>
            </w:pPr>
          </w:p>
        </w:tc>
        <w:tc>
          <w:tcPr>
            <w:tcW w:w="5740" w:type="dxa"/>
            <w:vAlign w:val="bottom"/>
            <w:gridSpan w:val="2"/>
          </w:tcPr>
          <w:p>
            <w:pPr>
              <w:jc w:val="center"/>
              <w:ind w:right="100"/>
              <w:spacing w:after="0"/>
              <w:rPr>
                <w:sz w:val="20"/>
                <w:szCs w:val="20"/>
                <w:color w:val="auto"/>
              </w:rPr>
            </w:pPr>
            <w:r>
              <w:rPr>
                <w:rFonts w:ascii="Arial" w:cs="Arial" w:eastAsia="Arial" w:hAnsi="Arial"/>
                <w:sz w:val="13"/>
                <w:szCs w:val="13"/>
                <w:color w:val="131E29"/>
                <w:w w:val="96"/>
              </w:rPr>
              <w:t>Director</w:t>
            </w:r>
          </w:p>
        </w:tc>
        <w:tc>
          <w:tcPr>
            <w:tcW w:w="2280" w:type="dxa"/>
            <w:vAlign w:val="bottom"/>
          </w:tcPr>
          <w:p>
            <w:pPr>
              <w:jc w:val="center"/>
              <w:spacing w:after="0"/>
              <w:rPr>
                <w:sz w:val="20"/>
                <w:szCs w:val="20"/>
                <w:color w:val="auto"/>
              </w:rPr>
            </w:pPr>
            <w:r>
              <w:rPr>
                <w:rFonts w:ascii="Arial" w:cs="Arial" w:eastAsia="Arial" w:hAnsi="Arial"/>
                <w:sz w:val="13"/>
                <w:szCs w:val="13"/>
                <w:color w:val="131E29"/>
                <w:w w:val="97"/>
              </w:rPr>
              <w:t>February 27, 2023</w:t>
            </w:r>
          </w:p>
        </w:tc>
      </w:tr>
      <w:tr>
        <w:trPr>
          <w:trHeight w:val="241"/>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131E29"/>
                <w:w w:val="99"/>
              </w:rPr>
              <w:t>/s/ STEPHEN GILLETT</w:t>
            </w:r>
          </w:p>
        </w:tc>
        <w:tc>
          <w:tcPr>
            <w:tcW w:w="8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174"/>
        </w:trPr>
        <w:tc>
          <w:tcPr>
            <w:tcW w:w="3180" w:type="dxa"/>
            <w:vAlign w:val="bottom"/>
          </w:tcPr>
          <w:p>
            <w:pPr>
              <w:jc w:val="center"/>
              <w:spacing w:after="0"/>
              <w:rPr>
                <w:sz w:val="20"/>
                <w:szCs w:val="20"/>
                <w:color w:val="auto"/>
              </w:rPr>
            </w:pPr>
            <w:r>
              <w:rPr>
                <w:rFonts w:ascii="Arial" w:cs="Arial" w:eastAsia="Arial" w:hAnsi="Arial"/>
                <w:sz w:val="13"/>
                <w:szCs w:val="13"/>
                <w:color w:val="131E29"/>
                <w:w w:val="96"/>
              </w:rPr>
              <w:t>Stephen Gillett</w:t>
            </w:r>
          </w:p>
        </w:tc>
        <w:tc>
          <w:tcPr>
            <w:tcW w:w="80" w:type="dxa"/>
            <w:vAlign w:val="bottom"/>
          </w:tcPr>
          <w:p>
            <w:pPr>
              <w:spacing w:after="0"/>
              <w:rPr>
                <w:sz w:val="15"/>
                <w:szCs w:val="15"/>
                <w:color w:val="auto"/>
              </w:rPr>
            </w:pPr>
          </w:p>
        </w:tc>
        <w:tc>
          <w:tcPr>
            <w:tcW w:w="5740" w:type="dxa"/>
            <w:vAlign w:val="bottom"/>
            <w:gridSpan w:val="2"/>
          </w:tcPr>
          <w:p>
            <w:pPr>
              <w:jc w:val="center"/>
              <w:ind w:right="100"/>
              <w:spacing w:after="0"/>
              <w:rPr>
                <w:sz w:val="20"/>
                <w:szCs w:val="20"/>
                <w:color w:val="auto"/>
              </w:rPr>
            </w:pPr>
            <w:r>
              <w:rPr>
                <w:rFonts w:ascii="Arial" w:cs="Arial" w:eastAsia="Arial" w:hAnsi="Arial"/>
                <w:sz w:val="13"/>
                <w:szCs w:val="13"/>
                <w:color w:val="131E29"/>
                <w:w w:val="96"/>
              </w:rPr>
              <w:t>Director</w:t>
            </w:r>
          </w:p>
        </w:tc>
        <w:tc>
          <w:tcPr>
            <w:tcW w:w="2280" w:type="dxa"/>
            <w:vAlign w:val="bottom"/>
          </w:tcPr>
          <w:p>
            <w:pPr>
              <w:jc w:val="center"/>
              <w:spacing w:after="0"/>
              <w:rPr>
                <w:sz w:val="20"/>
                <w:szCs w:val="20"/>
                <w:color w:val="auto"/>
              </w:rPr>
            </w:pPr>
            <w:r>
              <w:rPr>
                <w:rFonts w:ascii="Arial" w:cs="Arial" w:eastAsia="Arial" w:hAnsi="Arial"/>
                <w:sz w:val="13"/>
                <w:szCs w:val="13"/>
                <w:color w:val="131E29"/>
                <w:w w:val="97"/>
              </w:rPr>
              <w:t>February 27, 2023</w:t>
            </w:r>
          </w:p>
        </w:tc>
      </w:tr>
      <w:tr>
        <w:trPr>
          <w:trHeight w:val="241"/>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131E29"/>
                <w:w w:val="97"/>
              </w:rPr>
              <w:t>/s/ BLYTHE JACK</w:t>
            </w:r>
          </w:p>
        </w:tc>
        <w:tc>
          <w:tcPr>
            <w:tcW w:w="8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174"/>
        </w:trPr>
        <w:tc>
          <w:tcPr>
            <w:tcW w:w="3180" w:type="dxa"/>
            <w:vAlign w:val="bottom"/>
          </w:tcPr>
          <w:p>
            <w:pPr>
              <w:jc w:val="center"/>
              <w:spacing w:after="0"/>
              <w:rPr>
                <w:sz w:val="20"/>
                <w:szCs w:val="20"/>
                <w:color w:val="auto"/>
              </w:rPr>
            </w:pPr>
            <w:r>
              <w:rPr>
                <w:rFonts w:ascii="Arial" w:cs="Arial" w:eastAsia="Arial" w:hAnsi="Arial"/>
                <w:sz w:val="13"/>
                <w:szCs w:val="13"/>
                <w:color w:val="131E29"/>
                <w:w w:val="99"/>
              </w:rPr>
              <w:t>Blythe Jack</w:t>
            </w:r>
          </w:p>
        </w:tc>
        <w:tc>
          <w:tcPr>
            <w:tcW w:w="80" w:type="dxa"/>
            <w:vAlign w:val="bottom"/>
          </w:tcPr>
          <w:p>
            <w:pPr>
              <w:spacing w:after="0"/>
              <w:rPr>
                <w:sz w:val="15"/>
                <w:szCs w:val="15"/>
                <w:color w:val="auto"/>
              </w:rPr>
            </w:pPr>
          </w:p>
        </w:tc>
        <w:tc>
          <w:tcPr>
            <w:tcW w:w="5740" w:type="dxa"/>
            <w:vAlign w:val="bottom"/>
            <w:gridSpan w:val="2"/>
          </w:tcPr>
          <w:p>
            <w:pPr>
              <w:jc w:val="center"/>
              <w:ind w:right="100"/>
              <w:spacing w:after="0"/>
              <w:rPr>
                <w:sz w:val="20"/>
                <w:szCs w:val="20"/>
                <w:color w:val="auto"/>
              </w:rPr>
            </w:pPr>
            <w:r>
              <w:rPr>
                <w:rFonts w:ascii="Arial" w:cs="Arial" w:eastAsia="Arial" w:hAnsi="Arial"/>
                <w:sz w:val="13"/>
                <w:szCs w:val="13"/>
                <w:color w:val="131E29"/>
                <w:w w:val="96"/>
              </w:rPr>
              <w:t>Director</w:t>
            </w:r>
          </w:p>
        </w:tc>
        <w:tc>
          <w:tcPr>
            <w:tcW w:w="2280" w:type="dxa"/>
            <w:vAlign w:val="bottom"/>
          </w:tcPr>
          <w:p>
            <w:pPr>
              <w:jc w:val="center"/>
              <w:spacing w:after="0"/>
              <w:rPr>
                <w:sz w:val="20"/>
                <w:szCs w:val="20"/>
                <w:color w:val="auto"/>
              </w:rPr>
            </w:pPr>
            <w:r>
              <w:rPr>
                <w:rFonts w:ascii="Arial" w:cs="Arial" w:eastAsia="Arial" w:hAnsi="Arial"/>
                <w:sz w:val="13"/>
                <w:szCs w:val="13"/>
                <w:color w:val="131E29"/>
                <w:w w:val="97"/>
              </w:rPr>
              <w:t>February 27, 2023</w:t>
            </w:r>
          </w:p>
        </w:tc>
      </w:tr>
      <w:tr>
        <w:trPr>
          <w:trHeight w:val="241"/>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131E29"/>
                <w:w w:val="98"/>
              </w:rPr>
              <w:t>/s/ ANN MILLER</w:t>
            </w:r>
          </w:p>
        </w:tc>
        <w:tc>
          <w:tcPr>
            <w:tcW w:w="8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174"/>
        </w:trPr>
        <w:tc>
          <w:tcPr>
            <w:tcW w:w="3180" w:type="dxa"/>
            <w:vAlign w:val="bottom"/>
          </w:tcPr>
          <w:p>
            <w:pPr>
              <w:jc w:val="center"/>
              <w:spacing w:after="0"/>
              <w:rPr>
                <w:sz w:val="20"/>
                <w:szCs w:val="20"/>
                <w:color w:val="auto"/>
              </w:rPr>
            </w:pPr>
            <w:r>
              <w:rPr>
                <w:rFonts w:ascii="Arial" w:cs="Arial" w:eastAsia="Arial" w:hAnsi="Arial"/>
                <w:sz w:val="13"/>
                <w:szCs w:val="13"/>
                <w:color w:val="131E29"/>
              </w:rPr>
              <w:t>Ann Miller</w:t>
            </w:r>
          </w:p>
        </w:tc>
        <w:tc>
          <w:tcPr>
            <w:tcW w:w="80" w:type="dxa"/>
            <w:vAlign w:val="bottom"/>
          </w:tcPr>
          <w:p>
            <w:pPr>
              <w:spacing w:after="0"/>
              <w:rPr>
                <w:sz w:val="15"/>
                <w:szCs w:val="15"/>
                <w:color w:val="auto"/>
              </w:rPr>
            </w:pPr>
          </w:p>
        </w:tc>
        <w:tc>
          <w:tcPr>
            <w:tcW w:w="5740" w:type="dxa"/>
            <w:vAlign w:val="bottom"/>
            <w:gridSpan w:val="2"/>
          </w:tcPr>
          <w:p>
            <w:pPr>
              <w:jc w:val="center"/>
              <w:ind w:right="100"/>
              <w:spacing w:after="0"/>
              <w:rPr>
                <w:sz w:val="20"/>
                <w:szCs w:val="20"/>
                <w:color w:val="auto"/>
              </w:rPr>
            </w:pPr>
            <w:r>
              <w:rPr>
                <w:rFonts w:ascii="Arial" w:cs="Arial" w:eastAsia="Arial" w:hAnsi="Arial"/>
                <w:sz w:val="13"/>
                <w:szCs w:val="13"/>
                <w:color w:val="131E29"/>
                <w:w w:val="96"/>
              </w:rPr>
              <w:t>Director</w:t>
            </w:r>
          </w:p>
        </w:tc>
        <w:tc>
          <w:tcPr>
            <w:tcW w:w="2280" w:type="dxa"/>
            <w:vAlign w:val="bottom"/>
          </w:tcPr>
          <w:p>
            <w:pPr>
              <w:jc w:val="center"/>
              <w:spacing w:after="0"/>
              <w:rPr>
                <w:sz w:val="20"/>
                <w:szCs w:val="20"/>
                <w:color w:val="auto"/>
              </w:rPr>
            </w:pPr>
            <w:r>
              <w:rPr>
                <w:rFonts w:ascii="Arial" w:cs="Arial" w:eastAsia="Arial" w:hAnsi="Arial"/>
                <w:sz w:val="13"/>
                <w:szCs w:val="13"/>
                <w:color w:val="131E29"/>
                <w:w w:val="97"/>
              </w:rPr>
              <w:t>February 27, 2023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7">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143</w:t>
      </w:r>
    </w:p>
    <w:p>
      <w:pPr>
        <w:sectPr>
          <w:pgSz w:w="11900" w:h="16838" w:orient="portrait"/>
          <w:cols w:equalWidth="0" w:num="1">
            <w:col w:w="11280"/>
          </w:cols>
          <w:pgMar w:left="300" w:top="108" w:right="319" w:bottom="1440" w:gutter="0" w:footer="0" w:header="0"/>
        </w:sectPr>
      </w:pPr>
    </w:p>
    <w:bookmarkStart w:id="147" w:name="page148"/>
    <w:bookmarkEnd w:id="14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56" w:name="page157"/>
    <w:bookmarkEnd w:id="15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65" w:name="page166"/>
    <w:bookmarkEnd w:id="165"/>
    <w:p>
      <w:pPr>
        <w:jc w:val="right"/>
        <w:spacing w:after="0"/>
        <w:rPr>
          <w:sz w:val="20"/>
          <w:szCs w:val="20"/>
          <w:color w:val="auto"/>
        </w:rPr>
      </w:pPr>
      <w:r>
        <w:rPr>
          <w:rFonts w:ascii="Arial" w:cs="Arial" w:eastAsia="Arial" w:hAnsi="Arial"/>
          <w:sz w:val="13"/>
          <w:szCs w:val="13"/>
          <w:b w:val="1"/>
          <w:bCs w:val="1"/>
          <w:color w:val="131E29"/>
        </w:rPr>
        <w:t>Exhibit 21.1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000" w:type="dxa"/>
            <w:vAlign w:val="bottom"/>
          </w:tcPr>
          <w:p>
            <w:pPr>
              <w:spacing w:after="0"/>
              <w:rPr>
                <w:sz w:val="22"/>
                <w:szCs w:val="22"/>
                <w:color w:val="auto"/>
              </w:rPr>
            </w:pPr>
          </w:p>
        </w:tc>
        <w:tc>
          <w:tcPr>
            <w:tcW w:w="8280" w:type="dxa"/>
            <w:vAlign w:val="bottom"/>
            <w:gridSpan w:val="3"/>
          </w:tcPr>
          <w:p>
            <w:pPr>
              <w:jc w:val="center"/>
              <w:ind w:right="2909"/>
              <w:spacing w:after="0"/>
              <w:rPr>
                <w:sz w:val="20"/>
                <w:szCs w:val="20"/>
                <w:color w:val="auto"/>
              </w:rPr>
            </w:pPr>
            <w:r>
              <w:rPr>
                <w:rFonts w:ascii="Arial" w:cs="Arial" w:eastAsia="Arial" w:hAnsi="Arial"/>
                <w:sz w:val="20"/>
                <w:szCs w:val="20"/>
                <w:b w:val="1"/>
                <w:bCs w:val="1"/>
                <w:color w:val="00416B"/>
                <w:w w:val="99"/>
              </w:rPr>
              <w:t>Subsidiaries of Dutch Bros Inc.</w:t>
            </w:r>
          </w:p>
        </w:tc>
      </w:tr>
      <w:tr>
        <w:trPr>
          <w:trHeight w:val="207"/>
        </w:trPr>
        <w:tc>
          <w:tcPr>
            <w:tcW w:w="3000" w:type="dxa"/>
            <w:vAlign w:val="bottom"/>
          </w:tcPr>
          <w:p>
            <w:pPr>
              <w:spacing w:after="0"/>
              <w:rPr>
                <w:sz w:val="17"/>
                <w:szCs w:val="17"/>
                <w:color w:val="auto"/>
              </w:rPr>
            </w:pPr>
          </w:p>
        </w:tc>
        <w:tc>
          <w:tcPr>
            <w:tcW w:w="8280" w:type="dxa"/>
            <w:vAlign w:val="bottom"/>
            <w:gridSpan w:val="3"/>
          </w:tcPr>
          <w:p>
            <w:pPr>
              <w:jc w:val="center"/>
              <w:ind w:right="2929"/>
              <w:spacing w:after="0"/>
              <w:rPr>
                <w:sz w:val="20"/>
                <w:szCs w:val="20"/>
                <w:color w:val="auto"/>
              </w:rPr>
            </w:pPr>
            <w:r>
              <w:rPr>
                <w:rFonts w:ascii="Arial" w:cs="Arial" w:eastAsia="Arial" w:hAnsi="Arial"/>
                <w:sz w:val="14"/>
                <w:szCs w:val="14"/>
                <w:color w:val="131E29"/>
              </w:rPr>
              <w:t>As of December 31, 2022</w:t>
            </w:r>
          </w:p>
        </w:tc>
      </w:tr>
      <w:tr>
        <w:trPr>
          <w:trHeight w:val="329"/>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of Subsidiary</w:t>
            </w:r>
          </w:p>
        </w:tc>
        <w:tc>
          <w:tcPr>
            <w:tcW w:w="1900" w:type="dxa"/>
            <w:vAlign w:val="bottom"/>
            <w:tcBorders>
              <w:bottom w:val="single" w:sz="8" w:color="auto"/>
            </w:tcBorders>
          </w:tcPr>
          <w:p>
            <w:pPr>
              <w:spacing w:after="0"/>
              <w:rPr>
                <w:sz w:val="24"/>
                <w:szCs w:val="24"/>
                <w:color w:val="auto"/>
              </w:rPr>
            </w:pPr>
          </w:p>
        </w:tc>
        <w:tc>
          <w:tcPr>
            <w:tcW w:w="100" w:type="dxa"/>
            <w:vAlign w:val="bottom"/>
            <w:tcBorders>
              <w:bottom w:val="single" w:sz="8" w:color="D2DCE5"/>
            </w:tcBorders>
          </w:tcPr>
          <w:p>
            <w:pPr>
              <w:spacing w:after="0"/>
              <w:rPr>
                <w:sz w:val="24"/>
                <w:szCs w:val="24"/>
                <w:color w:val="auto"/>
              </w:rPr>
            </w:pPr>
          </w:p>
        </w:tc>
        <w:tc>
          <w:tcPr>
            <w:tcW w:w="6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Jurisdiction of Incorporation or Organization</w:t>
            </w:r>
          </w:p>
        </w:tc>
      </w:tr>
      <w:tr>
        <w:trPr>
          <w:trHeight w:val="171"/>
        </w:trPr>
        <w:tc>
          <w:tcPr>
            <w:tcW w:w="3000" w:type="dxa"/>
            <w:vAlign w:val="bottom"/>
            <w:shd w:val="clear" w:color="auto" w:fill="D2DCE5"/>
          </w:tcPr>
          <w:p>
            <w:pPr>
              <w:ind w:left="20"/>
              <w:spacing w:after="0"/>
              <w:rPr>
                <w:sz w:val="20"/>
                <w:szCs w:val="20"/>
                <w:color w:val="auto"/>
              </w:rPr>
            </w:pPr>
            <w:r>
              <w:rPr>
                <w:rFonts w:ascii="Arial" w:cs="Arial" w:eastAsia="Arial" w:hAnsi="Arial"/>
                <w:sz w:val="14"/>
                <w:szCs w:val="14"/>
                <w:color w:val="auto"/>
              </w:rPr>
              <w:t>Dutch Mafia, LLC</w:t>
            </w:r>
          </w:p>
        </w:tc>
        <w:tc>
          <w:tcPr>
            <w:tcW w:w="190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6280" w:type="dxa"/>
            <w:vAlign w:val="bottom"/>
            <w:shd w:val="clear" w:color="auto" w:fill="D2DCE5"/>
          </w:tcPr>
          <w:p>
            <w:pPr>
              <w:spacing w:after="0"/>
              <w:rPr>
                <w:sz w:val="20"/>
                <w:szCs w:val="20"/>
                <w:color w:val="auto"/>
              </w:rPr>
            </w:pPr>
            <w:r>
              <w:rPr>
                <w:rFonts w:ascii="Arial" w:cs="Arial" w:eastAsia="Arial" w:hAnsi="Arial"/>
                <w:sz w:val="14"/>
                <w:szCs w:val="14"/>
                <w:color w:val="auto"/>
              </w:rPr>
              <w:t>Delaware</w:t>
            </w:r>
          </w:p>
        </w:tc>
      </w:tr>
      <w:tr>
        <w:trPr>
          <w:trHeight w:val="180"/>
        </w:trPr>
        <w:tc>
          <w:tcPr>
            <w:tcW w:w="3000" w:type="dxa"/>
            <w:vAlign w:val="bottom"/>
          </w:tcPr>
          <w:p>
            <w:pPr>
              <w:ind w:left="20"/>
              <w:spacing w:after="0"/>
              <w:rPr>
                <w:sz w:val="20"/>
                <w:szCs w:val="20"/>
                <w:color w:val="auto"/>
              </w:rPr>
            </w:pPr>
            <w:r>
              <w:rPr>
                <w:rFonts w:ascii="Arial" w:cs="Arial" w:eastAsia="Arial" w:hAnsi="Arial"/>
                <w:sz w:val="14"/>
                <w:szCs w:val="14"/>
                <w:color w:val="auto"/>
              </w:rPr>
              <w:t>Boersma Bros. LLC</w:t>
            </w: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80" w:type="dxa"/>
            <w:vAlign w:val="bottom"/>
          </w:tcPr>
          <w:p>
            <w:pPr>
              <w:spacing w:after="0"/>
              <w:rPr>
                <w:sz w:val="20"/>
                <w:szCs w:val="20"/>
                <w:color w:val="auto"/>
              </w:rPr>
            </w:pPr>
            <w:r>
              <w:rPr>
                <w:rFonts w:ascii="Arial" w:cs="Arial" w:eastAsia="Arial" w:hAnsi="Arial"/>
                <w:sz w:val="14"/>
                <w:szCs w:val="14"/>
                <w:color w:val="auto"/>
              </w:rPr>
              <w:t>Oregon</w:t>
            </w:r>
          </w:p>
        </w:tc>
      </w:tr>
      <w:tr>
        <w:trPr>
          <w:trHeight w:val="181"/>
        </w:trPr>
        <w:tc>
          <w:tcPr>
            <w:tcW w:w="3000" w:type="dxa"/>
            <w:vAlign w:val="bottom"/>
            <w:shd w:val="clear" w:color="auto" w:fill="D2DCE5"/>
          </w:tcPr>
          <w:p>
            <w:pPr>
              <w:ind w:left="20"/>
              <w:spacing w:after="0"/>
              <w:rPr>
                <w:sz w:val="20"/>
                <w:szCs w:val="20"/>
                <w:color w:val="auto"/>
              </w:rPr>
            </w:pPr>
            <w:r>
              <w:rPr>
                <w:rFonts w:ascii="Arial" w:cs="Arial" w:eastAsia="Arial" w:hAnsi="Arial"/>
                <w:sz w:val="14"/>
                <w:szCs w:val="14"/>
                <w:color w:val="auto"/>
              </w:rPr>
              <w:t>DB Franchising USA, LLC</w:t>
            </w:r>
          </w:p>
        </w:tc>
        <w:tc>
          <w:tcPr>
            <w:tcW w:w="190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6280" w:type="dxa"/>
            <w:vAlign w:val="bottom"/>
            <w:shd w:val="clear" w:color="auto" w:fill="D2DCE5"/>
          </w:tcPr>
          <w:p>
            <w:pPr>
              <w:spacing w:after="0"/>
              <w:rPr>
                <w:sz w:val="20"/>
                <w:szCs w:val="20"/>
                <w:color w:val="auto"/>
              </w:rPr>
            </w:pPr>
            <w:r>
              <w:rPr>
                <w:rFonts w:ascii="Arial" w:cs="Arial" w:eastAsia="Arial" w:hAnsi="Arial"/>
                <w:sz w:val="14"/>
                <w:szCs w:val="14"/>
                <w:color w:val="auto"/>
              </w:rPr>
              <w:t>Oregon</w:t>
            </w:r>
          </w:p>
        </w:tc>
      </w:tr>
      <w:tr>
        <w:trPr>
          <w:trHeight w:val="180"/>
        </w:trPr>
        <w:tc>
          <w:tcPr>
            <w:tcW w:w="3000" w:type="dxa"/>
            <w:vAlign w:val="bottom"/>
          </w:tcPr>
          <w:p>
            <w:pPr>
              <w:ind w:left="20"/>
              <w:spacing w:after="0"/>
              <w:rPr>
                <w:sz w:val="20"/>
                <w:szCs w:val="20"/>
                <w:color w:val="auto"/>
              </w:rPr>
            </w:pPr>
            <w:r>
              <w:rPr>
                <w:rFonts w:ascii="Arial" w:cs="Arial" w:eastAsia="Arial" w:hAnsi="Arial"/>
                <w:sz w:val="14"/>
                <w:szCs w:val="14"/>
                <w:color w:val="auto"/>
              </w:rPr>
              <w:t>DB Management Co.</w:t>
            </w: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80" w:type="dxa"/>
            <w:vAlign w:val="bottom"/>
          </w:tcPr>
          <w:p>
            <w:pPr>
              <w:spacing w:after="0"/>
              <w:rPr>
                <w:sz w:val="20"/>
                <w:szCs w:val="20"/>
                <w:color w:val="auto"/>
              </w:rPr>
            </w:pPr>
            <w:r>
              <w:rPr>
                <w:rFonts w:ascii="Arial" w:cs="Arial" w:eastAsia="Arial" w:hAnsi="Arial"/>
                <w:sz w:val="14"/>
                <w:szCs w:val="14"/>
                <w:color w:val="auto"/>
              </w:rPr>
              <w:t>Delaware</w:t>
            </w:r>
          </w:p>
        </w:tc>
      </w:tr>
      <w:tr>
        <w:trPr>
          <w:trHeight w:val="181"/>
        </w:trPr>
        <w:tc>
          <w:tcPr>
            <w:tcW w:w="3000" w:type="dxa"/>
            <w:vAlign w:val="bottom"/>
            <w:shd w:val="clear" w:color="auto" w:fill="D2DCE5"/>
          </w:tcPr>
          <w:p>
            <w:pPr>
              <w:ind w:left="20"/>
              <w:spacing w:after="0"/>
              <w:rPr>
                <w:sz w:val="20"/>
                <w:szCs w:val="20"/>
                <w:color w:val="auto"/>
              </w:rPr>
            </w:pPr>
            <w:r>
              <w:rPr>
                <w:rFonts w:ascii="Arial" w:cs="Arial" w:eastAsia="Arial" w:hAnsi="Arial"/>
                <w:sz w:val="14"/>
                <w:szCs w:val="14"/>
                <w:color w:val="auto"/>
              </w:rPr>
              <w:t>Dutch Bros., LLC</w:t>
            </w:r>
          </w:p>
        </w:tc>
        <w:tc>
          <w:tcPr>
            <w:tcW w:w="190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6280" w:type="dxa"/>
            <w:vAlign w:val="bottom"/>
            <w:shd w:val="clear" w:color="auto" w:fill="D2DCE5"/>
          </w:tcPr>
          <w:p>
            <w:pPr>
              <w:spacing w:after="0"/>
              <w:rPr>
                <w:sz w:val="20"/>
                <w:szCs w:val="20"/>
                <w:color w:val="auto"/>
              </w:rPr>
            </w:pPr>
            <w:r>
              <w:rPr>
                <w:rFonts w:ascii="Arial" w:cs="Arial" w:eastAsia="Arial" w:hAnsi="Arial"/>
                <w:sz w:val="14"/>
                <w:szCs w:val="14"/>
                <w:color w:val="auto"/>
              </w:rPr>
              <w:t>Oregon</w:t>
            </w:r>
          </w:p>
        </w:tc>
      </w:tr>
      <w:tr>
        <w:trPr>
          <w:trHeight w:val="180"/>
        </w:trPr>
        <w:tc>
          <w:tcPr>
            <w:tcW w:w="3000" w:type="dxa"/>
            <w:vAlign w:val="bottom"/>
          </w:tcPr>
          <w:p>
            <w:pPr>
              <w:ind w:left="20"/>
              <w:spacing w:after="0"/>
              <w:rPr>
                <w:sz w:val="20"/>
                <w:szCs w:val="20"/>
                <w:color w:val="auto"/>
              </w:rPr>
            </w:pPr>
            <w:r>
              <w:rPr>
                <w:rFonts w:ascii="Arial" w:cs="Arial" w:eastAsia="Arial" w:hAnsi="Arial"/>
                <w:sz w:val="14"/>
                <w:szCs w:val="14"/>
                <w:color w:val="auto"/>
              </w:rPr>
              <w:t>Dutchwear, LLC</w:t>
            </w: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80" w:type="dxa"/>
            <w:vAlign w:val="bottom"/>
          </w:tcPr>
          <w:p>
            <w:pPr>
              <w:spacing w:after="0"/>
              <w:rPr>
                <w:sz w:val="20"/>
                <w:szCs w:val="20"/>
                <w:color w:val="auto"/>
              </w:rPr>
            </w:pPr>
            <w:r>
              <w:rPr>
                <w:rFonts w:ascii="Arial" w:cs="Arial" w:eastAsia="Arial" w:hAnsi="Arial"/>
                <w:sz w:val="14"/>
                <w:szCs w:val="14"/>
                <w:color w:val="auto"/>
              </w:rPr>
              <w:t>Oregon</w:t>
            </w:r>
          </w:p>
        </w:tc>
      </w:tr>
      <w:tr>
        <w:trPr>
          <w:trHeight w:val="181"/>
        </w:trPr>
        <w:tc>
          <w:tcPr>
            <w:tcW w:w="3000" w:type="dxa"/>
            <w:vAlign w:val="bottom"/>
            <w:shd w:val="clear" w:color="auto" w:fill="D2DCE5"/>
          </w:tcPr>
          <w:p>
            <w:pPr>
              <w:ind w:left="20"/>
              <w:spacing w:after="0"/>
              <w:rPr>
                <w:sz w:val="20"/>
                <w:szCs w:val="20"/>
                <w:color w:val="auto"/>
              </w:rPr>
            </w:pPr>
            <w:r>
              <w:rPr>
                <w:rFonts w:ascii="Arial" w:cs="Arial" w:eastAsia="Arial" w:hAnsi="Arial"/>
                <w:sz w:val="14"/>
                <w:szCs w:val="14"/>
                <w:color w:val="auto"/>
              </w:rPr>
              <w:t>BB Holdings AL, LLC</w:t>
            </w:r>
          </w:p>
        </w:tc>
        <w:tc>
          <w:tcPr>
            <w:tcW w:w="190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6280" w:type="dxa"/>
            <w:vAlign w:val="bottom"/>
            <w:shd w:val="clear" w:color="auto" w:fill="D2DCE5"/>
          </w:tcPr>
          <w:p>
            <w:pPr>
              <w:spacing w:after="0"/>
              <w:rPr>
                <w:sz w:val="20"/>
                <w:szCs w:val="20"/>
                <w:color w:val="auto"/>
              </w:rPr>
            </w:pPr>
            <w:r>
              <w:rPr>
                <w:rFonts w:ascii="Arial" w:cs="Arial" w:eastAsia="Arial" w:hAnsi="Arial"/>
                <w:sz w:val="14"/>
                <w:szCs w:val="14"/>
                <w:color w:val="auto"/>
              </w:rPr>
              <w:t>Oregon</w:t>
            </w:r>
          </w:p>
        </w:tc>
      </w:tr>
      <w:tr>
        <w:trPr>
          <w:trHeight w:val="180"/>
        </w:trPr>
        <w:tc>
          <w:tcPr>
            <w:tcW w:w="3000" w:type="dxa"/>
            <w:vAlign w:val="bottom"/>
          </w:tcPr>
          <w:p>
            <w:pPr>
              <w:ind w:left="20"/>
              <w:spacing w:after="0"/>
              <w:rPr>
                <w:sz w:val="20"/>
                <w:szCs w:val="20"/>
                <w:color w:val="auto"/>
              </w:rPr>
            </w:pPr>
            <w:r>
              <w:rPr>
                <w:rFonts w:ascii="Arial" w:cs="Arial" w:eastAsia="Arial" w:hAnsi="Arial"/>
                <w:sz w:val="14"/>
                <w:szCs w:val="14"/>
                <w:color w:val="auto"/>
              </w:rPr>
              <w:t>BB Holdings AR, LLC</w:t>
            </w: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80" w:type="dxa"/>
            <w:vAlign w:val="bottom"/>
          </w:tcPr>
          <w:p>
            <w:pPr>
              <w:spacing w:after="0"/>
              <w:rPr>
                <w:sz w:val="20"/>
                <w:szCs w:val="20"/>
                <w:color w:val="auto"/>
              </w:rPr>
            </w:pPr>
            <w:r>
              <w:rPr>
                <w:rFonts w:ascii="Arial" w:cs="Arial" w:eastAsia="Arial" w:hAnsi="Arial"/>
                <w:sz w:val="14"/>
                <w:szCs w:val="14"/>
                <w:color w:val="auto"/>
              </w:rPr>
              <w:t>Oregon</w:t>
            </w:r>
          </w:p>
        </w:tc>
      </w:tr>
      <w:tr>
        <w:trPr>
          <w:trHeight w:val="181"/>
        </w:trPr>
        <w:tc>
          <w:tcPr>
            <w:tcW w:w="3000" w:type="dxa"/>
            <w:vAlign w:val="bottom"/>
            <w:shd w:val="clear" w:color="auto" w:fill="D2DCE5"/>
          </w:tcPr>
          <w:p>
            <w:pPr>
              <w:ind w:left="20"/>
              <w:spacing w:after="0"/>
              <w:rPr>
                <w:sz w:val="20"/>
                <w:szCs w:val="20"/>
                <w:color w:val="auto"/>
              </w:rPr>
            </w:pPr>
            <w:r>
              <w:rPr>
                <w:rFonts w:ascii="Arial" w:cs="Arial" w:eastAsia="Arial" w:hAnsi="Arial"/>
                <w:sz w:val="14"/>
                <w:szCs w:val="14"/>
                <w:color w:val="auto"/>
              </w:rPr>
              <w:t>BB Holdings AZ, LLC</w:t>
            </w:r>
          </w:p>
        </w:tc>
        <w:tc>
          <w:tcPr>
            <w:tcW w:w="190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6280" w:type="dxa"/>
            <w:vAlign w:val="bottom"/>
            <w:shd w:val="clear" w:color="auto" w:fill="D2DCE5"/>
          </w:tcPr>
          <w:p>
            <w:pPr>
              <w:spacing w:after="0"/>
              <w:rPr>
                <w:sz w:val="20"/>
                <w:szCs w:val="20"/>
                <w:color w:val="auto"/>
              </w:rPr>
            </w:pPr>
            <w:r>
              <w:rPr>
                <w:rFonts w:ascii="Arial" w:cs="Arial" w:eastAsia="Arial" w:hAnsi="Arial"/>
                <w:sz w:val="14"/>
                <w:szCs w:val="14"/>
                <w:color w:val="auto"/>
              </w:rPr>
              <w:t>Oregon</w:t>
            </w:r>
          </w:p>
        </w:tc>
      </w:tr>
      <w:tr>
        <w:trPr>
          <w:trHeight w:val="180"/>
        </w:trPr>
        <w:tc>
          <w:tcPr>
            <w:tcW w:w="3000" w:type="dxa"/>
            <w:vAlign w:val="bottom"/>
          </w:tcPr>
          <w:p>
            <w:pPr>
              <w:ind w:left="20"/>
              <w:spacing w:after="0"/>
              <w:rPr>
                <w:sz w:val="20"/>
                <w:szCs w:val="20"/>
                <w:color w:val="auto"/>
              </w:rPr>
            </w:pPr>
            <w:r>
              <w:rPr>
                <w:rFonts w:ascii="Arial" w:cs="Arial" w:eastAsia="Arial" w:hAnsi="Arial"/>
                <w:sz w:val="14"/>
                <w:szCs w:val="14"/>
                <w:color w:val="auto"/>
              </w:rPr>
              <w:t>BB Holdings CA, LLC</w:t>
            </w: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80" w:type="dxa"/>
            <w:vAlign w:val="bottom"/>
          </w:tcPr>
          <w:p>
            <w:pPr>
              <w:spacing w:after="0"/>
              <w:rPr>
                <w:sz w:val="20"/>
                <w:szCs w:val="20"/>
                <w:color w:val="auto"/>
              </w:rPr>
            </w:pPr>
            <w:r>
              <w:rPr>
                <w:rFonts w:ascii="Arial" w:cs="Arial" w:eastAsia="Arial" w:hAnsi="Arial"/>
                <w:sz w:val="14"/>
                <w:szCs w:val="14"/>
                <w:color w:val="auto"/>
              </w:rPr>
              <w:t>Oregon</w:t>
            </w:r>
          </w:p>
        </w:tc>
      </w:tr>
      <w:tr>
        <w:trPr>
          <w:trHeight w:val="181"/>
        </w:trPr>
        <w:tc>
          <w:tcPr>
            <w:tcW w:w="3000" w:type="dxa"/>
            <w:vAlign w:val="bottom"/>
            <w:shd w:val="clear" w:color="auto" w:fill="D2DCE5"/>
          </w:tcPr>
          <w:p>
            <w:pPr>
              <w:ind w:left="20"/>
              <w:spacing w:after="0"/>
              <w:rPr>
                <w:sz w:val="20"/>
                <w:szCs w:val="20"/>
                <w:color w:val="auto"/>
              </w:rPr>
            </w:pPr>
            <w:r>
              <w:rPr>
                <w:rFonts w:ascii="Arial" w:cs="Arial" w:eastAsia="Arial" w:hAnsi="Arial"/>
                <w:sz w:val="14"/>
                <w:szCs w:val="14"/>
                <w:color w:val="auto"/>
              </w:rPr>
              <w:t>BB Holdings Colorado, LLC</w:t>
            </w:r>
          </w:p>
        </w:tc>
        <w:tc>
          <w:tcPr>
            <w:tcW w:w="190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6280" w:type="dxa"/>
            <w:vAlign w:val="bottom"/>
            <w:shd w:val="clear" w:color="auto" w:fill="D2DCE5"/>
          </w:tcPr>
          <w:p>
            <w:pPr>
              <w:spacing w:after="0"/>
              <w:rPr>
                <w:sz w:val="20"/>
                <w:szCs w:val="20"/>
                <w:color w:val="auto"/>
              </w:rPr>
            </w:pPr>
            <w:r>
              <w:rPr>
                <w:rFonts w:ascii="Arial" w:cs="Arial" w:eastAsia="Arial" w:hAnsi="Arial"/>
                <w:sz w:val="14"/>
                <w:szCs w:val="14"/>
                <w:color w:val="auto"/>
              </w:rPr>
              <w:t>Oregon</w:t>
            </w:r>
          </w:p>
        </w:tc>
      </w:tr>
      <w:tr>
        <w:trPr>
          <w:trHeight w:val="180"/>
        </w:trPr>
        <w:tc>
          <w:tcPr>
            <w:tcW w:w="3000" w:type="dxa"/>
            <w:vAlign w:val="bottom"/>
          </w:tcPr>
          <w:p>
            <w:pPr>
              <w:ind w:left="20"/>
              <w:spacing w:after="0"/>
              <w:rPr>
                <w:sz w:val="20"/>
                <w:szCs w:val="20"/>
                <w:color w:val="auto"/>
              </w:rPr>
            </w:pPr>
            <w:r>
              <w:rPr>
                <w:rFonts w:ascii="Arial" w:cs="Arial" w:eastAsia="Arial" w:hAnsi="Arial"/>
                <w:sz w:val="14"/>
                <w:szCs w:val="14"/>
                <w:color w:val="auto"/>
              </w:rPr>
              <w:t>BB Holdings FL, LLC</w:t>
            </w: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80" w:type="dxa"/>
            <w:vAlign w:val="bottom"/>
          </w:tcPr>
          <w:p>
            <w:pPr>
              <w:spacing w:after="0"/>
              <w:rPr>
                <w:sz w:val="20"/>
                <w:szCs w:val="20"/>
                <w:color w:val="auto"/>
              </w:rPr>
            </w:pPr>
            <w:r>
              <w:rPr>
                <w:rFonts w:ascii="Arial" w:cs="Arial" w:eastAsia="Arial" w:hAnsi="Arial"/>
                <w:sz w:val="14"/>
                <w:szCs w:val="14"/>
                <w:color w:val="auto"/>
              </w:rPr>
              <w:t>Oregon</w:t>
            </w:r>
          </w:p>
        </w:tc>
      </w:tr>
      <w:tr>
        <w:trPr>
          <w:trHeight w:val="181"/>
        </w:trPr>
        <w:tc>
          <w:tcPr>
            <w:tcW w:w="3000" w:type="dxa"/>
            <w:vAlign w:val="bottom"/>
            <w:shd w:val="clear" w:color="auto" w:fill="D2DCE5"/>
          </w:tcPr>
          <w:p>
            <w:pPr>
              <w:ind w:left="20"/>
              <w:spacing w:after="0"/>
              <w:rPr>
                <w:sz w:val="20"/>
                <w:szCs w:val="20"/>
                <w:color w:val="auto"/>
              </w:rPr>
            </w:pPr>
            <w:r>
              <w:rPr>
                <w:rFonts w:ascii="Arial" w:cs="Arial" w:eastAsia="Arial" w:hAnsi="Arial"/>
                <w:sz w:val="14"/>
                <w:szCs w:val="14"/>
                <w:color w:val="auto"/>
              </w:rPr>
              <w:t>BB Holdings ID, LLC</w:t>
            </w:r>
          </w:p>
        </w:tc>
        <w:tc>
          <w:tcPr>
            <w:tcW w:w="190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6280" w:type="dxa"/>
            <w:vAlign w:val="bottom"/>
            <w:shd w:val="clear" w:color="auto" w:fill="D2DCE5"/>
          </w:tcPr>
          <w:p>
            <w:pPr>
              <w:spacing w:after="0"/>
              <w:rPr>
                <w:sz w:val="20"/>
                <w:szCs w:val="20"/>
                <w:color w:val="auto"/>
              </w:rPr>
            </w:pPr>
            <w:r>
              <w:rPr>
                <w:rFonts w:ascii="Arial" w:cs="Arial" w:eastAsia="Arial" w:hAnsi="Arial"/>
                <w:sz w:val="14"/>
                <w:szCs w:val="14"/>
                <w:color w:val="auto"/>
              </w:rPr>
              <w:t>Oregon</w:t>
            </w:r>
          </w:p>
        </w:tc>
      </w:tr>
      <w:tr>
        <w:trPr>
          <w:trHeight w:val="180"/>
        </w:trPr>
        <w:tc>
          <w:tcPr>
            <w:tcW w:w="3000" w:type="dxa"/>
            <w:vAlign w:val="bottom"/>
          </w:tcPr>
          <w:p>
            <w:pPr>
              <w:ind w:left="20"/>
              <w:spacing w:after="0"/>
              <w:rPr>
                <w:sz w:val="20"/>
                <w:szCs w:val="20"/>
                <w:color w:val="auto"/>
              </w:rPr>
            </w:pPr>
            <w:r>
              <w:rPr>
                <w:rFonts w:ascii="Arial" w:cs="Arial" w:eastAsia="Arial" w:hAnsi="Arial"/>
                <w:sz w:val="14"/>
                <w:szCs w:val="14"/>
                <w:color w:val="auto"/>
              </w:rPr>
              <w:t>BB Holdings KS, LLC</w:t>
            </w: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80" w:type="dxa"/>
            <w:vAlign w:val="bottom"/>
          </w:tcPr>
          <w:p>
            <w:pPr>
              <w:spacing w:after="0"/>
              <w:rPr>
                <w:sz w:val="20"/>
                <w:szCs w:val="20"/>
                <w:color w:val="auto"/>
              </w:rPr>
            </w:pPr>
            <w:r>
              <w:rPr>
                <w:rFonts w:ascii="Arial" w:cs="Arial" w:eastAsia="Arial" w:hAnsi="Arial"/>
                <w:sz w:val="14"/>
                <w:szCs w:val="14"/>
                <w:color w:val="auto"/>
              </w:rPr>
              <w:t>Oregon</w:t>
            </w:r>
          </w:p>
        </w:tc>
      </w:tr>
      <w:tr>
        <w:trPr>
          <w:trHeight w:val="181"/>
        </w:trPr>
        <w:tc>
          <w:tcPr>
            <w:tcW w:w="3000" w:type="dxa"/>
            <w:vAlign w:val="bottom"/>
            <w:shd w:val="clear" w:color="auto" w:fill="D2DCE5"/>
          </w:tcPr>
          <w:p>
            <w:pPr>
              <w:ind w:left="20"/>
              <w:spacing w:after="0"/>
              <w:rPr>
                <w:sz w:val="20"/>
                <w:szCs w:val="20"/>
                <w:color w:val="auto"/>
              </w:rPr>
            </w:pPr>
            <w:r>
              <w:rPr>
                <w:rFonts w:ascii="Arial" w:cs="Arial" w:eastAsia="Arial" w:hAnsi="Arial"/>
                <w:sz w:val="14"/>
                <w:szCs w:val="14"/>
                <w:color w:val="auto"/>
              </w:rPr>
              <w:t>BB Holdings KY, LLC</w:t>
            </w:r>
          </w:p>
        </w:tc>
        <w:tc>
          <w:tcPr>
            <w:tcW w:w="190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6280" w:type="dxa"/>
            <w:vAlign w:val="bottom"/>
            <w:shd w:val="clear" w:color="auto" w:fill="D2DCE5"/>
          </w:tcPr>
          <w:p>
            <w:pPr>
              <w:spacing w:after="0"/>
              <w:rPr>
                <w:sz w:val="20"/>
                <w:szCs w:val="20"/>
                <w:color w:val="auto"/>
              </w:rPr>
            </w:pPr>
            <w:r>
              <w:rPr>
                <w:rFonts w:ascii="Arial" w:cs="Arial" w:eastAsia="Arial" w:hAnsi="Arial"/>
                <w:sz w:val="14"/>
                <w:szCs w:val="14"/>
                <w:color w:val="auto"/>
              </w:rPr>
              <w:t>Oregon</w:t>
            </w:r>
          </w:p>
        </w:tc>
      </w:tr>
      <w:tr>
        <w:trPr>
          <w:trHeight w:val="180"/>
        </w:trPr>
        <w:tc>
          <w:tcPr>
            <w:tcW w:w="3000" w:type="dxa"/>
            <w:vAlign w:val="bottom"/>
          </w:tcPr>
          <w:p>
            <w:pPr>
              <w:ind w:left="20"/>
              <w:spacing w:after="0"/>
              <w:rPr>
                <w:sz w:val="20"/>
                <w:szCs w:val="20"/>
                <w:color w:val="auto"/>
              </w:rPr>
            </w:pPr>
            <w:r>
              <w:rPr>
                <w:rFonts w:ascii="Arial" w:cs="Arial" w:eastAsia="Arial" w:hAnsi="Arial"/>
                <w:sz w:val="14"/>
                <w:szCs w:val="14"/>
                <w:color w:val="auto"/>
              </w:rPr>
              <w:t>BB Holdings MO, LLC</w:t>
            </w: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80" w:type="dxa"/>
            <w:vAlign w:val="bottom"/>
          </w:tcPr>
          <w:p>
            <w:pPr>
              <w:spacing w:after="0"/>
              <w:rPr>
                <w:sz w:val="20"/>
                <w:szCs w:val="20"/>
                <w:color w:val="auto"/>
              </w:rPr>
            </w:pPr>
            <w:r>
              <w:rPr>
                <w:rFonts w:ascii="Arial" w:cs="Arial" w:eastAsia="Arial" w:hAnsi="Arial"/>
                <w:sz w:val="14"/>
                <w:szCs w:val="14"/>
                <w:color w:val="auto"/>
              </w:rPr>
              <w:t>Oregon</w:t>
            </w:r>
          </w:p>
        </w:tc>
      </w:tr>
      <w:tr>
        <w:trPr>
          <w:trHeight w:val="181"/>
        </w:trPr>
        <w:tc>
          <w:tcPr>
            <w:tcW w:w="3000" w:type="dxa"/>
            <w:vAlign w:val="bottom"/>
            <w:shd w:val="clear" w:color="auto" w:fill="D2DCE5"/>
          </w:tcPr>
          <w:p>
            <w:pPr>
              <w:ind w:left="20"/>
              <w:spacing w:after="0"/>
              <w:rPr>
                <w:sz w:val="20"/>
                <w:szCs w:val="20"/>
                <w:color w:val="auto"/>
              </w:rPr>
            </w:pPr>
            <w:r>
              <w:rPr>
                <w:rFonts w:ascii="Arial" w:cs="Arial" w:eastAsia="Arial" w:hAnsi="Arial"/>
                <w:sz w:val="14"/>
                <w:szCs w:val="14"/>
                <w:color w:val="auto"/>
              </w:rPr>
              <w:t>BB Holdings NM, LLC</w:t>
            </w:r>
          </w:p>
        </w:tc>
        <w:tc>
          <w:tcPr>
            <w:tcW w:w="190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6280" w:type="dxa"/>
            <w:vAlign w:val="bottom"/>
            <w:shd w:val="clear" w:color="auto" w:fill="D2DCE5"/>
          </w:tcPr>
          <w:p>
            <w:pPr>
              <w:spacing w:after="0"/>
              <w:rPr>
                <w:sz w:val="20"/>
                <w:szCs w:val="20"/>
                <w:color w:val="auto"/>
              </w:rPr>
            </w:pPr>
            <w:r>
              <w:rPr>
                <w:rFonts w:ascii="Arial" w:cs="Arial" w:eastAsia="Arial" w:hAnsi="Arial"/>
                <w:sz w:val="14"/>
                <w:szCs w:val="14"/>
                <w:color w:val="auto"/>
              </w:rPr>
              <w:t>Oregon</w:t>
            </w:r>
          </w:p>
        </w:tc>
      </w:tr>
      <w:tr>
        <w:trPr>
          <w:trHeight w:val="180"/>
        </w:trPr>
        <w:tc>
          <w:tcPr>
            <w:tcW w:w="3000" w:type="dxa"/>
            <w:vAlign w:val="bottom"/>
          </w:tcPr>
          <w:p>
            <w:pPr>
              <w:ind w:left="20"/>
              <w:spacing w:after="0"/>
              <w:rPr>
                <w:sz w:val="20"/>
                <w:szCs w:val="20"/>
                <w:color w:val="auto"/>
              </w:rPr>
            </w:pPr>
            <w:r>
              <w:rPr>
                <w:rFonts w:ascii="Arial" w:cs="Arial" w:eastAsia="Arial" w:hAnsi="Arial"/>
                <w:sz w:val="14"/>
                <w:szCs w:val="14"/>
                <w:color w:val="auto"/>
              </w:rPr>
              <w:t>BB Holdings NV, LLC</w:t>
            </w: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80" w:type="dxa"/>
            <w:vAlign w:val="bottom"/>
          </w:tcPr>
          <w:p>
            <w:pPr>
              <w:spacing w:after="0"/>
              <w:rPr>
                <w:sz w:val="20"/>
                <w:szCs w:val="20"/>
                <w:color w:val="auto"/>
              </w:rPr>
            </w:pPr>
            <w:r>
              <w:rPr>
                <w:rFonts w:ascii="Arial" w:cs="Arial" w:eastAsia="Arial" w:hAnsi="Arial"/>
                <w:sz w:val="14"/>
                <w:szCs w:val="14"/>
                <w:color w:val="auto"/>
              </w:rPr>
              <w:t>Oregon</w:t>
            </w:r>
          </w:p>
        </w:tc>
      </w:tr>
      <w:tr>
        <w:trPr>
          <w:trHeight w:val="181"/>
        </w:trPr>
        <w:tc>
          <w:tcPr>
            <w:tcW w:w="3000" w:type="dxa"/>
            <w:vAlign w:val="bottom"/>
            <w:shd w:val="clear" w:color="auto" w:fill="D2DCE5"/>
          </w:tcPr>
          <w:p>
            <w:pPr>
              <w:ind w:left="20"/>
              <w:spacing w:after="0"/>
              <w:rPr>
                <w:sz w:val="20"/>
                <w:szCs w:val="20"/>
                <w:color w:val="auto"/>
              </w:rPr>
            </w:pPr>
            <w:r>
              <w:rPr>
                <w:rFonts w:ascii="Arial" w:cs="Arial" w:eastAsia="Arial" w:hAnsi="Arial"/>
                <w:sz w:val="14"/>
                <w:szCs w:val="14"/>
                <w:color w:val="auto"/>
              </w:rPr>
              <w:t>BB Holdings OK Group, LLC</w:t>
            </w:r>
          </w:p>
        </w:tc>
        <w:tc>
          <w:tcPr>
            <w:tcW w:w="190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6280" w:type="dxa"/>
            <w:vAlign w:val="bottom"/>
            <w:shd w:val="clear" w:color="auto" w:fill="D2DCE5"/>
          </w:tcPr>
          <w:p>
            <w:pPr>
              <w:spacing w:after="0"/>
              <w:rPr>
                <w:sz w:val="20"/>
                <w:szCs w:val="20"/>
                <w:color w:val="auto"/>
              </w:rPr>
            </w:pPr>
            <w:r>
              <w:rPr>
                <w:rFonts w:ascii="Arial" w:cs="Arial" w:eastAsia="Arial" w:hAnsi="Arial"/>
                <w:sz w:val="14"/>
                <w:szCs w:val="14"/>
                <w:color w:val="auto"/>
              </w:rPr>
              <w:t>Oregon</w:t>
            </w:r>
          </w:p>
        </w:tc>
      </w:tr>
      <w:tr>
        <w:trPr>
          <w:trHeight w:val="180"/>
        </w:trPr>
        <w:tc>
          <w:tcPr>
            <w:tcW w:w="3000" w:type="dxa"/>
            <w:vAlign w:val="bottom"/>
          </w:tcPr>
          <w:p>
            <w:pPr>
              <w:ind w:left="20"/>
              <w:spacing w:after="0"/>
              <w:rPr>
                <w:sz w:val="20"/>
                <w:szCs w:val="20"/>
                <w:color w:val="auto"/>
              </w:rPr>
            </w:pPr>
            <w:r>
              <w:rPr>
                <w:rFonts w:ascii="Arial" w:cs="Arial" w:eastAsia="Arial" w:hAnsi="Arial"/>
                <w:sz w:val="14"/>
                <w:szCs w:val="14"/>
                <w:color w:val="auto"/>
              </w:rPr>
              <w:t>BB Holdings OR, LLC</w:t>
            </w: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80" w:type="dxa"/>
            <w:vAlign w:val="bottom"/>
          </w:tcPr>
          <w:p>
            <w:pPr>
              <w:spacing w:after="0"/>
              <w:rPr>
                <w:sz w:val="20"/>
                <w:szCs w:val="20"/>
                <w:color w:val="auto"/>
              </w:rPr>
            </w:pPr>
            <w:r>
              <w:rPr>
                <w:rFonts w:ascii="Arial" w:cs="Arial" w:eastAsia="Arial" w:hAnsi="Arial"/>
                <w:sz w:val="14"/>
                <w:szCs w:val="14"/>
                <w:color w:val="auto"/>
              </w:rPr>
              <w:t>Oregon</w:t>
            </w:r>
          </w:p>
        </w:tc>
      </w:tr>
      <w:tr>
        <w:trPr>
          <w:trHeight w:val="181"/>
        </w:trPr>
        <w:tc>
          <w:tcPr>
            <w:tcW w:w="3000" w:type="dxa"/>
            <w:vAlign w:val="bottom"/>
            <w:shd w:val="clear" w:color="auto" w:fill="D2DCE5"/>
          </w:tcPr>
          <w:p>
            <w:pPr>
              <w:ind w:left="20"/>
              <w:spacing w:after="0"/>
              <w:rPr>
                <w:sz w:val="20"/>
                <w:szCs w:val="20"/>
                <w:color w:val="auto"/>
              </w:rPr>
            </w:pPr>
            <w:r>
              <w:rPr>
                <w:rFonts w:ascii="Arial" w:cs="Arial" w:eastAsia="Arial" w:hAnsi="Arial"/>
                <w:sz w:val="14"/>
                <w:szCs w:val="14"/>
                <w:color w:val="auto"/>
              </w:rPr>
              <w:t>BB Holdings TN, LLC</w:t>
            </w:r>
          </w:p>
        </w:tc>
        <w:tc>
          <w:tcPr>
            <w:tcW w:w="190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6280" w:type="dxa"/>
            <w:vAlign w:val="bottom"/>
            <w:shd w:val="clear" w:color="auto" w:fill="D2DCE5"/>
          </w:tcPr>
          <w:p>
            <w:pPr>
              <w:spacing w:after="0"/>
              <w:rPr>
                <w:sz w:val="20"/>
                <w:szCs w:val="20"/>
                <w:color w:val="auto"/>
              </w:rPr>
            </w:pPr>
            <w:r>
              <w:rPr>
                <w:rFonts w:ascii="Arial" w:cs="Arial" w:eastAsia="Arial" w:hAnsi="Arial"/>
                <w:sz w:val="14"/>
                <w:szCs w:val="14"/>
                <w:color w:val="auto"/>
              </w:rPr>
              <w:t>Oregon</w:t>
            </w:r>
          </w:p>
        </w:tc>
      </w:tr>
      <w:tr>
        <w:trPr>
          <w:trHeight w:val="180"/>
        </w:trPr>
        <w:tc>
          <w:tcPr>
            <w:tcW w:w="3000" w:type="dxa"/>
            <w:vAlign w:val="bottom"/>
          </w:tcPr>
          <w:p>
            <w:pPr>
              <w:ind w:left="20"/>
              <w:spacing w:after="0"/>
              <w:rPr>
                <w:sz w:val="20"/>
                <w:szCs w:val="20"/>
                <w:color w:val="auto"/>
              </w:rPr>
            </w:pPr>
            <w:r>
              <w:rPr>
                <w:rFonts w:ascii="Arial" w:cs="Arial" w:eastAsia="Arial" w:hAnsi="Arial"/>
                <w:sz w:val="14"/>
                <w:szCs w:val="14"/>
                <w:color w:val="auto"/>
              </w:rPr>
              <w:t>BB Holdings TX, LLC</w:t>
            </w: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80" w:type="dxa"/>
            <w:vAlign w:val="bottom"/>
          </w:tcPr>
          <w:p>
            <w:pPr>
              <w:spacing w:after="0"/>
              <w:rPr>
                <w:sz w:val="20"/>
                <w:szCs w:val="20"/>
                <w:color w:val="auto"/>
              </w:rPr>
            </w:pPr>
            <w:r>
              <w:rPr>
                <w:rFonts w:ascii="Arial" w:cs="Arial" w:eastAsia="Arial" w:hAnsi="Arial"/>
                <w:sz w:val="14"/>
                <w:szCs w:val="14"/>
                <w:color w:val="auto"/>
              </w:rPr>
              <w:t>Oregon</w:t>
            </w:r>
          </w:p>
        </w:tc>
      </w:tr>
      <w:tr>
        <w:trPr>
          <w:trHeight w:val="181"/>
        </w:trPr>
        <w:tc>
          <w:tcPr>
            <w:tcW w:w="3000" w:type="dxa"/>
            <w:vAlign w:val="bottom"/>
            <w:shd w:val="clear" w:color="auto" w:fill="D2DCE5"/>
          </w:tcPr>
          <w:p>
            <w:pPr>
              <w:ind w:left="20"/>
              <w:spacing w:after="0"/>
              <w:rPr>
                <w:sz w:val="20"/>
                <w:szCs w:val="20"/>
                <w:color w:val="auto"/>
              </w:rPr>
            </w:pPr>
            <w:r>
              <w:rPr>
                <w:rFonts w:ascii="Arial" w:cs="Arial" w:eastAsia="Arial" w:hAnsi="Arial"/>
                <w:sz w:val="14"/>
                <w:szCs w:val="14"/>
                <w:color w:val="auto"/>
              </w:rPr>
              <w:t>BB Holdings UT, LLC</w:t>
            </w:r>
          </w:p>
        </w:tc>
        <w:tc>
          <w:tcPr>
            <w:tcW w:w="190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6280" w:type="dxa"/>
            <w:vAlign w:val="bottom"/>
            <w:shd w:val="clear" w:color="auto" w:fill="D2DCE5"/>
          </w:tcPr>
          <w:p>
            <w:pPr>
              <w:spacing w:after="0"/>
              <w:rPr>
                <w:sz w:val="20"/>
                <w:szCs w:val="20"/>
                <w:color w:val="auto"/>
              </w:rPr>
            </w:pPr>
            <w:r>
              <w:rPr>
                <w:rFonts w:ascii="Arial" w:cs="Arial" w:eastAsia="Arial" w:hAnsi="Arial"/>
                <w:sz w:val="14"/>
                <w:szCs w:val="14"/>
                <w:color w:val="auto"/>
              </w:rPr>
              <w:t>Oregon</w:t>
            </w:r>
          </w:p>
        </w:tc>
      </w:tr>
      <w:tr>
        <w:trPr>
          <w:trHeight w:val="180"/>
        </w:trPr>
        <w:tc>
          <w:tcPr>
            <w:tcW w:w="3000" w:type="dxa"/>
            <w:vAlign w:val="bottom"/>
          </w:tcPr>
          <w:p>
            <w:pPr>
              <w:ind w:left="20"/>
              <w:spacing w:after="0"/>
              <w:rPr>
                <w:sz w:val="20"/>
                <w:szCs w:val="20"/>
                <w:color w:val="auto"/>
              </w:rPr>
            </w:pPr>
            <w:r>
              <w:rPr>
                <w:rFonts w:ascii="Arial" w:cs="Arial" w:eastAsia="Arial" w:hAnsi="Arial"/>
                <w:sz w:val="14"/>
                <w:szCs w:val="14"/>
                <w:color w:val="auto"/>
              </w:rPr>
              <w:t>BB Holdings WA, LLC</w:t>
            </w: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80" w:type="dxa"/>
            <w:vAlign w:val="bottom"/>
          </w:tcPr>
          <w:p>
            <w:pPr>
              <w:spacing w:after="0"/>
              <w:rPr>
                <w:sz w:val="20"/>
                <w:szCs w:val="20"/>
                <w:color w:val="auto"/>
              </w:rPr>
            </w:pPr>
            <w:r>
              <w:rPr>
                <w:rFonts w:ascii="Arial" w:cs="Arial" w:eastAsia="Arial" w:hAnsi="Arial"/>
                <w:sz w:val="14"/>
                <w:szCs w:val="14"/>
                <w:color w:val="auto"/>
              </w:rPr>
              <w:t>Oregon</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4">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Exhibit 21.1</w:t>
      </w:r>
    </w:p>
    <w:p>
      <w:pPr>
        <w:sectPr>
          <w:pgSz w:w="11900" w:h="16838" w:orient="portrait"/>
          <w:cols w:equalWidth="0" w:num="1">
            <w:col w:w="11280"/>
          </w:cols>
          <w:pgMar w:left="300" w:top="125" w:right="319" w:bottom="1440" w:gutter="0" w:footer="0" w:header="0"/>
        </w:sectPr>
      </w:pPr>
    </w:p>
    <w:bookmarkStart w:id="166" w:name="page167"/>
    <w:bookmarkEnd w:id="166"/>
    <w:p>
      <w:pPr>
        <w:jc w:val="right"/>
        <w:spacing w:after="0"/>
        <w:rPr>
          <w:sz w:val="20"/>
          <w:szCs w:val="20"/>
          <w:color w:val="auto"/>
        </w:rPr>
      </w:pPr>
      <w:r>
        <w:rPr>
          <w:rFonts w:ascii="Arial" w:cs="Arial" w:eastAsia="Arial" w:hAnsi="Arial"/>
          <w:sz w:val="13"/>
          <w:szCs w:val="13"/>
          <w:b w:val="1"/>
          <w:bCs w:val="1"/>
          <w:color w:val="131E29"/>
        </w:rPr>
        <w:t>Exhibit 23.1</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154" w:lineRule="exact"/>
        <w:rPr>
          <w:sz w:val="20"/>
          <w:szCs w:val="20"/>
          <w:color w:val="auto"/>
        </w:rPr>
      </w:pPr>
    </w:p>
    <w:p>
      <w:pPr>
        <w:spacing w:after="0" w:line="266" w:lineRule="auto"/>
        <w:rPr>
          <w:sz w:val="20"/>
          <w:szCs w:val="20"/>
          <w:color w:val="auto"/>
        </w:rPr>
      </w:pPr>
      <w:r>
        <w:rPr>
          <w:rFonts w:ascii="Arial" w:cs="Arial" w:eastAsia="Arial" w:hAnsi="Arial"/>
          <w:sz w:val="14"/>
          <w:szCs w:val="14"/>
          <w:color w:val="131E29"/>
        </w:rPr>
        <w:t>We consent to the incorporation by reference in the registration statements (Nos. 333-263493 and 333-259618) on Form S-8 of our reports dated February 27, 2023, with respect to the consolidated financial statements of Dutch Bros Inc. and subsidiaries and the effectiveness of internal control over financial reporting.</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 KPMG LLP</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Portland, Oregon</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February 27, 2023</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5">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Exhibit 23.1</w:t>
      </w:r>
    </w:p>
    <w:p>
      <w:pPr>
        <w:sectPr>
          <w:pgSz w:w="11900" w:h="16838" w:orient="portrait"/>
          <w:cols w:equalWidth="0" w:num="1">
            <w:col w:w="11280"/>
          </w:cols>
          <w:pgMar w:left="300" w:top="125" w:right="319" w:bottom="1440" w:gutter="0" w:footer="0" w:header="0"/>
        </w:sectPr>
      </w:pPr>
    </w:p>
    <w:bookmarkStart w:id="167" w:name="page168"/>
    <w:bookmarkEnd w:id="167"/>
    <w:p>
      <w:pPr>
        <w:jc w:val="right"/>
        <w:spacing w:after="0"/>
        <w:rPr>
          <w:sz w:val="20"/>
          <w:szCs w:val="20"/>
          <w:color w:val="auto"/>
        </w:rPr>
      </w:pPr>
      <w:r>
        <w:rPr>
          <w:rFonts w:ascii="Arial" w:cs="Arial" w:eastAsia="Arial" w:hAnsi="Arial"/>
          <w:sz w:val="13"/>
          <w:szCs w:val="13"/>
          <w:b w:val="1"/>
          <w:bCs w:val="1"/>
          <w:color w:val="131E29"/>
        </w:rPr>
        <w:t>Exhibit 31.1</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CERTIFICATION OF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PURSUANT TO RULE 13a-14(a) AND RULE 15d-14(a)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131E29"/>
        </w:rPr>
        <w:t>I, Jonathan Ricci, certify that:</w:t>
      </w:r>
    </w:p>
    <w:p>
      <w:pPr>
        <w:spacing w:after="0" w:line="136" w:lineRule="exact"/>
        <w:rPr>
          <w:sz w:val="20"/>
          <w:szCs w:val="20"/>
          <w:color w:val="auto"/>
        </w:rPr>
      </w:pPr>
    </w:p>
    <w:p>
      <w:pPr>
        <w:ind w:left="500" w:hanging="240"/>
        <w:spacing w:after="0"/>
        <w:tabs>
          <w:tab w:leader="none" w:pos="500" w:val="left"/>
        </w:tabs>
        <w:numPr>
          <w:ilvl w:val="0"/>
          <w:numId w:val="89"/>
        </w:numPr>
        <w:rPr>
          <w:rFonts w:ascii="Arial" w:cs="Arial" w:eastAsia="Arial" w:hAnsi="Arial"/>
          <w:sz w:val="14"/>
          <w:szCs w:val="14"/>
          <w:color w:val="131E29"/>
        </w:rPr>
      </w:pPr>
      <w:r>
        <w:rPr>
          <w:rFonts w:ascii="Arial" w:cs="Arial" w:eastAsia="Arial" w:hAnsi="Arial"/>
          <w:sz w:val="14"/>
          <w:szCs w:val="14"/>
          <w:color w:val="131E29"/>
        </w:rPr>
        <w:t>I have reviewed this Annual Report on Form 10-K for the period ended December 31, 2022 of Dutch Bros Inc.;</w:t>
      </w:r>
    </w:p>
    <w:p>
      <w:pPr>
        <w:spacing w:after="0" w:line="93" w:lineRule="exact"/>
        <w:rPr>
          <w:rFonts w:ascii="Arial" w:cs="Arial" w:eastAsia="Arial" w:hAnsi="Arial"/>
          <w:sz w:val="14"/>
          <w:szCs w:val="14"/>
          <w:color w:val="131E29"/>
        </w:rPr>
      </w:pPr>
    </w:p>
    <w:p>
      <w:pPr>
        <w:ind w:left="520" w:hanging="260"/>
        <w:spacing w:after="0" w:line="266" w:lineRule="auto"/>
        <w:tabs>
          <w:tab w:leader="none" w:pos="511" w:val="left"/>
        </w:tabs>
        <w:numPr>
          <w:ilvl w:val="0"/>
          <w:numId w:val="89"/>
        </w:numPr>
        <w:rPr>
          <w:rFonts w:ascii="Arial" w:cs="Arial" w:eastAsia="Arial" w:hAnsi="Arial"/>
          <w:sz w:val="14"/>
          <w:szCs w:val="14"/>
          <w:color w:val="131E29"/>
        </w:rPr>
      </w:pPr>
      <w:r>
        <w:rPr>
          <w:rFonts w:ascii="Arial" w:cs="Arial" w:eastAsia="Arial" w:hAnsi="Arial"/>
          <w:sz w:val="14"/>
          <w:szCs w:val="14"/>
          <w:color w:val="131E29"/>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Arial" w:cs="Arial" w:eastAsia="Arial" w:hAnsi="Arial"/>
          <w:sz w:val="14"/>
          <w:szCs w:val="14"/>
          <w:color w:val="131E29"/>
        </w:rPr>
      </w:pPr>
    </w:p>
    <w:p>
      <w:pPr>
        <w:ind w:left="520" w:hanging="260"/>
        <w:spacing w:after="0" w:line="266" w:lineRule="auto"/>
        <w:tabs>
          <w:tab w:leader="none" w:pos="511" w:val="left"/>
        </w:tabs>
        <w:numPr>
          <w:ilvl w:val="0"/>
          <w:numId w:val="89"/>
        </w:numPr>
        <w:rPr>
          <w:rFonts w:ascii="Arial" w:cs="Arial" w:eastAsia="Arial" w:hAnsi="Arial"/>
          <w:sz w:val="14"/>
          <w:szCs w:val="14"/>
          <w:color w:val="131E29"/>
        </w:rPr>
      </w:pPr>
      <w:r>
        <w:rPr>
          <w:rFonts w:ascii="Arial" w:cs="Arial" w:eastAsia="Arial" w:hAnsi="Arial"/>
          <w:sz w:val="14"/>
          <w:szCs w:val="14"/>
          <w:color w:val="131E2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Arial" w:cs="Arial" w:eastAsia="Arial" w:hAnsi="Arial"/>
          <w:sz w:val="14"/>
          <w:szCs w:val="14"/>
          <w:color w:val="131E29"/>
        </w:rPr>
      </w:pPr>
    </w:p>
    <w:p>
      <w:pPr>
        <w:ind w:left="520" w:hanging="260"/>
        <w:spacing w:after="0" w:line="266" w:lineRule="auto"/>
        <w:tabs>
          <w:tab w:leader="none" w:pos="511" w:val="left"/>
        </w:tabs>
        <w:numPr>
          <w:ilvl w:val="0"/>
          <w:numId w:val="89"/>
        </w:numPr>
        <w:rPr>
          <w:rFonts w:ascii="Arial" w:cs="Arial" w:eastAsia="Arial" w:hAnsi="Arial"/>
          <w:sz w:val="14"/>
          <w:szCs w:val="14"/>
          <w:color w:val="131E29"/>
        </w:rPr>
      </w:pPr>
      <w:r>
        <w:rPr>
          <w:rFonts w:ascii="Arial" w:cs="Arial" w:eastAsia="Arial" w:hAnsi="Arial"/>
          <w:sz w:val="14"/>
          <w:szCs w:val="14"/>
          <w:color w:val="131E2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Arial" w:cs="Arial" w:eastAsia="Arial" w:hAnsi="Arial"/>
          <w:sz w:val="14"/>
          <w:szCs w:val="14"/>
          <w:color w:val="131E29"/>
        </w:rPr>
      </w:pPr>
    </w:p>
    <w:p>
      <w:pPr>
        <w:jc w:val="both"/>
        <w:ind w:left="760" w:hanging="246"/>
        <w:spacing w:after="0" w:line="259" w:lineRule="auto"/>
        <w:tabs>
          <w:tab w:leader="none" w:pos="752" w:val="left"/>
        </w:tabs>
        <w:numPr>
          <w:ilvl w:val="1"/>
          <w:numId w:val="89"/>
        </w:numPr>
        <w:rPr>
          <w:rFonts w:ascii="Arial" w:cs="Arial" w:eastAsia="Arial" w:hAnsi="Arial"/>
          <w:sz w:val="14"/>
          <w:szCs w:val="14"/>
          <w:color w:val="131E29"/>
        </w:rPr>
      </w:pPr>
      <w:r>
        <w:rPr>
          <w:rFonts w:ascii="Arial" w:cs="Arial" w:eastAsia="Arial" w:hAnsi="Arial"/>
          <w:sz w:val="14"/>
          <w:szCs w:val="14"/>
          <w:color w:val="131E2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2" w:lineRule="exact"/>
        <w:rPr>
          <w:rFonts w:ascii="Arial" w:cs="Arial" w:eastAsia="Arial" w:hAnsi="Arial"/>
          <w:sz w:val="14"/>
          <w:szCs w:val="14"/>
          <w:color w:val="131E29"/>
        </w:rPr>
      </w:pPr>
    </w:p>
    <w:p>
      <w:pPr>
        <w:jc w:val="both"/>
        <w:ind w:left="760" w:hanging="246"/>
        <w:spacing w:after="0" w:line="259" w:lineRule="auto"/>
        <w:tabs>
          <w:tab w:leader="none" w:pos="752" w:val="left"/>
        </w:tabs>
        <w:numPr>
          <w:ilvl w:val="1"/>
          <w:numId w:val="89"/>
        </w:numPr>
        <w:rPr>
          <w:rFonts w:ascii="Arial" w:cs="Arial" w:eastAsia="Arial" w:hAnsi="Arial"/>
          <w:sz w:val="14"/>
          <w:szCs w:val="14"/>
          <w:color w:val="131E29"/>
        </w:rPr>
      </w:pPr>
      <w:r>
        <w:rPr>
          <w:rFonts w:ascii="Arial" w:cs="Arial" w:eastAsia="Arial" w:hAnsi="Arial"/>
          <w:sz w:val="14"/>
          <w:szCs w:val="14"/>
          <w:color w:val="131E29"/>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2" w:lineRule="exact"/>
        <w:rPr>
          <w:rFonts w:ascii="Arial" w:cs="Arial" w:eastAsia="Arial" w:hAnsi="Arial"/>
          <w:sz w:val="14"/>
          <w:szCs w:val="14"/>
          <w:color w:val="131E29"/>
        </w:rPr>
      </w:pPr>
    </w:p>
    <w:p>
      <w:pPr>
        <w:ind w:left="760" w:hanging="246"/>
        <w:spacing w:after="0" w:line="266" w:lineRule="auto"/>
        <w:tabs>
          <w:tab w:leader="none" w:pos="755" w:val="left"/>
        </w:tabs>
        <w:numPr>
          <w:ilvl w:val="1"/>
          <w:numId w:val="89"/>
        </w:numPr>
        <w:rPr>
          <w:rFonts w:ascii="Arial" w:cs="Arial" w:eastAsia="Arial" w:hAnsi="Arial"/>
          <w:sz w:val="14"/>
          <w:szCs w:val="14"/>
          <w:color w:val="131E29"/>
        </w:rPr>
      </w:pPr>
      <w:r>
        <w:rPr>
          <w:rFonts w:ascii="Arial" w:cs="Arial" w:eastAsia="Arial" w:hAnsi="Arial"/>
          <w:sz w:val="14"/>
          <w:szCs w:val="14"/>
          <w:color w:val="131E29"/>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9" w:lineRule="exact"/>
        <w:rPr>
          <w:rFonts w:ascii="Arial" w:cs="Arial" w:eastAsia="Arial" w:hAnsi="Arial"/>
          <w:sz w:val="14"/>
          <w:szCs w:val="14"/>
          <w:color w:val="131E29"/>
        </w:rPr>
      </w:pPr>
    </w:p>
    <w:p>
      <w:pPr>
        <w:jc w:val="both"/>
        <w:ind w:left="760" w:hanging="246"/>
        <w:spacing w:after="0" w:line="259" w:lineRule="auto"/>
        <w:tabs>
          <w:tab w:leader="none" w:pos="752" w:val="left"/>
        </w:tabs>
        <w:numPr>
          <w:ilvl w:val="1"/>
          <w:numId w:val="89"/>
        </w:numPr>
        <w:rPr>
          <w:rFonts w:ascii="Arial" w:cs="Arial" w:eastAsia="Arial" w:hAnsi="Arial"/>
          <w:sz w:val="14"/>
          <w:szCs w:val="14"/>
          <w:color w:val="131E29"/>
        </w:rPr>
      </w:pPr>
      <w:r>
        <w:rPr>
          <w:rFonts w:ascii="Arial" w:cs="Arial" w:eastAsia="Arial" w:hAnsi="Arial"/>
          <w:sz w:val="14"/>
          <w:szCs w:val="14"/>
          <w:color w:val="131E2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2" w:lineRule="exact"/>
        <w:rPr>
          <w:rFonts w:ascii="Arial" w:cs="Arial" w:eastAsia="Arial" w:hAnsi="Arial"/>
          <w:sz w:val="14"/>
          <w:szCs w:val="14"/>
          <w:color w:val="131E29"/>
        </w:rPr>
      </w:pPr>
    </w:p>
    <w:p>
      <w:pPr>
        <w:ind w:left="520" w:hanging="260"/>
        <w:spacing w:after="0" w:line="266" w:lineRule="auto"/>
        <w:tabs>
          <w:tab w:leader="none" w:pos="511" w:val="left"/>
        </w:tabs>
        <w:numPr>
          <w:ilvl w:val="0"/>
          <w:numId w:val="89"/>
        </w:numPr>
        <w:rPr>
          <w:rFonts w:ascii="Arial" w:cs="Arial" w:eastAsia="Arial" w:hAnsi="Arial"/>
          <w:sz w:val="14"/>
          <w:szCs w:val="14"/>
          <w:color w:val="131E29"/>
        </w:rPr>
      </w:pPr>
      <w:r>
        <w:rPr>
          <w:rFonts w:ascii="Arial" w:cs="Arial" w:eastAsia="Arial" w:hAnsi="Arial"/>
          <w:sz w:val="14"/>
          <w:szCs w:val="14"/>
          <w:color w:val="131E2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Arial" w:cs="Arial" w:eastAsia="Arial" w:hAnsi="Arial"/>
          <w:sz w:val="14"/>
          <w:szCs w:val="14"/>
          <w:color w:val="131E29"/>
        </w:rPr>
      </w:pPr>
    </w:p>
    <w:p>
      <w:pPr>
        <w:ind w:left="760" w:hanging="246"/>
        <w:spacing w:after="0" w:line="266" w:lineRule="auto"/>
        <w:tabs>
          <w:tab w:leader="none" w:pos="752" w:val="left"/>
        </w:tabs>
        <w:numPr>
          <w:ilvl w:val="1"/>
          <w:numId w:val="89"/>
        </w:numPr>
        <w:rPr>
          <w:rFonts w:ascii="Arial" w:cs="Arial" w:eastAsia="Arial" w:hAnsi="Arial"/>
          <w:sz w:val="14"/>
          <w:szCs w:val="14"/>
          <w:color w:val="131E29"/>
        </w:rPr>
      </w:pPr>
      <w:r>
        <w:rPr>
          <w:rFonts w:ascii="Arial" w:cs="Arial" w:eastAsia="Arial" w:hAnsi="Arial"/>
          <w:sz w:val="14"/>
          <w:szCs w:val="14"/>
          <w:color w:val="131E29"/>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Arial" w:cs="Arial" w:eastAsia="Arial" w:hAnsi="Arial"/>
          <w:sz w:val="14"/>
          <w:szCs w:val="14"/>
          <w:color w:val="131E29"/>
        </w:rPr>
      </w:pPr>
    </w:p>
    <w:p>
      <w:pPr>
        <w:ind w:left="760" w:hanging="246"/>
        <w:spacing w:after="0"/>
        <w:tabs>
          <w:tab w:leader="none" w:pos="760" w:val="left"/>
        </w:tabs>
        <w:numPr>
          <w:ilvl w:val="1"/>
          <w:numId w:val="89"/>
        </w:numPr>
        <w:rPr>
          <w:rFonts w:ascii="Arial" w:cs="Arial" w:eastAsia="Arial" w:hAnsi="Arial"/>
          <w:sz w:val="14"/>
          <w:szCs w:val="14"/>
          <w:color w:val="131E29"/>
        </w:rPr>
      </w:pPr>
      <w:r>
        <w:rPr>
          <w:rFonts w:ascii="Arial" w:cs="Arial" w:eastAsia="Arial" w:hAnsi="Arial"/>
          <w:sz w:val="14"/>
          <w:szCs w:val="14"/>
          <w:color w:val="131E29"/>
        </w:rPr>
        <w:t>Any fraud, whether or not material, that involves management or other employees who have a significant role in the registrant’s internal control over financial reporting.</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February 27, 2023</w:t>
            </w:r>
          </w:p>
        </w:tc>
        <w:tc>
          <w:tcPr>
            <w:tcW w:w="3460" w:type="dxa"/>
            <w:vAlign w:val="bottom"/>
          </w:tcPr>
          <w:p>
            <w:pPr>
              <w:spacing w:after="0"/>
              <w:rPr>
                <w:sz w:val="16"/>
                <w:szCs w:val="16"/>
                <w:color w:val="auto"/>
              </w:rPr>
            </w:pP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 Jonathan Ricci</w:t>
            </w:r>
          </w:p>
        </w:tc>
      </w:tr>
      <w:tr>
        <w:trPr>
          <w:trHeight w:val="171"/>
        </w:trPr>
        <w:tc>
          <w:tcPr>
            <w:tcW w:w="6340" w:type="dxa"/>
            <w:vAlign w:val="bottom"/>
            <w:gridSpan w:val="2"/>
          </w:tcPr>
          <w:p>
            <w:pPr>
              <w:ind w:left="20"/>
              <w:spacing w:after="0"/>
              <w:rPr>
                <w:sz w:val="20"/>
                <w:szCs w:val="20"/>
                <w:color w:val="auto"/>
              </w:rPr>
            </w:pPr>
            <w:r>
              <w:rPr>
                <w:rFonts w:ascii="Arial" w:cs="Arial" w:eastAsia="Arial" w:hAnsi="Arial"/>
                <w:sz w:val="14"/>
                <w:szCs w:val="14"/>
                <w:color w:val="auto"/>
              </w:rPr>
              <w:t>Date</w:t>
            </w:r>
          </w:p>
        </w:tc>
        <w:tc>
          <w:tcPr>
            <w:tcW w:w="4940" w:type="dxa"/>
            <w:vAlign w:val="bottom"/>
          </w:tcPr>
          <w:p>
            <w:pPr>
              <w:jc w:val="center"/>
              <w:spacing w:after="0"/>
              <w:rPr>
                <w:sz w:val="20"/>
                <w:szCs w:val="20"/>
                <w:color w:val="auto"/>
              </w:rPr>
            </w:pPr>
            <w:r>
              <w:rPr>
                <w:rFonts w:ascii="Arial" w:cs="Arial" w:eastAsia="Arial" w:hAnsi="Arial"/>
                <w:sz w:val="14"/>
                <w:szCs w:val="14"/>
                <w:color w:val="auto"/>
              </w:rPr>
              <w:t>Jonathan Ricci</w:t>
            </w:r>
          </w:p>
        </w:tc>
      </w:tr>
      <w:tr>
        <w:trPr>
          <w:trHeight w:val="177"/>
        </w:trPr>
        <w:tc>
          <w:tcPr>
            <w:tcW w:w="28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4940" w:type="dxa"/>
            <w:vAlign w:val="bottom"/>
          </w:tcPr>
          <w:p>
            <w:pPr>
              <w:jc w:val="center"/>
              <w:spacing w:after="0"/>
              <w:rPr>
                <w:sz w:val="20"/>
                <w:szCs w:val="20"/>
                <w:color w:val="auto"/>
              </w:rPr>
            </w:pPr>
            <w:r>
              <w:rPr>
                <w:rFonts w:ascii="Arial" w:cs="Arial" w:eastAsia="Arial" w:hAnsi="Arial"/>
                <w:sz w:val="14"/>
                <w:szCs w:val="14"/>
                <w:color w:val="auto"/>
              </w:rPr>
              <w:t>Chief Executive Officer</w:t>
            </w:r>
          </w:p>
        </w:tc>
      </w:tr>
      <w:tr>
        <w:trPr>
          <w:trHeight w:val="184"/>
        </w:trPr>
        <w:tc>
          <w:tcPr>
            <w:tcW w:w="28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4940" w:type="dxa"/>
            <w:vAlign w:val="bottom"/>
          </w:tcPr>
          <w:p>
            <w:pPr>
              <w:jc w:val="center"/>
              <w:spacing w:after="0"/>
              <w:rPr>
                <w:sz w:val="20"/>
                <w:szCs w:val="20"/>
                <w:color w:val="auto"/>
              </w:rPr>
            </w:pPr>
            <w:r>
              <w:rPr>
                <w:rFonts w:ascii="Arial" w:cs="Arial" w:eastAsia="Arial" w:hAnsi="Arial"/>
                <w:sz w:val="14"/>
                <w:szCs w:val="14"/>
                <w:i w:val="1"/>
                <w:iCs w:val="1"/>
                <w:color w:val="auto"/>
              </w:rPr>
              <w:t>(Principal Executive Officer)</w:t>
            </w:r>
          </w:p>
        </w:tc>
      </w:tr>
      <w:tr>
        <w:trPr>
          <w:trHeight w:val="838"/>
        </w:trPr>
        <w:tc>
          <w:tcPr>
            <w:tcW w:w="28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940" w:type="dxa"/>
            <w:vAlign w:val="bottom"/>
          </w:tcPr>
          <w:p>
            <w:pPr>
              <w:ind w:left="3160"/>
              <w:spacing w:after="0"/>
              <w:rPr>
                <w:sz w:val="20"/>
                <w:szCs w:val="20"/>
                <w:color w:val="auto"/>
              </w:rPr>
            </w:pPr>
            <w:r>
              <w:rPr>
                <w:rFonts w:ascii="Arial" w:cs="Arial" w:eastAsia="Arial" w:hAnsi="Arial"/>
                <w:sz w:val="14"/>
                <w:szCs w:val="14"/>
                <w:color w:val="131E29"/>
                <w:w w:val="99"/>
              </w:rPr>
              <w:t>Dutch Bros Inc.</w:t>
            </w:r>
            <w:r>
              <w:rPr>
                <w:rFonts w:ascii="Arial" w:cs="Arial" w:eastAsia="Arial" w:hAnsi="Arial"/>
                <w:sz w:val="14"/>
                <w:szCs w:val="14"/>
                <w:b w:val="1"/>
                <w:bCs w:val="1"/>
                <w:color w:val="006098"/>
                <w:w w:val="99"/>
              </w:rPr>
              <w:t>|</w:t>
            </w:r>
            <w:r>
              <w:rPr>
                <w:rFonts w:ascii="Arial" w:cs="Arial" w:eastAsia="Arial" w:hAnsi="Arial"/>
                <w:sz w:val="14"/>
                <w:szCs w:val="14"/>
                <w:color w:val="131E29"/>
                <w:w w:val="99"/>
              </w:rPr>
              <w:t xml:space="preserve"> Exhibit 31.1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5897880</wp:posOffset>
            </wp:positionH>
            <wp:positionV relativeFrom="paragraph">
              <wp:posOffset>-241300</wp:posOffset>
            </wp:positionV>
            <wp:extent cx="134620" cy="18859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6">
                      <a:extLst>
                        <a:ext uri="{28A0092B-C50C-407E-A947-70E740481C1C}"/>
                      </a:extLst>
                    </a:blip>
                    <a:srcRect/>
                    <a:stretch>
                      <a:fillRect/>
                    </a:stretch>
                  </pic:blipFill>
                  <pic:spPr bwMode="auto">
                    <a:xfrm>
                      <a:off x="0" y="0"/>
                      <a:ext cx="134620" cy="18859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8" w:name="page169"/>
    <w:bookmarkEnd w:id="168"/>
    <w:p>
      <w:pPr>
        <w:jc w:val="right"/>
        <w:spacing w:after="0"/>
        <w:rPr>
          <w:sz w:val="20"/>
          <w:szCs w:val="20"/>
          <w:color w:val="auto"/>
        </w:rPr>
      </w:pPr>
      <w:r>
        <w:rPr>
          <w:rFonts w:ascii="Arial" w:cs="Arial" w:eastAsia="Arial" w:hAnsi="Arial"/>
          <w:sz w:val="13"/>
          <w:szCs w:val="13"/>
          <w:b w:val="1"/>
          <w:bCs w:val="1"/>
          <w:color w:val="131E29"/>
        </w:rPr>
        <w:t>Exhibit 31.2</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CERTIFICATION OF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PURSUANT TO RULE 13a-14(a) AND RULE 15d-14(a)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131E29"/>
        </w:rPr>
        <w:t>I, Charles L. Jemley, certify that:</w:t>
      </w:r>
    </w:p>
    <w:p>
      <w:pPr>
        <w:spacing w:after="0" w:line="200" w:lineRule="exact"/>
        <w:rPr>
          <w:sz w:val="20"/>
          <w:szCs w:val="20"/>
          <w:color w:val="auto"/>
        </w:rPr>
      </w:pPr>
    </w:p>
    <w:p>
      <w:pPr>
        <w:ind w:left="500" w:hanging="240"/>
        <w:spacing w:after="0"/>
        <w:tabs>
          <w:tab w:leader="none" w:pos="500" w:val="left"/>
        </w:tabs>
        <w:numPr>
          <w:ilvl w:val="0"/>
          <w:numId w:val="90"/>
        </w:numPr>
        <w:rPr>
          <w:rFonts w:ascii="Arial" w:cs="Arial" w:eastAsia="Arial" w:hAnsi="Arial"/>
          <w:sz w:val="14"/>
          <w:szCs w:val="14"/>
          <w:color w:val="131E29"/>
        </w:rPr>
      </w:pPr>
      <w:r>
        <w:rPr>
          <w:rFonts w:ascii="Arial" w:cs="Arial" w:eastAsia="Arial" w:hAnsi="Arial"/>
          <w:sz w:val="14"/>
          <w:szCs w:val="14"/>
          <w:color w:val="131E29"/>
        </w:rPr>
        <w:t>I have reviewed this Annual Report on Form 10-K for the period ended December 31, 2022 of Dutch Bros Inc.;</w:t>
      </w:r>
    </w:p>
    <w:p>
      <w:pPr>
        <w:spacing w:after="0" w:line="93" w:lineRule="exact"/>
        <w:rPr>
          <w:rFonts w:ascii="Arial" w:cs="Arial" w:eastAsia="Arial" w:hAnsi="Arial"/>
          <w:sz w:val="14"/>
          <w:szCs w:val="14"/>
          <w:color w:val="131E29"/>
        </w:rPr>
      </w:pPr>
    </w:p>
    <w:p>
      <w:pPr>
        <w:ind w:left="520" w:hanging="260"/>
        <w:spacing w:after="0" w:line="266" w:lineRule="auto"/>
        <w:tabs>
          <w:tab w:leader="none" w:pos="511" w:val="left"/>
        </w:tabs>
        <w:numPr>
          <w:ilvl w:val="0"/>
          <w:numId w:val="90"/>
        </w:numPr>
        <w:rPr>
          <w:rFonts w:ascii="Arial" w:cs="Arial" w:eastAsia="Arial" w:hAnsi="Arial"/>
          <w:sz w:val="14"/>
          <w:szCs w:val="14"/>
          <w:color w:val="131E29"/>
        </w:rPr>
      </w:pPr>
      <w:r>
        <w:rPr>
          <w:rFonts w:ascii="Arial" w:cs="Arial" w:eastAsia="Arial" w:hAnsi="Arial"/>
          <w:sz w:val="14"/>
          <w:szCs w:val="14"/>
          <w:color w:val="131E29"/>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Arial" w:cs="Arial" w:eastAsia="Arial" w:hAnsi="Arial"/>
          <w:sz w:val="14"/>
          <w:szCs w:val="14"/>
          <w:color w:val="131E29"/>
        </w:rPr>
      </w:pPr>
    </w:p>
    <w:p>
      <w:pPr>
        <w:ind w:left="520" w:hanging="260"/>
        <w:spacing w:after="0" w:line="266" w:lineRule="auto"/>
        <w:tabs>
          <w:tab w:leader="none" w:pos="511" w:val="left"/>
        </w:tabs>
        <w:numPr>
          <w:ilvl w:val="0"/>
          <w:numId w:val="90"/>
        </w:numPr>
        <w:rPr>
          <w:rFonts w:ascii="Arial" w:cs="Arial" w:eastAsia="Arial" w:hAnsi="Arial"/>
          <w:sz w:val="14"/>
          <w:szCs w:val="14"/>
          <w:color w:val="131E29"/>
        </w:rPr>
      </w:pPr>
      <w:r>
        <w:rPr>
          <w:rFonts w:ascii="Arial" w:cs="Arial" w:eastAsia="Arial" w:hAnsi="Arial"/>
          <w:sz w:val="14"/>
          <w:szCs w:val="14"/>
          <w:color w:val="131E2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Arial" w:cs="Arial" w:eastAsia="Arial" w:hAnsi="Arial"/>
          <w:sz w:val="14"/>
          <w:szCs w:val="14"/>
          <w:color w:val="131E29"/>
        </w:rPr>
      </w:pPr>
    </w:p>
    <w:p>
      <w:pPr>
        <w:ind w:left="520" w:hanging="260"/>
        <w:spacing w:after="0" w:line="313" w:lineRule="auto"/>
        <w:tabs>
          <w:tab w:leader="none" w:pos="511" w:val="left"/>
        </w:tabs>
        <w:numPr>
          <w:ilvl w:val="0"/>
          <w:numId w:val="90"/>
        </w:numPr>
        <w:rPr>
          <w:rFonts w:ascii="Arial" w:cs="Arial" w:eastAsia="Arial" w:hAnsi="Arial"/>
          <w:sz w:val="14"/>
          <w:szCs w:val="14"/>
          <w:color w:val="131E29"/>
        </w:rPr>
      </w:pPr>
      <w:r>
        <w:rPr>
          <w:rFonts w:ascii="Arial" w:cs="Arial" w:eastAsia="Arial" w:hAnsi="Arial"/>
          <w:sz w:val="14"/>
          <w:szCs w:val="14"/>
          <w:color w:val="131E2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4"/>
          <w:szCs w:val="14"/>
          <w:color w:val="131E29"/>
        </w:rPr>
      </w:pPr>
    </w:p>
    <w:p>
      <w:pPr>
        <w:jc w:val="both"/>
        <w:ind w:left="760" w:hanging="246"/>
        <w:spacing w:after="0" w:line="259" w:lineRule="auto"/>
        <w:tabs>
          <w:tab w:leader="none" w:pos="752" w:val="left"/>
        </w:tabs>
        <w:numPr>
          <w:ilvl w:val="1"/>
          <w:numId w:val="90"/>
        </w:numPr>
        <w:rPr>
          <w:rFonts w:ascii="Arial" w:cs="Arial" w:eastAsia="Arial" w:hAnsi="Arial"/>
          <w:sz w:val="14"/>
          <w:szCs w:val="14"/>
          <w:color w:val="131E29"/>
        </w:rPr>
      </w:pPr>
      <w:r>
        <w:rPr>
          <w:rFonts w:ascii="Arial" w:cs="Arial" w:eastAsia="Arial" w:hAnsi="Arial"/>
          <w:sz w:val="14"/>
          <w:szCs w:val="14"/>
          <w:color w:val="131E2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2" w:lineRule="exact"/>
        <w:rPr>
          <w:rFonts w:ascii="Arial" w:cs="Arial" w:eastAsia="Arial" w:hAnsi="Arial"/>
          <w:sz w:val="14"/>
          <w:szCs w:val="14"/>
          <w:color w:val="131E29"/>
        </w:rPr>
      </w:pPr>
    </w:p>
    <w:p>
      <w:pPr>
        <w:jc w:val="both"/>
        <w:ind w:left="760" w:hanging="246"/>
        <w:spacing w:after="0" w:line="259" w:lineRule="auto"/>
        <w:tabs>
          <w:tab w:leader="none" w:pos="752" w:val="left"/>
        </w:tabs>
        <w:numPr>
          <w:ilvl w:val="1"/>
          <w:numId w:val="90"/>
        </w:numPr>
        <w:rPr>
          <w:rFonts w:ascii="Arial" w:cs="Arial" w:eastAsia="Arial" w:hAnsi="Arial"/>
          <w:sz w:val="14"/>
          <w:szCs w:val="14"/>
          <w:color w:val="131E29"/>
        </w:rPr>
      </w:pPr>
      <w:r>
        <w:rPr>
          <w:rFonts w:ascii="Arial" w:cs="Arial" w:eastAsia="Arial" w:hAnsi="Arial"/>
          <w:sz w:val="14"/>
          <w:szCs w:val="14"/>
          <w:color w:val="131E29"/>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2" w:lineRule="exact"/>
        <w:rPr>
          <w:rFonts w:ascii="Arial" w:cs="Arial" w:eastAsia="Arial" w:hAnsi="Arial"/>
          <w:sz w:val="14"/>
          <w:szCs w:val="14"/>
          <w:color w:val="131E29"/>
        </w:rPr>
      </w:pPr>
    </w:p>
    <w:p>
      <w:pPr>
        <w:ind w:left="760" w:hanging="246"/>
        <w:spacing w:after="0" w:line="266" w:lineRule="auto"/>
        <w:tabs>
          <w:tab w:leader="none" w:pos="755" w:val="left"/>
        </w:tabs>
        <w:numPr>
          <w:ilvl w:val="1"/>
          <w:numId w:val="90"/>
        </w:numPr>
        <w:rPr>
          <w:rFonts w:ascii="Arial" w:cs="Arial" w:eastAsia="Arial" w:hAnsi="Arial"/>
          <w:sz w:val="14"/>
          <w:szCs w:val="14"/>
          <w:color w:val="131E29"/>
        </w:rPr>
      </w:pPr>
      <w:r>
        <w:rPr>
          <w:rFonts w:ascii="Arial" w:cs="Arial" w:eastAsia="Arial" w:hAnsi="Arial"/>
          <w:sz w:val="14"/>
          <w:szCs w:val="14"/>
          <w:color w:val="131E29"/>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Arial" w:cs="Arial" w:eastAsia="Arial" w:hAnsi="Arial"/>
          <w:sz w:val="14"/>
          <w:szCs w:val="14"/>
          <w:color w:val="131E29"/>
        </w:rPr>
      </w:pPr>
    </w:p>
    <w:p>
      <w:pPr>
        <w:jc w:val="both"/>
        <w:ind w:left="760" w:hanging="246"/>
        <w:spacing w:after="0" w:line="259" w:lineRule="auto"/>
        <w:tabs>
          <w:tab w:leader="none" w:pos="752" w:val="left"/>
        </w:tabs>
        <w:numPr>
          <w:ilvl w:val="1"/>
          <w:numId w:val="90"/>
        </w:numPr>
        <w:rPr>
          <w:rFonts w:ascii="Arial" w:cs="Arial" w:eastAsia="Arial" w:hAnsi="Arial"/>
          <w:sz w:val="14"/>
          <w:szCs w:val="14"/>
          <w:color w:val="131E29"/>
        </w:rPr>
      </w:pPr>
      <w:r>
        <w:rPr>
          <w:rFonts w:ascii="Arial" w:cs="Arial" w:eastAsia="Arial" w:hAnsi="Arial"/>
          <w:sz w:val="14"/>
          <w:szCs w:val="14"/>
          <w:color w:val="131E2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2" w:lineRule="exact"/>
        <w:rPr>
          <w:rFonts w:ascii="Arial" w:cs="Arial" w:eastAsia="Arial" w:hAnsi="Arial"/>
          <w:sz w:val="14"/>
          <w:szCs w:val="14"/>
          <w:color w:val="131E29"/>
        </w:rPr>
      </w:pPr>
    </w:p>
    <w:p>
      <w:pPr>
        <w:ind w:left="520" w:hanging="260"/>
        <w:spacing w:after="0" w:line="266" w:lineRule="auto"/>
        <w:tabs>
          <w:tab w:leader="none" w:pos="511" w:val="left"/>
        </w:tabs>
        <w:numPr>
          <w:ilvl w:val="0"/>
          <w:numId w:val="90"/>
        </w:numPr>
        <w:rPr>
          <w:rFonts w:ascii="Arial" w:cs="Arial" w:eastAsia="Arial" w:hAnsi="Arial"/>
          <w:sz w:val="14"/>
          <w:szCs w:val="14"/>
          <w:color w:val="131E29"/>
        </w:rPr>
      </w:pPr>
      <w:r>
        <w:rPr>
          <w:rFonts w:ascii="Arial" w:cs="Arial" w:eastAsia="Arial" w:hAnsi="Arial"/>
          <w:sz w:val="14"/>
          <w:szCs w:val="14"/>
          <w:color w:val="131E2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Arial" w:cs="Arial" w:eastAsia="Arial" w:hAnsi="Arial"/>
          <w:sz w:val="14"/>
          <w:szCs w:val="14"/>
          <w:color w:val="131E29"/>
        </w:rPr>
      </w:pPr>
    </w:p>
    <w:p>
      <w:pPr>
        <w:ind w:left="760" w:hanging="246"/>
        <w:spacing w:after="0" w:line="266" w:lineRule="auto"/>
        <w:tabs>
          <w:tab w:leader="none" w:pos="752" w:val="left"/>
        </w:tabs>
        <w:numPr>
          <w:ilvl w:val="1"/>
          <w:numId w:val="90"/>
        </w:numPr>
        <w:rPr>
          <w:rFonts w:ascii="Arial" w:cs="Arial" w:eastAsia="Arial" w:hAnsi="Arial"/>
          <w:sz w:val="14"/>
          <w:szCs w:val="14"/>
          <w:color w:val="131E29"/>
        </w:rPr>
      </w:pPr>
      <w:r>
        <w:rPr>
          <w:rFonts w:ascii="Arial" w:cs="Arial" w:eastAsia="Arial" w:hAnsi="Arial"/>
          <w:sz w:val="14"/>
          <w:szCs w:val="14"/>
          <w:color w:val="131E29"/>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Arial" w:cs="Arial" w:eastAsia="Arial" w:hAnsi="Arial"/>
          <w:sz w:val="14"/>
          <w:szCs w:val="14"/>
          <w:color w:val="131E29"/>
        </w:rPr>
      </w:pPr>
    </w:p>
    <w:p>
      <w:pPr>
        <w:ind w:left="760" w:hanging="246"/>
        <w:spacing w:after="0"/>
        <w:tabs>
          <w:tab w:leader="none" w:pos="760" w:val="left"/>
        </w:tabs>
        <w:numPr>
          <w:ilvl w:val="1"/>
          <w:numId w:val="90"/>
        </w:numPr>
        <w:rPr>
          <w:rFonts w:ascii="Arial" w:cs="Arial" w:eastAsia="Arial" w:hAnsi="Arial"/>
          <w:sz w:val="14"/>
          <w:szCs w:val="14"/>
          <w:color w:val="131E29"/>
        </w:rPr>
      </w:pPr>
      <w:r>
        <w:rPr>
          <w:rFonts w:ascii="Arial" w:cs="Arial" w:eastAsia="Arial" w:hAnsi="Arial"/>
          <w:sz w:val="14"/>
          <w:szCs w:val="14"/>
          <w:color w:val="131E29"/>
        </w:rPr>
        <w:t>Any fraud, whether or not material, that involves management or other employees who have a significant role in the registrant’s internal control over financial reporting.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February 27, 2023</w:t>
            </w:r>
          </w:p>
        </w:tc>
        <w:tc>
          <w:tcPr>
            <w:tcW w:w="2740" w:type="dxa"/>
            <w:vAlign w:val="bottom"/>
          </w:tcPr>
          <w:p>
            <w:pPr>
              <w:spacing w:after="0"/>
              <w:rPr>
                <w:sz w:val="16"/>
                <w:szCs w:val="16"/>
                <w:color w:val="auto"/>
              </w:rPr>
            </w:pPr>
          </w:p>
        </w:tc>
        <w:tc>
          <w:tcPr>
            <w:tcW w:w="5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 Charles L. Jemley</w:t>
            </w:r>
          </w:p>
        </w:tc>
        <w:tc>
          <w:tcPr>
            <w:tcW w:w="60" w:type="dxa"/>
            <w:vAlign w:val="bottom"/>
          </w:tcPr>
          <w:p>
            <w:pPr>
              <w:spacing w:after="0"/>
              <w:rPr>
                <w:sz w:val="16"/>
                <w:szCs w:val="16"/>
                <w:color w:val="auto"/>
              </w:rPr>
            </w:pPr>
          </w:p>
        </w:tc>
      </w:tr>
      <w:tr>
        <w:trPr>
          <w:trHeight w:val="171"/>
        </w:trPr>
        <w:tc>
          <w:tcPr>
            <w:tcW w:w="5540" w:type="dxa"/>
            <w:vAlign w:val="bottom"/>
            <w:gridSpan w:val="2"/>
          </w:tcPr>
          <w:p>
            <w:pPr>
              <w:ind w:left="20"/>
              <w:spacing w:after="0"/>
              <w:rPr>
                <w:sz w:val="20"/>
                <w:szCs w:val="20"/>
                <w:color w:val="auto"/>
              </w:rPr>
            </w:pPr>
            <w:r>
              <w:rPr>
                <w:rFonts w:ascii="Arial" w:cs="Arial" w:eastAsia="Arial" w:hAnsi="Arial"/>
                <w:sz w:val="14"/>
                <w:szCs w:val="14"/>
                <w:color w:val="auto"/>
              </w:rPr>
              <w:t>Date</w:t>
            </w:r>
          </w:p>
        </w:tc>
        <w:tc>
          <w:tcPr>
            <w:tcW w:w="574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Charles L. Jemley</w:t>
            </w:r>
          </w:p>
        </w:tc>
      </w:tr>
      <w:tr>
        <w:trPr>
          <w:trHeight w:val="177"/>
        </w:trPr>
        <w:tc>
          <w:tcPr>
            <w:tcW w:w="28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5740" w:type="dxa"/>
            <w:vAlign w:val="bottom"/>
            <w:gridSpan w:val="2"/>
          </w:tcPr>
          <w:p>
            <w:pPr>
              <w:jc w:val="center"/>
              <w:ind w:right="60"/>
              <w:spacing w:after="0"/>
              <w:rPr>
                <w:sz w:val="20"/>
                <w:szCs w:val="20"/>
                <w:color w:val="auto"/>
              </w:rPr>
            </w:pPr>
            <w:r>
              <w:rPr>
                <w:rFonts w:ascii="Arial" w:cs="Arial" w:eastAsia="Arial" w:hAnsi="Arial"/>
                <w:sz w:val="14"/>
                <w:szCs w:val="14"/>
                <w:color w:val="auto"/>
              </w:rPr>
              <w:t>Chief Financial Officer</w:t>
            </w:r>
          </w:p>
        </w:tc>
      </w:tr>
      <w:tr>
        <w:trPr>
          <w:trHeight w:val="184"/>
        </w:trPr>
        <w:tc>
          <w:tcPr>
            <w:tcW w:w="28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740" w:type="dxa"/>
            <w:vAlign w:val="bottom"/>
            <w:gridSpan w:val="2"/>
          </w:tcPr>
          <w:p>
            <w:pPr>
              <w:jc w:val="center"/>
              <w:ind w:right="60"/>
              <w:spacing w:after="0"/>
              <w:rPr>
                <w:sz w:val="20"/>
                <w:szCs w:val="20"/>
                <w:color w:val="auto"/>
              </w:rPr>
            </w:pPr>
            <w:r>
              <w:rPr>
                <w:rFonts w:ascii="Arial" w:cs="Arial" w:eastAsia="Arial" w:hAnsi="Arial"/>
                <w:sz w:val="14"/>
                <w:szCs w:val="14"/>
                <w:i w:val="1"/>
                <w:iCs w:val="1"/>
                <w:color w:val="auto"/>
              </w:rPr>
              <w:t>(Principal Financial and Accounting Officer)</w:t>
            </w:r>
          </w:p>
        </w:tc>
      </w:tr>
      <w:tr>
        <w:trPr>
          <w:trHeight w:val="828"/>
        </w:trPr>
        <w:tc>
          <w:tcPr>
            <w:tcW w:w="2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740" w:type="dxa"/>
            <w:vAlign w:val="bottom"/>
            <w:gridSpan w:val="2"/>
          </w:tcPr>
          <w:p>
            <w:pPr>
              <w:ind w:left="3960"/>
              <w:spacing w:after="0"/>
              <w:rPr>
                <w:sz w:val="20"/>
                <w:szCs w:val="20"/>
                <w:color w:val="auto"/>
              </w:rPr>
            </w:pPr>
            <w:r>
              <w:rPr>
                <w:rFonts w:ascii="Arial" w:cs="Arial" w:eastAsia="Arial" w:hAnsi="Arial"/>
                <w:sz w:val="14"/>
                <w:szCs w:val="14"/>
                <w:color w:val="131E29"/>
                <w:w w:val="99"/>
              </w:rPr>
              <w:t>Dutch Bros Inc.</w:t>
            </w:r>
            <w:r>
              <w:rPr>
                <w:rFonts w:ascii="Arial" w:cs="Arial" w:eastAsia="Arial" w:hAnsi="Arial"/>
                <w:sz w:val="14"/>
                <w:szCs w:val="14"/>
                <w:b w:val="1"/>
                <w:bCs w:val="1"/>
                <w:color w:val="006098"/>
                <w:w w:val="99"/>
              </w:rPr>
              <w:t>|</w:t>
            </w:r>
            <w:r>
              <w:rPr>
                <w:rFonts w:ascii="Arial" w:cs="Arial" w:eastAsia="Arial" w:hAnsi="Arial"/>
                <w:sz w:val="14"/>
                <w:szCs w:val="14"/>
                <w:color w:val="131E29"/>
                <w:w w:val="99"/>
              </w:rPr>
              <w:t xml:space="preserve"> Exhibit 31.2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5897880</wp:posOffset>
            </wp:positionH>
            <wp:positionV relativeFrom="paragraph">
              <wp:posOffset>-234950</wp:posOffset>
            </wp:positionV>
            <wp:extent cx="134620" cy="18859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7">
                      <a:extLst>
                        <a:ext uri="{28A0092B-C50C-407E-A947-70E740481C1C}"/>
                      </a:extLst>
                    </a:blip>
                    <a:srcRect/>
                    <a:stretch>
                      <a:fillRect/>
                    </a:stretch>
                  </pic:blipFill>
                  <pic:spPr bwMode="auto">
                    <a:xfrm>
                      <a:off x="0" y="0"/>
                      <a:ext cx="134620" cy="18859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9" w:name="page170"/>
    <w:bookmarkEnd w:id="169"/>
    <w:p>
      <w:pPr>
        <w:jc w:val="right"/>
        <w:spacing w:after="0"/>
        <w:rPr>
          <w:sz w:val="20"/>
          <w:szCs w:val="20"/>
          <w:color w:val="auto"/>
        </w:rPr>
      </w:pPr>
      <w:r>
        <w:rPr>
          <w:rFonts w:ascii="Arial" w:cs="Arial" w:eastAsia="Arial" w:hAnsi="Arial"/>
          <w:sz w:val="13"/>
          <w:szCs w:val="13"/>
          <w:b w:val="1"/>
          <w:bCs w:val="1"/>
          <w:color w:val="131E29"/>
        </w:rPr>
        <w:t>Exhibit 32.1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CERTIFICATIONS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THE SARBANES-OXLEY ACT OF 2002</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In connection with the Annual Report of Dutch Bros Inc. (the Company) on Form 10-K for the period ended December 31, 2022, as filed with the Securities and Exchange Commission on the date of the signatures below (the Report), Jonathan Ricci, Chief Executive Officer of the Company, and Charles L. Jemley, Chief Financial Officer of the Company, each hereby certifies, pursuant to 18 U.S.C. Section 1350, as adopted pursuant to Section 906 of the Sarbanes-Oxley Act of 2002, that, to the best of their respective knowledge:</w:t>
      </w:r>
    </w:p>
    <w:p>
      <w:pPr>
        <w:spacing w:after="0" w:line="180" w:lineRule="exact"/>
        <w:rPr>
          <w:sz w:val="20"/>
          <w:szCs w:val="20"/>
          <w:color w:val="auto"/>
        </w:rPr>
      </w:pPr>
    </w:p>
    <w:p>
      <w:pPr>
        <w:ind w:left="500" w:hanging="240"/>
        <w:spacing w:after="0"/>
        <w:tabs>
          <w:tab w:leader="none" w:pos="500" w:val="left"/>
        </w:tabs>
        <w:numPr>
          <w:ilvl w:val="0"/>
          <w:numId w:val="91"/>
        </w:numPr>
        <w:rPr>
          <w:rFonts w:ascii="Arial" w:cs="Arial" w:eastAsia="Arial" w:hAnsi="Arial"/>
          <w:sz w:val="14"/>
          <w:szCs w:val="14"/>
          <w:color w:val="131E29"/>
        </w:rPr>
      </w:pPr>
      <w:r>
        <w:rPr>
          <w:rFonts w:ascii="Arial" w:cs="Arial" w:eastAsia="Arial" w:hAnsi="Arial"/>
          <w:sz w:val="14"/>
          <w:szCs w:val="14"/>
          <w:color w:val="131E29"/>
        </w:rPr>
        <w:t>the Report fully complies with the requirements of Section 13(a) or Section 15(d) of the Securities Exchange Act of 1934; and</w:t>
      </w:r>
    </w:p>
    <w:p>
      <w:pPr>
        <w:spacing w:after="0" w:line="8" w:lineRule="exact"/>
        <w:rPr>
          <w:rFonts w:ascii="Arial" w:cs="Arial" w:eastAsia="Arial" w:hAnsi="Arial"/>
          <w:sz w:val="14"/>
          <w:szCs w:val="14"/>
          <w:color w:val="131E29"/>
        </w:rPr>
      </w:pPr>
    </w:p>
    <w:p>
      <w:pPr>
        <w:ind w:left="500" w:hanging="240"/>
        <w:spacing w:after="0"/>
        <w:tabs>
          <w:tab w:leader="none" w:pos="500" w:val="left"/>
        </w:tabs>
        <w:numPr>
          <w:ilvl w:val="0"/>
          <w:numId w:val="91"/>
        </w:numPr>
        <w:rPr>
          <w:rFonts w:ascii="Arial" w:cs="Arial" w:eastAsia="Arial" w:hAnsi="Arial"/>
          <w:sz w:val="14"/>
          <w:szCs w:val="14"/>
          <w:color w:val="131E29"/>
        </w:rPr>
      </w:pPr>
      <w:r>
        <w:rPr>
          <w:rFonts w:ascii="Arial" w:cs="Arial" w:eastAsia="Arial" w:hAnsi="Arial"/>
          <w:sz w:val="14"/>
          <w:szCs w:val="14"/>
          <w:color w:val="131E29"/>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February 27, 2023</w:t>
            </w:r>
          </w:p>
        </w:tc>
        <w:tc>
          <w:tcPr>
            <w:tcW w:w="2680" w:type="dxa"/>
            <w:vAlign w:val="bottom"/>
          </w:tcPr>
          <w:p>
            <w:pPr>
              <w:spacing w:after="0"/>
              <w:rPr>
                <w:sz w:val="16"/>
                <w:szCs w:val="16"/>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 Jonathan Ricci</w:t>
            </w:r>
          </w:p>
        </w:tc>
      </w:tr>
      <w:tr>
        <w:trPr>
          <w:trHeight w:val="171"/>
        </w:trPr>
        <w:tc>
          <w:tcPr>
            <w:tcW w:w="5580" w:type="dxa"/>
            <w:vAlign w:val="bottom"/>
            <w:gridSpan w:val="2"/>
          </w:tcPr>
          <w:p>
            <w:pPr>
              <w:ind w:left="20"/>
              <w:spacing w:after="0"/>
              <w:rPr>
                <w:sz w:val="20"/>
                <w:szCs w:val="20"/>
                <w:color w:val="auto"/>
              </w:rPr>
            </w:pPr>
            <w:r>
              <w:rPr>
                <w:rFonts w:ascii="Arial" w:cs="Arial" w:eastAsia="Arial" w:hAnsi="Arial"/>
                <w:sz w:val="14"/>
                <w:szCs w:val="14"/>
                <w:color w:val="auto"/>
              </w:rPr>
              <w:t>Date</w:t>
            </w:r>
          </w:p>
        </w:tc>
        <w:tc>
          <w:tcPr>
            <w:tcW w:w="5700" w:type="dxa"/>
            <w:vAlign w:val="bottom"/>
          </w:tcPr>
          <w:p>
            <w:pPr>
              <w:jc w:val="center"/>
              <w:spacing w:after="0"/>
              <w:rPr>
                <w:sz w:val="20"/>
                <w:szCs w:val="20"/>
                <w:color w:val="auto"/>
              </w:rPr>
            </w:pPr>
            <w:r>
              <w:rPr>
                <w:rFonts w:ascii="Arial" w:cs="Arial" w:eastAsia="Arial" w:hAnsi="Arial"/>
                <w:sz w:val="14"/>
                <w:szCs w:val="14"/>
                <w:color w:val="auto"/>
              </w:rPr>
              <w:t>Jonathan Ricci</w:t>
            </w:r>
          </w:p>
        </w:tc>
      </w:tr>
      <w:tr>
        <w:trPr>
          <w:trHeight w:val="177"/>
        </w:trPr>
        <w:tc>
          <w:tcPr>
            <w:tcW w:w="29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5700" w:type="dxa"/>
            <w:vAlign w:val="bottom"/>
          </w:tcPr>
          <w:p>
            <w:pPr>
              <w:jc w:val="center"/>
              <w:spacing w:after="0"/>
              <w:rPr>
                <w:sz w:val="20"/>
                <w:szCs w:val="20"/>
                <w:color w:val="auto"/>
              </w:rPr>
            </w:pPr>
            <w:r>
              <w:rPr>
                <w:rFonts w:ascii="Arial" w:cs="Arial" w:eastAsia="Arial" w:hAnsi="Arial"/>
                <w:sz w:val="14"/>
                <w:szCs w:val="14"/>
                <w:color w:val="auto"/>
              </w:rPr>
              <w:t>Chief Executive Officer</w:t>
            </w:r>
          </w:p>
        </w:tc>
      </w:tr>
      <w:tr>
        <w:trPr>
          <w:trHeight w:val="184"/>
        </w:trPr>
        <w:tc>
          <w:tcPr>
            <w:tcW w:w="29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Arial" w:cs="Arial" w:eastAsia="Arial" w:hAnsi="Arial"/>
                <w:sz w:val="14"/>
                <w:szCs w:val="14"/>
                <w:i w:val="1"/>
                <w:iCs w:val="1"/>
                <w:color w:val="auto"/>
              </w:rPr>
              <w:t>(Principal Executive Officer)</w:t>
            </w:r>
          </w:p>
        </w:tc>
      </w:tr>
    </w:tbl>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February 27, 2023</w:t>
            </w:r>
          </w:p>
        </w:tc>
        <w:tc>
          <w:tcPr>
            <w:tcW w:w="2680" w:type="dxa"/>
            <w:vAlign w:val="bottom"/>
          </w:tcPr>
          <w:p>
            <w:pPr>
              <w:spacing w:after="0"/>
              <w:rPr>
                <w:sz w:val="16"/>
                <w:szCs w:val="16"/>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 Charles L. Jemley</w:t>
            </w:r>
          </w:p>
        </w:tc>
      </w:tr>
      <w:tr>
        <w:trPr>
          <w:trHeight w:val="171"/>
        </w:trPr>
        <w:tc>
          <w:tcPr>
            <w:tcW w:w="5580" w:type="dxa"/>
            <w:vAlign w:val="bottom"/>
            <w:gridSpan w:val="2"/>
          </w:tcPr>
          <w:p>
            <w:pPr>
              <w:ind w:left="20"/>
              <w:spacing w:after="0"/>
              <w:rPr>
                <w:sz w:val="20"/>
                <w:szCs w:val="20"/>
                <w:color w:val="auto"/>
              </w:rPr>
            </w:pPr>
            <w:r>
              <w:rPr>
                <w:rFonts w:ascii="Arial" w:cs="Arial" w:eastAsia="Arial" w:hAnsi="Arial"/>
                <w:sz w:val="14"/>
                <w:szCs w:val="14"/>
                <w:color w:val="auto"/>
              </w:rPr>
              <w:t>Date</w:t>
            </w:r>
          </w:p>
        </w:tc>
        <w:tc>
          <w:tcPr>
            <w:tcW w:w="5700" w:type="dxa"/>
            <w:vAlign w:val="bottom"/>
          </w:tcPr>
          <w:p>
            <w:pPr>
              <w:jc w:val="center"/>
              <w:spacing w:after="0"/>
              <w:rPr>
                <w:sz w:val="20"/>
                <w:szCs w:val="20"/>
                <w:color w:val="auto"/>
              </w:rPr>
            </w:pPr>
            <w:r>
              <w:rPr>
                <w:rFonts w:ascii="Arial" w:cs="Arial" w:eastAsia="Arial" w:hAnsi="Arial"/>
                <w:sz w:val="14"/>
                <w:szCs w:val="14"/>
                <w:color w:val="auto"/>
              </w:rPr>
              <w:t>Charles L. Jemley</w:t>
            </w:r>
          </w:p>
        </w:tc>
      </w:tr>
      <w:tr>
        <w:trPr>
          <w:trHeight w:val="177"/>
        </w:trPr>
        <w:tc>
          <w:tcPr>
            <w:tcW w:w="29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5700" w:type="dxa"/>
            <w:vAlign w:val="bottom"/>
          </w:tcPr>
          <w:p>
            <w:pPr>
              <w:jc w:val="center"/>
              <w:spacing w:after="0"/>
              <w:rPr>
                <w:sz w:val="20"/>
                <w:szCs w:val="20"/>
                <w:color w:val="auto"/>
              </w:rPr>
            </w:pPr>
            <w:r>
              <w:rPr>
                <w:rFonts w:ascii="Arial" w:cs="Arial" w:eastAsia="Arial" w:hAnsi="Arial"/>
                <w:sz w:val="14"/>
                <w:szCs w:val="14"/>
                <w:color w:val="auto"/>
              </w:rPr>
              <w:t>Chief Financial Officer</w:t>
            </w:r>
          </w:p>
        </w:tc>
      </w:tr>
      <w:tr>
        <w:trPr>
          <w:trHeight w:val="184"/>
        </w:trPr>
        <w:tc>
          <w:tcPr>
            <w:tcW w:w="29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Arial" w:cs="Arial" w:eastAsia="Arial" w:hAnsi="Arial"/>
                <w:sz w:val="14"/>
                <w:szCs w:val="14"/>
                <w:i w:val="1"/>
                <w:iCs w:val="1"/>
                <w:color w:val="auto"/>
              </w:rPr>
              <w:t>(Principal Financial and Accounting Officer)</w:t>
            </w:r>
          </w:p>
        </w:tc>
      </w:tr>
    </w:tbl>
    <w:p>
      <w:pPr>
        <w:spacing w:after="0" w:line="26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This certification accompanies the Report to which it relates, is not deemed filed with the Securities and Exchange Commission and is not to be incorporated by reference into any filing of Dutch Bros Inc. under the Securities Act of 1933, as amended, or the Securities Exchange Act of 1934, as amended (whether made before or after the date of the Report),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8">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Exhibit 32.1</w:t>
      </w:r>
    </w:p>
    <w:sectPr>
      <w:pgSz w:w="11900" w:h="16838" w:orient="portrait"/>
      <w:cols w:equalWidth="0" w:num="1">
        <w:col w:w="11280"/>
      </w:cols>
      <w:pgMar w:left="300" w:top="12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1"/>
      <w:numFmt w:val="bullet"/>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1"/>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
      <w:numFmt w:val="bullet"/>
      <w:start w:val="1"/>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
      <w:numFmt w:val="bullet"/>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
      <w:numFmt w:val="bullet"/>
      <w:start w:val="1"/>
    </w:lvl>
  </w:abstractNum>
  <w:abstractNum w:abstractNumId="27">
    <w:nsid w:val="15B5AF5C"/>
    <w:multiLevelType w:val="hybridMultilevel"/>
    <w:lvl w:ilvl="0">
      <w:lvlJc w:val="left"/>
      <w:lvlText w:val="•"/>
      <w:numFmt w:val="bullet"/>
      <w:start w:val="1"/>
    </w:lvl>
  </w:abstractNum>
  <w:abstractNum w:abstractNumId="28">
    <w:nsid w:val="741226BB"/>
    <w:multiLevelType w:val="hybridMultilevel"/>
    <w:lvl w:ilvl="0">
      <w:lvlJc w:val="left"/>
      <w:lvlText w:val="•"/>
      <w:numFmt w:val="bullet"/>
      <w:start w:val="1"/>
    </w:lvl>
  </w:abstractNum>
  <w:abstractNum w:abstractNumId="29">
    <w:nsid w:val="D34B6A8"/>
    <w:multiLevelType w:val="hybridMultilevel"/>
    <w:lvl w:ilvl="0">
      <w:lvlJc w:val="left"/>
      <w:lvlText w:val="•"/>
      <w:numFmt w:val="bullet"/>
      <w:start w:val="1"/>
    </w:lvl>
  </w:abstractNum>
  <w:abstractNum w:abstractNumId="30">
    <w:nsid w:val="10233C99"/>
    <w:multiLevelType w:val="hybridMultilevel"/>
    <w:lvl w:ilvl="0">
      <w:lvlJc w:val="left"/>
      <w:lvlText w:val="•"/>
      <w:numFmt w:val="bullet"/>
      <w:start w:val="1"/>
    </w:lvl>
  </w:abstractNum>
  <w:abstractNum w:abstractNumId="31">
    <w:nsid w:val="3F6AB60F"/>
    <w:multiLevelType w:val="hybridMultilevel"/>
    <w:lvl w:ilvl="0">
      <w:lvlJc w:val="left"/>
      <w:lvlText w:val="•"/>
      <w:numFmt w:val="bullet"/>
      <w:start w:val="1"/>
    </w:lvl>
  </w:abstractNum>
  <w:abstractNum w:abstractNumId="32">
    <w:nsid w:val="61574095"/>
    <w:multiLevelType w:val="hybridMultilevel"/>
    <w:lvl w:ilvl="0">
      <w:lvlJc w:val="left"/>
      <w:lvlText w:val="•"/>
      <w:numFmt w:val="bullet"/>
      <w:start w:val="1"/>
    </w:lvl>
  </w:abstractNum>
  <w:abstractNum w:abstractNumId="33">
    <w:nsid w:val="7E0C57B1"/>
    <w:multiLevelType w:val="hybridMultilevel"/>
    <w:lvl w:ilvl="0">
      <w:lvlJc w:val="left"/>
      <w:lvlText w:val="•"/>
      <w:numFmt w:val="bullet"/>
      <w:start w:val="1"/>
    </w:lvl>
  </w:abstractNum>
  <w:abstractNum w:abstractNumId="34">
    <w:nsid w:val="77AE35EB"/>
    <w:multiLevelType w:val="hybridMultilevel"/>
    <w:lvl w:ilvl="0">
      <w:lvlJc w:val="left"/>
      <w:lvlText w:val="1"/>
      <w:numFmt w:val="bullet"/>
      <w:start w:val="1"/>
    </w:lvl>
  </w:abstractNum>
  <w:abstractNum w:abstractNumId="35">
    <w:nsid w:val="579BE4F1"/>
    <w:multiLevelType w:val="hybridMultilevel"/>
    <w:lvl w:ilvl="0">
      <w:lvlJc w:val="left"/>
      <w:lvlText w:val="•"/>
      <w:numFmt w:val="bullet"/>
      <w:start w:val="1"/>
    </w:lvl>
  </w:abstractNum>
  <w:abstractNum w:abstractNumId="36">
    <w:nsid w:val="310C50B3"/>
    <w:multiLevelType w:val="hybridMultilevel"/>
    <w:lvl w:ilvl="0">
      <w:lvlJc w:val="left"/>
      <w:lvlText w:val="1"/>
      <w:numFmt w:val="bullet"/>
      <w:start w:val="1"/>
    </w:lvl>
  </w:abstractNum>
  <w:abstractNum w:abstractNumId="37">
    <w:nsid w:val="5FF87E05"/>
    <w:multiLevelType w:val="hybridMultilevel"/>
    <w:lvl w:ilvl="0">
      <w:lvlJc w:val="left"/>
      <w:lvlText w:val="2"/>
      <w:numFmt w:val="bullet"/>
      <w:start w:val="1"/>
    </w:lvl>
  </w:abstractNum>
  <w:abstractNum w:abstractNumId="38">
    <w:nsid w:val="2F305DEF"/>
    <w:multiLevelType w:val="hybridMultilevel"/>
    <w:lvl w:ilvl="0">
      <w:lvlJc w:val="left"/>
      <w:lvlText w:val="3"/>
      <w:numFmt w:val="bullet"/>
      <w:start w:val="1"/>
    </w:lvl>
  </w:abstractNum>
  <w:abstractNum w:abstractNumId="39">
    <w:nsid w:val="25A70BF7"/>
    <w:multiLevelType w:val="hybridMultilevel"/>
    <w:lvl w:ilvl="0">
      <w:lvlJc w:val="left"/>
      <w:lvlText w:val="4"/>
      <w:numFmt w:val="bullet"/>
      <w:start w:val="1"/>
    </w:lvl>
  </w:abstractNum>
  <w:abstractNum w:abstractNumId="40">
    <w:nsid w:val="1DBABF00"/>
    <w:multiLevelType w:val="hybridMultilevel"/>
    <w:lvl w:ilvl="0">
      <w:lvlJc w:val="left"/>
      <w:lvlText w:val="5"/>
      <w:numFmt w:val="bullet"/>
      <w:start w:val="1"/>
    </w:lvl>
  </w:abstractNum>
  <w:abstractNum w:abstractNumId="41">
    <w:nsid w:val="4AD084E9"/>
    <w:multiLevelType w:val="hybridMultilevel"/>
    <w:lvl w:ilvl="0">
      <w:lvlJc w:val="left"/>
      <w:lvlText w:val="6"/>
      <w:numFmt w:val="bullet"/>
      <w:start w:val="1"/>
    </w:lvl>
  </w:abstractNum>
  <w:abstractNum w:abstractNumId="42">
    <w:nsid w:val="1F48EAA1"/>
    <w:multiLevelType w:val="hybridMultilevel"/>
    <w:lvl w:ilvl="0">
      <w:lvlJc w:val="left"/>
      <w:lvlText w:val="7"/>
      <w:numFmt w:val="bullet"/>
      <w:start w:val="1"/>
    </w:lvl>
  </w:abstractNum>
  <w:abstractNum w:abstractNumId="43">
    <w:nsid w:val="1381823A"/>
    <w:multiLevelType w:val="hybridMultilevel"/>
    <w:lvl w:ilvl="0">
      <w:lvlJc w:val="left"/>
      <w:lvlText w:val="8"/>
      <w:numFmt w:val="bullet"/>
      <w:start w:val="1"/>
    </w:lvl>
  </w:abstractNum>
  <w:abstractNum w:abstractNumId="44">
    <w:nsid w:val="5DB70AE5"/>
    <w:multiLevelType w:val="hybridMultilevel"/>
    <w:lvl w:ilvl="0">
      <w:lvlJc w:val="left"/>
      <w:lvlText w:val="1"/>
      <w:numFmt w:val="bullet"/>
      <w:start w:val="1"/>
    </w:lvl>
  </w:abstractNum>
  <w:abstractNum w:abstractNumId="45">
    <w:nsid w:val="100F8FCA"/>
    <w:multiLevelType w:val="hybridMultilevel"/>
    <w:lvl w:ilvl="0">
      <w:lvlJc w:val="left"/>
      <w:lvlText w:val="+"/>
      <w:numFmt w:val="bullet"/>
      <w:start w:val="1"/>
    </w:lvl>
  </w:abstractNum>
  <w:abstractNum w:abstractNumId="46">
    <w:nsid w:val="6590700B"/>
    <w:multiLevelType w:val="hybridMultilevel"/>
    <w:lvl w:ilvl="0">
      <w:lvlJc w:val="left"/>
      <w:lvlText w:val="•"/>
      <w:numFmt w:val="bullet"/>
      <w:start w:val="1"/>
    </w:lvl>
  </w:abstractNum>
  <w:abstractNum w:abstractNumId="47">
    <w:nsid w:val="15014ACB"/>
    <w:multiLevelType w:val="hybridMultilevel"/>
    <w:lvl w:ilvl="0">
      <w:lvlJc w:val="left"/>
      <w:lvlText w:val="•"/>
      <w:numFmt w:val="bullet"/>
      <w:start w:val="1"/>
    </w:lvl>
  </w:abstractNum>
  <w:abstractNum w:abstractNumId="48">
    <w:nsid w:val="5F5E7FD0"/>
    <w:multiLevelType w:val="hybridMultilevel"/>
    <w:lvl w:ilvl="0">
      <w:lvlJc w:val="left"/>
      <w:lvlText w:val="1"/>
      <w:numFmt w:val="bullet"/>
      <w:start w:val="1"/>
    </w:lvl>
  </w:abstractNum>
  <w:abstractNum w:abstractNumId="49">
    <w:nsid w:val="98A3148"/>
    <w:multiLevelType w:val="hybridMultilevel"/>
    <w:lvl w:ilvl="0">
      <w:lvlJc w:val="left"/>
      <w:lvlText w:val="1"/>
      <w:numFmt w:val="bullet"/>
      <w:start w:val="1"/>
    </w:lvl>
  </w:abstractNum>
  <w:abstractNum w:abstractNumId="50">
    <w:nsid w:val="799D0247"/>
    <w:multiLevelType w:val="hybridMultilevel"/>
    <w:lvl w:ilvl="0">
      <w:lvlJc w:val="left"/>
      <w:lvlText w:val="2"/>
      <w:numFmt w:val="bullet"/>
      <w:start w:val="1"/>
    </w:lvl>
  </w:abstractNum>
  <w:abstractNum w:abstractNumId="51">
    <w:nsid w:val="6B94764"/>
    <w:multiLevelType w:val="hybridMultilevel"/>
    <w:lvl w:ilvl="0">
      <w:lvlJc w:val="left"/>
      <w:lvlText w:val="3"/>
      <w:numFmt w:val="bullet"/>
      <w:start w:val="1"/>
    </w:lvl>
  </w:abstractNum>
  <w:abstractNum w:abstractNumId="52">
    <w:nsid w:val="42C296BD"/>
    <w:multiLevelType w:val="hybridMultilevel"/>
    <w:lvl w:ilvl="0">
      <w:lvlJc w:val="left"/>
      <w:lvlText w:val="-"/>
      <w:numFmt w:val="bullet"/>
      <w:start w:val="1"/>
    </w:lvl>
  </w:abstractNum>
  <w:abstractNum w:abstractNumId="53">
    <w:nsid w:val="168E121F"/>
    <w:multiLevelType w:val="hybridMultilevel"/>
    <w:lvl w:ilvl="0">
      <w:lvlJc w:val="left"/>
      <w:lvlText w:val="+"/>
      <w:numFmt w:val="bullet"/>
      <w:start w:val="1"/>
    </w:lvl>
  </w:abstractNum>
  <w:abstractNum w:abstractNumId="54">
    <w:nsid w:val="1EBA5D23"/>
    <w:multiLevelType w:val="hybridMultilevel"/>
    <w:lvl w:ilvl="0">
      <w:lvlJc w:val="left"/>
      <w:lvlText w:val="+"/>
      <w:numFmt w:val="bullet"/>
      <w:start w:val="1"/>
    </w:lvl>
  </w:abstractNum>
  <w:abstractNum w:abstractNumId="55">
    <w:nsid w:val="661E3F1E"/>
    <w:multiLevelType w:val="hybridMultilevel"/>
    <w:lvl w:ilvl="0">
      <w:lvlJc w:val="left"/>
      <w:lvlText w:val="1"/>
      <w:numFmt w:val="bullet"/>
      <w:start w:val="1"/>
    </w:lvl>
  </w:abstractNum>
  <w:abstractNum w:abstractNumId="56">
    <w:nsid w:val="5DC79EA8"/>
    <w:multiLevelType w:val="hybridMultilevel"/>
    <w:lvl w:ilvl="0">
      <w:lvlJc w:val="left"/>
      <w:lvlText w:val="-"/>
      <w:numFmt w:val="bullet"/>
      <w:start w:val="1"/>
    </w:lvl>
  </w:abstractNum>
  <w:abstractNum w:abstractNumId="57">
    <w:nsid w:val="540A471C"/>
    <w:multiLevelType w:val="hybridMultilevel"/>
    <w:lvl w:ilvl="0">
      <w:lvlJc w:val="left"/>
      <w:lvlText w:val="+"/>
      <w:numFmt w:val="bullet"/>
      <w:start w:val="1"/>
    </w:lvl>
  </w:abstractNum>
  <w:abstractNum w:abstractNumId="58">
    <w:nsid w:val="7BD3EE7B"/>
    <w:multiLevelType w:val="hybridMultilevel"/>
    <w:lvl w:ilvl="0">
      <w:lvlJc w:val="left"/>
      <w:lvlText w:val="+"/>
      <w:numFmt w:val="bullet"/>
      <w:start w:val="1"/>
    </w:lvl>
  </w:abstractNum>
  <w:abstractNum w:abstractNumId="59">
    <w:nsid w:val="51D9C564"/>
    <w:multiLevelType w:val="hybridMultilevel"/>
    <w:lvl w:ilvl="0">
      <w:lvlJc w:val="left"/>
      <w:lvlText w:val="-"/>
      <w:numFmt w:val="bullet"/>
      <w:start w:val="1"/>
    </w:lvl>
  </w:abstractNum>
  <w:abstractNum w:abstractNumId="60">
    <w:nsid w:val="613EFDC5"/>
    <w:multiLevelType w:val="hybridMultilevel"/>
    <w:lvl w:ilvl="0">
      <w:lvlJc w:val="left"/>
      <w:lvlText w:val="•"/>
      <w:numFmt w:val="bullet"/>
      <w:start w:val="1"/>
    </w:lvl>
  </w:abstractNum>
  <w:abstractNum w:abstractNumId="61">
    <w:nsid w:val="BF72B14"/>
    <w:multiLevelType w:val="hybridMultilevel"/>
    <w:lvl w:ilvl="0">
      <w:lvlJc w:val="left"/>
      <w:lvlText w:val="•"/>
      <w:numFmt w:val="bullet"/>
      <w:start w:val="1"/>
    </w:lvl>
  </w:abstractNum>
  <w:abstractNum w:abstractNumId="62">
    <w:nsid w:val="11447B73"/>
    <w:multiLevelType w:val="hybridMultilevel"/>
    <w:lvl w:ilvl="0">
      <w:lvlJc w:val="left"/>
      <w:lvlText w:val="1"/>
      <w:numFmt w:val="bullet"/>
      <w:start w:val="1"/>
    </w:lvl>
  </w:abstractNum>
  <w:abstractNum w:abstractNumId="63">
    <w:nsid w:val="42963E5A"/>
    <w:multiLevelType w:val="hybridMultilevel"/>
    <w:lvl w:ilvl="0">
      <w:lvlJc w:val="left"/>
      <w:lvlText w:val="2"/>
      <w:numFmt w:val="bullet"/>
      <w:start w:val="1"/>
    </w:lvl>
  </w:abstractNum>
  <w:abstractNum w:abstractNumId="64">
    <w:nsid w:val="A0382C5"/>
    <w:multiLevelType w:val="hybridMultilevel"/>
    <w:lvl w:ilvl="0">
      <w:lvlJc w:val="left"/>
      <w:lvlText w:val="3"/>
      <w:numFmt w:val="bullet"/>
      <w:start w:val="1"/>
    </w:lvl>
  </w:abstractNum>
  <w:abstractNum w:abstractNumId="65">
    <w:nsid w:val="8F2B15E"/>
    <w:multiLevelType w:val="hybridMultilevel"/>
    <w:lvl w:ilvl="0">
      <w:lvlJc w:val="left"/>
      <w:lvlText w:val="4"/>
      <w:numFmt w:val="bullet"/>
      <w:start w:val="1"/>
    </w:lvl>
  </w:abstractNum>
  <w:abstractNum w:abstractNumId="66">
    <w:nsid w:val="1A32234B"/>
    <w:multiLevelType w:val="hybridMultilevel"/>
    <w:lvl w:ilvl="0">
      <w:lvlJc w:val="left"/>
      <w:lvlText w:val="•"/>
      <w:numFmt w:val="bullet"/>
      <w:start w:val="1"/>
    </w:lvl>
  </w:abstractNum>
  <w:abstractNum w:abstractNumId="67">
    <w:nsid w:val="3B0FD379"/>
    <w:multiLevelType w:val="hybridMultilevel"/>
    <w:lvl w:ilvl="0">
      <w:lvlJc w:val="left"/>
      <w:lvlText w:val="1"/>
      <w:numFmt w:val="bullet"/>
      <w:start w:val="1"/>
    </w:lvl>
  </w:abstractNum>
  <w:abstractNum w:abstractNumId="68">
    <w:nsid w:val="68EB2F63"/>
    <w:multiLevelType w:val="hybridMultilevel"/>
    <w:lvl w:ilvl="0">
      <w:lvlJc w:val="left"/>
      <w:lvlText w:val="•"/>
      <w:numFmt w:val="bullet"/>
      <w:start w:val="1"/>
    </w:lvl>
  </w:abstractNum>
  <w:abstractNum w:abstractNumId="69">
    <w:nsid w:val="4962813B"/>
    <w:multiLevelType w:val="hybridMultilevel"/>
    <w:lvl w:ilvl="0">
      <w:lvlJc w:val="left"/>
      <w:lvlText w:val="•"/>
      <w:numFmt w:val="bullet"/>
      <w:start w:val="1"/>
    </w:lvl>
  </w:abstractNum>
  <w:abstractNum w:abstractNumId="70">
    <w:nsid w:val="60B6DF70"/>
    <w:multiLevelType w:val="hybridMultilevel"/>
    <w:lvl w:ilvl="0">
      <w:lvlJc w:val="left"/>
      <w:lvlText w:val="•"/>
      <w:numFmt w:val="bullet"/>
      <w:start w:val="1"/>
    </w:lvl>
  </w:abstractNum>
  <w:abstractNum w:abstractNumId="71">
    <w:nsid w:val="6A5EE64"/>
    <w:multiLevelType w:val="hybridMultilevel"/>
    <w:lvl w:ilvl="0">
      <w:lvlJc w:val="left"/>
      <w:lvlText w:val="•"/>
      <w:numFmt w:val="bullet"/>
      <w:start w:val="1"/>
    </w:lvl>
  </w:abstractNum>
  <w:abstractNum w:abstractNumId="72">
    <w:nsid w:val="14330624"/>
    <w:multiLevelType w:val="hybridMultilevel"/>
    <w:lvl w:ilvl="0">
      <w:lvlJc w:val="left"/>
      <w:lvlText w:val="1"/>
      <w:numFmt w:val="bullet"/>
      <w:start w:val="1"/>
    </w:lvl>
  </w:abstractNum>
  <w:abstractNum w:abstractNumId="73">
    <w:nsid w:val="7FFFCA11"/>
    <w:multiLevelType w:val="hybridMultilevel"/>
    <w:lvl w:ilvl="0">
      <w:lvlJc w:val="left"/>
      <w:lvlText w:val="•"/>
      <w:numFmt w:val="bullet"/>
      <w:start w:val="1"/>
    </w:lvl>
  </w:abstractNum>
  <w:abstractNum w:abstractNumId="74">
    <w:nsid w:val="1A27709E"/>
    <w:multiLevelType w:val="hybridMultilevel"/>
    <w:lvl w:ilvl="0">
      <w:lvlJc w:val="left"/>
      <w:lvlText w:val="•"/>
      <w:numFmt w:val="bullet"/>
      <w:start w:val="1"/>
    </w:lvl>
  </w:abstractNum>
  <w:abstractNum w:abstractNumId="75">
    <w:nsid w:val="71EA1109"/>
    <w:multiLevelType w:val="hybridMultilevel"/>
    <w:lvl w:ilvl="0">
      <w:lvlJc w:val="left"/>
      <w:lvlText w:val="2"/>
      <w:numFmt w:val="bullet"/>
      <w:start w:val="1"/>
    </w:lvl>
  </w:abstractNum>
  <w:abstractNum w:abstractNumId="76">
    <w:nsid w:val="100F59DC"/>
    <w:multiLevelType w:val="hybridMultilevel"/>
    <w:lvl w:ilvl="0">
      <w:lvlJc w:val="left"/>
      <w:lvlText w:val="1"/>
      <w:numFmt w:val="bullet"/>
      <w:start w:val="1"/>
    </w:lvl>
  </w:abstractNum>
  <w:abstractNum w:abstractNumId="77">
    <w:nsid w:val="7FB7E0AA"/>
    <w:multiLevelType w:val="hybridMultilevel"/>
    <w:lvl w:ilvl="0">
      <w:lvlJc w:val="left"/>
      <w:lvlText w:val="1"/>
      <w:numFmt w:val="bullet"/>
      <w:start w:val="1"/>
    </w:lvl>
  </w:abstractNum>
  <w:abstractNum w:abstractNumId="78">
    <w:nsid w:val="6EB5BD4"/>
    <w:multiLevelType w:val="hybridMultilevel"/>
    <w:lvl w:ilvl="0">
      <w:lvlJc w:val="left"/>
      <w:lvlText w:val="1"/>
      <w:numFmt w:val="bullet"/>
      <w:start w:val="1"/>
    </w:lvl>
  </w:abstractNum>
  <w:abstractNum w:abstractNumId="79">
    <w:nsid w:val="6F6DD9AC"/>
    <w:multiLevelType w:val="hybridMultilevel"/>
    <w:lvl w:ilvl="0">
      <w:lvlJc w:val="left"/>
      <w:lvlText w:val="1"/>
      <w:numFmt w:val="bullet"/>
      <w:start w:val="1"/>
    </w:lvl>
  </w:abstractNum>
  <w:abstractNum w:abstractNumId="80">
    <w:nsid w:val="94211F2"/>
    <w:multiLevelType w:val="hybridMultilevel"/>
    <w:lvl w:ilvl="0">
      <w:lvlJc w:val="left"/>
      <w:lvlText w:val="1"/>
      <w:numFmt w:val="bullet"/>
      <w:start w:val="1"/>
    </w:lvl>
  </w:abstractNum>
  <w:abstractNum w:abstractNumId="81">
    <w:nsid w:val="885E1B"/>
    <w:multiLevelType w:val="hybridMultilevel"/>
    <w:lvl w:ilvl="0">
      <w:lvlJc w:val="left"/>
      <w:lvlText w:val="•"/>
      <w:numFmt w:val="bullet"/>
      <w:start w:val="1"/>
    </w:lvl>
  </w:abstractNum>
  <w:abstractNum w:abstractNumId="82">
    <w:nsid w:val="76272110"/>
    <w:multiLevelType w:val="hybridMultilevel"/>
    <w:lvl w:ilvl="0">
      <w:lvlJc w:val="left"/>
      <w:lvlText w:val="•"/>
      <w:numFmt w:val="bullet"/>
      <w:start w:val="1"/>
    </w:lvl>
  </w:abstractNum>
  <w:abstractNum w:abstractNumId="83">
    <w:nsid w:val="4C04A8AF"/>
    <w:multiLevelType w:val="hybridMultilevel"/>
    <w:lvl w:ilvl="0">
      <w:lvlJc w:val="left"/>
      <w:lvlText w:val="\endash "/>
      <w:numFmt w:val="bullet"/>
      <w:start w:val="1"/>
    </w:lvl>
  </w:abstractNum>
  <w:abstractNum w:abstractNumId="84">
    <w:nsid w:val="1716703B"/>
    <w:multiLevelType w:val="hybridMultilevel"/>
    <w:lvl w:ilvl="0">
      <w:lvlJc w:val="left"/>
      <w:lvlText w:val="(%1)"/>
      <w:numFmt w:val="decimal"/>
      <w:start w:val="2"/>
    </w:lvl>
  </w:abstractNum>
  <w:abstractNum w:abstractNumId="85">
    <w:nsid w:val="14E17E33"/>
    <w:multiLevelType w:val="hybridMultilevel"/>
    <w:lvl w:ilvl="0">
      <w:lvlJc w:val="left"/>
      <w:lvlText w:val="•"/>
      <w:numFmt w:val="bullet"/>
      <w:start w:val="1"/>
    </w:lvl>
  </w:abstractNum>
  <w:abstractNum w:abstractNumId="86">
    <w:nsid w:val="3222E7CD"/>
    <w:multiLevelType w:val="hybridMultilevel"/>
    <w:lvl w:ilvl="0">
      <w:lvlJc w:val="left"/>
      <w:lvlText w:val="†"/>
      <w:numFmt w:val="bullet"/>
      <w:start w:val="1"/>
    </w:lvl>
  </w:abstractNum>
  <w:abstractNum w:abstractNumId="87">
    <w:nsid w:val="74DE0EE3"/>
    <w:multiLevelType w:val="hybridMultilevel"/>
    <w:lvl w:ilvl="0">
      <w:lvlJc w:val="left"/>
      <w:lvlText w:val="*"/>
      <w:numFmt w:val="bullet"/>
      <w:start w:val="1"/>
    </w:lvl>
  </w:abstractNum>
  <w:abstractNum w:abstractNumId="88">
    <w:nsid w:val="68EBC550"/>
    <w:multiLevelType w:val="hybridMultilevel"/>
    <w:lvl w:ilvl="0">
      <w:lvlJc w:val="left"/>
      <w:lvlText w:val="%1."/>
      <w:numFmt w:val="decimal"/>
      <w:start w:val="1"/>
    </w:lvl>
    <w:lvl w:ilvl="1">
      <w:lvlJc w:val="left"/>
      <w:lvlText w:val="(%2)"/>
      <w:numFmt w:val="lowerLetter"/>
      <w:start w:val="1"/>
    </w:lvl>
  </w:abstractNum>
  <w:abstractNum w:abstractNumId="89">
    <w:nsid w:val="2DF6D648"/>
    <w:multiLevelType w:val="hybridMultilevel"/>
    <w:lvl w:ilvl="0">
      <w:lvlJc w:val="left"/>
      <w:lvlText w:val="%1."/>
      <w:numFmt w:val="decimal"/>
      <w:start w:val="1"/>
    </w:lvl>
    <w:lvl w:ilvl="1">
      <w:lvlJc w:val="left"/>
      <w:lvlText w:val="(%2)"/>
      <w:numFmt w:val="lowerLetter"/>
      <w:start w:val="1"/>
    </w:lvl>
  </w:abstractNum>
  <w:abstractNum w:abstractNumId="90">
    <w:nsid w:val="46B7D4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png"/><Relationship Id="rId368" Type="http://schemas.openxmlformats.org/officeDocument/2006/relationships/image" Target="media/image361.jpe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jpeg"/><Relationship Id="rId378" Type="http://schemas.openxmlformats.org/officeDocument/2006/relationships/image" Target="media/image371.png"/><Relationship Id="rId379" Type="http://schemas.openxmlformats.org/officeDocument/2006/relationships/image" Target="media/image372.png"/><Relationship Id="rId395" Type="http://schemas.openxmlformats.org/officeDocument/2006/relationships/image" Target="media/image373.jpeg"/><Relationship Id="rId396" Type="http://schemas.openxmlformats.org/officeDocument/2006/relationships/image" Target="media/image374.png"/><Relationship Id="rId403" Type="http://schemas.openxmlformats.org/officeDocument/2006/relationships/image" Target="media/image375.png"/><Relationship Id="rId404" Type="http://schemas.openxmlformats.org/officeDocument/2006/relationships/image" Target="media/image376.png"/><Relationship Id="rId405" Type="http://schemas.openxmlformats.org/officeDocument/2006/relationships/image" Target="media/image377.png"/><Relationship Id="rId406" Type="http://schemas.openxmlformats.org/officeDocument/2006/relationships/image" Target="media/image378.png"/><Relationship Id="rId407" Type="http://schemas.openxmlformats.org/officeDocument/2006/relationships/image" Target="media/image379.png"/><Relationship Id="rId408" Type="http://schemas.openxmlformats.org/officeDocument/2006/relationships/image" Target="media/image380.png"/><Relationship Id="rId409" Type="http://schemas.openxmlformats.org/officeDocument/2006/relationships/image" Target="media/image381.png"/><Relationship Id="rId410" Type="http://schemas.openxmlformats.org/officeDocument/2006/relationships/image" Target="media/image382.png"/><Relationship Id="rId411" Type="http://schemas.openxmlformats.org/officeDocument/2006/relationships/image" Target="media/image383.png"/><Relationship Id="rId412" Type="http://schemas.openxmlformats.org/officeDocument/2006/relationships/image" Target="media/image384.jpeg"/><Relationship Id="rId413" Type="http://schemas.openxmlformats.org/officeDocument/2006/relationships/image" Target="media/image385.png"/><Relationship Id="rId414" Type="http://schemas.openxmlformats.org/officeDocument/2006/relationships/image" Target="media/image386.jpeg"/><Relationship Id="rId415" Type="http://schemas.openxmlformats.org/officeDocument/2006/relationships/image" Target="media/image387.png"/><Relationship Id="rId416" Type="http://schemas.openxmlformats.org/officeDocument/2006/relationships/image" Target="media/image388.png"/><Relationship Id="rId417" Type="http://schemas.openxmlformats.org/officeDocument/2006/relationships/image" Target="media/image389.jpeg"/><Relationship Id="rId418" Type="http://schemas.openxmlformats.org/officeDocument/2006/relationships/image" Target="media/image390.png"/><Relationship Id="rId419" Type="http://schemas.openxmlformats.org/officeDocument/2006/relationships/image" Target="media/image391.png"/><Relationship Id="rId420" Type="http://schemas.openxmlformats.org/officeDocument/2006/relationships/image" Target="media/image392.png"/><Relationship Id="rId421" Type="http://schemas.openxmlformats.org/officeDocument/2006/relationships/image" Target="media/image393.png"/><Relationship Id="rId422" Type="http://schemas.openxmlformats.org/officeDocument/2006/relationships/image" Target="media/image394.png"/><Relationship Id="rId423" Type="http://schemas.openxmlformats.org/officeDocument/2006/relationships/image" Target="media/image395.png"/><Relationship Id="rId424" Type="http://schemas.openxmlformats.org/officeDocument/2006/relationships/image" Target="media/image396.png"/><Relationship Id="rId425" Type="http://schemas.openxmlformats.org/officeDocument/2006/relationships/image" Target="media/image397.png"/><Relationship Id="rId426" Type="http://schemas.openxmlformats.org/officeDocument/2006/relationships/image" Target="media/image398.png"/><Relationship Id="rId427" Type="http://schemas.openxmlformats.org/officeDocument/2006/relationships/image" Target="media/image399.png"/><Relationship Id="rId428" Type="http://schemas.openxmlformats.org/officeDocument/2006/relationships/image" Target="media/image400.png"/><Relationship Id="rId429" Type="http://schemas.openxmlformats.org/officeDocument/2006/relationships/image" Target="media/image401.png"/><Relationship Id="rId430" Type="http://schemas.openxmlformats.org/officeDocument/2006/relationships/image" Target="media/image402.png"/><Relationship Id="rId431" Type="http://schemas.openxmlformats.org/officeDocument/2006/relationships/image" Target="media/image403.png"/><Relationship Id="rId432" Type="http://schemas.openxmlformats.org/officeDocument/2006/relationships/image" Target="media/image404.png"/><Relationship Id="rId433" Type="http://schemas.openxmlformats.org/officeDocument/2006/relationships/image" Target="media/image405.png"/><Relationship Id="rId434" Type="http://schemas.openxmlformats.org/officeDocument/2006/relationships/image" Target="media/image406.jpeg"/><Relationship Id="rId435" Type="http://schemas.openxmlformats.org/officeDocument/2006/relationships/image" Target="media/image407.jpeg"/><Relationship Id="rId436" Type="http://schemas.openxmlformats.org/officeDocument/2006/relationships/image" Target="media/image408.jpeg"/><Relationship Id="rId437" Type="http://schemas.openxmlformats.org/officeDocument/2006/relationships/image" Target="media/image409.jpeg"/><Relationship Id="rId438" Type="http://schemas.openxmlformats.org/officeDocument/2006/relationships/image" Target="media/image410.jpeg"/><Relationship Id="rId380" Type="http://schemas.openxmlformats.org/officeDocument/2006/relationships/hyperlink" Target="https://www.sec.gov/Archives/edgar/data/0001866581/000162828021018861/exhibit31-8xk.htm" TargetMode="External"/><Relationship Id="rId381" Type="http://schemas.openxmlformats.org/officeDocument/2006/relationships/hyperlink" Target="https://www.sec.gov/Archives/edgar/data/1866581/000162828021017441/exhibit34-sx1.htm" TargetMode="External"/><Relationship Id="rId382" Type="http://schemas.openxmlformats.org/officeDocument/2006/relationships/hyperlink" Target="http://www.sec.gov/Archives/edgar/data/0001866581/000162828021018116/exhibit41.htm" TargetMode="External"/><Relationship Id="rId383" Type="http://schemas.openxmlformats.org/officeDocument/2006/relationships/hyperlink" Target="http://www.sec.gov/Archives/edgar/data/0001866581/000162828021018861/exhibit101-8xk.htm" TargetMode="External"/><Relationship Id="rId384" Type="http://schemas.openxmlformats.org/officeDocument/2006/relationships/hyperlink" Target="http://www.sec.gov/Archives/edgar/data/0001866581/000162828021018861/exhibit102-8xk.htm" TargetMode="External"/><Relationship Id="rId385" Type="http://schemas.openxmlformats.org/officeDocument/2006/relationships/hyperlink" Target="http://www.sec.gov/Archives/edgar/data/0001866581/000162828021018861/exhibit103-8xk.htm" TargetMode="External"/><Relationship Id="rId386" Type="http://schemas.openxmlformats.org/officeDocument/2006/relationships/hyperlink" Target="http://www.sec.gov/Archives/edgar/data/0001866581/000162828021018861/exhibit104-8xk.htm" TargetMode="External"/><Relationship Id="rId387" Type="http://schemas.openxmlformats.org/officeDocument/2006/relationships/hyperlink" Target="http://www.sec.gov/Archives/edgar/data/0001866581/000162828021018861/exhibit105-8xk.htm" TargetMode="External"/><Relationship Id="rId388" Type="http://schemas.openxmlformats.org/officeDocument/2006/relationships/hyperlink" Target="http://www.sec.gov/Archives/edgar/data/0001866581/000162828021017441/exhibit102-sx1.htm" TargetMode="External"/><Relationship Id="rId389" Type="http://schemas.openxmlformats.org/officeDocument/2006/relationships/hyperlink" Target="https://www.sec.gov/Archives/edgar/data/0001866581/000162828021018852/exhibit991-sx8.htm" TargetMode="External"/><Relationship Id="rId390" Type="http://schemas.openxmlformats.org/officeDocument/2006/relationships/hyperlink" Target="http://www.sec.gov/Archives/edgar/data/0001866581/000162828021018116/exhibit108-sx1a1.htm" TargetMode="External"/><Relationship Id="rId391" Type="http://schemas.openxmlformats.org/officeDocument/2006/relationships/hyperlink" Target="https://www.sec.gov/Archives/edgar/data/0001866581/000162828021018116/exhibit109-sx1a1.htm" TargetMode="External"/><Relationship Id="rId392" Type="http://schemas.openxmlformats.org/officeDocument/2006/relationships/hyperlink" Target="http://www.sec.gov/Archives/edgar/data/0001866581/000162828021018116/exhibit1010-sx1a1.htm" TargetMode="External"/><Relationship Id="rId393" Type="http://schemas.openxmlformats.org/officeDocument/2006/relationships/hyperlink" Target="https://www.sec.gov/Archives/edgar/data/1866581/000186658121000015/exhibit101-8k.htm" TargetMode="External"/><Relationship Id="rId394" Type="http://schemas.openxmlformats.org/officeDocument/2006/relationships/hyperlink" Target="https://www.sec.gov/Archives/edgar/data/1866581/000186658121000015/exhibit102-8k.htm" TargetMode="External"/><Relationship Id="rId397" Type="http://schemas.openxmlformats.org/officeDocument/2006/relationships/hyperlink" Target="https://www.sec.gov/Archives/edgar/data/1866581/000186658121000017/exh101-20211105_sgillett.htm" TargetMode="External"/><Relationship Id="rId398" Type="http://schemas.openxmlformats.org/officeDocument/2006/relationships/hyperlink" Target="https://www.sec.gov/Archives/edgar/data/1866581/000186658122000020/maxwell_brian-dbol.htm" TargetMode="External"/><Relationship Id="rId399" Type="http://schemas.openxmlformats.org/officeDocument/2006/relationships/hyperlink" Target="https://www.sec.gov/Archives/edgar/data/1866581/000186658122000020/final2022dmljpmarcredita.htm" TargetMode="External"/><Relationship Id="rId400" Type="http://schemas.openxmlformats.org/officeDocument/2006/relationships/hyperlink" Target="https://www.sec.gov/Archives/edgar/data/1866581/000186658122000103/a2022-08x12serviceonboar.htm" TargetMode="External"/><Relationship Id="rId401" Type="http://schemas.openxmlformats.org/officeDocument/2006/relationships/hyperlink" Target="https://www.sec.gov/Archives/edgar/data/1866581/000186658122000132/a2022-11x09employmentagr.htm" TargetMode="External"/><Relationship Id="rId402" Type="http://schemas.openxmlformats.org/officeDocument/2006/relationships/hyperlink" Target="https://www.sec.gov/Archives/edgar/data/1866581/000186658122000132/a2022-11x09participatio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2023-02-27T18:06:22Z</dcterms:created>
  <dcterms:modified xsi:type="dcterms:W3CDTF">2023-02-27T18:06:22Z</dcterms:modified>
</cp:coreProperties>
</file>