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160" w:right="4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41" w:lineRule="exact"/>
        <w:rPr>
          <w:sz w:val="24"/>
          <w:szCs w:val="24"/>
          <w:color w:val="auto"/>
        </w:rPr>
      </w:pPr>
    </w:p>
    <w:p>
      <w:pPr>
        <w:ind w:left="1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-646430</wp:posOffset>
            </wp:positionV>
            <wp:extent cx="5905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772160</wp:posOffset>
            </wp:positionV>
            <wp:extent cx="6989445" cy="8618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160" w:space="240"/>
            <w:col w:w="8580"/>
          </w:cols>
          <w:pgMar w:left="460" w:top="219" w:right="4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1">
        <w:r>
          <w:rPr>
            <w:rFonts w:ascii="Times New Roman" w:cs="Times New Roman" w:eastAsia="Times New Roman" w:hAnsi="Times New Roman"/>
            <w:sz w:val="21"/>
            <w:szCs w:val="21"/>
            <w:u w:val="single" w:color="auto"/>
            <w:color w:val="0000EE"/>
          </w:rPr>
          <w:t>Boersma Travis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DUTCH BROS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1930 W RIO SALADO PKWY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Dutch Bros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BROS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4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11/02/2026</w:t>
      </w:r>
    </w:p>
    <w:p>
      <w:pPr>
        <w:spacing w:after="0" w:line="20" w:lineRule="exact"/>
        <w:rPr>
          <w:sz w:val="24"/>
          <w:szCs w:val="24"/>
          <w:color w:val="auto"/>
        </w:rPr>
      </w:pPr>
      <w:r>
        <w:rPr>
          <w:sz w:val="24"/>
          <w:szCs w:val="24"/>
          <w:color w:val="auto"/>
        </w:rPr>
        <w:br w:type="column"/>
      </w:r>
    </w:p>
    <w:p>
      <w:pPr>
        <w:ind w:left="5" w:right="4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Executive Chairman of Board</w:t>
      </w:r>
    </w:p>
    <w:p>
      <w:pPr>
        <w:spacing w:after="0" w:line="468" w:lineRule="exact"/>
        <w:rPr>
          <w:sz w:val="24"/>
          <w:szCs w:val="24"/>
          <w:color w:val="auto"/>
        </w:rPr>
      </w:pPr>
    </w:p>
    <w:p>
      <w:pPr>
        <w:sectPr>
          <w:pgSz w:w="11900" w:h="16838" w:orient="portrait"/>
          <w:cols w:equalWidth="0" w:num="3">
            <w:col w:w="3200" w:space="720"/>
            <w:col w:w="3095" w:space="720"/>
            <w:col w:w="3245"/>
          </w:cols>
          <w:pgMar w:left="460" w:top="219" w:right="459" w:bottom="0" w:gutter="0" w:footer="0" w:header="0"/>
          <w:type w:val="continuous"/>
        </w:sectPr>
      </w:pPr>
    </w:p>
    <w:tbl>
      <w:tblPr>
        <w:tblLayout w:type="fixed"/>
        <w:tblInd w:w="0" w:type="dxa"/>
        <w:tblCellMar>
          <w:top w:w="0" w:type="dxa"/>
          <w:left w:w="0" w:type="dxa"/>
          <w:bottom w:w="0" w:type="dxa"/>
          <w:right w:w="0" w:type="dxa"/>
        </w:tblCellMar>
      </w:tblP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900" w:type="dxa"/>
            <w:vAlign w:val="bottom"/>
            <w:gridSpan w:val="5"/>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6"/>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EEEEEE"/>
          </w:tcPr>
          <w:p>
            <w:pPr>
              <w:spacing w:after="0" w:line="20" w:lineRule="exact"/>
              <w:rPr>
                <w:sz w:val="1"/>
                <w:szCs w:val="1"/>
                <w:color w:val="auto"/>
              </w:rPr>
            </w:pPr>
          </w:p>
        </w:tc>
        <w:tc>
          <w:tcPr>
            <w:tcW w:w="980" w:type="dxa"/>
            <w:vAlign w:val="bottom"/>
            <w:shd w:val="clear" w:color="auto" w:fill="EEEEEE"/>
          </w:tcPr>
          <w:p>
            <w:pPr>
              <w:spacing w:after="0" w:line="20" w:lineRule="exact"/>
              <w:rPr>
                <w:sz w:val="1"/>
                <w:szCs w:val="1"/>
                <w:color w:val="auto"/>
              </w:rPr>
            </w:pPr>
          </w:p>
        </w:tc>
        <w:tc>
          <w:tcPr>
            <w:tcW w:w="17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00" w:type="dxa"/>
            <w:vAlign w:val="bottom"/>
            <w:gridSpan w:val="5"/>
            <w:vMerge w:val="continue"/>
          </w:tcPr>
          <w:p>
            <w:pPr>
              <w:spacing w:after="0" w:line="20" w:lineRule="exact"/>
              <w:rPr>
                <w:sz w:val="1"/>
                <w:szCs w:val="1"/>
                <w:color w:val="auto"/>
              </w:rPr>
            </w:pPr>
          </w:p>
        </w:tc>
        <w:tc>
          <w:tcPr>
            <w:tcW w:w="3240" w:type="dxa"/>
            <w:vAlign w:val="bottom"/>
            <w:gridSpan w:val="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3"/>
                <w:szCs w:val="13"/>
                <w:color w:val="auto"/>
                <w:w w:val="96"/>
              </w:rPr>
              <w:t>Line)</w:t>
            </w:r>
          </w:p>
        </w:tc>
        <w:tc>
          <w:tcPr>
            <w:tcW w:w="1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TEMPE</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AZ</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85281</w:t>
            </w: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40" w:type="dxa"/>
            <w:vAlign w:val="bottom"/>
            <w:gridSpan w:val="4"/>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vMerge w:val="restart"/>
          </w:tcPr>
          <w:p>
            <w:pPr>
              <w:ind w:left="220"/>
              <w:spacing w:after="0"/>
              <w:rPr>
                <w:sz w:val="20"/>
                <w:szCs w:val="20"/>
                <w:color w:val="auto"/>
              </w:rPr>
            </w:pPr>
            <w:r>
              <w:rPr>
                <w:rFonts w:ascii="Arial" w:cs="Arial" w:eastAsia="Arial" w:hAnsi="Arial"/>
                <w:sz w:val="13"/>
                <w:szCs w:val="13"/>
                <w:color w:val="auto"/>
              </w:rPr>
              <w:t>Person</w:t>
            </w:r>
          </w:p>
        </w:tc>
        <w:tc>
          <w:tcPr>
            <w:tcW w:w="96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98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(State)</w:t>
            </w:r>
          </w:p>
        </w:tc>
        <w:tc>
          <w:tcPr>
            <w:tcW w:w="1760" w:type="dxa"/>
            <w:vAlign w:val="bottom"/>
            <w:tcBorders>
              <w:top w:val="single" w:sz="8" w:color="EEEEEE"/>
            </w:tcBorders>
            <w:vMerge w:val="restart"/>
          </w:tcPr>
          <w:p>
            <w:pPr>
              <w:ind w:left="560"/>
              <w:spacing w:after="0"/>
              <w:rPr>
                <w:sz w:val="20"/>
                <w:szCs w:val="20"/>
                <w:color w:val="auto"/>
              </w:rPr>
            </w:pPr>
            <w:r>
              <w:rPr>
                <w:rFonts w:ascii="Arial" w:cs="Arial" w:eastAsia="Arial" w:hAnsi="Arial"/>
                <w:sz w:val="13"/>
                <w:szCs w:val="13"/>
                <w:color w:val="auto"/>
              </w:rPr>
              <w:t>(Zip)</w:t>
            </w:r>
          </w:p>
        </w:tc>
        <w:tc>
          <w:tcPr>
            <w:tcW w:w="8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760" w:type="dxa"/>
            <w:vAlign w:val="bottom"/>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980" w:type="dxa"/>
            <w:vAlign w:val="bottom"/>
            <w:tcBorders>
              <w:top w:val="single" w:sz="8" w:color="2C2C2C"/>
            </w:tcBorders>
          </w:tcPr>
          <w:p>
            <w:pPr>
              <w:spacing w:after="0"/>
              <w:rPr>
                <w:sz w:val="22"/>
                <w:szCs w:val="22"/>
                <w:color w:val="auto"/>
              </w:rPr>
            </w:pPr>
          </w:p>
        </w:tc>
        <w:tc>
          <w:tcPr>
            <w:tcW w:w="7040" w:type="dxa"/>
            <w:vAlign w:val="bottom"/>
            <w:tcBorders>
              <w:top w:val="single" w:sz="8" w:color="2C2C2C"/>
            </w:tcBorders>
            <w:gridSpan w:val="10"/>
          </w:tcPr>
          <w:p>
            <w:pPr>
              <w:jc w:val="right"/>
              <w:ind w:right="188"/>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9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40" w:type="dxa"/>
            <w:vAlign w:val="bottom"/>
            <w:gridSpan w:val="2"/>
          </w:tcPr>
          <w:p>
            <w:pPr>
              <w:jc w:val="center"/>
              <w:ind w:left="6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0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0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3"/>
                <w:szCs w:val="13"/>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17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00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11/02/2026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622,101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44.5452</w:t>
            </w:r>
            <w:r>
              <w:rPr>
                <w:rFonts w:ascii="Times New Roman" w:cs="Times New Roman" w:eastAsia="Times New Roman" w:hAnsi="Times New Roman"/>
                <w:sz w:val="22"/>
                <w:szCs w:val="22"/>
                <w:color w:val="008000"/>
                <w:w w:val="97"/>
                <w:vertAlign w:val="superscript"/>
              </w:rPr>
              <w:t>(2)</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3,494,081</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11/02/2026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5,591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45.0062</w:t>
            </w:r>
            <w:r>
              <w:rPr>
                <w:rFonts w:ascii="Times New Roman" w:cs="Times New Roman" w:eastAsia="Times New Roman" w:hAnsi="Times New Roman"/>
                <w:sz w:val="22"/>
                <w:szCs w:val="22"/>
                <w:color w:val="008000"/>
                <w:w w:val="97"/>
                <w:vertAlign w:val="superscript"/>
              </w:rPr>
              <w:t>(4)</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3,488,490</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11/03/2026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256,708</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44.064</w:t>
            </w:r>
            <w:r>
              <w:rPr>
                <w:rFonts w:ascii="Times New Roman" w:cs="Times New Roman" w:eastAsia="Times New Roman" w:hAnsi="Times New Roman"/>
                <w:sz w:val="22"/>
                <w:szCs w:val="22"/>
                <w:color w:val="008000"/>
                <w:w w:val="95"/>
                <w:vertAlign w:val="superscript"/>
              </w:rPr>
              <w:t>(5)</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3,231,782</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11/04/2026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499,041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44.5891</w:t>
            </w:r>
            <w:r>
              <w:rPr>
                <w:rFonts w:ascii="Times New Roman" w:cs="Times New Roman" w:eastAsia="Times New Roman" w:hAnsi="Times New Roman"/>
                <w:sz w:val="22"/>
                <w:szCs w:val="22"/>
                <w:color w:val="008000"/>
                <w:w w:val="97"/>
                <w:vertAlign w:val="superscript"/>
              </w:rPr>
              <w:t>(6)</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2,732,741</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11/04/2026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173,891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45.1427</w:t>
            </w:r>
            <w:r>
              <w:rPr>
                <w:rFonts w:ascii="Times New Roman" w:cs="Times New Roman" w:eastAsia="Times New Roman" w:hAnsi="Times New Roman"/>
                <w:sz w:val="22"/>
                <w:szCs w:val="22"/>
                <w:color w:val="008000"/>
                <w:w w:val="97"/>
                <w:vertAlign w:val="superscript"/>
              </w:rPr>
              <w:t>(7)</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2,558,850</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11/02/2026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332,150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44.5452</w:t>
            </w:r>
            <w:r>
              <w:rPr>
                <w:rFonts w:ascii="Times New Roman" w:cs="Times New Roman" w:eastAsia="Times New Roman" w:hAnsi="Times New Roman"/>
                <w:sz w:val="22"/>
                <w:szCs w:val="22"/>
                <w:color w:val="008000"/>
                <w:w w:val="97"/>
                <w:vertAlign w:val="superscript"/>
              </w:rPr>
              <w:t>(2)</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1,865,910</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11/02/2026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2,986</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45.0062</w:t>
            </w:r>
            <w:r>
              <w:rPr>
                <w:rFonts w:ascii="Times New Roman" w:cs="Times New Roman" w:eastAsia="Times New Roman" w:hAnsi="Times New Roman"/>
                <w:sz w:val="22"/>
                <w:szCs w:val="22"/>
                <w:color w:val="008000"/>
                <w:w w:val="97"/>
                <w:vertAlign w:val="superscript"/>
              </w:rPr>
              <w:t>(4)</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1,862,924</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11/03/2026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137,060</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44.064</w:t>
            </w:r>
            <w:r>
              <w:rPr>
                <w:rFonts w:ascii="Times New Roman" w:cs="Times New Roman" w:eastAsia="Times New Roman" w:hAnsi="Times New Roman"/>
                <w:sz w:val="22"/>
                <w:szCs w:val="22"/>
                <w:color w:val="008000"/>
                <w:w w:val="95"/>
                <w:vertAlign w:val="superscript"/>
              </w:rPr>
              <w:t>(5)</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1,725,864</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vMerge w:val="restart"/>
          </w:tcPr>
          <w:p>
            <w:pPr>
              <w:jc w:val="center"/>
              <w:ind w:left="740"/>
              <w:spacing w:after="0"/>
              <w:rPr>
                <w:sz w:val="20"/>
                <w:szCs w:val="20"/>
                <w:color w:val="auto"/>
              </w:rPr>
            </w:pPr>
            <w:r>
              <w:rPr>
                <w:rFonts w:ascii="Times New Roman" w:cs="Times New Roman" w:eastAsia="Times New Roman" w:hAnsi="Times New Roman"/>
                <w:sz w:val="17"/>
                <w:szCs w:val="17"/>
                <w:color w:val="0000FF"/>
              </w:rPr>
              <w:t>11/04/2026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266,443</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44.5891</w:t>
            </w:r>
            <w:r>
              <w:rPr>
                <w:rFonts w:ascii="Times New Roman" w:cs="Times New Roman" w:eastAsia="Times New Roman" w:hAnsi="Times New Roman"/>
                <w:sz w:val="22"/>
                <w:szCs w:val="22"/>
                <w:color w:val="008000"/>
                <w:w w:val="97"/>
                <w:vertAlign w:val="superscript"/>
              </w:rPr>
              <w:t>(6)</w:t>
            </w:r>
          </w:p>
        </w:tc>
        <w:tc>
          <w:tcPr>
            <w:tcW w:w="60" w:type="dxa"/>
            <w:vAlign w:val="bottom"/>
          </w:tcPr>
          <w:p>
            <w:pPr>
              <w:spacing w:after="0"/>
              <w:rPr>
                <w:sz w:val="18"/>
                <w:szCs w:val="18"/>
                <w:color w:val="auto"/>
              </w:rPr>
            </w:pPr>
          </w:p>
        </w:tc>
        <w:tc>
          <w:tcPr>
            <w:tcW w:w="1000" w:type="dxa"/>
            <w:vAlign w:val="bottom"/>
            <w:vMerge w:val="restart"/>
          </w:tcPr>
          <w:p>
            <w:pPr>
              <w:jc w:val="right"/>
              <w:ind w:right="68"/>
              <w:spacing w:after="0"/>
              <w:rPr>
                <w:sz w:val="20"/>
                <w:szCs w:val="20"/>
                <w:color w:val="auto"/>
              </w:rPr>
            </w:pPr>
            <w:r>
              <w:rPr>
                <w:rFonts w:ascii="Times New Roman" w:cs="Times New Roman" w:eastAsia="Times New Roman" w:hAnsi="Times New Roman"/>
                <w:sz w:val="17"/>
                <w:szCs w:val="17"/>
                <w:color w:val="0000FF"/>
              </w:rPr>
              <w:t>1,459,421</w:t>
            </w:r>
          </w:p>
        </w:tc>
        <w:tc>
          <w:tcPr>
            <w:tcW w:w="96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ind w:left="10060"/>
        <w:spacing w:after="0" w:line="185" w:lineRule="auto"/>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(3)</w:t>
      </w:r>
    </w:p>
    <w:p>
      <w:pPr>
        <w:sectPr>
          <w:pgSz w:w="11900" w:h="16838" w:orient="portrait"/>
          <w:cols w:equalWidth="0" w:num="1">
            <w:col w:w="10980"/>
          </w:cols>
          <w:pgMar w:left="460" w:top="219" w:right="45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414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89445" cy="341439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3"/>
                <w:szCs w:val="13"/>
                <w:color w:val="auto"/>
              </w:rPr>
            </w:pP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500" w:type="dxa"/>
            <w:vAlign w:val="bottom"/>
          </w:tcPr>
          <w:p>
            <w:pPr>
              <w:spacing w:after="0"/>
              <w:rPr>
                <w:sz w:val="11"/>
                <w:szCs w:val="11"/>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500" w:type="dxa"/>
            <w:vAlign w:val="bottom"/>
          </w:tcPr>
          <w:p>
            <w:pPr>
              <w:spacing w:after="0"/>
              <w:rPr>
                <w:sz w:val="13"/>
                <w:szCs w:val="13"/>
                <w:color w:val="auto"/>
              </w:rPr>
            </w:pPr>
          </w:p>
        </w:tc>
        <w:tc>
          <w:tcPr>
            <w:tcW w:w="8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8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23"/>
                <w:szCs w:val="23"/>
                <w:b w:val="1"/>
                <w:bCs w:val="1"/>
                <w:color w:val="auto"/>
                <w:vertAlign w:val="superscript"/>
              </w:rPr>
              <w:t>(A) or</w:t>
            </w:r>
            <w:r>
              <w:rPr>
                <w:rFonts w:ascii="Arial" w:cs="Arial" w:eastAsia="Arial" w:hAnsi="Arial"/>
                <w:sz w:val="12"/>
                <w:szCs w:val="12"/>
                <w:b w:val="1"/>
                <w:bCs w:val="1"/>
                <w:color w:val="auto"/>
              </w:rPr>
              <w:t xml:space="preserve">  Price</w:t>
            </w:r>
          </w:p>
        </w:tc>
        <w:tc>
          <w:tcPr>
            <w:tcW w:w="40" w:type="dxa"/>
            <w:vAlign w:val="bottom"/>
            <w:tcBorders>
              <w:top w:val="single" w:sz="8" w:color="2C2C2C"/>
            </w:tcBorders>
          </w:tcPr>
          <w:p>
            <w:pPr>
              <w:spacing w:after="0"/>
              <w:rPr>
                <w:sz w:val="7"/>
                <w:szCs w:val="7"/>
                <w:color w:val="auto"/>
              </w:rPr>
            </w:pPr>
          </w:p>
        </w:tc>
        <w:tc>
          <w:tcPr>
            <w:tcW w:w="660" w:type="dxa"/>
            <w:vAlign w:val="bottom"/>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jc w:val="center"/>
              <w:ind w:right="20"/>
              <w:spacing w:after="0"/>
              <w:rPr>
                <w:sz w:val="20"/>
                <w:szCs w:val="20"/>
                <w:color w:val="auto"/>
              </w:rPr>
            </w:pPr>
            <w:r>
              <w:rPr>
                <w:rFonts w:ascii="Arial" w:cs="Arial" w:eastAsia="Arial" w:hAnsi="Arial"/>
                <w:sz w:val="12"/>
                <w:szCs w:val="12"/>
                <w:b w:val="1"/>
                <w:bCs w:val="1"/>
                <w:color w:val="auto"/>
                <w:w w:val="99"/>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8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DM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11/04/2026</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(8)</w:t>
            </w:r>
          </w:p>
        </w:tc>
        <w:tc>
          <w:tcPr>
            <w:tcW w:w="400" w:type="dxa"/>
            <w:vAlign w:val="bottom"/>
          </w:tcPr>
          <w:p>
            <w:pPr>
              <w:spacing w:after="0"/>
              <w:rPr>
                <w:sz w:val="18"/>
                <w:szCs w:val="18"/>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92,841</w:t>
            </w:r>
          </w:p>
        </w:tc>
        <w:tc>
          <w:tcPr>
            <w:tcW w:w="3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1020" w:type="dxa"/>
            <w:vAlign w:val="bottom"/>
            <w:gridSpan w:val="2"/>
            <w:vMerge w:val="restart"/>
          </w:tcPr>
          <w:p>
            <w:pPr>
              <w:ind w:left="20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45.1427</w:t>
            </w:r>
            <w:r>
              <w:rPr>
                <w:rFonts w:ascii="Times New Roman" w:cs="Times New Roman" w:eastAsia="Times New Roman" w:hAnsi="Times New Roman"/>
                <w:sz w:val="22"/>
                <w:szCs w:val="22"/>
                <w:color w:val="008000"/>
                <w:w w:val="97"/>
                <w:vertAlign w:val="superscript"/>
              </w:rPr>
              <w:t>(7)</w:t>
            </w:r>
          </w:p>
        </w:tc>
        <w:tc>
          <w:tcPr>
            <w:tcW w:w="120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1,366,580</w:t>
            </w:r>
          </w:p>
        </w:tc>
        <w:tc>
          <w:tcPr>
            <w:tcW w:w="360" w:type="dxa"/>
            <w:vAlign w:val="bottom"/>
          </w:tcPr>
          <w:p>
            <w:pPr>
              <w:spacing w:after="0"/>
              <w:rPr>
                <w:sz w:val="18"/>
                <w:szCs w:val="18"/>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Individual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Aggregator,</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0" w:type="dxa"/>
            <w:vAlign w:val="bottom"/>
            <w:gridSpan w:val="15"/>
          </w:tcPr>
          <w:p>
            <w:pPr>
              <w:jc w:val="center"/>
              <w:ind w:left="3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center"/>
              <w:ind w:left="434"/>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w w:val="96"/>
              </w:rPr>
              <w:t>and 5)</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00" w:type="dxa"/>
            <w:vAlign w:val="bottom"/>
            <w:gridSpan w:val="2"/>
          </w:tcPr>
          <w:p>
            <w:pPr>
              <w:ind w:left="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indicated by the checkbox above, this transaction was effected automatically pursuant to a Rule 10b5-1 trading plan adopted by DM Trust Aggregator, LLC on February 19, 2026.</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$44.9900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manager of DM Trust Aggregator, LLC and DM Individual Aggregator, LLC (the "DM Trusts"). Multiple members hold ownership interests in the DM Trusts, including the reporting person. The reporting person disclaims beneficial ownership of the reported securities except to the extent of his pecuniary interest therein, if any, and the inclusion of the reported securities in this report shall not be deemed an admission of beneficial ownership of all of the reported securities for purposes of Section 16 of the Securities Exchange Act of 1934, as amended, or any other purpose.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$45.0000 to $45.0300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$44.5000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$44.0000 to $44.9950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1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These shares were sold in multiple transactions at prices ranging from $45.0000 to $45.4500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indicated by the checkbox above, this transaction was effected automatically pursuant to a Rule 10b5-1 trading plan adopted by DM Individual Aggregator, LLC on February 19, 2026.</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Thomas P. Conaghan,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90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093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Travis</w:t>
      </w:r>
      <w:r>
        <w:rPr>
          <w:sz w:val="20"/>
          <w:szCs w:val="20"/>
          <w:color w:val="auto"/>
        </w:rPr>
        <w:tab/>
      </w:r>
      <w:r>
        <w:rPr>
          <w:rFonts w:ascii="Times New Roman" w:cs="Times New Roman" w:eastAsia="Times New Roman" w:hAnsi="Times New Roman"/>
          <w:sz w:val="17"/>
          <w:szCs w:val="17"/>
          <w:color w:val="0000FF"/>
        </w:rPr>
        <w:t>11/04/2026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Boersma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883154" TargetMode="External"/><Relationship Id="rId12" Type="http://schemas.openxmlformats.org/officeDocument/2006/relationships/hyperlink" Target="http://www.sec.gov/cgi-bin/browse-edgar?action=getcompany&amp;CIK=0001866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2026-11-04T19:21:18Z</dcterms:created>
  <dcterms:modified xsi:type="dcterms:W3CDTF">2026-11-04T19:21:18Z</dcterms:modified>
</cp:coreProperties>
</file>