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3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131E29"/>
        </w:rPr>
        <w:t>(Mark One)</w:t>
      </w:r>
    </w:p>
    <w:p>
      <w:pPr>
        <w:spacing w:after="0" w:line="45"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131E29"/>
        </w:rPr>
      </w:pPr>
      <w:r>
        <w:rPr>
          <w:rFonts w:ascii="Arial" w:cs="Arial" w:eastAsia="Arial" w:hAnsi="Arial"/>
          <w:sz w:val="18"/>
          <w:szCs w:val="18"/>
          <w:b w:val="1"/>
          <w:bCs w:val="1"/>
          <w:color w:val="131E29"/>
        </w:rPr>
        <w:t>QUARTERLY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For the Quarterly Period ended March 31, 2025</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OR</w:t>
      </w:r>
    </w:p>
    <w:p>
      <w:pPr>
        <w:spacing w:after="0" w:line="225"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131E29"/>
        </w:rPr>
      </w:pPr>
      <w:r>
        <w:rPr>
          <w:rFonts w:ascii="Arial" w:cs="Arial" w:eastAsia="Arial" w:hAnsi="Arial"/>
          <w:sz w:val="18"/>
          <w:szCs w:val="18"/>
          <w:b w:val="1"/>
          <w:bCs w:val="1"/>
          <w:color w:val="131E29"/>
        </w:rPr>
        <w:t>TRANSITION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131E29"/>
        </w:rPr>
        <w:t>For the transition period from ________ to ________</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Commission file number 001-40798</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6350</wp:posOffset>
            </wp:positionV>
            <wp:extent cx="136271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131E29"/>
        </w:rPr>
        <w:t>DUTCH BROS INC.</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(Exact name of Registrant as specified in its charter)</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47"/>
        </w:trPr>
        <w:tc>
          <w:tcPr>
            <w:tcW w:w="4800" w:type="dxa"/>
            <w:vAlign w:val="bottom"/>
            <w:gridSpan w:val="2"/>
          </w:tcPr>
          <w:p>
            <w:pPr>
              <w:jc w:val="center"/>
              <w:ind w:left="2535"/>
              <w:spacing w:after="0"/>
              <w:rPr>
                <w:sz w:val="20"/>
                <w:szCs w:val="20"/>
                <w:color w:val="auto"/>
              </w:rPr>
            </w:pPr>
            <w:r>
              <w:rPr>
                <w:rFonts w:ascii="Arial" w:cs="Arial" w:eastAsia="Arial" w:hAnsi="Arial"/>
                <w:sz w:val="18"/>
                <w:szCs w:val="18"/>
                <w:b w:val="1"/>
                <w:bCs w:val="1"/>
                <w:color w:val="131E29"/>
                <w:w w:val="98"/>
              </w:rPr>
              <w:t>Delaware</w:t>
            </w:r>
          </w:p>
        </w:tc>
        <w:tc>
          <w:tcPr>
            <w:tcW w:w="1840" w:type="dxa"/>
            <w:vAlign w:val="bottom"/>
          </w:tcPr>
          <w:p>
            <w:pPr>
              <w:spacing w:after="0"/>
              <w:rPr>
                <w:sz w:val="21"/>
                <w:szCs w:val="21"/>
                <w:color w:val="auto"/>
              </w:rPr>
            </w:pPr>
          </w:p>
        </w:tc>
        <w:tc>
          <w:tcPr>
            <w:tcW w:w="4620" w:type="dxa"/>
            <w:vAlign w:val="bottom"/>
            <w:gridSpan w:val="2"/>
            <w:vMerge w:val="restart"/>
          </w:tcPr>
          <w:p>
            <w:pPr>
              <w:jc w:val="right"/>
              <w:ind w:right="2596"/>
              <w:spacing w:after="0"/>
              <w:rPr>
                <w:sz w:val="20"/>
                <w:szCs w:val="20"/>
                <w:color w:val="auto"/>
              </w:rPr>
            </w:pPr>
            <w:r>
              <w:rPr>
                <w:rFonts w:ascii="Arial" w:cs="Arial" w:eastAsia="Arial" w:hAnsi="Arial"/>
                <w:sz w:val="18"/>
                <w:szCs w:val="18"/>
                <w:b w:val="1"/>
                <w:bCs w:val="1"/>
                <w:color w:val="131E29"/>
              </w:rPr>
              <w:t>87-1041305</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800" w:type="dxa"/>
            <w:vAlign w:val="bottom"/>
            <w:gridSpan w:val="2"/>
          </w:tcPr>
          <w:p>
            <w:pPr>
              <w:jc w:val="center"/>
              <w:ind w:left="2555"/>
              <w:spacing w:after="0"/>
              <w:rPr>
                <w:sz w:val="20"/>
                <w:szCs w:val="20"/>
                <w:color w:val="auto"/>
              </w:rPr>
            </w:pPr>
            <w:r>
              <w:rPr>
                <w:rFonts w:ascii="Arial" w:cs="Arial" w:eastAsia="Arial" w:hAnsi="Arial"/>
                <w:sz w:val="14"/>
                <w:szCs w:val="14"/>
                <w:color w:val="131E29"/>
              </w:rPr>
              <w:t>(State or other jurisdiction of</w:t>
            </w:r>
          </w:p>
        </w:tc>
        <w:tc>
          <w:tcPr>
            <w:tcW w:w="1840" w:type="dxa"/>
            <w:vAlign w:val="bottom"/>
          </w:tcPr>
          <w:p>
            <w:pPr>
              <w:spacing w:after="0"/>
              <w:rPr>
                <w:sz w:val="18"/>
                <w:szCs w:val="18"/>
                <w:color w:val="auto"/>
              </w:rPr>
            </w:pPr>
          </w:p>
        </w:tc>
        <w:tc>
          <w:tcPr>
            <w:tcW w:w="4620" w:type="dxa"/>
            <w:vAlign w:val="bottom"/>
            <w:gridSpan w:val="2"/>
          </w:tcPr>
          <w:p>
            <w:pPr>
              <w:jc w:val="center"/>
              <w:ind w:right="1636"/>
              <w:spacing w:after="0"/>
              <w:rPr>
                <w:sz w:val="20"/>
                <w:szCs w:val="20"/>
                <w:color w:val="auto"/>
              </w:rPr>
            </w:pPr>
            <w:r>
              <w:rPr>
                <w:rFonts w:ascii="Arial" w:cs="Arial" w:eastAsia="Arial" w:hAnsi="Arial"/>
                <w:sz w:val="14"/>
                <w:szCs w:val="14"/>
                <w:color w:val="131E29"/>
              </w:rPr>
              <w:t>(I.R.S. Employer Identification No.)</w:t>
            </w:r>
          </w:p>
        </w:tc>
        <w:tc>
          <w:tcPr>
            <w:tcW w:w="0" w:type="dxa"/>
            <w:vAlign w:val="bottom"/>
          </w:tcPr>
          <w:p>
            <w:pPr>
              <w:spacing w:after="0"/>
              <w:rPr>
                <w:sz w:val="1"/>
                <w:szCs w:val="1"/>
                <w:color w:val="auto"/>
              </w:rPr>
            </w:pPr>
          </w:p>
        </w:tc>
      </w:tr>
      <w:tr>
        <w:trPr>
          <w:trHeight w:val="190"/>
        </w:trPr>
        <w:tc>
          <w:tcPr>
            <w:tcW w:w="4800" w:type="dxa"/>
            <w:vAlign w:val="bottom"/>
            <w:gridSpan w:val="2"/>
          </w:tcPr>
          <w:p>
            <w:pPr>
              <w:jc w:val="center"/>
              <w:ind w:left="2535"/>
              <w:spacing w:after="0"/>
              <w:rPr>
                <w:sz w:val="20"/>
                <w:szCs w:val="20"/>
                <w:color w:val="auto"/>
              </w:rPr>
            </w:pPr>
            <w:r>
              <w:rPr>
                <w:rFonts w:ascii="Arial" w:cs="Arial" w:eastAsia="Arial" w:hAnsi="Arial"/>
                <w:sz w:val="14"/>
                <w:szCs w:val="14"/>
                <w:color w:val="131E29"/>
              </w:rPr>
              <w:t>incorporation or organization)</w:t>
            </w:r>
          </w:p>
        </w:tc>
        <w:tc>
          <w:tcPr>
            <w:tcW w:w="1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4800" w:type="dxa"/>
            <w:vAlign w:val="bottom"/>
            <w:gridSpan w:val="2"/>
          </w:tcPr>
          <w:p>
            <w:pPr>
              <w:jc w:val="center"/>
              <w:ind w:left="2535"/>
              <w:spacing w:after="0"/>
              <w:rPr>
                <w:sz w:val="20"/>
                <w:szCs w:val="20"/>
                <w:color w:val="auto"/>
              </w:rPr>
            </w:pPr>
            <w:r>
              <w:rPr>
                <w:rFonts w:ascii="Arial" w:cs="Arial" w:eastAsia="Arial" w:hAnsi="Arial"/>
                <w:sz w:val="18"/>
                <w:szCs w:val="18"/>
                <w:b w:val="1"/>
                <w:bCs w:val="1"/>
                <w:color w:val="131E29"/>
                <w:w w:val="99"/>
              </w:rPr>
              <w:t>300 N Valley Dr</w:t>
            </w: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00" w:type="dxa"/>
            <w:vAlign w:val="bottom"/>
            <w:gridSpan w:val="2"/>
          </w:tcPr>
          <w:p>
            <w:pPr>
              <w:ind w:left="2720"/>
              <w:spacing w:after="0"/>
              <w:rPr>
                <w:sz w:val="20"/>
                <w:szCs w:val="20"/>
                <w:color w:val="auto"/>
              </w:rPr>
            </w:pPr>
            <w:r>
              <w:rPr>
                <w:rFonts w:ascii="Arial" w:cs="Arial" w:eastAsia="Arial" w:hAnsi="Arial"/>
                <w:sz w:val="18"/>
                <w:szCs w:val="18"/>
                <w:b w:val="1"/>
                <w:bCs w:val="1"/>
                <w:color w:val="131E29"/>
              </w:rPr>
              <w:t>Grants Pass, Oregon</w:t>
            </w:r>
          </w:p>
        </w:tc>
        <w:tc>
          <w:tcPr>
            <w:tcW w:w="1840" w:type="dxa"/>
            <w:vAlign w:val="bottom"/>
          </w:tcPr>
          <w:p>
            <w:pPr>
              <w:spacing w:after="0"/>
              <w:rPr>
                <w:sz w:val="24"/>
                <w:szCs w:val="24"/>
                <w:color w:val="auto"/>
              </w:rPr>
            </w:pPr>
          </w:p>
        </w:tc>
        <w:tc>
          <w:tcPr>
            <w:tcW w:w="4620" w:type="dxa"/>
            <w:vAlign w:val="bottom"/>
            <w:gridSpan w:val="2"/>
          </w:tcPr>
          <w:p>
            <w:pPr>
              <w:jc w:val="right"/>
              <w:ind w:right="2836"/>
              <w:spacing w:after="0"/>
              <w:rPr>
                <w:sz w:val="20"/>
                <w:szCs w:val="20"/>
                <w:color w:val="auto"/>
              </w:rPr>
            </w:pPr>
            <w:r>
              <w:rPr>
                <w:rFonts w:ascii="Arial" w:cs="Arial" w:eastAsia="Arial" w:hAnsi="Arial"/>
                <w:sz w:val="18"/>
                <w:szCs w:val="18"/>
                <w:b w:val="1"/>
                <w:bCs w:val="1"/>
                <w:color w:val="131E29"/>
              </w:rPr>
              <w:t>97526</w:t>
            </w:r>
          </w:p>
        </w:tc>
        <w:tc>
          <w:tcPr>
            <w:tcW w:w="0" w:type="dxa"/>
            <w:vAlign w:val="bottom"/>
          </w:tcPr>
          <w:p>
            <w:pPr>
              <w:spacing w:after="0"/>
              <w:rPr>
                <w:sz w:val="1"/>
                <w:szCs w:val="1"/>
                <w:color w:val="auto"/>
              </w:rPr>
            </w:pPr>
          </w:p>
        </w:tc>
      </w:tr>
      <w:tr>
        <w:trPr>
          <w:trHeight w:val="223"/>
        </w:trPr>
        <w:tc>
          <w:tcPr>
            <w:tcW w:w="6640" w:type="dxa"/>
            <w:vAlign w:val="bottom"/>
            <w:gridSpan w:val="3"/>
          </w:tcPr>
          <w:p>
            <w:pPr>
              <w:jc w:val="center"/>
              <w:ind w:left="715"/>
              <w:spacing w:after="0"/>
              <w:rPr>
                <w:sz w:val="20"/>
                <w:szCs w:val="20"/>
                <w:color w:val="auto"/>
              </w:rPr>
            </w:pPr>
            <w:r>
              <w:rPr>
                <w:rFonts w:ascii="Arial" w:cs="Arial" w:eastAsia="Arial" w:hAnsi="Arial"/>
                <w:sz w:val="14"/>
                <w:szCs w:val="14"/>
                <w:color w:val="131E29"/>
              </w:rPr>
              <w:t>(Address of Principal Executive Offices)</w:t>
            </w:r>
          </w:p>
        </w:tc>
        <w:tc>
          <w:tcPr>
            <w:tcW w:w="860" w:type="dxa"/>
            <w:vAlign w:val="bottom"/>
          </w:tcPr>
          <w:p>
            <w:pPr>
              <w:spacing w:after="0"/>
              <w:rPr>
                <w:sz w:val="19"/>
                <w:szCs w:val="19"/>
                <w:color w:val="auto"/>
              </w:rPr>
            </w:pPr>
          </w:p>
        </w:tc>
        <w:tc>
          <w:tcPr>
            <w:tcW w:w="3760" w:type="dxa"/>
            <w:vAlign w:val="bottom"/>
          </w:tcPr>
          <w:p>
            <w:pPr>
              <w:jc w:val="center"/>
              <w:ind w:right="2476"/>
              <w:spacing w:after="0"/>
              <w:rPr>
                <w:sz w:val="20"/>
                <w:szCs w:val="20"/>
                <w:color w:val="auto"/>
              </w:rPr>
            </w:pPr>
            <w:r>
              <w:rPr>
                <w:rFonts w:ascii="Arial" w:cs="Arial" w:eastAsia="Arial" w:hAnsi="Arial"/>
                <w:sz w:val="14"/>
                <w:szCs w:val="14"/>
                <w:color w:val="131E29"/>
              </w:rPr>
              <w:t>(Zip Code)</w:t>
            </w:r>
          </w:p>
        </w:tc>
        <w:tc>
          <w:tcPr>
            <w:tcW w:w="0" w:type="dxa"/>
            <w:vAlign w:val="bottom"/>
          </w:tcPr>
          <w:p>
            <w:pPr>
              <w:spacing w:after="0"/>
              <w:rPr>
                <w:sz w:val="1"/>
                <w:szCs w:val="1"/>
                <w:color w:val="auto"/>
              </w:rPr>
            </w:pPr>
          </w:p>
        </w:tc>
      </w:tr>
      <w:tr>
        <w:trPr>
          <w:trHeight w:val="485"/>
        </w:trPr>
        <w:tc>
          <w:tcPr>
            <w:tcW w:w="3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jc w:val="right"/>
              <w:ind w:right="310"/>
              <w:spacing w:after="0"/>
              <w:rPr>
                <w:sz w:val="20"/>
                <w:szCs w:val="20"/>
                <w:color w:val="auto"/>
              </w:rPr>
            </w:pPr>
            <w:r>
              <w:rPr>
                <w:rFonts w:ascii="Arial" w:cs="Arial" w:eastAsia="Arial" w:hAnsi="Arial"/>
                <w:sz w:val="18"/>
                <w:szCs w:val="18"/>
                <w:b w:val="1"/>
                <w:bCs w:val="1"/>
                <w:color w:val="131E29"/>
              </w:rPr>
              <w:t>(877) 899-2767</w:t>
            </w:r>
          </w:p>
        </w:tc>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760" w:type="dxa"/>
            <w:vAlign w:val="bottom"/>
          </w:tcPr>
          <w:p>
            <w:pPr>
              <w:spacing w:after="0"/>
              <w:rPr>
                <w:sz w:val="14"/>
                <w:szCs w:val="14"/>
                <w:color w:val="auto"/>
              </w:rPr>
            </w:pPr>
          </w:p>
        </w:tc>
        <w:tc>
          <w:tcPr>
            <w:tcW w:w="7500" w:type="dxa"/>
            <w:vAlign w:val="bottom"/>
            <w:gridSpan w:val="4"/>
          </w:tcPr>
          <w:p>
            <w:pPr>
              <w:jc w:val="center"/>
              <w:ind w:right="3696"/>
              <w:spacing w:after="0"/>
              <w:rPr>
                <w:sz w:val="20"/>
                <w:szCs w:val="20"/>
                <w:color w:val="auto"/>
              </w:rPr>
            </w:pPr>
            <w:r>
              <w:rPr>
                <w:rFonts w:ascii="Arial" w:cs="Arial" w:eastAsia="Arial" w:hAnsi="Arial"/>
                <w:sz w:val="14"/>
                <w:szCs w:val="14"/>
                <w:color w:val="131E29"/>
              </w:rPr>
              <w:t>(Registrant's telephone number, including area code)</w:t>
            </w:r>
          </w:p>
        </w:tc>
        <w:tc>
          <w:tcPr>
            <w:tcW w:w="0" w:type="dxa"/>
            <w:vAlign w:val="bottom"/>
          </w:tcPr>
          <w:p>
            <w:pPr>
              <w:spacing w:after="0"/>
              <w:rPr>
                <w:sz w:val="1"/>
                <w:szCs w:val="1"/>
                <w:color w:val="auto"/>
              </w:rPr>
            </w:pPr>
          </w:p>
        </w:tc>
      </w:tr>
      <w:tr>
        <w:trPr>
          <w:trHeight w:val="247"/>
        </w:trPr>
        <w:tc>
          <w:tcPr>
            <w:tcW w:w="7500" w:type="dxa"/>
            <w:vAlign w:val="bottom"/>
            <w:gridSpan w:val="4"/>
          </w:tcPr>
          <w:p>
            <w:pPr>
              <w:jc w:val="right"/>
              <w:ind w:right="296"/>
              <w:spacing w:after="0"/>
              <w:rPr>
                <w:sz w:val="20"/>
                <w:szCs w:val="20"/>
                <w:color w:val="auto"/>
              </w:rPr>
            </w:pPr>
            <w:r>
              <w:rPr>
                <w:rFonts w:ascii="Arial" w:cs="Arial" w:eastAsia="Arial" w:hAnsi="Arial"/>
                <w:sz w:val="18"/>
                <w:szCs w:val="18"/>
                <w:b w:val="1"/>
                <w:bCs w:val="1"/>
                <w:color w:val="auto"/>
              </w:rPr>
              <w:t>______________________________</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640" w:type="dxa"/>
            <w:vAlign w:val="bottom"/>
            <w:gridSpan w:val="3"/>
          </w:tcPr>
          <w:p>
            <w:pPr>
              <w:spacing w:after="0"/>
              <w:rPr>
                <w:sz w:val="20"/>
                <w:szCs w:val="20"/>
                <w:color w:val="auto"/>
              </w:rPr>
            </w:pPr>
            <w:r>
              <w:rPr>
                <w:rFonts w:ascii="Arial" w:cs="Arial" w:eastAsia="Arial" w:hAnsi="Arial"/>
                <w:sz w:val="18"/>
                <w:szCs w:val="18"/>
                <w:b w:val="1"/>
                <w:bCs w:val="1"/>
                <w:color w:val="131E29"/>
              </w:rPr>
              <w:t>Securities registered pursuant to Section 12(b) of the Act:</w:t>
            </w:r>
          </w:p>
        </w:tc>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Title of Each Class</w:t>
            </w:r>
          </w:p>
        </w:tc>
        <w:tc>
          <w:tcPr>
            <w:tcW w:w="10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131E29"/>
                <w:w w:val="99"/>
              </w:rPr>
              <w:t>Trading Symbol</w:t>
            </w:r>
          </w:p>
        </w:tc>
        <w:tc>
          <w:tcPr>
            <w:tcW w:w="860" w:type="dxa"/>
            <w:vAlign w:val="bottom"/>
            <w:tcBorders>
              <w:bottom w:val="single" w:sz="8" w:color="auto"/>
              <w:right w:val="single" w:sz="8" w:color="auto"/>
            </w:tcBorders>
          </w:tcPr>
          <w:p>
            <w:pPr>
              <w:spacing w:after="0"/>
              <w:rPr>
                <w:sz w:val="22"/>
                <w:szCs w:val="22"/>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Name of Exchange on which Registered</w:t>
            </w:r>
          </w:p>
        </w:tc>
        <w:tc>
          <w:tcPr>
            <w:tcW w:w="0" w:type="dxa"/>
            <w:vAlign w:val="bottom"/>
          </w:tcPr>
          <w:p>
            <w:pPr>
              <w:spacing w:after="0"/>
              <w:rPr>
                <w:sz w:val="1"/>
                <w:szCs w:val="1"/>
                <w:color w:val="auto"/>
              </w:rPr>
            </w:pPr>
          </w:p>
        </w:tc>
      </w:tr>
      <w:tr>
        <w:trPr>
          <w:trHeight w:val="224"/>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w:t>
            </w: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par value $0.00001 per share</w:t>
            </w:r>
          </w:p>
        </w:tc>
        <w:tc>
          <w:tcPr>
            <w:tcW w:w="1040" w:type="dxa"/>
            <w:vAlign w:val="bottom"/>
          </w:tcPr>
          <w:p>
            <w:pPr>
              <w:spacing w:after="0"/>
              <w:rPr>
                <w:sz w:val="20"/>
                <w:szCs w:val="20"/>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color w:val="auto"/>
              </w:rPr>
              <w:t>BROS</w:t>
            </w:r>
          </w:p>
        </w:tc>
        <w:tc>
          <w:tcPr>
            <w:tcW w:w="86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131E29"/>
                <w:w w:val="98"/>
              </w:rPr>
              <w:t>The New York Stock Exchange</w:t>
            </w:r>
          </w:p>
        </w:tc>
        <w:tc>
          <w:tcPr>
            <w:tcW w:w="0" w:type="dxa"/>
            <w:vAlign w:val="bottom"/>
          </w:tcPr>
          <w:p>
            <w:pPr>
              <w:spacing w:after="0"/>
              <w:rPr>
                <w:sz w:val="1"/>
                <w:szCs w:val="1"/>
                <w:color w:val="auto"/>
              </w:rPr>
            </w:pP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131E2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131E29"/>
        </w:rPr>
        <w:t>x</w:t>
      </w:r>
      <w:r>
        <w:rPr>
          <w:rFonts w:ascii="Arial" w:cs="Arial" w:eastAsia="Arial" w:hAnsi="Arial"/>
          <w:sz w:val="18"/>
          <w:szCs w:val="18"/>
          <w:color w:val="131E29"/>
        </w:rPr>
        <w:t xml:space="preserve"> No </w:t>
      </w:r>
      <w:r>
        <w:rPr>
          <w:rFonts w:ascii="Wingdings" w:cs="Wingdings" w:eastAsia="Wingdings" w:hAnsi="Wingdings"/>
          <w:sz w:val="18"/>
          <w:szCs w:val="18"/>
          <w:b w:val="1"/>
          <w:bCs w:val="1"/>
          <w:color w:val="131E29"/>
        </w:rPr>
        <w:t>o</w:t>
      </w:r>
    </w:p>
    <w:p>
      <w:pPr>
        <w:spacing w:after="0" w:line="117"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131E2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131E29"/>
        </w:rPr>
        <w:t>x</w:t>
      </w:r>
      <w:r>
        <w:rPr>
          <w:rFonts w:ascii="Arial" w:cs="Arial" w:eastAsia="Arial" w:hAnsi="Arial"/>
          <w:sz w:val="18"/>
          <w:szCs w:val="18"/>
          <w:color w:val="131E29"/>
        </w:rPr>
        <w:t xml:space="preserve"> No </w:t>
      </w:r>
      <w:r>
        <w:rPr>
          <w:rFonts w:ascii="Wingdings" w:cs="Wingdings" w:eastAsia="Wingdings" w:hAnsi="Wingdings"/>
          <w:sz w:val="18"/>
          <w:szCs w:val="18"/>
          <w:b w:val="1"/>
          <w:bCs w:val="1"/>
          <w:color w:val="131E29"/>
        </w:rPr>
        <w:t>o</w:t>
      </w:r>
    </w:p>
    <w:p>
      <w:pPr>
        <w:spacing w:after="0" w:line="117"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131E2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440" w:right="319" w:bottom="326"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9"/>
        </w:trPr>
        <w:tc>
          <w:tcPr>
            <w:tcW w:w="2980" w:type="dxa"/>
            <w:vAlign w:val="bottom"/>
            <w:vMerge w:val="restart"/>
          </w:tcPr>
          <w:p>
            <w:pPr>
              <w:spacing w:after="0"/>
              <w:rPr>
                <w:sz w:val="20"/>
                <w:szCs w:val="20"/>
                <w:color w:val="auto"/>
              </w:rPr>
            </w:pPr>
            <w:r>
              <w:rPr>
                <w:rFonts w:ascii="Arial" w:cs="Arial" w:eastAsia="Arial" w:hAnsi="Arial"/>
                <w:sz w:val="18"/>
                <w:szCs w:val="18"/>
                <w:color w:val="131E29"/>
              </w:rPr>
              <w:t>Large accelerated filer</w:t>
            </w:r>
          </w:p>
        </w:tc>
        <w:tc>
          <w:tcPr>
            <w:tcW w:w="2460" w:type="dxa"/>
            <w:vAlign w:val="bottom"/>
          </w:tcPr>
          <w:p>
            <w:pPr>
              <w:ind w:left="1200"/>
              <w:spacing w:after="0"/>
              <w:rPr>
                <w:sz w:val="20"/>
                <w:szCs w:val="20"/>
                <w:color w:val="auto"/>
              </w:rPr>
            </w:pPr>
            <w:r>
              <w:rPr>
                <w:rFonts w:ascii="Wingdings" w:cs="Wingdings" w:eastAsia="Wingdings" w:hAnsi="Wingdings"/>
                <w:sz w:val="18"/>
                <w:szCs w:val="18"/>
                <w:b w:val="1"/>
                <w:bCs w:val="1"/>
                <w:color w:val="131E29"/>
              </w:rPr>
              <w:t>x</w:t>
            </w:r>
          </w:p>
        </w:tc>
        <w:tc>
          <w:tcPr>
            <w:tcW w:w="4260" w:type="dxa"/>
            <w:vAlign w:val="bottom"/>
          </w:tcPr>
          <w:p>
            <w:pPr>
              <w:ind w:left="1080"/>
              <w:spacing w:after="0"/>
              <w:rPr>
                <w:sz w:val="20"/>
                <w:szCs w:val="20"/>
                <w:color w:val="auto"/>
              </w:rPr>
            </w:pPr>
            <w:r>
              <w:rPr>
                <w:rFonts w:ascii="Arial" w:cs="Arial" w:eastAsia="Arial" w:hAnsi="Arial"/>
                <w:sz w:val="18"/>
                <w:szCs w:val="18"/>
                <w:color w:val="131E29"/>
              </w:rPr>
              <w:t>Accelerated filer</w:t>
            </w:r>
          </w:p>
        </w:tc>
        <w:tc>
          <w:tcPr>
            <w:tcW w:w="1180" w:type="dxa"/>
            <w:vAlign w:val="bottom"/>
          </w:tcPr>
          <w:p>
            <w:pPr>
              <w:ind w:left="1020"/>
              <w:spacing w:after="0"/>
              <w:rPr>
                <w:sz w:val="20"/>
                <w:szCs w:val="20"/>
                <w:color w:val="auto"/>
              </w:rPr>
            </w:pPr>
            <w:r>
              <w:rPr>
                <w:rFonts w:ascii="Wingdings" w:cs="Wingdings" w:eastAsia="Wingdings" w:hAnsi="Wingdings"/>
                <w:sz w:val="18"/>
                <w:szCs w:val="18"/>
                <w:b w:val="1"/>
                <w:bCs w:val="1"/>
                <w:color w:val="131E29"/>
                <w:w w:val="86"/>
              </w:rPr>
              <w:t>o</w:t>
            </w:r>
          </w:p>
        </w:tc>
        <w:tc>
          <w:tcPr>
            <w:tcW w:w="0" w:type="dxa"/>
            <w:vAlign w:val="bottom"/>
          </w:tcPr>
          <w:p>
            <w:pPr>
              <w:spacing w:after="0"/>
              <w:rPr>
                <w:sz w:val="1"/>
                <w:szCs w:val="1"/>
                <w:color w:val="auto"/>
              </w:rPr>
            </w:pPr>
          </w:p>
        </w:tc>
      </w:tr>
      <w:tr>
        <w:trPr>
          <w:trHeight w:val="162"/>
        </w:trPr>
        <w:tc>
          <w:tcPr>
            <w:tcW w:w="2980" w:type="dxa"/>
            <w:vAlign w:val="bottom"/>
            <w:vMerge w:val="continue"/>
          </w:tcPr>
          <w:p>
            <w:pPr>
              <w:spacing w:after="0"/>
              <w:rPr>
                <w:sz w:val="14"/>
                <w:szCs w:val="14"/>
                <w:color w:val="auto"/>
              </w:rPr>
            </w:pPr>
          </w:p>
        </w:tc>
        <w:tc>
          <w:tcPr>
            <w:tcW w:w="24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Arial" w:cs="Arial" w:eastAsia="Arial" w:hAnsi="Arial"/>
                <w:sz w:val="18"/>
                <w:szCs w:val="18"/>
                <w:color w:val="131E29"/>
              </w:rPr>
              <w:t>Non-accelerated filer</w:t>
            </w:r>
          </w:p>
        </w:tc>
        <w:tc>
          <w:tcPr>
            <w:tcW w:w="2460" w:type="dxa"/>
            <w:vAlign w:val="bottom"/>
          </w:tcPr>
          <w:p>
            <w:pPr>
              <w:ind w:left="1200"/>
              <w:spacing w:after="0"/>
              <w:rPr>
                <w:sz w:val="20"/>
                <w:szCs w:val="20"/>
                <w:color w:val="auto"/>
              </w:rPr>
            </w:pPr>
            <w:r>
              <w:rPr>
                <w:rFonts w:ascii="Wingdings" w:cs="Wingdings" w:eastAsia="Wingdings" w:hAnsi="Wingdings"/>
                <w:sz w:val="18"/>
                <w:szCs w:val="18"/>
                <w:b w:val="1"/>
                <w:bCs w:val="1"/>
                <w:color w:val="131E29"/>
              </w:rPr>
              <w:t>o</w:t>
            </w:r>
          </w:p>
        </w:tc>
        <w:tc>
          <w:tcPr>
            <w:tcW w:w="4260" w:type="dxa"/>
            <w:vAlign w:val="bottom"/>
          </w:tcPr>
          <w:p>
            <w:pPr>
              <w:ind w:left="1080"/>
              <w:spacing w:after="0"/>
              <w:rPr>
                <w:sz w:val="20"/>
                <w:szCs w:val="20"/>
                <w:color w:val="auto"/>
              </w:rPr>
            </w:pPr>
            <w:r>
              <w:rPr>
                <w:rFonts w:ascii="Arial" w:cs="Arial" w:eastAsia="Arial" w:hAnsi="Arial"/>
                <w:sz w:val="18"/>
                <w:szCs w:val="18"/>
                <w:color w:val="131E29"/>
              </w:rPr>
              <w:t>Smaller reporting company</w:t>
            </w:r>
          </w:p>
        </w:tc>
        <w:tc>
          <w:tcPr>
            <w:tcW w:w="1180" w:type="dxa"/>
            <w:vAlign w:val="bottom"/>
          </w:tcPr>
          <w:p>
            <w:pPr>
              <w:ind w:left="1020"/>
              <w:spacing w:after="0"/>
              <w:rPr>
                <w:sz w:val="20"/>
                <w:szCs w:val="20"/>
                <w:color w:val="auto"/>
              </w:rPr>
            </w:pPr>
            <w:r>
              <w:rPr>
                <w:rFonts w:ascii="Wingdings" w:cs="Wingdings" w:eastAsia="Wingdings" w:hAnsi="Wingdings"/>
                <w:sz w:val="18"/>
                <w:szCs w:val="18"/>
                <w:b w:val="1"/>
                <w:bCs w:val="1"/>
                <w:color w:val="131E29"/>
                <w:w w:val="86"/>
              </w:rPr>
              <w:t>o</w:t>
            </w:r>
          </w:p>
        </w:tc>
        <w:tc>
          <w:tcPr>
            <w:tcW w:w="0" w:type="dxa"/>
            <w:vAlign w:val="bottom"/>
          </w:tcPr>
          <w:p>
            <w:pPr>
              <w:spacing w:after="0"/>
              <w:rPr>
                <w:sz w:val="1"/>
                <w:szCs w:val="1"/>
                <w:color w:val="auto"/>
              </w:rPr>
            </w:pPr>
          </w:p>
        </w:tc>
      </w:tr>
      <w:tr>
        <w:trPr>
          <w:trHeight w:val="432"/>
        </w:trPr>
        <w:tc>
          <w:tcPr>
            <w:tcW w:w="2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60" w:type="dxa"/>
            <w:vAlign w:val="bottom"/>
          </w:tcPr>
          <w:p>
            <w:pPr>
              <w:ind w:left="1080"/>
              <w:spacing w:after="0"/>
              <w:rPr>
                <w:sz w:val="20"/>
                <w:szCs w:val="20"/>
                <w:color w:val="auto"/>
              </w:rPr>
            </w:pPr>
            <w:r>
              <w:rPr>
                <w:rFonts w:ascii="Arial" w:cs="Arial" w:eastAsia="Arial" w:hAnsi="Arial"/>
                <w:sz w:val="18"/>
                <w:szCs w:val="18"/>
                <w:color w:val="131E29"/>
              </w:rPr>
              <w:t>Emerging growth company</w:t>
            </w:r>
          </w:p>
        </w:tc>
        <w:tc>
          <w:tcPr>
            <w:tcW w:w="1180" w:type="dxa"/>
            <w:vAlign w:val="bottom"/>
          </w:tcPr>
          <w:p>
            <w:pPr>
              <w:ind w:left="1020"/>
              <w:spacing w:after="0"/>
              <w:rPr>
                <w:sz w:val="20"/>
                <w:szCs w:val="20"/>
                <w:color w:val="auto"/>
              </w:rPr>
            </w:pPr>
            <w:r>
              <w:rPr>
                <w:rFonts w:ascii="Wingdings" w:cs="Wingdings" w:eastAsia="Wingdings" w:hAnsi="Wingdings"/>
                <w:sz w:val="18"/>
                <w:szCs w:val="18"/>
                <w:b w:val="1"/>
                <w:bCs w:val="1"/>
                <w:color w:val="131E29"/>
                <w:w w:val="86"/>
              </w:rPr>
              <w:t>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131E29"/>
        </w:rPr>
        <w:t>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131E29"/>
        </w:rPr>
        <w:t xml:space="preserve">Indicate by check mark whether the registrant is a shell company (as defined in Rule 12b-2 of the Act). Yes </w:t>
      </w:r>
      <w:r>
        <w:rPr>
          <w:rFonts w:ascii="Wingdings" w:cs="Wingdings" w:eastAsia="Wingdings" w:hAnsi="Wingdings"/>
          <w:sz w:val="18"/>
          <w:szCs w:val="18"/>
          <w:b w:val="1"/>
          <w:bCs w:val="1"/>
          <w:color w:val="131E29"/>
        </w:rPr>
        <w:t>o</w:t>
      </w:r>
      <w:r>
        <w:rPr>
          <w:rFonts w:ascii="Arial" w:cs="Arial" w:eastAsia="Arial" w:hAnsi="Arial"/>
          <w:sz w:val="18"/>
          <w:szCs w:val="18"/>
          <w:color w:val="131E29"/>
        </w:rPr>
        <w:t xml:space="preserve"> No </w:t>
      </w:r>
      <w:r>
        <w:rPr>
          <w:rFonts w:ascii="Wingdings" w:cs="Wingdings" w:eastAsia="Wingdings" w:hAnsi="Wingdings"/>
          <w:sz w:val="18"/>
          <w:szCs w:val="18"/>
          <w:b w:val="1"/>
          <w:bCs w:val="1"/>
          <w:color w:val="131E29"/>
        </w:rPr>
        <w:t>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As of May 1, 2025, the registrant’s outstanding shares of common stock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20" w:type="dxa"/>
            <w:vAlign w:val="bottom"/>
          </w:tcPr>
          <w:p>
            <w:pPr>
              <w:spacing w:after="0"/>
              <w:rPr>
                <w:sz w:val="23"/>
                <w:szCs w:val="23"/>
                <w:color w:val="auto"/>
              </w:rPr>
            </w:pPr>
          </w:p>
        </w:tc>
        <w:tc>
          <w:tcPr>
            <w:tcW w:w="3680" w:type="dxa"/>
            <w:vAlign w:val="bottom"/>
            <w:shd w:val="clear" w:color="auto" w:fill="D2DCE5"/>
          </w:tcPr>
          <w:p>
            <w:pPr>
              <w:ind w:left="580"/>
              <w:spacing w:after="0"/>
              <w:rPr>
                <w:sz w:val="20"/>
                <w:szCs w:val="20"/>
                <w:color w:val="auto"/>
              </w:rPr>
            </w:pPr>
            <w:r>
              <w:rPr>
                <w:rFonts w:ascii="Arial" w:cs="Arial" w:eastAsia="Arial" w:hAnsi="Arial"/>
                <w:sz w:val="18"/>
                <w:szCs w:val="18"/>
                <w:color w:val="auto"/>
              </w:rPr>
              <w:t>Class A common stock</w:t>
            </w:r>
          </w:p>
        </w:tc>
        <w:tc>
          <w:tcPr>
            <w:tcW w:w="2340" w:type="dxa"/>
            <w:vAlign w:val="bottom"/>
            <w:shd w:val="clear" w:color="auto" w:fill="D2DCE5"/>
          </w:tcPr>
          <w:p>
            <w:pPr>
              <w:jc w:val="right"/>
              <w:spacing w:after="0"/>
              <w:rPr>
                <w:sz w:val="20"/>
                <w:szCs w:val="20"/>
                <w:color w:val="auto"/>
              </w:rPr>
            </w:pPr>
            <w:r>
              <w:rPr>
                <w:rFonts w:ascii="Arial" w:cs="Arial" w:eastAsia="Arial" w:hAnsi="Arial"/>
                <w:sz w:val="18"/>
                <w:szCs w:val="18"/>
                <w:color w:val="auto"/>
              </w:rPr>
              <w:t>126,924,124</w:t>
            </w:r>
          </w:p>
        </w:tc>
        <w:tc>
          <w:tcPr>
            <w:tcW w:w="2600" w:type="dxa"/>
            <w:vAlign w:val="bottom"/>
          </w:tcPr>
          <w:p>
            <w:pPr>
              <w:spacing w:after="0"/>
              <w:rPr>
                <w:sz w:val="23"/>
                <w:szCs w:val="23"/>
                <w:color w:val="auto"/>
              </w:rPr>
            </w:pPr>
          </w:p>
        </w:tc>
      </w:tr>
      <w:tr>
        <w:trPr>
          <w:trHeight w:val="247"/>
        </w:trPr>
        <w:tc>
          <w:tcPr>
            <w:tcW w:w="2620" w:type="dxa"/>
            <w:vAlign w:val="bottom"/>
          </w:tcPr>
          <w:p>
            <w:pPr>
              <w:spacing w:after="0"/>
              <w:rPr>
                <w:sz w:val="21"/>
                <w:szCs w:val="21"/>
                <w:color w:val="auto"/>
              </w:rPr>
            </w:pPr>
          </w:p>
        </w:tc>
        <w:tc>
          <w:tcPr>
            <w:tcW w:w="3680" w:type="dxa"/>
            <w:vAlign w:val="bottom"/>
          </w:tcPr>
          <w:p>
            <w:pPr>
              <w:ind w:left="580"/>
              <w:spacing w:after="0"/>
              <w:rPr>
                <w:sz w:val="20"/>
                <w:szCs w:val="20"/>
                <w:color w:val="auto"/>
              </w:rPr>
            </w:pPr>
            <w:r>
              <w:rPr>
                <w:rFonts w:ascii="Arial" w:cs="Arial" w:eastAsia="Arial" w:hAnsi="Arial"/>
                <w:sz w:val="18"/>
                <w:szCs w:val="18"/>
                <w:color w:val="auto"/>
              </w:rPr>
              <w:t>Class B common stock</w:t>
            </w:r>
          </w:p>
        </w:tc>
        <w:tc>
          <w:tcPr>
            <w:tcW w:w="2340" w:type="dxa"/>
            <w:vAlign w:val="bottom"/>
          </w:tcPr>
          <w:p>
            <w:pPr>
              <w:jc w:val="right"/>
              <w:spacing w:after="0"/>
              <w:rPr>
                <w:sz w:val="20"/>
                <w:szCs w:val="20"/>
                <w:color w:val="auto"/>
              </w:rPr>
            </w:pPr>
            <w:r>
              <w:rPr>
                <w:rFonts w:ascii="Arial" w:cs="Arial" w:eastAsia="Arial" w:hAnsi="Arial"/>
                <w:sz w:val="18"/>
                <w:szCs w:val="18"/>
                <w:color w:val="auto"/>
              </w:rPr>
              <w:t>35,210,946</w:t>
            </w:r>
          </w:p>
        </w:tc>
        <w:tc>
          <w:tcPr>
            <w:tcW w:w="2600" w:type="dxa"/>
            <w:vAlign w:val="bottom"/>
          </w:tcPr>
          <w:p>
            <w:pPr>
              <w:spacing w:after="0"/>
              <w:rPr>
                <w:sz w:val="21"/>
                <w:szCs w:val="21"/>
                <w:color w:val="auto"/>
              </w:rPr>
            </w:pPr>
          </w:p>
        </w:tc>
      </w:tr>
      <w:tr>
        <w:trPr>
          <w:trHeight w:val="23"/>
        </w:trPr>
        <w:tc>
          <w:tcPr>
            <w:tcW w:w="26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2620" w:type="dxa"/>
            <w:vAlign w:val="bottom"/>
          </w:tcPr>
          <w:p>
            <w:pPr>
              <w:spacing w:after="0"/>
              <w:rPr>
                <w:sz w:val="21"/>
                <w:szCs w:val="21"/>
                <w:color w:val="auto"/>
              </w:rPr>
            </w:pPr>
          </w:p>
        </w:tc>
        <w:tc>
          <w:tcPr>
            <w:tcW w:w="3680" w:type="dxa"/>
            <w:vAlign w:val="bottom"/>
            <w:tcBorders>
              <w:bottom w:val="single" w:sz="8" w:color="D2DCE5"/>
            </w:tcBorders>
            <w:shd w:val="clear" w:color="auto" w:fill="D2DCE5"/>
          </w:tcPr>
          <w:p>
            <w:pPr>
              <w:ind w:left="580"/>
              <w:spacing w:after="0"/>
              <w:rPr>
                <w:sz w:val="20"/>
                <w:szCs w:val="20"/>
                <w:color w:val="auto"/>
              </w:rPr>
            </w:pPr>
            <w:r>
              <w:rPr>
                <w:rFonts w:ascii="Arial" w:cs="Arial" w:eastAsia="Arial" w:hAnsi="Arial"/>
                <w:sz w:val="18"/>
                <w:szCs w:val="18"/>
                <w:color w:val="auto"/>
              </w:rPr>
              <w:t>Class C common stock</w:t>
            </w:r>
          </w:p>
        </w:tc>
        <w:tc>
          <w:tcPr>
            <w:tcW w:w="23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auto"/>
              </w:rPr>
              <w:t>2,347,346</w:t>
            </w:r>
          </w:p>
        </w:tc>
        <w:tc>
          <w:tcPr>
            <w:tcW w:w="2600" w:type="dxa"/>
            <w:vAlign w:val="bottom"/>
          </w:tcPr>
          <w:p>
            <w:pPr>
              <w:spacing w:after="0"/>
              <w:rPr>
                <w:sz w:val="21"/>
                <w:szCs w:val="21"/>
                <w:color w:val="auto"/>
              </w:rPr>
            </w:pPr>
          </w:p>
        </w:tc>
      </w:tr>
      <w:tr>
        <w:trPr>
          <w:trHeight w:val="270"/>
        </w:trPr>
        <w:tc>
          <w:tcPr>
            <w:tcW w:w="2620" w:type="dxa"/>
            <w:vAlign w:val="bottom"/>
            <w:tcBorders>
              <w:bottom w:val="single" w:sz="8" w:color="auto"/>
            </w:tcBorders>
          </w:tcPr>
          <w:p>
            <w:pPr>
              <w:spacing w:after="0"/>
              <w:rPr>
                <w:sz w:val="23"/>
                <w:szCs w:val="23"/>
                <w:color w:val="auto"/>
              </w:rPr>
            </w:pPr>
          </w:p>
        </w:tc>
        <w:tc>
          <w:tcPr>
            <w:tcW w:w="368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tcPr>
          <w:p>
            <w:pPr>
              <w:spacing w:after="0"/>
              <w:rPr>
                <w:sz w:val="23"/>
                <w:szCs w:val="23"/>
                <w:color w:val="auto"/>
              </w:rPr>
            </w:pPr>
          </w:p>
        </w:tc>
      </w:tr>
      <w:tr>
        <w:trPr>
          <w:trHeight w:val="34"/>
        </w:trPr>
        <w:tc>
          <w:tcPr>
            <w:tcW w:w="26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1661"/>
        </w:trPr>
        <w:tc>
          <w:tcPr>
            <w:tcW w:w="26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 w:name="page3"/>
    <w:bookmarkEnd w:id="2"/>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1320" w:type="dxa"/>
            <w:vAlign w:val="bottom"/>
          </w:tcPr>
          <w:p>
            <w:pPr>
              <w:spacing w:after="0"/>
              <w:rPr>
                <w:sz w:val="24"/>
                <w:szCs w:val="24"/>
                <w:color w:val="auto"/>
              </w:rPr>
            </w:pPr>
          </w:p>
        </w:tc>
        <w:tc>
          <w:tcPr>
            <w:tcW w:w="9200" w:type="dxa"/>
            <w:vAlign w:val="bottom"/>
          </w:tcPr>
          <w:p>
            <w:pPr>
              <w:jc w:val="center"/>
              <w:ind w:right="488"/>
              <w:spacing w:after="0"/>
              <w:rPr>
                <w:sz w:val="20"/>
                <w:szCs w:val="20"/>
                <w:color w:val="auto"/>
              </w:rPr>
            </w:pPr>
            <w:r>
              <w:rPr>
                <w:rFonts w:ascii="Arial" w:cs="Arial" w:eastAsia="Arial" w:hAnsi="Arial"/>
                <w:sz w:val="25"/>
                <w:szCs w:val="25"/>
                <w:b w:val="1"/>
                <w:bCs w:val="1"/>
                <w:color w:val="00416B"/>
              </w:rPr>
              <w:t>DUTCH BROS INC.</w:t>
            </w:r>
          </w:p>
        </w:tc>
        <w:tc>
          <w:tcPr>
            <w:tcW w:w="720" w:type="dxa"/>
            <w:vAlign w:val="bottom"/>
          </w:tcPr>
          <w:p>
            <w:pPr>
              <w:spacing w:after="0"/>
              <w:rPr>
                <w:sz w:val="24"/>
                <w:szCs w:val="24"/>
                <w:color w:val="auto"/>
              </w:rPr>
            </w:pPr>
          </w:p>
        </w:tc>
      </w:tr>
      <w:tr>
        <w:trPr>
          <w:trHeight w:val="248"/>
        </w:trPr>
        <w:tc>
          <w:tcPr>
            <w:tcW w:w="1320" w:type="dxa"/>
            <w:vAlign w:val="bottom"/>
          </w:tcPr>
          <w:p>
            <w:pPr>
              <w:spacing w:after="0"/>
              <w:rPr>
                <w:sz w:val="21"/>
                <w:szCs w:val="21"/>
                <w:color w:val="auto"/>
              </w:rPr>
            </w:pPr>
          </w:p>
        </w:tc>
        <w:tc>
          <w:tcPr>
            <w:tcW w:w="9200" w:type="dxa"/>
            <w:vAlign w:val="bottom"/>
          </w:tcPr>
          <w:p>
            <w:pPr>
              <w:jc w:val="center"/>
              <w:ind w:right="508"/>
              <w:spacing w:after="0"/>
              <w:rPr>
                <w:sz w:val="20"/>
                <w:szCs w:val="20"/>
                <w:color w:val="auto"/>
              </w:rPr>
            </w:pPr>
            <w:r>
              <w:rPr>
                <w:rFonts w:ascii="Arial" w:cs="Arial" w:eastAsia="Arial" w:hAnsi="Arial"/>
                <w:sz w:val="18"/>
                <w:szCs w:val="18"/>
                <w:color w:val="131E29"/>
                <w:w w:val="99"/>
              </w:rPr>
              <w:t>QUARTERLY REPORT ON FORM 10-Q</w:t>
            </w:r>
          </w:p>
        </w:tc>
        <w:tc>
          <w:tcPr>
            <w:tcW w:w="720" w:type="dxa"/>
            <w:vAlign w:val="bottom"/>
          </w:tcPr>
          <w:p>
            <w:pPr>
              <w:spacing w:after="0"/>
              <w:rPr>
                <w:sz w:val="21"/>
                <w:szCs w:val="21"/>
                <w:color w:val="auto"/>
              </w:rPr>
            </w:pPr>
          </w:p>
        </w:tc>
      </w:tr>
      <w:tr>
        <w:trPr>
          <w:trHeight w:val="324"/>
        </w:trPr>
        <w:tc>
          <w:tcPr>
            <w:tcW w:w="1320" w:type="dxa"/>
            <w:vAlign w:val="bottom"/>
          </w:tcPr>
          <w:p>
            <w:pPr>
              <w:spacing w:after="0"/>
              <w:rPr>
                <w:sz w:val="24"/>
                <w:szCs w:val="24"/>
                <w:color w:val="auto"/>
              </w:rPr>
            </w:pPr>
          </w:p>
        </w:tc>
        <w:tc>
          <w:tcPr>
            <w:tcW w:w="9200" w:type="dxa"/>
            <w:vAlign w:val="bottom"/>
          </w:tcPr>
          <w:p>
            <w:pPr>
              <w:jc w:val="center"/>
              <w:ind w:right="488"/>
              <w:spacing w:after="0"/>
              <w:rPr>
                <w:sz w:val="20"/>
                <w:szCs w:val="20"/>
                <w:color w:val="auto"/>
              </w:rPr>
            </w:pPr>
            <w:r>
              <w:rPr>
                <w:rFonts w:ascii="Arial" w:cs="Arial" w:eastAsia="Arial" w:hAnsi="Arial"/>
                <w:sz w:val="18"/>
                <w:szCs w:val="18"/>
                <w:color w:val="131E29"/>
                <w:w w:val="99"/>
              </w:rPr>
              <w:t>TABLE OF CONTENTS</w:t>
            </w:r>
          </w:p>
        </w:tc>
        <w:tc>
          <w:tcPr>
            <w:tcW w:w="720" w:type="dxa"/>
            <w:vAlign w:val="bottom"/>
          </w:tcPr>
          <w:p>
            <w:pPr>
              <w:spacing w:after="0"/>
              <w:rPr>
                <w:sz w:val="24"/>
                <w:szCs w:val="24"/>
                <w:color w:val="auto"/>
              </w:rPr>
            </w:pPr>
          </w:p>
        </w:tc>
      </w:tr>
      <w:tr>
        <w:trPr>
          <w:trHeight w:val="440"/>
        </w:trPr>
        <w:tc>
          <w:tcPr>
            <w:tcW w:w="13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720" w:type="dxa"/>
            <w:vAlign w:val="bottom"/>
          </w:tcPr>
          <w:p>
            <w:pPr>
              <w:ind w:left="140"/>
              <w:spacing w:after="0"/>
              <w:rPr>
                <w:sz w:val="20"/>
                <w:szCs w:val="20"/>
                <w:color w:val="auto"/>
              </w:rPr>
            </w:pPr>
            <w:r>
              <w:rPr>
                <w:rFonts w:ascii="Arial" w:cs="Arial" w:eastAsia="Arial" w:hAnsi="Arial"/>
                <w:sz w:val="18"/>
                <w:szCs w:val="18"/>
                <w:b w:val="1"/>
                <w:bCs w:val="1"/>
                <w:color w:val="131E29"/>
              </w:rPr>
              <w:t>Page</w:t>
            </w:r>
          </w:p>
        </w:tc>
      </w:tr>
      <w:tr>
        <w:trPr>
          <w:trHeight w:val="357"/>
        </w:trPr>
        <w:tc>
          <w:tcPr>
            <w:tcW w:w="1320" w:type="dxa"/>
            <w:vAlign w:val="bottom"/>
          </w:tcPr>
          <w:p>
            <w:pPr>
              <w:ind w:left="20"/>
              <w:spacing w:after="0"/>
              <w:rPr>
                <w:sz w:val="20"/>
                <w:szCs w:val="20"/>
                <w:color w:val="auto"/>
              </w:rPr>
            </w:pPr>
            <w:r>
              <w:rPr>
                <w:rFonts w:ascii="Arial" w:cs="Arial" w:eastAsia="Arial" w:hAnsi="Arial"/>
                <w:sz w:val="18"/>
                <w:szCs w:val="18"/>
                <w:color w:val="131E29"/>
              </w:rPr>
              <w:t>Glossary</w:t>
            </w:r>
          </w:p>
        </w:tc>
        <w:tc>
          <w:tcPr>
            <w:tcW w:w="92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1</w:t>
            </w:r>
          </w:p>
        </w:tc>
      </w:tr>
      <w:tr>
        <w:trPr>
          <w:trHeight w:val="23"/>
        </w:trPr>
        <w:tc>
          <w:tcPr>
            <w:tcW w:w="10520" w:type="dxa"/>
            <w:vAlign w:val="bottom"/>
            <w:tcBorders>
              <w:bottom w:val="single" w:sz="8" w:color="D2DCE5"/>
            </w:tcBorders>
            <w:gridSpan w:val="2"/>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0520" w:type="dxa"/>
            <w:vAlign w:val="bottom"/>
            <w:gridSpan w:val="2"/>
          </w:tcPr>
          <w:p>
            <w:pPr>
              <w:ind w:left="20"/>
              <w:spacing w:after="0"/>
              <w:rPr>
                <w:sz w:val="20"/>
                <w:szCs w:val="20"/>
                <w:color w:val="auto"/>
              </w:rPr>
            </w:pPr>
            <w:r>
              <w:rPr>
                <w:rFonts w:ascii="Arial" w:cs="Arial" w:eastAsia="Arial" w:hAnsi="Arial"/>
                <w:sz w:val="18"/>
                <w:szCs w:val="18"/>
                <w:color w:val="131E29"/>
              </w:rPr>
              <w:t>Forward-Looking Statements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2</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337"/>
        </w:trPr>
        <w:tc>
          <w:tcPr>
            <w:tcW w:w="1320" w:type="dxa"/>
            <w:vAlign w:val="bottom"/>
          </w:tcPr>
          <w:p>
            <w:pPr>
              <w:ind w:left="20"/>
              <w:spacing w:after="0"/>
              <w:rPr>
                <w:sz w:val="20"/>
                <w:szCs w:val="20"/>
                <w:color w:val="auto"/>
              </w:rPr>
            </w:pPr>
            <w:r>
              <w:rPr>
                <w:rFonts w:ascii="Arial" w:cs="Arial" w:eastAsia="Arial" w:hAnsi="Arial"/>
                <w:sz w:val="18"/>
                <w:szCs w:val="18"/>
                <w:b w:val="1"/>
                <w:bCs w:val="1"/>
                <w:color w:val="006098"/>
              </w:rPr>
              <w:t>PART I</w:t>
            </w:r>
          </w:p>
        </w:tc>
        <w:tc>
          <w:tcPr>
            <w:tcW w:w="9200" w:type="dxa"/>
            <w:vAlign w:val="bottom"/>
          </w:tcPr>
          <w:p>
            <w:pPr>
              <w:ind w:left="20"/>
              <w:spacing w:after="0"/>
              <w:rPr>
                <w:sz w:val="20"/>
                <w:szCs w:val="20"/>
                <w:color w:val="auto"/>
              </w:rPr>
            </w:pPr>
            <w:r>
              <w:rPr>
                <w:rFonts w:ascii="Arial" w:cs="Arial" w:eastAsia="Arial" w:hAnsi="Arial"/>
                <w:sz w:val="18"/>
                <w:szCs w:val="18"/>
                <w:b w:val="1"/>
                <w:bCs w:val="1"/>
                <w:color w:val="006098"/>
              </w:rPr>
              <w:t>FINANCIAL INFORMATION</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3</w:t>
            </w:r>
          </w:p>
        </w:tc>
      </w:tr>
      <w:tr>
        <w:trPr>
          <w:trHeight w:val="154"/>
        </w:trPr>
        <w:tc>
          <w:tcPr>
            <w:tcW w:w="1320" w:type="dxa"/>
            <w:vAlign w:val="bottom"/>
            <w:tcBorders>
              <w:bottom w:val="single" w:sz="8" w:color="D7282F"/>
            </w:tcBorders>
            <w:shd w:val="clear" w:color="auto" w:fill="FDE021"/>
          </w:tcPr>
          <w:p>
            <w:pPr>
              <w:spacing w:after="0"/>
              <w:rPr>
                <w:sz w:val="13"/>
                <w:szCs w:val="13"/>
                <w:color w:val="auto"/>
              </w:rPr>
            </w:pPr>
          </w:p>
        </w:tc>
        <w:tc>
          <w:tcPr>
            <w:tcW w:w="9200" w:type="dxa"/>
            <w:vAlign w:val="bottom"/>
            <w:tcBorders>
              <w:bottom w:val="single" w:sz="8" w:color="D7282F"/>
            </w:tcBorders>
            <w:shd w:val="clear" w:color="auto" w:fill="FDE021"/>
          </w:tcPr>
          <w:p>
            <w:pPr>
              <w:spacing w:after="0"/>
              <w:rPr>
                <w:sz w:val="13"/>
                <w:szCs w:val="13"/>
                <w:color w:val="auto"/>
              </w:rPr>
            </w:pPr>
          </w:p>
        </w:tc>
        <w:tc>
          <w:tcPr>
            <w:tcW w:w="720" w:type="dxa"/>
            <w:vAlign w:val="bottom"/>
            <w:tcBorders>
              <w:bottom w:val="single" w:sz="8" w:color="D7282F"/>
            </w:tcBorders>
            <w:shd w:val="clear" w:color="auto" w:fill="FDE021"/>
          </w:tcPr>
          <w:p>
            <w:pPr>
              <w:spacing w:after="0"/>
              <w:rPr>
                <w:sz w:val="13"/>
                <w:szCs w:val="13"/>
                <w:color w:val="auto"/>
              </w:rPr>
            </w:pPr>
          </w:p>
        </w:tc>
      </w:tr>
      <w:tr>
        <w:trPr>
          <w:trHeight w:val="247"/>
        </w:trPr>
        <w:tc>
          <w:tcPr>
            <w:tcW w:w="1320" w:type="dxa"/>
            <w:vAlign w:val="bottom"/>
            <w:tcBorders>
              <w:top w:val="single" w:sz="8" w:color="00416B"/>
            </w:tcBorders>
          </w:tcPr>
          <w:p>
            <w:pPr>
              <w:jc w:val="center"/>
              <w:spacing w:after="0"/>
              <w:rPr>
                <w:sz w:val="20"/>
                <w:szCs w:val="20"/>
                <w:color w:val="auto"/>
              </w:rPr>
            </w:pPr>
            <w:r>
              <w:rPr>
                <w:rFonts w:ascii="Arial" w:cs="Arial" w:eastAsia="Arial" w:hAnsi="Arial"/>
                <w:sz w:val="18"/>
                <w:szCs w:val="18"/>
                <w:color w:val="131E29"/>
              </w:rPr>
              <w:t>ITEM 1.</w:t>
            </w:r>
          </w:p>
        </w:tc>
        <w:tc>
          <w:tcPr>
            <w:tcW w:w="9200" w:type="dxa"/>
            <w:vAlign w:val="bottom"/>
            <w:tcBorders>
              <w:top w:val="single" w:sz="8" w:color="00416B"/>
            </w:tcBorders>
          </w:tcPr>
          <w:p>
            <w:pPr>
              <w:ind w:left="20"/>
              <w:spacing w:after="0"/>
              <w:rPr>
                <w:sz w:val="20"/>
                <w:szCs w:val="20"/>
                <w:color w:val="auto"/>
              </w:rPr>
            </w:pPr>
            <w:r>
              <w:rPr>
                <w:rFonts w:ascii="Arial" w:cs="Arial" w:eastAsia="Arial" w:hAnsi="Arial"/>
                <w:sz w:val="18"/>
                <w:szCs w:val="18"/>
                <w:color w:val="131E29"/>
              </w:rPr>
              <w:t>Financial Statements (Unaudited)</w:t>
            </w:r>
          </w:p>
        </w:tc>
        <w:tc>
          <w:tcPr>
            <w:tcW w:w="720" w:type="dxa"/>
            <w:vAlign w:val="bottom"/>
            <w:tcBorders>
              <w:top w:val="single" w:sz="8" w:color="00416B"/>
            </w:tcBorders>
          </w:tcPr>
          <w:p>
            <w:pPr>
              <w:jc w:val="center"/>
              <w:spacing w:after="0"/>
              <w:rPr>
                <w:sz w:val="20"/>
                <w:szCs w:val="20"/>
                <w:color w:val="auto"/>
              </w:rPr>
            </w:pPr>
            <w:r>
              <w:rPr>
                <w:rFonts w:ascii="Arial" w:cs="Arial" w:eastAsia="Arial" w:hAnsi="Arial"/>
                <w:sz w:val="18"/>
                <w:szCs w:val="18"/>
                <w:color w:val="131E29"/>
                <w:w w:val="99"/>
              </w:rPr>
              <w:t>3</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Condensed Consolidated Balance Sheets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3</w:t>
            </w:r>
          </w:p>
        </w:tc>
      </w:tr>
      <w:tr>
        <w:trPr>
          <w:trHeight w:val="23"/>
        </w:trPr>
        <w:tc>
          <w:tcPr>
            <w:tcW w:w="1320" w:type="dxa"/>
            <w:vAlign w:val="bottom"/>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Condensed Consolidated Statements of Operations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5</w:t>
            </w:r>
          </w:p>
        </w:tc>
      </w:tr>
      <w:tr>
        <w:trPr>
          <w:trHeight w:val="23"/>
        </w:trPr>
        <w:tc>
          <w:tcPr>
            <w:tcW w:w="1320" w:type="dxa"/>
            <w:vAlign w:val="bottom"/>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Condensed Consolidated Statements of Comprehensive Income</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6</w:t>
            </w:r>
          </w:p>
        </w:tc>
      </w:tr>
      <w:tr>
        <w:trPr>
          <w:trHeight w:val="23"/>
        </w:trPr>
        <w:tc>
          <w:tcPr>
            <w:tcW w:w="1320" w:type="dxa"/>
            <w:vAlign w:val="bottom"/>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Condensed Consolidated Statements of Stockholders’ Equity</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7</w:t>
            </w:r>
          </w:p>
        </w:tc>
      </w:tr>
      <w:tr>
        <w:trPr>
          <w:trHeight w:val="23"/>
        </w:trPr>
        <w:tc>
          <w:tcPr>
            <w:tcW w:w="1320" w:type="dxa"/>
            <w:vAlign w:val="bottom"/>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Condensed Consolidated Statements of Cash Flows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9</w:t>
            </w:r>
          </w:p>
        </w:tc>
      </w:tr>
      <w:tr>
        <w:trPr>
          <w:trHeight w:val="23"/>
        </w:trPr>
        <w:tc>
          <w:tcPr>
            <w:tcW w:w="1320" w:type="dxa"/>
            <w:vAlign w:val="bottom"/>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Notes to Condensed Consolidated Financial Statements</w:t>
            </w:r>
          </w:p>
        </w:tc>
        <w:tc>
          <w:tcPr>
            <w:tcW w:w="720" w:type="dxa"/>
            <w:vAlign w:val="bottom"/>
          </w:tcPr>
          <w:p>
            <w:pPr>
              <w:jc w:val="center"/>
              <w:spacing w:after="0"/>
              <w:rPr>
                <w:sz w:val="20"/>
                <w:szCs w:val="20"/>
                <w:color w:val="auto"/>
              </w:rPr>
            </w:pPr>
            <w:r>
              <w:rPr>
                <w:rFonts w:ascii="Arial" w:cs="Arial" w:eastAsia="Arial" w:hAnsi="Arial"/>
                <w:sz w:val="18"/>
                <w:szCs w:val="18"/>
                <w:color w:val="131E29"/>
                <w:w w:val="89"/>
              </w:rPr>
              <w:t>11</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18"/>
        </w:trPr>
        <w:tc>
          <w:tcPr>
            <w:tcW w:w="13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Management’s Discussion and Analysis of Financial Condition and</w:t>
            </w:r>
          </w:p>
        </w:tc>
        <w:tc>
          <w:tcPr>
            <w:tcW w:w="720" w:type="dxa"/>
            <w:vAlign w:val="bottom"/>
          </w:tcPr>
          <w:p>
            <w:pPr>
              <w:spacing w:after="0"/>
              <w:rPr>
                <w:sz w:val="18"/>
                <w:szCs w:val="18"/>
                <w:color w:val="auto"/>
              </w:rPr>
            </w:pPr>
          </w:p>
        </w:tc>
      </w:tr>
      <w:tr>
        <w:trPr>
          <w:trHeight w:val="239"/>
        </w:trPr>
        <w:tc>
          <w:tcPr>
            <w:tcW w:w="1320" w:type="dxa"/>
            <w:vAlign w:val="bottom"/>
          </w:tcPr>
          <w:p>
            <w:pPr>
              <w:jc w:val="center"/>
              <w:spacing w:after="0"/>
              <w:rPr>
                <w:sz w:val="20"/>
                <w:szCs w:val="20"/>
                <w:color w:val="auto"/>
              </w:rPr>
            </w:pPr>
            <w:r>
              <w:rPr>
                <w:rFonts w:ascii="Arial" w:cs="Arial" w:eastAsia="Arial" w:hAnsi="Arial"/>
                <w:sz w:val="18"/>
                <w:szCs w:val="18"/>
                <w:color w:val="131E29"/>
              </w:rPr>
              <w:t>ITEM 2.</w:t>
            </w:r>
          </w:p>
        </w:tc>
        <w:tc>
          <w:tcPr>
            <w:tcW w:w="9200" w:type="dxa"/>
            <w:vAlign w:val="bottom"/>
          </w:tcPr>
          <w:p>
            <w:pPr>
              <w:ind w:left="20"/>
              <w:spacing w:after="0"/>
              <w:rPr>
                <w:sz w:val="20"/>
                <w:szCs w:val="20"/>
                <w:color w:val="auto"/>
              </w:rPr>
            </w:pPr>
            <w:r>
              <w:rPr>
                <w:rFonts w:ascii="Arial" w:cs="Arial" w:eastAsia="Arial" w:hAnsi="Arial"/>
                <w:sz w:val="18"/>
                <w:szCs w:val="18"/>
                <w:color w:val="131E29"/>
              </w:rPr>
              <w:t>Results of Operations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28</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jc w:val="center"/>
              <w:spacing w:after="0"/>
              <w:rPr>
                <w:sz w:val="20"/>
                <w:szCs w:val="20"/>
                <w:color w:val="auto"/>
              </w:rPr>
            </w:pPr>
            <w:r>
              <w:rPr>
                <w:rFonts w:ascii="Arial" w:cs="Arial" w:eastAsia="Arial" w:hAnsi="Arial"/>
                <w:sz w:val="18"/>
                <w:szCs w:val="18"/>
                <w:color w:val="131E29"/>
              </w:rPr>
              <w:t>ITEM 3.</w:t>
            </w:r>
          </w:p>
        </w:tc>
        <w:tc>
          <w:tcPr>
            <w:tcW w:w="9200" w:type="dxa"/>
            <w:vAlign w:val="bottom"/>
          </w:tcPr>
          <w:p>
            <w:pPr>
              <w:ind w:left="20"/>
              <w:spacing w:after="0"/>
              <w:rPr>
                <w:sz w:val="20"/>
                <w:szCs w:val="20"/>
                <w:color w:val="auto"/>
              </w:rPr>
            </w:pPr>
            <w:r>
              <w:rPr>
                <w:rFonts w:ascii="Arial" w:cs="Arial" w:eastAsia="Arial" w:hAnsi="Arial"/>
                <w:sz w:val="18"/>
                <w:szCs w:val="18"/>
                <w:color w:val="131E29"/>
              </w:rPr>
              <w:t>Quantitative and Qualitative Disclosures About Market Risk</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42</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4.</w:t>
            </w:r>
          </w:p>
        </w:tc>
        <w:tc>
          <w:tcPr>
            <w:tcW w:w="9200" w:type="dxa"/>
            <w:vAlign w:val="bottom"/>
          </w:tcPr>
          <w:p>
            <w:pPr>
              <w:ind w:left="20"/>
              <w:spacing w:after="0"/>
              <w:rPr>
                <w:sz w:val="20"/>
                <w:szCs w:val="20"/>
                <w:color w:val="auto"/>
              </w:rPr>
            </w:pPr>
            <w:r>
              <w:rPr>
                <w:rFonts w:ascii="Arial" w:cs="Arial" w:eastAsia="Arial" w:hAnsi="Arial"/>
                <w:sz w:val="18"/>
                <w:szCs w:val="18"/>
                <w:color w:val="131E29"/>
              </w:rPr>
              <w:t>Controls and Procedures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43</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511"/>
        </w:trPr>
        <w:tc>
          <w:tcPr>
            <w:tcW w:w="1320" w:type="dxa"/>
            <w:vAlign w:val="bottom"/>
            <w:tcBorders>
              <w:bottom w:val="single" w:sz="8" w:color="FDE021"/>
            </w:tcBorders>
          </w:tcPr>
          <w:p>
            <w:pPr>
              <w:ind w:left="20"/>
              <w:spacing w:after="0"/>
              <w:rPr>
                <w:sz w:val="20"/>
                <w:szCs w:val="20"/>
                <w:color w:val="auto"/>
              </w:rPr>
            </w:pPr>
            <w:r>
              <w:rPr>
                <w:rFonts w:ascii="Arial" w:cs="Arial" w:eastAsia="Arial" w:hAnsi="Arial"/>
                <w:sz w:val="18"/>
                <w:szCs w:val="18"/>
                <w:b w:val="1"/>
                <w:bCs w:val="1"/>
                <w:color w:val="006098"/>
              </w:rPr>
              <w:t>PART II</w:t>
            </w:r>
          </w:p>
        </w:tc>
        <w:tc>
          <w:tcPr>
            <w:tcW w:w="9200" w:type="dxa"/>
            <w:vAlign w:val="bottom"/>
            <w:tcBorders>
              <w:bottom w:val="single" w:sz="8" w:color="FDE021"/>
            </w:tcBorders>
          </w:tcPr>
          <w:p>
            <w:pPr>
              <w:ind w:left="20"/>
              <w:spacing w:after="0"/>
              <w:rPr>
                <w:sz w:val="20"/>
                <w:szCs w:val="20"/>
                <w:color w:val="auto"/>
              </w:rPr>
            </w:pPr>
            <w:r>
              <w:rPr>
                <w:rFonts w:ascii="Arial" w:cs="Arial" w:eastAsia="Arial" w:hAnsi="Arial"/>
                <w:sz w:val="18"/>
                <w:szCs w:val="18"/>
                <w:b w:val="1"/>
                <w:bCs w:val="1"/>
                <w:color w:val="006098"/>
              </w:rPr>
              <w:t>OTHER INFORMATION</w:t>
            </w:r>
          </w:p>
        </w:tc>
        <w:tc>
          <w:tcPr>
            <w:tcW w:w="720" w:type="dxa"/>
            <w:vAlign w:val="bottom"/>
            <w:tcBorders>
              <w:bottom w:val="single" w:sz="8" w:color="D2DCE5"/>
            </w:tcBorders>
          </w:tcPr>
          <w:p>
            <w:pPr>
              <w:jc w:val="center"/>
              <w:spacing w:after="0"/>
              <w:rPr>
                <w:sz w:val="20"/>
                <w:szCs w:val="20"/>
                <w:color w:val="auto"/>
              </w:rPr>
            </w:pPr>
            <w:r>
              <w:rPr>
                <w:rFonts w:ascii="Arial" w:cs="Arial" w:eastAsia="Arial" w:hAnsi="Arial"/>
                <w:sz w:val="18"/>
                <w:szCs w:val="18"/>
                <w:color w:val="131E29"/>
                <w:w w:val="99"/>
              </w:rPr>
              <w:t>44</w:t>
            </w:r>
          </w:p>
        </w:tc>
      </w:tr>
      <w:tr>
        <w:trPr>
          <w:trHeight w:val="240"/>
        </w:trPr>
        <w:tc>
          <w:tcPr>
            <w:tcW w:w="1320" w:type="dxa"/>
            <w:vAlign w:val="bottom"/>
            <w:tcBorders>
              <w:top w:val="single" w:sz="8" w:color="00416B"/>
            </w:tcBorders>
          </w:tcPr>
          <w:p>
            <w:pPr>
              <w:jc w:val="center"/>
              <w:spacing w:after="0"/>
              <w:rPr>
                <w:sz w:val="20"/>
                <w:szCs w:val="20"/>
                <w:color w:val="auto"/>
              </w:rPr>
            </w:pPr>
            <w:r>
              <w:rPr>
                <w:rFonts w:ascii="Arial" w:cs="Arial" w:eastAsia="Arial" w:hAnsi="Arial"/>
                <w:sz w:val="18"/>
                <w:szCs w:val="18"/>
                <w:color w:val="131E29"/>
              </w:rPr>
              <w:t>ITEM 1.</w:t>
            </w:r>
          </w:p>
        </w:tc>
        <w:tc>
          <w:tcPr>
            <w:tcW w:w="9200" w:type="dxa"/>
            <w:vAlign w:val="bottom"/>
            <w:tcBorders>
              <w:top w:val="single" w:sz="8" w:color="00416B"/>
            </w:tcBorders>
          </w:tcPr>
          <w:p>
            <w:pPr>
              <w:ind w:left="20"/>
              <w:spacing w:after="0"/>
              <w:rPr>
                <w:sz w:val="20"/>
                <w:szCs w:val="20"/>
                <w:color w:val="auto"/>
              </w:rPr>
            </w:pPr>
            <w:r>
              <w:rPr>
                <w:rFonts w:ascii="Arial" w:cs="Arial" w:eastAsia="Arial" w:hAnsi="Arial"/>
                <w:sz w:val="18"/>
                <w:szCs w:val="18"/>
                <w:color w:val="131E29"/>
              </w:rPr>
              <w:t>Legal Proceedings</w:t>
            </w:r>
          </w:p>
        </w:tc>
        <w:tc>
          <w:tcPr>
            <w:tcW w:w="720" w:type="dxa"/>
            <w:vAlign w:val="bottom"/>
            <w:tcBorders>
              <w:top w:val="single" w:sz="8" w:color="00416B"/>
            </w:tcBorders>
          </w:tcPr>
          <w:p>
            <w:pPr>
              <w:jc w:val="center"/>
              <w:spacing w:after="0"/>
              <w:rPr>
                <w:sz w:val="20"/>
                <w:szCs w:val="20"/>
                <w:color w:val="auto"/>
              </w:rPr>
            </w:pPr>
            <w:r>
              <w:rPr>
                <w:rFonts w:ascii="Arial" w:cs="Arial" w:eastAsia="Arial" w:hAnsi="Arial"/>
                <w:sz w:val="18"/>
                <w:szCs w:val="18"/>
                <w:color w:val="131E29"/>
                <w:w w:val="99"/>
              </w:rPr>
              <w:t>44</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1A.</w:t>
            </w:r>
          </w:p>
        </w:tc>
        <w:tc>
          <w:tcPr>
            <w:tcW w:w="9200" w:type="dxa"/>
            <w:vAlign w:val="bottom"/>
          </w:tcPr>
          <w:p>
            <w:pPr>
              <w:ind w:left="20"/>
              <w:spacing w:after="0"/>
              <w:rPr>
                <w:sz w:val="20"/>
                <w:szCs w:val="20"/>
                <w:color w:val="auto"/>
              </w:rPr>
            </w:pPr>
            <w:r>
              <w:rPr>
                <w:rFonts w:ascii="Arial" w:cs="Arial" w:eastAsia="Arial" w:hAnsi="Arial"/>
                <w:sz w:val="18"/>
                <w:szCs w:val="18"/>
                <w:color w:val="131E29"/>
              </w:rPr>
              <w:t>Risk Factors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44</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2.</w:t>
            </w:r>
          </w:p>
        </w:tc>
        <w:tc>
          <w:tcPr>
            <w:tcW w:w="9200" w:type="dxa"/>
            <w:vAlign w:val="bottom"/>
          </w:tcPr>
          <w:p>
            <w:pPr>
              <w:ind w:left="20"/>
              <w:spacing w:after="0"/>
              <w:rPr>
                <w:sz w:val="20"/>
                <w:szCs w:val="20"/>
                <w:color w:val="auto"/>
              </w:rPr>
            </w:pPr>
            <w:r>
              <w:rPr>
                <w:rFonts w:ascii="Arial" w:cs="Arial" w:eastAsia="Arial" w:hAnsi="Arial"/>
                <w:sz w:val="18"/>
                <w:szCs w:val="18"/>
                <w:color w:val="131E29"/>
              </w:rPr>
              <w:t>Unregistered Sales of Equity Securities and Use of Proceeds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46</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3.</w:t>
            </w:r>
          </w:p>
        </w:tc>
        <w:tc>
          <w:tcPr>
            <w:tcW w:w="9200" w:type="dxa"/>
            <w:vAlign w:val="bottom"/>
          </w:tcPr>
          <w:p>
            <w:pPr>
              <w:ind w:left="20"/>
              <w:spacing w:after="0"/>
              <w:rPr>
                <w:sz w:val="20"/>
                <w:szCs w:val="20"/>
                <w:color w:val="auto"/>
              </w:rPr>
            </w:pPr>
            <w:r>
              <w:rPr>
                <w:rFonts w:ascii="Arial" w:cs="Arial" w:eastAsia="Arial" w:hAnsi="Arial"/>
                <w:sz w:val="18"/>
                <w:szCs w:val="18"/>
                <w:color w:val="131E29"/>
              </w:rPr>
              <w:t>Defaults Upon Senior Securities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46</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4.</w:t>
            </w:r>
          </w:p>
        </w:tc>
        <w:tc>
          <w:tcPr>
            <w:tcW w:w="9200" w:type="dxa"/>
            <w:vAlign w:val="bottom"/>
          </w:tcPr>
          <w:p>
            <w:pPr>
              <w:ind w:left="20"/>
              <w:spacing w:after="0"/>
              <w:rPr>
                <w:sz w:val="20"/>
                <w:szCs w:val="20"/>
                <w:color w:val="auto"/>
              </w:rPr>
            </w:pPr>
            <w:r>
              <w:rPr>
                <w:rFonts w:ascii="Arial" w:cs="Arial" w:eastAsia="Arial" w:hAnsi="Arial"/>
                <w:sz w:val="18"/>
                <w:szCs w:val="18"/>
                <w:color w:val="131E29"/>
              </w:rPr>
              <w:t>Mine Safety Disclosure</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46</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5.</w:t>
            </w:r>
          </w:p>
        </w:tc>
        <w:tc>
          <w:tcPr>
            <w:tcW w:w="9200" w:type="dxa"/>
            <w:vAlign w:val="bottom"/>
          </w:tcPr>
          <w:p>
            <w:pPr>
              <w:ind w:left="20"/>
              <w:spacing w:after="0"/>
              <w:rPr>
                <w:sz w:val="20"/>
                <w:szCs w:val="20"/>
                <w:color w:val="auto"/>
              </w:rPr>
            </w:pPr>
            <w:r>
              <w:rPr>
                <w:rFonts w:ascii="Arial" w:cs="Arial" w:eastAsia="Arial" w:hAnsi="Arial"/>
                <w:sz w:val="18"/>
                <w:szCs w:val="18"/>
                <w:color w:val="131E29"/>
              </w:rPr>
              <w:t>Other Information</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46</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6.</w:t>
            </w:r>
          </w:p>
        </w:tc>
        <w:tc>
          <w:tcPr>
            <w:tcW w:w="9200" w:type="dxa"/>
            <w:vAlign w:val="bottom"/>
          </w:tcPr>
          <w:p>
            <w:pPr>
              <w:ind w:left="20"/>
              <w:spacing w:after="0"/>
              <w:rPr>
                <w:sz w:val="20"/>
                <w:szCs w:val="20"/>
                <w:color w:val="auto"/>
              </w:rPr>
            </w:pPr>
            <w:r>
              <w:rPr>
                <w:rFonts w:ascii="Arial" w:cs="Arial" w:eastAsia="Arial" w:hAnsi="Arial"/>
                <w:sz w:val="18"/>
                <w:szCs w:val="18"/>
                <w:color w:val="131E29"/>
              </w:rPr>
              <w:t>Exhibits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47</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337"/>
        </w:trPr>
        <w:tc>
          <w:tcPr>
            <w:tcW w:w="1320" w:type="dxa"/>
            <w:vAlign w:val="bottom"/>
          </w:tcPr>
          <w:p>
            <w:pPr>
              <w:ind w:left="20"/>
              <w:spacing w:after="0"/>
              <w:rPr>
                <w:sz w:val="20"/>
                <w:szCs w:val="20"/>
                <w:color w:val="auto"/>
              </w:rPr>
            </w:pPr>
            <w:r>
              <w:rPr>
                <w:rFonts w:ascii="Arial" w:cs="Arial" w:eastAsia="Arial" w:hAnsi="Arial"/>
                <w:sz w:val="18"/>
                <w:szCs w:val="18"/>
                <w:b w:val="1"/>
                <w:bCs w:val="1"/>
                <w:color w:val="006098"/>
              </w:rPr>
              <w:t>SIGNATURES</w:t>
            </w:r>
          </w:p>
        </w:tc>
        <w:tc>
          <w:tcPr>
            <w:tcW w:w="92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48</w:t>
            </w:r>
          </w:p>
        </w:tc>
      </w:tr>
      <w:tr>
        <w:trPr>
          <w:trHeight w:val="155"/>
        </w:trPr>
        <w:tc>
          <w:tcPr>
            <w:tcW w:w="1320" w:type="dxa"/>
            <w:vAlign w:val="bottom"/>
            <w:tcBorders>
              <w:bottom w:val="single" w:sz="8" w:color="D7282F"/>
            </w:tcBorders>
            <w:shd w:val="clear" w:color="auto" w:fill="FDE021"/>
          </w:tcPr>
          <w:p>
            <w:pPr>
              <w:spacing w:after="0"/>
              <w:rPr>
                <w:sz w:val="13"/>
                <w:szCs w:val="13"/>
                <w:color w:val="auto"/>
              </w:rPr>
            </w:pPr>
          </w:p>
        </w:tc>
        <w:tc>
          <w:tcPr>
            <w:tcW w:w="9200" w:type="dxa"/>
            <w:vAlign w:val="bottom"/>
            <w:tcBorders>
              <w:bottom w:val="single" w:sz="8" w:color="D7282F"/>
            </w:tcBorders>
            <w:shd w:val="clear" w:color="auto" w:fill="FDE021"/>
          </w:tcPr>
          <w:p>
            <w:pPr>
              <w:spacing w:after="0"/>
              <w:rPr>
                <w:sz w:val="13"/>
                <w:szCs w:val="13"/>
                <w:color w:val="auto"/>
              </w:rPr>
            </w:pPr>
          </w:p>
        </w:tc>
        <w:tc>
          <w:tcPr>
            <w:tcW w:w="720" w:type="dxa"/>
            <w:vAlign w:val="bottom"/>
            <w:tcBorders>
              <w:bottom w:val="single" w:sz="8" w:color="D7282F"/>
            </w:tcBorders>
            <w:shd w:val="clear" w:color="auto" w:fill="FDE021"/>
          </w:tcPr>
          <w:p>
            <w:pPr>
              <w:spacing w:after="0"/>
              <w:rPr>
                <w:sz w:val="13"/>
                <w:szCs w:val="13"/>
                <w:color w:val="auto"/>
              </w:rPr>
            </w:pPr>
          </w:p>
        </w:tc>
      </w:tr>
      <w:tr>
        <w:trPr>
          <w:trHeight w:val="1667"/>
        </w:trPr>
        <w:tc>
          <w:tcPr>
            <w:tcW w:w="1320" w:type="dxa"/>
            <w:vAlign w:val="bottom"/>
            <w:tcBorders>
              <w:top w:val="single" w:sz="8" w:color="00416B"/>
              <w:bottom w:val="single" w:sz="8" w:color="9A9A9A"/>
            </w:tcBorders>
          </w:tcPr>
          <w:p>
            <w:pPr>
              <w:spacing w:after="0"/>
              <w:rPr>
                <w:sz w:val="24"/>
                <w:szCs w:val="24"/>
                <w:color w:val="auto"/>
              </w:rPr>
            </w:pPr>
          </w:p>
        </w:tc>
        <w:tc>
          <w:tcPr>
            <w:tcW w:w="9200" w:type="dxa"/>
            <w:vAlign w:val="bottom"/>
            <w:tcBorders>
              <w:top w:val="single" w:sz="8" w:color="00416B"/>
              <w:bottom w:val="single" w:sz="8" w:color="9A9A9A"/>
            </w:tcBorders>
          </w:tcPr>
          <w:p>
            <w:pPr>
              <w:spacing w:after="0"/>
              <w:rPr>
                <w:sz w:val="24"/>
                <w:szCs w:val="24"/>
                <w:color w:val="auto"/>
              </w:rPr>
            </w:pPr>
          </w:p>
        </w:tc>
        <w:tc>
          <w:tcPr>
            <w:tcW w:w="720" w:type="dxa"/>
            <w:vAlign w:val="bottom"/>
            <w:tcBorders>
              <w:top w:val="single" w:sz="8" w:color="00416B"/>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00416B"/>
        </w:rPr>
        <w:t>GLOSSARY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As used in this Quarterly Report on Form 10-Q (this Form 10-Q), the terms identified below have the meanings specified below unless otherwise noted or the context requires otherwise. References in this Form 10-Q to “Dutch Bros,” the “Company,” “we,” “us” and “our” refer to Dutch Bros Inc. and its consolidated subsidiaries unless the context indicates otherwise.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006098"/>
              </w:rPr>
              <w:t>TERM</w:t>
            </w:r>
          </w:p>
        </w:tc>
        <w:tc>
          <w:tcPr>
            <w:tcW w:w="8460" w:type="dxa"/>
            <w:vAlign w:val="bottom"/>
          </w:tcPr>
          <w:p>
            <w:pPr>
              <w:ind w:left="20"/>
              <w:spacing w:after="0"/>
              <w:rPr>
                <w:sz w:val="20"/>
                <w:szCs w:val="20"/>
                <w:color w:val="auto"/>
              </w:rPr>
            </w:pPr>
            <w:r>
              <w:rPr>
                <w:rFonts w:ascii="Arial" w:cs="Arial" w:eastAsia="Arial" w:hAnsi="Arial"/>
                <w:sz w:val="18"/>
                <w:szCs w:val="18"/>
                <w:b w:val="1"/>
                <w:bCs w:val="1"/>
                <w:color w:val="006098"/>
              </w:rPr>
              <w:t>DEFINITION</w:t>
            </w:r>
          </w:p>
        </w:tc>
      </w:tr>
      <w:tr>
        <w:trPr>
          <w:trHeight w:val="202"/>
        </w:trPr>
        <w:tc>
          <w:tcPr>
            <w:tcW w:w="2680" w:type="dxa"/>
            <w:vAlign w:val="bottom"/>
            <w:tcBorders>
              <w:top w:val="single" w:sz="8" w:color="D7282F"/>
            </w:tcBorders>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8460" w:type="dxa"/>
            <w:vAlign w:val="bottom"/>
            <w:tcBorders>
              <w:top w:val="single" w:sz="8" w:color="D7282F"/>
            </w:tcBorders>
            <w:shd w:val="clear" w:color="auto" w:fill="D2DCE5"/>
          </w:tcPr>
          <w:p>
            <w:pPr>
              <w:ind w:left="20"/>
              <w:spacing w:after="0"/>
              <w:rPr>
                <w:sz w:val="20"/>
                <w:szCs w:val="20"/>
                <w:color w:val="auto"/>
              </w:rPr>
            </w:pPr>
            <w:r>
              <w:rPr>
                <w:rFonts w:ascii="Arial" w:cs="Arial" w:eastAsia="Arial" w:hAnsi="Arial"/>
                <w:sz w:val="16"/>
                <w:szCs w:val="16"/>
                <w:color w:val="131E29"/>
              </w:rPr>
              <w:t>Has the meaning set forth in NOTE 9 — Debt to the condensed consolidated financial statements, included</w:t>
            </w:r>
          </w:p>
        </w:tc>
      </w:tr>
      <w:tr>
        <w:trPr>
          <w:trHeight w:val="244"/>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2022 Credit Facility</w:t>
            </w:r>
          </w:p>
        </w:tc>
        <w:tc>
          <w:tcPr>
            <w:tcW w:w="84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elsewhere in this Form 10-Q</w:t>
            </w:r>
          </w:p>
        </w:tc>
      </w:tr>
      <w:tr>
        <w:trPr>
          <w:trHeight w:val="239"/>
        </w:trPr>
        <w:tc>
          <w:tcPr>
            <w:tcW w:w="2780" w:type="dxa"/>
            <w:vAlign w:val="bottom"/>
            <w:gridSpan w:val="2"/>
          </w:tcPr>
          <w:p>
            <w:pPr>
              <w:ind w:left="20"/>
              <w:spacing w:after="0"/>
              <w:rPr>
                <w:sz w:val="20"/>
                <w:szCs w:val="20"/>
                <w:color w:val="auto"/>
              </w:rPr>
            </w:pPr>
            <w:r>
              <w:rPr>
                <w:rFonts w:ascii="Arial" w:cs="Arial" w:eastAsia="Arial" w:hAnsi="Arial"/>
                <w:sz w:val="16"/>
                <w:szCs w:val="16"/>
                <w:b w:val="1"/>
                <w:bCs w:val="1"/>
                <w:color w:val="131E29"/>
              </w:rPr>
              <w:t>AOCI</w:t>
            </w:r>
          </w:p>
        </w:tc>
        <w:tc>
          <w:tcPr>
            <w:tcW w:w="8460" w:type="dxa"/>
            <w:vAlign w:val="bottom"/>
          </w:tcPr>
          <w:p>
            <w:pPr>
              <w:ind w:left="20"/>
              <w:spacing w:after="0"/>
              <w:rPr>
                <w:sz w:val="20"/>
                <w:szCs w:val="20"/>
                <w:color w:val="auto"/>
              </w:rPr>
            </w:pPr>
            <w:r>
              <w:rPr>
                <w:rFonts w:ascii="Arial" w:cs="Arial" w:eastAsia="Arial" w:hAnsi="Arial"/>
                <w:sz w:val="16"/>
                <w:szCs w:val="16"/>
                <w:color w:val="131E29"/>
              </w:rPr>
              <w:t>Accumulated Other Comprehensive Income</w:t>
            </w:r>
          </w:p>
        </w:tc>
      </w:tr>
      <w:tr>
        <w:trPr>
          <w:trHeight w:val="247"/>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ASU</w:t>
            </w:r>
          </w:p>
        </w:tc>
        <w:tc>
          <w:tcPr>
            <w:tcW w:w="84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Accounting Standards Update</w:t>
            </w:r>
          </w:p>
        </w:tc>
      </w:tr>
      <w:tr>
        <w:trPr>
          <w:trHeight w:val="239"/>
        </w:trPr>
        <w:tc>
          <w:tcPr>
            <w:tcW w:w="2780" w:type="dxa"/>
            <w:vAlign w:val="bottom"/>
            <w:gridSpan w:val="2"/>
          </w:tcPr>
          <w:p>
            <w:pPr>
              <w:ind w:left="20"/>
              <w:spacing w:after="0"/>
              <w:rPr>
                <w:sz w:val="20"/>
                <w:szCs w:val="20"/>
                <w:color w:val="auto"/>
              </w:rPr>
            </w:pPr>
            <w:r>
              <w:rPr>
                <w:rFonts w:ascii="Arial" w:cs="Arial" w:eastAsia="Arial" w:hAnsi="Arial"/>
                <w:sz w:val="16"/>
                <w:szCs w:val="16"/>
                <w:b w:val="1"/>
                <w:bCs w:val="1"/>
                <w:color w:val="131E29"/>
              </w:rPr>
              <w:t>AUV</w:t>
            </w:r>
          </w:p>
        </w:tc>
        <w:tc>
          <w:tcPr>
            <w:tcW w:w="8460" w:type="dxa"/>
            <w:vAlign w:val="bottom"/>
          </w:tcPr>
          <w:p>
            <w:pPr>
              <w:ind w:left="20"/>
              <w:spacing w:after="0"/>
              <w:rPr>
                <w:sz w:val="20"/>
                <w:szCs w:val="20"/>
                <w:color w:val="auto"/>
              </w:rPr>
            </w:pPr>
            <w:r>
              <w:rPr>
                <w:rFonts w:ascii="Arial" w:cs="Arial" w:eastAsia="Arial" w:hAnsi="Arial"/>
                <w:sz w:val="16"/>
                <w:szCs w:val="16"/>
                <w:color w:val="131E29"/>
              </w:rPr>
              <w:t>Average Unit Volume</w:t>
            </w:r>
          </w:p>
        </w:tc>
      </w:tr>
      <w:tr>
        <w:trPr>
          <w:trHeight w:val="247"/>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BPS or bps</w:t>
            </w:r>
          </w:p>
        </w:tc>
        <w:tc>
          <w:tcPr>
            <w:tcW w:w="84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Basis points, which is used to express differences in rates. One basis point is the equivalent of 1/100 of one percent.</w:t>
            </w:r>
          </w:p>
        </w:tc>
      </w:tr>
      <w:tr>
        <w:trPr>
          <w:trHeight w:val="239"/>
        </w:trPr>
        <w:tc>
          <w:tcPr>
            <w:tcW w:w="2780" w:type="dxa"/>
            <w:vAlign w:val="bottom"/>
            <w:gridSpan w:val="2"/>
          </w:tcPr>
          <w:p>
            <w:pPr>
              <w:ind w:left="20"/>
              <w:spacing w:after="0"/>
              <w:rPr>
                <w:sz w:val="20"/>
                <w:szCs w:val="20"/>
                <w:color w:val="auto"/>
              </w:rPr>
            </w:pPr>
            <w:r>
              <w:rPr>
                <w:rFonts w:ascii="Arial" w:cs="Arial" w:eastAsia="Arial" w:hAnsi="Arial"/>
                <w:sz w:val="16"/>
                <w:szCs w:val="16"/>
                <w:b w:val="1"/>
                <w:bCs w:val="1"/>
                <w:color w:val="131E29"/>
              </w:rPr>
              <w:t>CEO</w:t>
            </w:r>
          </w:p>
        </w:tc>
        <w:tc>
          <w:tcPr>
            <w:tcW w:w="8460" w:type="dxa"/>
            <w:vAlign w:val="bottom"/>
          </w:tcPr>
          <w:p>
            <w:pPr>
              <w:ind w:left="20"/>
              <w:spacing w:after="0"/>
              <w:rPr>
                <w:sz w:val="20"/>
                <w:szCs w:val="20"/>
                <w:color w:val="auto"/>
              </w:rPr>
            </w:pPr>
            <w:r>
              <w:rPr>
                <w:rFonts w:ascii="Arial" w:cs="Arial" w:eastAsia="Arial" w:hAnsi="Arial"/>
                <w:sz w:val="16"/>
                <w:szCs w:val="16"/>
                <w:color w:val="131E29"/>
              </w:rPr>
              <w:t>Chief Executive Officer</w:t>
            </w:r>
          </w:p>
        </w:tc>
      </w:tr>
      <w:tr>
        <w:trPr>
          <w:trHeight w:val="247"/>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CODM</w:t>
            </w:r>
          </w:p>
        </w:tc>
        <w:tc>
          <w:tcPr>
            <w:tcW w:w="84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Chief Operating Decision Maker</w:t>
            </w:r>
          </w:p>
        </w:tc>
      </w:tr>
      <w:tr>
        <w:trPr>
          <w:trHeight w:val="202"/>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60" w:type="dxa"/>
            <w:vAlign w:val="bottom"/>
          </w:tcPr>
          <w:p>
            <w:pPr>
              <w:ind w:left="20"/>
              <w:spacing w:after="0"/>
              <w:rPr>
                <w:sz w:val="20"/>
                <w:szCs w:val="20"/>
                <w:color w:val="auto"/>
              </w:rPr>
            </w:pPr>
            <w:r>
              <w:rPr>
                <w:rFonts w:ascii="Arial" w:cs="Arial" w:eastAsia="Arial" w:hAnsi="Arial"/>
                <w:sz w:val="16"/>
                <w:szCs w:val="16"/>
                <w:color w:val="131E29"/>
              </w:rPr>
              <w:t>Travis Boersma, our Executive Chairman and Co-Founder, and affiliated entities over which he maintains voting</w:t>
            </w:r>
          </w:p>
        </w:tc>
      </w:tr>
      <w:tr>
        <w:trPr>
          <w:trHeight w:val="240"/>
        </w:trPr>
        <w:tc>
          <w:tcPr>
            <w:tcW w:w="2780" w:type="dxa"/>
            <w:vAlign w:val="bottom"/>
            <w:gridSpan w:val="2"/>
          </w:tcPr>
          <w:p>
            <w:pPr>
              <w:ind w:left="20"/>
              <w:spacing w:after="0"/>
              <w:rPr>
                <w:sz w:val="20"/>
                <w:szCs w:val="20"/>
                <w:color w:val="auto"/>
              </w:rPr>
            </w:pPr>
            <w:r>
              <w:rPr>
                <w:rFonts w:ascii="Arial" w:cs="Arial" w:eastAsia="Arial" w:hAnsi="Arial"/>
                <w:sz w:val="16"/>
                <w:szCs w:val="16"/>
                <w:b w:val="1"/>
                <w:bCs w:val="1"/>
                <w:color w:val="131E29"/>
              </w:rPr>
              <w:t>Co-Founder</w:t>
            </w:r>
          </w:p>
        </w:tc>
        <w:tc>
          <w:tcPr>
            <w:tcW w:w="8460" w:type="dxa"/>
            <w:vAlign w:val="bottom"/>
          </w:tcPr>
          <w:p>
            <w:pPr>
              <w:ind w:left="20"/>
              <w:spacing w:after="0"/>
              <w:rPr>
                <w:sz w:val="20"/>
                <w:szCs w:val="20"/>
                <w:color w:val="auto"/>
              </w:rPr>
            </w:pPr>
            <w:r>
              <w:rPr>
                <w:rFonts w:ascii="Arial" w:cs="Arial" w:eastAsia="Arial" w:hAnsi="Arial"/>
                <w:sz w:val="16"/>
                <w:szCs w:val="16"/>
                <w:color w:val="131E29"/>
              </w:rPr>
              <w:t>control.</w:t>
            </w:r>
          </w:p>
        </w:tc>
      </w:tr>
      <w:tr>
        <w:trPr>
          <w:trHeight w:val="247"/>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Continuing Members</w:t>
            </w:r>
          </w:p>
        </w:tc>
        <w:tc>
          <w:tcPr>
            <w:tcW w:w="84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The Co-Founder and the Sponsor</w:t>
            </w:r>
          </w:p>
        </w:tc>
      </w:tr>
      <w:tr>
        <w:trPr>
          <w:trHeight w:val="239"/>
        </w:trPr>
        <w:tc>
          <w:tcPr>
            <w:tcW w:w="2780" w:type="dxa"/>
            <w:vAlign w:val="bottom"/>
            <w:gridSpan w:val="2"/>
          </w:tcPr>
          <w:p>
            <w:pPr>
              <w:ind w:left="20"/>
              <w:spacing w:after="0"/>
              <w:rPr>
                <w:sz w:val="20"/>
                <w:szCs w:val="20"/>
                <w:color w:val="auto"/>
              </w:rPr>
            </w:pPr>
            <w:r>
              <w:rPr>
                <w:rFonts w:ascii="Arial" w:cs="Arial" w:eastAsia="Arial" w:hAnsi="Arial"/>
                <w:sz w:val="16"/>
                <w:szCs w:val="16"/>
                <w:b w:val="1"/>
                <w:bCs w:val="1"/>
                <w:color w:val="131E29"/>
              </w:rPr>
              <w:t>Dutch Bros OpCo</w:t>
            </w:r>
          </w:p>
        </w:tc>
        <w:tc>
          <w:tcPr>
            <w:tcW w:w="8460" w:type="dxa"/>
            <w:vAlign w:val="bottom"/>
          </w:tcPr>
          <w:p>
            <w:pPr>
              <w:ind w:left="20"/>
              <w:spacing w:after="0"/>
              <w:rPr>
                <w:sz w:val="20"/>
                <w:szCs w:val="20"/>
                <w:color w:val="auto"/>
              </w:rPr>
            </w:pPr>
            <w:r>
              <w:rPr>
                <w:rFonts w:ascii="Arial" w:cs="Arial" w:eastAsia="Arial" w:hAnsi="Arial"/>
                <w:sz w:val="16"/>
                <w:szCs w:val="16"/>
                <w:color w:val="131E29"/>
              </w:rPr>
              <w:t>Dutch Mafia, LLC, a Delaware limited liability company and direct subsidiary of Dutch Bros Inc.</w:t>
            </w:r>
          </w:p>
        </w:tc>
      </w:tr>
      <w:tr>
        <w:trPr>
          <w:trHeight w:val="206"/>
        </w:trPr>
        <w:tc>
          <w:tcPr>
            <w:tcW w:w="26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84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A Delaware corporation, the Class A common stock of which is publicly traded on the New York Stock Exchange</w:t>
            </w:r>
          </w:p>
        </w:tc>
      </w:tr>
      <w:tr>
        <w:trPr>
          <w:trHeight w:val="244"/>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Dutch Bros Inc.</w:t>
            </w:r>
          </w:p>
        </w:tc>
        <w:tc>
          <w:tcPr>
            <w:tcW w:w="84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under the symbol “BROS”.</w:t>
            </w:r>
          </w:p>
        </w:tc>
      </w:tr>
      <w:tr>
        <w:trPr>
          <w:trHeight w:val="239"/>
        </w:trPr>
        <w:tc>
          <w:tcPr>
            <w:tcW w:w="2780" w:type="dxa"/>
            <w:vAlign w:val="bottom"/>
            <w:gridSpan w:val="2"/>
          </w:tcPr>
          <w:p>
            <w:pPr>
              <w:ind w:left="20"/>
              <w:spacing w:after="0"/>
              <w:rPr>
                <w:sz w:val="20"/>
                <w:szCs w:val="20"/>
                <w:color w:val="auto"/>
              </w:rPr>
            </w:pPr>
            <w:r>
              <w:rPr>
                <w:rFonts w:ascii="Arial" w:cs="Arial" w:eastAsia="Arial" w:hAnsi="Arial"/>
                <w:sz w:val="16"/>
                <w:szCs w:val="16"/>
                <w:b w:val="1"/>
                <w:bCs w:val="1"/>
                <w:color w:val="131E29"/>
              </w:rPr>
              <w:t>FASB</w:t>
            </w:r>
          </w:p>
        </w:tc>
        <w:tc>
          <w:tcPr>
            <w:tcW w:w="8460" w:type="dxa"/>
            <w:vAlign w:val="bottom"/>
          </w:tcPr>
          <w:p>
            <w:pPr>
              <w:ind w:left="20"/>
              <w:spacing w:after="0"/>
              <w:rPr>
                <w:sz w:val="20"/>
                <w:szCs w:val="20"/>
                <w:color w:val="auto"/>
              </w:rPr>
            </w:pPr>
            <w:r>
              <w:rPr>
                <w:rFonts w:ascii="Arial" w:cs="Arial" w:eastAsia="Arial" w:hAnsi="Arial"/>
                <w:sz w:val="16"/>
                <w:szCs w:val="16"/>
                <w:color w:val="131E29"/>
              </w:rPr>
              <w:t>Financial Accounting Standards Board</w:t>
            </w:r>
          </w:p>
        </w:tc>
      </w:tr>
      <w:tr>
        <w:trPr>
          <w:trHeight w:val="247"/>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GAAP</w:t>
            </w:r>
          </w:p>
        </w:tc>
        <w:tc>
          <w:tcPr>
            <w:tcW w:w="84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U.S. Generally Accepted Accounting Principles</w:t>
            </w:r>
          </w:p>
        </w:tc>
      </w:tr>
      <w:tr>
        <w:trPr>
          <w:trHeight w:val="239"/>
        </w:trPr>
        <w:tc>
          <w:tcPr>
            <w:tcW w:w="2780" w:type="dxa"/>
            <w:vAlign w:val="bottom"/>
            <w:gridSpan w:val="2"/>
          </w:tcPr>
          <w:p>
            <w:pPr>
              <w:ind w:left="20"/>
              <w:spacing w:after="0"/>
              <w:rPr>
                <w:sz w:val="20"/>
                <w:szCs w:val="20"/>
                <w:color w:val="auto"/>
              </w:rPr>
            </w:pPr>
            <w:r>
              <w:rPr>
                <w:rFonts w:ascii="Arial" w:cs="Arial" w:eastAsia="Arial" w:hAnsi="Arial"/>
                <w:sz w:val="16"/>
                <w:szCs w:val="16"/>
                <w:b w:val="1"/>
                <w:bCs w:val="1"/>
                <w:color w:val="131E29"/>
              </w:rPr>
              <w:t>IPO</w:t>
            </w:r>
          </w:p>
        </w:tc>
        <w:tc>
          <w:tcPr>
            <w:tcW w:w="8460" w:type="dxa"/>
            <w:vAlign w:val="bottom"/>
          </w:tcPr>
          <w:p>
            <w:pPr>
              <w:ind w:left="20"/>
              <w:spacing w:after="0"/>
              <w:rPr>
                <w:sz w:val="20"/>
                <w:szCs w:val="20"/>
                <w:color w:val="auto"/>
              </w:rPr>
            </w:pPr>
            <w:r>
              <w:rPr>
                <w:rFonts w:ascii="Arial" w:cs="Arial" w:eastAsia="Arial" w:hAnsi="Arial"/>
                <w:sz w:val="16"/>
                <w:szCs w:val="16"/>
                <w:color w:val="131E29"/>
              </w:rPr>
              <w:t>Initial Public Offering</w:t>
            </w:r>
          </w:p>
        </w:tc>
      </w:tr>
      <w:tr>
        <w:trPr>
          <w:trHeight w:val="247"/>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N/A</w:t>
            </w:r>
          </w:p>
        </w:tc>
        <w:tc>
          <w:tcPr>
            <w:tcW w:w="84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Not applicable</w:t>
            </w:r>
          </w:p>
        </w:tc>
      </w:tr>
      <w:tr>
        <w:trPr>
          <w:trHeight w:val="239"/>
        </w:trPr>
        <w:tc>
          <w:tcPr>
            <w:tcW w:w="2780" w:type="dxa"/>
            <w:vAlign w:val="bottom"/>
            <w:gridSpan w:val="2"/>
          </w:tcPr>
          <w:p>
            <w:pPr>
              <w:ind w:left="20"/>
              <w:spacing w:after="0"/>
              <w:rPr>
                <w:sz w:val="20"/>
                <w:szCs w:val="20"/>
                <w:color w:val="auto"/>
              </w:rPr>
            </w:pPr>
            <w:r>
              <w:rPr>
                <w:rFonts w:ascii="Arial" w:cs="Arial" w:eastAsia="Arial" w:hAnsi="Arial"/>
                <w:sz w:val="16"/>
                <w:szCs w:val="16"/>
                <w:b w:val="1"/>
                <w:bCs w:val="1"/>
                <w:color w:val="131E29"/>
              </w:rPr>
              <w:t>N/M</w:t>
            </w:r>
          </w:p>
        </w:tc>
        <w:tc>
          <w:tcPr>
            <w:tcW w:w="8460" w:type="dxa"/>
            <w:vAlign w:val="bottom"/>
          </w:tcPr>
          <w:p>
            <w:pPr>
              <w:ind w:left="20"/>
              <w:spacing w:after="0"/>
              <w:rPr>
                <w:sz w:val="20"/>
                <w:szCs w:val="20"/>
                <w:color w:val="auto"/>
              </w:rPr>
            </w:pPr>
            <w:r>
              <w:rPr>
                <w:rFonts w:ascii="Arial" w:cs="Arial" w:eastAsia="Arial" w:hAnsi="Arial"/>
                <w:sz w:val="16"/>
                <w:szCs w:val="16"/>
                <w:color w:val="131E29"/>
              </w:rPr>
              <w:t>Not meaningful</w:t>
            </w:r>
          </w:p>
        </w:tc>
      </w:tr>
      <w:tr>
        <w:trPr>
          <w:trHeight w:val="247"/>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OpCo LLC Agreement</w:t>
            </w:r>
          </w:p>
        </w:tc>
        <w:tc>
          <w:tcPr>
            <w:tcW w:w="84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The Fifth Amended and Restated Limited Liability Company Agreement of Dutch Bros OpCo.</w:t>
            </w:r>
          </w:p>
        </w:tc>
      </w:tr>
      <w:tr>
        <w:trPr>
          <w:trHeight w:val="202"/>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60" w:type="dxa"/>
            <w:vAlign w:val="bottom"/>
          </w:tcPr>
          <w:p>
            <w:pPr>
              <w:ind w:left="20"/>
              <w:spacing w:after="0"/>
              <w:rPr>
                <w:sz w:val="20"/>
                <w:szCs w:val="20"/>
                <w:color w:val="auto"/>
              </w:rPr>
            </w:pPr>
            <w:r>
              <w:rPr>
                <w:rFonts w:ascii="Arial" w:cs="Arial" w:eastAsia="Arial" w:hAnsi="Arial"/>
                <w:sz w:val="16"/>
                <w:szCs w:val="16"/>
                <w:color w:val="131E29"/>
              </w:rPr>
              <w:t>Class A common units, Class B voting units and Class C voting units of Dutch Bros OpCo, each as further defined in</w:t>
            </w:r>
          </w:p>
        </w:tc>
      </w:tr>
      <w:tr>
        <w:trPr>
          <w:trHeight w:val="240"/>
        </w:trPr>
        <w:tc>
          <w:tcPr>
            <w:tcW w:w="2780" w:type="dxa"/>
            <w:vAlign w:val="bottom"/>
            <w:gridSpan w:val="2"/>
          </w:tcPr>
          <w:p>
            <w:pPr>
              <w:ind w:left="20"/>
              <w:spacing w:after="0"/>
              <w:rPr>
                <w:sz w:val="20"/>
                <w:szCs w:val="20"/>
                <w:color w:val="auto"/>
              </w:rPr>
            </w:pPr>
            <w:r>
              <w:rPr>
                <w:rFonts w:ascii="Arial" w:cs="Arial" w:eastAsia="Arial" w:hAnsi="Arial"/>
                <w:sz w:val="16"/>
                <w:szCs w:val="16"/>
                <w:b w:val="1"/>
                <w:bCs w:val="1"/>
                <w:color w:val="131E29"/>
              </w:rPr>
              <w:t>OpCo Units</w:t>
            </w:r>
          </w:p>
        </w:tc>
        <w:tc>
          <w:tcPr>
            <w:tcW w:w="8460" w:type="dxa"/>
            <w:vAlign w:val="bottom"/>
          </w:tcPr>
          <w:p>
            <w:pPr>
              <w:ind w:left="20"/>
              <w:spacing w:after="0"/>
              <w:rPr>
                <w:sz w:val="20"/>
                <w:szCs w:val="20"/>
                <w:color w:val="auto"/>
              </w:rPr>
            </w:pPr>
            <w:r>
              <w:rPr>
                <w:rFonts w:ascii="Arial" w:cs="Arial" w:eastAsia="Arial" w:hAnsi="Arial"/>
                <w:sz w:val="16"/>
                <w:szCs w:val="16"/>
                <w:color w:val="131E29"/>
              </w:rPr>
              <w:t>the OpCo LLC Agreement, collectively.</w:t>
            </w:r>
          </w:p>
        </w:tc>
      </w:tr>
      <w:tr>
        <w:trPr>
          <w:trHeight w:val="247"/>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PSU</w:t>
            </w:r>
          </w:p>
        </w:tc>
        <w:tc>
          <w:tcPr>
            <w:tcW w:w="84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Performance-Based Stock Units</w:t>
            </w:r>
          </w:p>
        </w:tc>
      </w:tr>
      <w:tr>
        <w:trPr>
          <w:trHeight w:val="239"/>
        </w:trPr>
        <w:tc>
          <w:tcPr>
            <w:tcW w:w="2780" w:type="dxa"/>
            <w:vAlign w:val="bottom"/>
            <w:gridSpan w:val="2"/>
          </w:tcPr>
          <w:p>
            <w:pPr>
              <w:ind w:left="20"/>
              <w:spacing w:after="0"/>
              <w:rPr>
                <w:sz w:val="20"/>
                <w:szCs w:val="20"/>
                <w:color w:val="auto"/>
              </w:rPr>
            </w:pPr>
            <w:r>
              <w:rPr>
                <w:rFonts w:ascii="Arial" w:cs="Arial" w:eastAsia="Arial" w:hAnsi="Arial"/>
                <w:sz w:val="16"/>
                <w:szCs w:val="16"/>
                <w:b w:val="1"/>
                <w:bCs w:val="1"/>
                <w:color w:val="131E29"/>
              </w:rPr>
              <w:t>RSA</w:t>
            </w:r>
          </w:p>
        </w:tc>
        <w:tc>
          <w:tcPr>
            <w:tcW w:w="8460" w:type="dxa"/>
            <w:vAlign w:val="bottom"/>
          </w:tcPr>
          <w:p>
            <w:pPr>
              <w:ind w:left="20"/>
              <w:spacing w:after="0"/>
              <w:rPr>
                <w:sz w:val="20"/>
                <w:szCs w:val="20"/>
                <w:color w:val="auto"/>
              </w:rPr>
            </w:pPr>
            <w:r>
              <w:rPr>
                <w:rFonts w:ascii="Arial" w:cs="Arial" w:eastAsia="Arial" w:hAnsi="Arial"/>
                <w:sz w:val="16"/>
                <w:szCs w:val="16"/>
                <w:color w:val="131E29"/>
              </w:rPr>
              <w:t>Restricted Stock Awards</w:t>
            </w:r>
          </w:p>
        </w:tc>
      </w:tr>
      <w:tr>
        <w:trPr>
          <w:trHeight w:val="247"/>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RSU</w:t>
            </w:r>
          </w:p>
        </w:tc>
        <w:tc>
          <w:tcPr>
            <w:tcW w:w="84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Restricted Stock Units</w:t>
            </w:r>
          </w:p>
        </w:tc>
      </w:tr>
      <w:tr>
        <w:trPr>
          <w:trHeight w:val="202"/>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60" w:type="dxa"/>
            <w:vAlign w:val="bottom"/>
          </w:tcPr>
          <w:p>
            <w:pPr>
              <w:ind w:left="20"/>
              <w:spacing w:after="0"/>
              <w:rPr>
                <w:sz w:val="20"/>
                <w:szCs w:val="20"/>
                <w:color w:val="auto"/>
              </w:rPr>
            </w:pPr>
            <w:r>
              <w:rPr>
                <w:rFonts w:ascii="Arial" w:cs="Arial" w:eastAsia="Arial" w:hAnsi="Arial"/>
                <w:sz w:val="16"/>
                <w:szCs w:val="16"/>
                <w:color w:val="131E29"/>
              </w:rPr>
              <w:t>The estimated percentage change in year-over-year sales, for the comparable shop base, which we define as shops</w:t>
            </w:r>
          </w:p>
        </w:tc>
      </w:tr>
      <w:tr>
        <w:trPr>
          <w:trHeight w:val="267"/>
        </w:trPr>
        <w:tc>
          <w:tcPr>
            <w:tcW w:w="2780" w:type="dxa"/>
            <w:vAlign w:val="bottom"/>
            <w:gridSpan w:val="2"/>
          </w:tcPr>
          <w:p>
            <w:pPr>
              <w:ind w:left="20"/>
              <w:spacing w:after="0"/>
              <w:rPr>
                <w:sz w:val="20"/>
                <w:szCs w:val="20"/>
                <w:color w:val="auto"/>
              </w:rPr>
            </w:pPr>
            <w:r>
              <w:rPr>
                <w:rFonts w:ascii="Arial" w:cs="Arial" w:eastAsia="Arial" w:hAnsi="Arial"/>
                <w:sz w:val="16"/>
                <w:szCs w:val="16"/>
                <w:b w:val="1"/>
                <w:bCs w:val="1"/>
                <w:color w:val="131E29"/>
              </w:rPr>
              <w:t>Same Shop Sales</w:t>
            </w:r>
          </w:p>
        </w:tc>
        <w:tc>
          <w:tcPr>
            <w:tcW w:w="8460" w:type="dxa"/>
            <w:vAlign w:val="bottom"/>
          </w:tcPr>
          <w:p>
            <w:pPr>
              <w:ind w:left="20"/>
              <w:spacing w:after="0"/>
              <w:rPr>
                <w:sz w:val="20"/>
                <w:szCs w:val="20"/>
                <w:color w:val="auto"/>
              </w:rPr>
            </w:pPr>
            <w:r>
              <w:rPr>
                <w:rFonts w:ascii="Arial" w:cs="Arial" w:eastAsia="Arial" w:hAnsi="Arial"/>
                <w:sz w:val="16"/>
                <w:szCs w:val="16"/>
                <w:color w:val="131E29"/>
              </w:rPr>
              <w:t>open for 15 complete months or longer as of the first day of the reporting period.</w:t>
            </w:r>
          </w:p>
        </w:tc>
      </w:tr>
      <w:tr>
        <w:trPr>
          <w:trHeight w:val="247"/>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SEC</w:t>
            </w:r>
          </w:p>
        </w:tc>
        <w:tc>
          <w:tcPr>
            <w:tcW w:w="84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Securities and Exchange Commission</w:t>
            </w:r>
          </w:p>
        </w:tc>
      </w:tr>
      <w:tr>
        <w:trPr>
          <w:trHeight w:val="239"/>
        </w:trPr>
        <w:tc>
          <w:tcPr>
            <w:tcW w:w="2780" w:type="dxa"/>
            <w:vAlign w:val="bottom"/>
            <w:gridSpan w:val="2"/>
          </w:tcPr>
          <w:p>
            <w:pPr>
              <w:ind w:left="20"/>
              <w:spacing w:after="0"/>
              <w:rPr>
                <w:sz w:val="20"/>
                <w:szCs w:val="20"/>
                <w:color w:val="auto"/>
              </w:rPr>
            </w:pPr>
            <w:r>
              <w:rPr>
                <w:rFonts w:ascii="Arial" w:cs="Arial" w:eastAsia="Arial" w:hAnsi="Arial"/>
                <w:sz w:val="16"/>
                <w:szCs w:val="16"/>
                <w:b w:val="1"/>
                <w:bCs w:val="1"/>
                <w:color w:val="131E29"/>
              </w:rPr>
              <w:t>SOFR</w:t>
            </w:r>
          </w:p>
        </w:tc>
        <w:tc>
          <w:tcPr>
            <w:tcW w:w="8460" w:type="dxa"/>
            <w:vAlign w:val="bottom"/>
          </w:tcPr>
          <w:p>
            <w:pPr>
              <w:ind w:left="20"/>
              <w:spacing w:after="0"/>
              <w:rPr>
                <w:sz w:val="20"/>
                <w:szCs w:val="20"/>
                <w:color w:val="auto"/>
              </w:rPr>
            </w:pPr>
            <w:r>
              <w:rPr>
                <w:rFonts w:ascii="Arial" w:cs="Arial" w:eastAsia="Arial" w:hAnsi="Arial"/>
                <w:sz w:val="16"/>
                <w:szCs w:val="16"/>
                <w:color w:val="131E29"/>
              </w:rPr>
              <w:t>Secured Overnight Financing Rate</w:t>
            </w:r>
          </w:p>
        </w:tc>
      </w:tr>
      <w:tr>
        <w:trPr>
          <w:trHeight w:val="247"/>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Sponsor</w:t>
            </w:r>
          </w:p>
        </w:tc>
        <w:tc>
          <w:tcPr>
            <w:tcW w:w="84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TSG Consumer Partners, L.P. and certain of its affiliates.</w:t>
            </w:r>
          </w:p>
        </w:tc>
      </w:tr>
      <w:tr>
        <w:trPr>
          <w:trHeight w:val="202"/>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60" w:type="dxa"/>
            <w:vAlign w:val="bottom"/>
          </w:tcPr>
          <w:p>
            <w:pPr>
              <w:ind w:left="20"/>
              <w:spacing w:after="0"/>
              <w:rPr>
                <w:sz w:val="20"/>
                <w:szCs w:val="20"/>
                <w:color w:val="auto"/>
              </w:rPr>
            </w:pPr>
            <w:r>
              <w:rPr>
                <w:rFonts w:ascii="Arial" w:cs="Arial" w:eastAsia="Arial" w:hAnsi="Arial"/>
                <w:sz w:val="16"/>
                <w:szCs w:val="16"/>
                <w:color w:val="131E29"/>
              </w:rPr>
              <w:t>The Tax Receivable Agreement (Exchanges) that Dutch Bros Inc. entered into with the Continuing Members and the</w:t>
            </w:r>
          </w:p>
        </w:tc>
      </w:tr>
      <w:tr>
        <w:trPr>
          <w:trHeight w:val="189"/>
        </w:trPr>
        <w:tc>
          <w:tcPr>
            <w:tcW w:w="2780" w:type="dxa"/>
            <w:vAlign w:val="bottom"/>
            <w:gridSpan w:val="2"/>
          </w:tcPr>
          <w:p>
            <w:pPr>
              <w:ind w:left="20"/>
              <w:spacing w:after="0"/>
              <w:rPr>
                <w:sz w:val="20"/>
                <w:szCs w:val="20"/>
                <w:color w:val="auto"/>
              </w:rPr>
            </w:pPr>
            <w:r>
              <w:rPr>
                <w:rFonts w:ascii="Arial" w:cs="Arial" w:eastAsia="Arial" w:hAnsi="Arial"/>
                <w:sz w:val="16"/>
                <w:szCs w:val="16"/>
                <w:b w:val="1"/>
                <w:bCs w:val="1"/>
                <w:color w:val="131E29"/>
              </w:rPr>
              <w:t>Tax Receivable Agreements and</w:t>
            </w:r>
          </w:p>
        </w:tc>
        <w:tc>
          <w:tcPr>
            <w:tcW w:w="8460" w:type="dxa"/>
            <w:vAlign w:val="bottom"/>
          </w:tcPr>
          <w:p>
            <w:pPr>
              <w:ind w:left="20"/>
              <w:spacing w:after="0"/>
              <w:rPr>
                <w:sz w:val="20"/>
                <w:szCs w:val="20"/>
                <w:color w:val="auto"/>
              </w:rPr>
            </w:pPr>
            <w:r>
              <w:rPr>
                <w:rFonts w:ascii="Arial" w:cs="Arial" w:eastAsia="Arial" w:hAnsi="Arial"/>
                <w:sz w:val="16"/>
                <w:szCs w:val="16"/>
                <w:color w:val="131E29"/>
              </w:rPr>
              <w:t>Tax Receivable Agreement (Reorganization) that Dutch Bros Inc. entered into with TSG7 A AIV VI Holdings-A, L.P.</w:t>
            </w:r>
          </w:p>
        </w:tc>
      </w:tr>
      <w:tr>
        <w:trPr>
          <w:trHeight w:val="236"/>
        </w:trPr>
        <w:tc>
          <w:tcPr>
            <w:tcW w:w="2780" w:type="dxa"/>
            <w:vAlign w:val="bottom"/>
            <w:gridSpan w:val="2"/>
          </w:tcPr>
          <w:p>
            <w:pPr>
              <w:ind w:left="20"/>
              <w:spacing w:after="0"/>
              <w:rPr>
                <w:sz w:val="20"/>
                <w:szCs w:val="20"/>
                <w:color w:val="auto"/>
              </w:rPr>
            </w:pPr>
            <w:r>
              <w:rPr>
                <w:rFonts w:ascii="Arial" w:cs="Arial" w:eastAsia="Arial" w:hAnsi="Arial"/>
                <w:sz w:val="16"/>
                <w:szCs w:val="16"/>
                <w:b w:val="1"/>
                <w:bCs w:val="1"/>
                <w:color w:val="131E29"/>
              </w:rPr>
              <w:t>TRAs</w:t>
            </w:r>
          </w:p>
        </w:tc>
        <w:tc>
          <w:tcPr>
            <w:tcW w:w="8460" w:type="dxa"/>
            <w:vAlign w:val="bottom"/>
          </w:tcPr>
          <w:p>
            <w:pPr>
              <w:ind w:left="20"/>
              <w:spacing w:after="0"/>
              <w:rPr>
                <w:sz w:val="20"/>
                <w:szCs w:val="20"/>
                <w:color w:val="auto"/>
              </w:rPr>
            </w:pPr>
            <w:r>
              <w:rPr>
                <w:rFonts w:ascii="Arial" w:cs="Arial" w:eastAsia="Arial" w:hAnsi="Arial"/>
                <w:sz w:val="16"/>
                <w:szCs w:val="16"/>
                <w:color w:val="131E29"/>
              </w:rPr>
              <w:t>and DG Coinvestor Blocker Aggregator, L.P. or their assignees or successors, in connection with the IPO.</w:t>
            </w:r>
          </w:p>
        </w:tc>
      </w:tr>
      <w:tr>
        <w:trPr>
          <w:trHeight w:val="251"/>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TSR</w:t>
            </w:r>
          </w:p>
        </w:tc>
        <w:tc>
          <w:tcPr>
            <w:tcW w:w="84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Relative Total Shareholder Return</w:t>
            </w:r>
          </w:p>
        </w:tc>
      </w:tr>
    </w:tbl>
    <w:p>
      <w:pPr>
        <w:spacing w:after="0" w:line="94" w:lineRule="exact"/>
        <w:rPr>
          <w:sz w:val="20"/>
          <w:szCs w:val="20"/>
          <w:color w:val="auto"/>
        </w:rPr>
      </w:pPr>
    </w:p>
    <w:p>
      <w:pPr>
        <w:jc w:val="both"/>
        <w:spacing w:after="0" w:line="285" w:lineRule="auto"/>
        <w:rPr>
          <w:sz w:val="20"/>
          <w:szCs w:val="20"/>
          <w:color w:val="auto"/>
        </w:rPr>
      </w:pPr>
      <w:r>
        <w:rPr>
          <w:rFonts w:ascii="Arial" w:cs="Arial" w:eastAsia="Arial" w:hAnsi="Arial"/>
          <w:sz w:val="14"/>
          <w:szCs w:val="14"/>
          <w:i w:val="1"/>
          <w:iCs w:val="1"/>
          <w:color w:val="131E29"/>
        </w:rPr>
        <w:t>Dutch Bros</w:t>
      </w:r>
      <w:r>
        <w:rPr>
          <w:rFonts w:ascii="Arial" w:cs="Arial" w:eastAsia="Arial" w:hAnsi="Arial"/>
          <w:sz w:val="14"/>
          <w:szCs w:val="14"/>
          <w:color w:val="131E29"/>
        </w:rPr>
        <w:t>, our Windmill logo (</w:t>
      </w:r>
      <w:r>
        <w:rPr>
          <w:sz w:val="1"/>
          <w:szCs w:val="1"/>
          <w:color w:val="auto"/>
        </w:rPr>
        <w:drawing>
          <wp:inline distT="0" distB="0" distL="0" distR="0">
            <wp:extent cx="171450" cy="2400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 xml:space="preserve">), </w:t>
      </w:r>
      <w:r>
        <w:rPr>
          <w:rFonts w:ascii="Arial" w:cs="Arial" w:eastAsia="Arial" w:hAnsi="Arial"/>
          <w:sz w:val="14"/>
          <w:szCs w:val="14"/>
          <w:i w:val="1"/>
          <w:iCs w:val="1"/>
          <w:color w:val="131E29"/>
        </w:rPr>
        <w:t>Dutch Bros Blue Rebel</w:t>
      </w:r>
      <w:r>
        <w:rPr>
          <w:rFonts w:ascii="Arial" w:cs="Arial" w:eastAsia="Arial" w:hAnsi="Arial"/>
          <w:sz w:val="14"/>
          <w:szCs w:val="14"/>
          <w:color w:val="131E29"/>
        </w:rPr>
        <w:t>, and our other registered and common law trade names, trademarks and service marks are the property of Dutch Bros Inc. All other trademarks, trade names, and service marks appearing in this Form 10-Q are the property of their respective owners. Solely for convenience, the trademarks and trade names in this Form 10-Q may be referred to without the ® and ™ symbols, but such references should not be construed as any indicator that their respective owners will not assert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FORWARD-LOOKING STATEMENTS</w:t>
      </w:r>
    </w:p>
    <w:p>
      <w:pPr>
        <w:spacing w:after="0" w:line="3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Certain statements in this Form 10-Q, including those in the section titled “Management’s Discussion and Analysis,” that are not historical facts, including those regarding the impact of inflation, increased minimum wages, interest rate risk, and general macroeconomic conditions on our results of operations, supply chain, or liquidity, the potential impact of actions we have taken to mitigate the impact of unforeseen circumstances, taxes and tax rates, our expectations regarding the number of new shops we may open, anticipated future revenues and earnings, consumer demand, and our expectations to generate positive cash flow in the foreseeable future are forward-looking statements as defined in the Private Securities Litigation Reform Act of 1995. We use words such as “anticipate,” “believe,” “could,” “should,” “estimate,” “expect,” “intend,” “may,” “predict,” “project,” “target,” and similar terms and phrases, including references to assumptions, to identify forward-looking statements. In addition, statements that “we believe” and similar statements reflect our beliefs and opinions on the relevant subject. While we believe that information provides a reasonable basis for these statements, that information may be limited or incomplete, and our statements should not be read to indicate that we have conducted an exhaustive inquiry into, or review of, all relevant information. These forward-looking statements are based on information available to us as of the date of this Form 10-Q, and we assume no obligation to update these forward-looking statements. These statements are subject to risks and uncertainties that could cause actual results to differ materially from those described in the statements. You should not place undue reliance on forward-looking statements, which speak only as of the date of this Form 10-Q.</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You should read the following unaudited condensed consolidated financial statements and the related notes in this Form 10-Q together with our analysis and discussion of our financial condition and results of operations and other financial information included elsewhere in this Form 10-Q. You should also read our Annual Report on Form 10-K for the year ended December 31, 2024, filed with the Securities and Exchange Commission on February 13, 2025 (2024 Form 10-K).</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the “Risk Factors” section of this Form 10-Q, and in our 2024 Form 10-K, as such risk factors may be amended, supplemented or superseded from time to time by other reports we file with the Securities and Exchange Commission.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Website Disclosure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6098"/>
        </w:rPr>
        <w:t>Table of Contents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Balance Sheets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ind w:left="220"/>
              <w:spacing w:after="0"/>
              <w:rPr>
                <w:sz w:val="20"/>
                <w:szCs w:val="20"/>
                <w:color w:val="auto"/>
              </w:rPr>
            </w:pPr>
            <w:r>
              <w:rPr>
                <w:rFonts w:ascii="Arial" w:cs="Arial" w:eastAsia="Arial" w:hAnsi="Arial"/>
                <w:sz w:val="18"/>
                <w:szCs w:val="18"/>
                <w:b w:val="1"/>
                <w:bCs w:val="1"/>
                <w:color w:val="131E29"/>
              </w:rPr>
              <w:t>March 31,</w:t>
            </w:r>
          </w:p>
        </w:tc>
        <w:tc>
          <w:tcPr>
            <w:tcW w:w="260" w:type="dxa"/>
            <w:vAlign w:val="bottom"/>
          </w:tcPr>
          <w:p>
            <w:pPr>
              <w:spacing w:after="0"/>
              <w:rPr>
                <w:sz w:val="18"/>
                <w:szCs w:val="18"/>
                <w:color w:val="auto"/>
              </w:rPr>
            </w:pP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131E29"/>
              </w:rPr>
              <w:t>December 31,</w:t>
            </w:r>
          </w:p>
        </w:tc>
        <w:tc>
          <w:tcPr>
            <w:tcW w:w="0" w:type="dxa"/>
            <w:vAlign w:val="bottom"/>
          </w:tcPr>
          <w:p>
            <w:pPr>
              <w:spacing w:after="0"/>
              <w:rPr>
                <w:sz w:val="1"/>
                <w:szCs w:val="1"/>
                <w:color w:val="auto"/>
              </w:rPr>
            </w:pPr>
          </w:p>
        </w:tc>
      </w:tr>
      <w:tr>
        <w:trPr>
          <w:trHeight w:val="255"/>
        </w:trPr>
        <w:tc>
          <w:tcPr>
            <w:tcW w:w="7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100" w:type="dxa"/>
            <w:vAlign w:val="bottom"/>
            <w:tcBorders>
              <w:bottom w:val="single" w:sz="8" w:color="D2DCE5"/>
            </w:tcBorders>
          </w:tcPr>
          <w:p>
            <w:pPr>
              <w:spacing w:after="0"/>
              <w:rPr>
                <w:sz w:val="22"/>
                <w:szCs w:val="22"/>
                <w:color w:val="auto"/>
              </w:rPr>
            </w:pPr>
          </w:p>
        </w:tc>
        <w:tc>
          <w:tcPr>
            <w:tcW w:w="340" w:type="dxa"/>
            <w:vAlign w:val="bottom"/>
            <w:tcBorders>
              <w:bottom w:val="single" w:sz="8" w:color="D7282F"/>
            </w:tcBorders>
          </w:tcPr>
          <w:p>
            <w:pPr>
              <w:spacing w:after="0"/>
              <w:rPr>
                <w:sz w:val="22"/>
                <w:szCs w:val="22"/>
                <w:color w:val="auto"/>
              </w:rPr>
            </w:pPr>
          </w:p>
        </w:tc>
        <w:tc>
          <w:tcPr>
            <w:tcW w:w="1600" w:type="dxa"/>
            <w:vAlign w:val="bottom"/>
            <w:tcBorders>
              <w:bottom w:val="single" w:sz="8" w:color="D7282F"/>
            </w:tcBorders>
          </w:tcPr>
          <w:p>
            <w:pPr>
              <w:jc w:val="right"/>
              <w:ind w:right="67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1680" w:type="dxa"/>
            <w:vAlign w:val="bottom"/>
            <w:tcBorders>
              <w:bottom w:val="single" w:sz="8" w:color="D7282F"/>
            </w:tcBorders>
          </w:tcPr>
          <w:p>
            <w:pPr>
              <w:jc w:val="right"/>
              <w:ind w:right="670"/>
              <w:spacing w:after="0"/>
              <w:rPr>
                <w:sz w:val="20"/>
                <w:szCs w:val="20"/>
                <w:color w:val="auto"/>
              </w:rPr>
            </w:pPr>
            <w:r>
              <w:rPr>
                <w:rFonts w:ascii="Arial" w:cs="Arial" w:eastAsia="Arial" w:hAnsi="Arial"/>
                <w:sz w:val="18"/>
                <w:szCs w:val="18"/>
                <w:b w:val="1"/>
                <w:bCs w:val="1"/>
                <w:color w:val="131E29"/>
              </w:rPr>
              <w:t>2024</w:t>
            </w:r>
          </w:p>
        </w:tc>
        <w:tc>
          <w:tcPr>
            <w:tcW w:w="0" w:type="dxa"/>
            <w:vAlign w:val="bottom"/>
          </w:tcPr>
          <w:p>
            <w:pPr>
              <w:spacing w:after="0"/>
              <w:rPr>
                <w:sz w:val="1"/>
                <w:szCs w:val="1"/>
                <w:color w:val="auto"/>
              </w:rPr>
            </w:pPr>
          </w:p>
        </w:tc>
      </w:tr>
      <w:tr>
        <w:trPr>
          <w:trHeight w:val="270"/>
        </w:trPr>
        <w:tc>
          <w:tcPr>
            <w:tcW w:w="72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Assets</w:t>
            </w:r>
          </w:p>
        </w:tc>
        <w:tc>
          <w:tcPr>
            <w:tcW w:w="340" w:type="dxa"/>
            <w:vAlign w:val="bottom"/>
            <w:shd w:val="clear" w:color="auto" w:fill="D2DCE5"/>
          </w:tcPr>
          <w:p>
            <w:pPr>
              <w:spacing w:after="0"/>
              <w:rPr>
                <w:sz w:val="23"/>
                <w:szCs w:val="23"/>
                <w:color w:val="auto"/>
              </w:rPr>
            </w:pPr>
          </w:p>
        </w:tc>
        <w:tc>
          <w:tcPr>
            <w:tcW w:w="16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1680" w:type="dxa"/>
            <w:vAlign w:val="bottom"/>
            <w:shd w:val="clear" w:color="auto" w:fill="D2DCE5"/>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Current assets:</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Cash and cash equivalents</w:t>
            </w:r>
          </w:p>
        </w:tc>
        <w:tc>
          <w:tcPr>
            <w:tcW w:w="340" w:type="dxa"/>
            <w:vAlign w:val="bottom"/>
            <w:tcBorders>
              <w:bottom w:val="single" w:sz="8" w:color="D2DCE5"/>
            </w:tcBorders>
            <w:shd w:val="clear" w:color="auto" w:fill="D2DCE5"/>
          </w:tcPr>
          <w:p>
            <w:pPr>
              <w:jc w:val="right"/>
              <w:ind w:right="130"/>
              <w:spacing w:after="0"/>
              <w:rPr>
                <w:sz w:val="20"/>
                <w:szCs w:val="20"/>
                <w:color w:val="auto"/>
              </w:rPr>
            </w:pPr>
            <w:r>
              <w:rPr>
                <w:rFonts w:ascii="Arial" w:cs="Arial" w:eastAsia="Arial" w:hAnsi="Arial"/>
                <w:sz w:val="18"/>
                <w:szCs w:val="18"/>
                <w:color w:val="006098"/>
                <w:w w:val="99"/>
              </w:rPr>
              <w:t>$</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316,441</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293,354</w:t>
            </w: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Accounts receivable, net</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6098"/>
              </w:rPr>
              <w:t>11,635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10,598</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Inventories, net</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38,225</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36,488</w:t>
            </w: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Prepaid expenses and other current assets</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6098"/>
              </w:rPr>
              <w:t>16,583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17,501</w:t>
            </w:r>
          </w:p>
        </w:tc>
        <w:tc>
          <w:tcPr>
            <w:tcW w:w="0" w:type="dxa"/>
            <w:vAlign w:val="bottom"/>
          </w:tcPr>
          <w:p>
            <w:pPr>
              <w:spacing w:after="0"/>
              <w:rPr>
                <w:sz w:val="1"/>
                <w:szCs w:val="1"/>
                <w:color w:val="auto"/>
              </w:rPr>
            </w:pPr>
          </w:p>
        </w:tc>
      </w:tr>
      <w:tr>
        <w:trPr>
          <w:trHeight w:val="23"/>
        </w:trPr>
        <w:tc>
          <w:tcPr>
            <w:tcW w:w="71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20" w:type="dxa"/>
            <w:vAlign w:val="bottom"/>
            <w:tcBorders>
              <w:bottom w:val="single" w:sz="8" w:color="D2DCE5"/>
            </w:tcBorders>
            <w:gridSpan w:val="2"/>
            <w:shd w:val="clear" w:color="auto" w:fill="D2DCE5"/>
          </w:tcPr>
          <w:p>
            <w:pPr>
              <w:ind w:left="340"/>
              <w:spacing w:after="0"/>
              <w:rPr>
                <w:sz w:val="20"/>
                <w:szCs w:val="20"/>
                <w:color w:val="auto"/>
              </w:rPr>
            </w:pPr>
            <w:r>
              <w:rPr>
                <w:rFonts w:ascii="Arial" w:cs="Arial" w:eastAsia="Arial" w:hAnsi="Arial"/>
                <w:sz w:val="18"/>
                <w:szCs w:val="18"/>
                <w:color w:val="131E29"/>
              </w:rPr>
              <w:t>Total current assets</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382,884</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357,941</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Property and equipment, net</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6098"/>
              </w:rPr>
              <w:t>705,879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683,971</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Finance lease right-of-use assets, net</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377,837</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374,623</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Operating lease right-of-use assets, net</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6098"/>
              </w:rPr>
              <w:t>340,137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315,256</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Intangibles, net</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2,444</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2,947</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Goodwill</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6098"/>
              </w:rPr>
              <w:t>21,629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21,629</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Deferred income tax assets, net</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930,155</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742,126</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Other long-term assets</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6098"/>
              </w:rPr>
              <w:t>4,255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2,592</w:t>
            </w:r>
          </w:p>
        </w:tc>
        <w:tc>
          <w:tcPr>
            <w:tcW w:w="0" w:type="dxa"/>
            <w:vAlign w:val="bottom"/>
          </w:tcPr>
          <w:p>
            <w:pPr>
              <w:spacing w:after="0"/>
              <w:rPr>
                <w:sz w:val="1"/>
                <w:szCs w:val="1"/>
                <w:color w:val="auto"/>
              </w:rPr>
            </w:pPr>
          </w:p>
        </w:tc>
      </w:tr>
      <w:tr>
        <w:trPr>
          <w:trHeight w:val="23"/>
        </w:trPr>
        <w:tc>
          <w:tcPr>
            <w:tcW w:w="71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20" w:type="dxa"/>
            <w:vAlign w:val="bottom"/>
            <w:tcBorders>
              <w:bottom w:val="single" w:sz="8" w:color="D2DCE5"/>
            </w:tcBorders>
            <w:gridSpan w:val="2"/>
            <w:shd w:val="clear" w:color="auto" w:fill="D2DCE5"/>
          </w:tcPr>
          <w:p>
            <w:pPr>
              <w:ind w:left="500"/>
              <w:spacing w:after="0"/>
              <w:rPr>
                <w:sz w:val="20"/>
                <w:szCs w:val="20"/>
                <w:color w:val="auto"/>
              </w:rPr>
            </w:pPr>
            <w:r>
              <w:rPr>
                <w:rFonts w:ascii="Arial" w:cs="Arial" w:eastAsia="Arial" w:hAnsi="Arial"/>
                <w:sz w:val="18"/>
                <w:szCs w:val="18"/>
                <w:b w:val="1"/>
                <w:bCs w:val="1"/>
                <w:color w:val="131E29"/>
              </w:rPr>
              <w:t>Total assets</w:t>
            </w:r>
          </w:p>
        </w:tc>
        <w:tc>
          <w:tcPr>
            <w:tcW w:w="34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8"/>
                <w:szCs w:val="18"/>
                <w:b w:val="1"/>
                <w:bCs w:val="1"/>
                <w:color w:val="006098"/>
                <w:w w:val="99"/>
              </w:rPr>
              <w:t>$</w:t>
            </w:r>
          </w:p>
        </w:tc>
        <w:tc>
          <w:tcPr>
            <w:tcW w:w="1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2,765,220</w:t>
            </w:r>
          </w:p>
        </w:tc>
        <w:tc>
          <w:tcPr>
            <w:tcW w:w="100" w:type="dxa"/>
            <w:vAlign w:val="bottom"/>
            <w:tcBorders>
              <w:bottom w:val="single" w:sz="8" w:color="D2DCE5"/>
            </w:tcBorders>
            <w:shd w:val="clear" w:color="auto" w:fill="D2DCE5"/>
          </w:tcPr>
          <w:p>
            <w:pPr>
              <w:spacing w:after="0"/>
              <w:rPr>
                <w:sz w:val="24"/>
                <w:szCs w:val="24"/>
                <w:color w:val="auto"/>
              </w:rPr>
            </w:pPr>
          </w:p>
        </w:tc>
        <w:tc>
          <w:tcPr>
            <w:tcW w:w="26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b w:val="1"/>
                <w:bCs w:val="1"/>
                <w:color w:val="131E29"/>
                <w:w w:val="99"/>
              </w:rPr>
              <w:t>$</w:t>
            </w:r>
          </w:p>
        </w:tc>
        <w:tc>
          <w:tcPr>
            <w:tcW w:w="1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2,501,085</w:t>
            </w:r>
          </w:p>
        </w:tc>
        <w:tc>
          <w:tcPr>
            <w:tcW w:w="0" w:type="dxa"/>
            <w:vAlign w:val="bottom"/>
          </w:tcPr>
          <w:p>
            <w:pPr>
              <w:spacing w:after="0"/>
              <w:rPr>
                <w:sz w:val="1"/>
                <w:szCs w:val="1"/>
                <w:color w:val="auto"/>
              </w:rPr>
            </w:pPr>
          </w:p>
        </w:tc>
      </w:tr>
      <w:tr>
        <w:trPr>
          <w:trHeight w:val="20"/>
        </w:trPr>
        <w:tc>
          <w:tcPr>
            <w:tcW w:w="722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8"/>
                <w:szCs w:val="18"/>
                <w:b w:val="1"/>
                <w:bCs w:val="1"/>
                <w:color w:val="131E29"/>
              </w:rPr>
              <w:t>Liabilities and Equity</w:t>
            </w: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16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168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Current liabilities:</w:t>
            </w:r>
          </w:p>
        </w:tc>
        <w:tc>
          <w:tcPr>
            <w:tcW w:w="340" w:type="dxa"/>
            <w:vAlign w:val="bottom"/>
            <w:tcBorders>
              <w:bottom w:val="single" w:sz="8" w:color="D2DCE5"/>
            </w:tcBorders>
            <w:shd w:val="clear" w:color="auto" w:fill="D2DCE5"/>
          </w:tcPr>
          <w:p>
            <w:pPr>
              <w:spacing w:after="0"/>
              <w:rPr>
                <w:sz w:val="22"/>
                <w:szCs w:val="22"/>
                <w:color w:val="auto"/>
              </w:rPr>
            </w:pPr>
          </w:p>
        </w:tc>
        <w:tc>
          <w:tcPr>
            <w:tcW w:w="1600" w:type="dxa"/>
            <w:vAlign w:val="bottom"/>
            <w:tcBorders>
              <w:bottom w:val="single" w:sz="8" w:color="D2DCE5"/>
            </w:tcBorders>
            <w:shd w:val="clear" w:color="auto" w:fill="D2DCE5"/>
          </w:tcPr>
          <w:p>
            <w:pPr>
              <w:spacing w:after="0"/>
              <w:rPr>
                <w:sz w:val="22"/>
                <w:szCs w:val="22"/>
                <w:color w:val="auto"/>
              </w:rPr>
            </w:pPr>
          </w:p>
        </w:tc>
        <w:tc>
          <w:tcPr>
            <w:tcW w:w="100" w:type="dxa"/>
            <w:vAlign w:val="bottom"/>
            <w:tcBorders>
              <w:bottom w:val="single" w:sz="8" w:color="D2DCE5"/>
            </w:tcBorders>
            <w:shd w:val="clear" w:color="auto" w:fill="D2DCE5"/>
          </w:tcPr>
          <w:p>
            <w:pPr>
              <w:spacing w:after="0"/>
              <w:rPr>
                <w:sz w:val="22"/>
                <w:szCs w:val="22"/>
                <w:color w:val="auto"/>
              </w:rPr>
            </w:pPr>
          </w:p>
        </w:tc>
        <w:tc>
          <w:tcPr>
            <w:tcW w:w="260" w:type="dxa"/>
            <w:vAlign w:val="bottom"/>
            <w:tcBorders>
              <w:bottom w:val="single" w:sz="8" w:color="D2DCE5"/>
            </w:tcBorders>
            <w:shd w:val="clear" w:color="auto" w:fill="D2DCE5"/>
          </w:tcPr>
          <w:p>
            <w:pPr>
              <w:spacing w:after="0"/>
              <w:rPr>
                <w:sz w:val="22"/>
                <w:szCs w:val="22"/>
                <w:color w:val="auto"/>
              </w:rPr>
            </w:pPr>
          </w:p>
        </w:tc>
        <w:tc>
          <w:tcPr>
            <w:tcW w:w="1680" w:type="dxa"/>
            <w:vAlign w:val="bottom"/>
            <w:tcBorders>
              <w:bottom w:val="single" w:sz="8" w:color="D2DCE5"/>
            </w:tcBorders>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006098"/>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006098"/>
              </w:rPr>
              <w:t>31,609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131E29"/>
              </w:rPr>
              <w:t>32,225</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Accrued compensation and benefits</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32,694</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49,778</w:t>
            </w: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Other accrued liabilities</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6098"/>
              </w:rPr>
              <w:t>22,152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26,516</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Other current liabilities</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14,108</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7,067</w:t>
            </w: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Deferred revenue</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6098"/>
              </w:rPr>
              <w:t>39,711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42,868</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Current portion of tax receivable agreements liability</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5,212</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71</w:t>
            </w: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Current portion of finance lease liabilities</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6098"/>
              </w:rPr>
              <w:t>13,992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13,256</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Current portion of operating lease liabilities</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14,642</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13,979</w:t>
            </w: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Current portion of long-term debt</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6098"/>
              </w:rPr>
              <w:t>22,625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17,311</w:t>
            </w:r>
          </w:p>
        </w:tc>
        <w:tc>
          <w:tcPr>
            <w:tcW w:w="0" w:type="dxa"/>
            <w:vAlign w:val="bottom"/>
          </w:tcPr>
          <w:p>
            <w:pPr>
              <w:spacing w:after="0"/>
              <w:rPr>
                <w:sz w:val="1"/>
                <w:szCs w:val="1"/>
                <w:color w:val="auto"/>
              </w:rPr>
            </w:pPr>
          </w:p>
        </w:tc>
      </w:tr>
      <w:tr>
        <w:trPr>
          <w:trHeight w:val="23"/>
        </w:trPr>
        <w:tc>
          <w:tcPr>
            <w:tcW w:w="71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20" w:type="dxa"/>
            <w:vAlign w:val="bottom"/>
            <w:tcBorders>
              <w:bottom w:val="single" w:sz="8" w:color="D2DCE5"/>
            </w:tcBorders>
            <w:gridSpan w:val="2"/>
            <w:shd w:val="clear" w:color="auto" w:fill="D2DCE5"/>
          </w:tcPr>
          <w:p>
            <w:pPr>
              <w:ind w:left="340"/>
              <w:spacing w:after="0"/>
              <w:rPr>
                <w:sz w:val="20"/>
                <w:szCs w:val="20"/>
                <w:color w:val="auto"/>
              </w:rPr>
            </w:pPr>
            <w:r>
              <w:rPr>
                <w:rFonts w:ascii="Arial" w:cs="Arial" w:eastAsia="Arial" w:hAnsi="Arial"/>
                <w:sz w:val="18"/>
                <w:szCs w:val="18"/>
                <w:color w:val="131E29"/>
              </w:rPr>
              <w:t>Total current liabilities</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196,745</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203,071</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Deferred revenue, net of current portion</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6098"/>
              </w:rPr>
              <w:t>7,985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8,015</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Finance lease liabilities, net of current portion</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374,307</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369,297</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Operating lease liabilities, net of current portion</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6098"/>
              </w:rPr>
              <w:t>334,853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309,311</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Long-term debt, net of current portion</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260,774</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219,755</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Tax receivable agreements liability, net of current portion</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6098"/>
              </w:rPr>
              <w:t>794,246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627,763</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 long-term liabilities</w:t>
            </w:r>
          </w:p>
        </w:tc>
        <w:tc>
          <w:tcPr>
            <w:tcW w:w="340" w:type="dxa"/>
            <w:vAlign w:val="bottom"/>
            <w:tcBorders>
              <w:bottom w:val="single" w:sz="8" w:color="D2DCE5"/>
            </w:tcBorders>
            <w:shd w:val="clear" w:color="auto" w:fill="D2DCE5"/>
          </w:tcPr>
          <w:p>
            <w:pPr>
              <w:spacing w:after="0"/>
              <w:rPr>
                <w:sz w:val="23"/>
                <w:szCs w:val="23"/>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8</w:t>
            </w: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w:t>
            </w:r>
          </w:p>
        </w:tc>
        <w:tc>
          <w:tcPr>
            <w:tcW w:w="0" w:type="dxa"/>
            <w:vAlign w:val="bottom"/>
          </w:tcPr>
          <w:p>
            <w:pPr>
              <w:spacing w:after="0"/>
              <w:rPr>
                <w:sz w:val="1"/>
                <w:szCs w:val="1"/>
                <w:color w:val="auto"/>
              </w:rPr>
            </w:pPr>
          </w:p>
        </w:tc>
      </w:tr>
      <w:tr>
        <w:trPr>
          <w:trHeight w:val="240"/>
        </w:trPr>
        <w:tc>
          <w:tcPr>
            <w:tcW w:w="7220" w:type="dxa"/>
            <w:vAlign w:val="bottom"/>
            <w:gridSpan w:val="2"/>
          </w:tcPr>
          <w:p>
            <w:pPr>
              <w:ind w:left="340"/>
              <w:spacing w:after="0"/>
              <w:rPr>
                <w:sz w:val="20"/>
                <w:szCs w:val="20"/>
                <w:color w:val="auto"/>
              </w:rPr>
            </w:pPr>
            <w:r>
              <w:rPr>
                <w:rFonts w:ascii="Arial" w:cs="Arial" w:eastAsia="Arial" w:hAnsi="Arial"/>
                <w:sz w:val="18"/>
                <w:szCs w:val="18"/>
                <w:color w:val="131E29"/>
              </w:rPr>
              <w:t>Total liabilities</w:t>
            </w: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06098"/>
              </w:rPr>
              <w:t>1,968,918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1,737,220</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72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Commitments and contingencies (Note 15)</w:t>
            </w:r>
          </w:p>
        </w:tc>
        <w:tc>
          <w:tcPr>
            <w:tcW w:w="340" w:type="dxa"/>
            <w:vAlign w:val="bottom"/>
            <w:shd w:val="clear" w:color="auto" w:fill="D2DCE5"/>
          </w:tcPr>
          <w:p>
            <w:pPr>
              <w:spacing w:after="0"/>
              <w:rPr>
                <w:sz w:val="21"/>
                <w:szCs w:val="21"/>
                <w:color w:val="auto"/>
              </w:rPr>
            </w:pPr>
          </w:p>
        </w:tc>
        <w:tc>
          <w:tcPr>
            <w:tcW w:w="16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168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1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340" w:type="dxa"/>
            <w:vAlign w:val="bottom"/>
            <w:shd w:val="clear" w:color="auto" w:fill="D2DCE5"/>
          </w:tcPr>
          <w:p>
            <w:pPr>
              <w:spacing w:after="0"/>
              <w:rPr>
                <w:sz w:val="2"/>
                <w:szCs w:val="2"/>
                <w:color w:val="auto"/>
              </w:rPr>
            </w:pPr>
          </w:p>
        </w:tc>
        <w:tc>
          <w:tcPr>
            <w:tcW w:w="16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260" w:type="dxa"/>
            <w:vAlign w:val="bottom"/>
            <w:shd w:val="clear" w:color="auto" w:fill="D2DCE5"/>
          </w:tcPr>
          <w:p>
            <w:pPr>
              <w:spacing w:after="0"/>
              <w:rPr>
                <w:sz w:val="2"/>
                <w:szCs w:val="2"/>
                <w:color w:val="auto"/>
              </w:rPr>
            </w:pPr>
          </w:p>
        </w:tc>
        <w:tc>
          <w:tcPr>
            <w:tcW w:w="1680" w:type="dxa"/>
            <w:vAlign w:val="bottom"/>
            <w:shd w:val="clear" w:color="auto" w:fill="D2DCE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73" w:right="339" w:bottom="9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020"/>
        <w:spacing w:after="0"/>
        <w:rPr>
          <w:sz w:val="20"/>
          <w:szCs w:val="20"/>
          <w:color w:val="auto"/>
        </w:rPr>
      </w:pPr>
      <w:r>
        <w:rPr>
          <w:sz w:val="1"/>
          <w:szCs w:val="1"/>
          <w:color w:val="auto"/>
        </w:rPr>
        <w:drawing>
          <wp:inline distT="0" distB="0" distL="0" distR="0">
            <wp:extent cx="171450" cy="2400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930" w:gutter="0" w:footer="0" w:header="0"/>
          <w:type w:val="continuous"/>
        </w:sectPr>
      </w:pPr>
    </w:p>
    <w:bookmarkStart w:id="6" w:name="page7"/>
    <w:bookmarkEnd w:id="6"/>
    <w:p>
      <w:pPr>
        <w:ind w:left="340"/>
        <w:spacing w:after="0"/>
        <w:rPr>
          <w:sz w:val="20"/>
          <w:szCs w:val="20"/>
          <w:color w:val="auto"/>
        </w:rPr>
      </w:pPr>
      <w:r>
        <w:rPr>
          <w:rFonts w:ascii="Arial" w:cs="Arial" w:eastAsia="Arial" w:hAnsi="Arial"/>
          <w:sz w:val="14"/>
          <w:szCs w:val="14"/>
          <w:u w:val="single" w:color="auto"/>
          <w:color w:val="006098"/>
        </w:rPr>
        <w:t>Table of Contents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Balance Sheets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ind w:left="220"/>
              <w:spacing w:after="0"/>
              <w:rPr>
                <w:sz w:val="20"/>
                <w:szCs w:val="20"/>
                <w:color w:val="auto"/>
              </w:rPr>
            </w:pPr>
            <w:r>
              <w:rPr>
                <w:rFonts w:ascii="Arial" w:cs="Arial" w:eastAsia="Arial" w:hAnsi="Arial"/>
                <w:sz w:val="18"/>
                <w:szCs w:val="18"/>
                <w:b w:val="1"/>
                <w:bCs w:val="1"/>
                <w:color w:val="131E29"/>
              </w:rPr>
              <w:t>March 31,</w:t>
            </w:r>
          </w:p>
        </w:tc>
        <w:tc>
          <w:tcPr>
            <w:tcW w:w="240" w:type="dxa"/>
            <w:vAlign w:val="bottom"/>
          </w:tcPr>
          <w:p>
            <w:pPr>
              <w:spacing w:after="0"/>
              <w:rPr>
                <w:sz w:val="18"/>
                <w:szCs w:val="18"/>
                <w:color w:val="auto"/>
              </w:rPr>
            </w:pPr>
          </w:p>
        </w:tc>
        <w:tc>
          <w:tcPr>
            <w:tcW w:w="1700" w:type="dxa"/>
            <w:vAlign w:val="bottom"/>
          </w:tcPr>
          <w:p>
            <w:pPr>
              <w:jc w:val="right"/>
              <w:ind w:right="290"/>
              <w:spacing w:after="0"/>
              <w:rPr>
                <w:sz w:val="20"/>
                <w:szCs w:val="20"/>
                <w:color w:val="auto"/>
              </w:rPr>
            </w:pPr>
            <w:r>
              <w:rPr>
                <w:rFonts w:ascii="Arial" w:cs="Arial" w:eastAsia="Arial" w:hAnsi="Arial"/>
                <w:sz w:val="18"/>
                <w:szCs w:val="18"/>
                <w:b w:val="1"/>
                <w:bCs w:val="1"/>
                <w:color w:val="131E29"/>
              </w:rPr>
              <w:t>December 31,</w:t>
            </w:r>
          </w:p>
        </w:tc>
      </w:tr>
      <w:tr>
        <w:trPr>
          <w:trHeight w:val="255"/>
        </w:trPr>
        <w:tc>
          <w:tcPr>
            <w:tcW w:w="7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100" w:type="dxa"/>
            <w:vAlign w:val="bottom"/>
            <w:tcBorders>
              <w:bottom w:val="single" w:sz="8" w:color="D2DCE5"/>
            </w:tcBorders>
          </w:tcPr>
          <w:p>
            <w:pPr>
              <w:spacing w:after="0"/>
              <w:rPr>
                <w:sz w:val="22"/>
                <w:szCs w:val="22"/>
                <w:color w:val="auto"/>
              </w:rPr>
            </w:pPr>
          </w:p>
        </w:tc>
        <w:tc>
          <w:tcPr>
            <w:tcW w:w="340" w:type="dxa"/>
            <w:vAlign w:val="bottom"/>
            <w:tcBorders>
              <w:bottom w:val="single" w:sz="8" w:color="D7282F"/>
            </w:tcBorders>
          </w:tcPr>
          <w:p>
            <w:pPr>
              <w:spacing w:after="0"/>
              <w:rPr>
                <w:sz w:val="22"/>
                <w:szCs w:val="22"/>
                <w:color w:val="auto"/>
              </w:rPr>
            </w:pPr>
          </w:p>
        </w:tc>
        <w:tc>
          <w:tcPr>
            <w:tcW w:w="1600" w:type="dxa"/>
            <w:vAlign w:val="bottom"/>
            <w:tcBorders>
              <w:bottom w:val="single" w:sz="8" w:color="D7282F"/>
            </w:tcBorders>
          </w:tcPr>
          <w:p>
            <w:pPr>
              <w:jc w:val="right"/>
              <w:ind w:right="6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240" w:type="dxa"/>
            <w:vAlign w:val="bottom"/>
            <w:tcBorders>
              <w:bottom w:val="single" w:sz="8" w:color="D7282F"/>
            </w:tcBorders>
          </w:tcPr>
          <w:p>
            <w:pPr>
              <w:spacing w:after="0"/>
              <w:rPr>
                <w:sz w:val="22"/>
                <w:szCs w:val="22"/>
                <w:color w:val="auto"/>
              </w:rPr>
            </w:pPr>
          </w:p>
        </w:tc>
        <w:tc>
          <w:tcPr>
            <w:tcW w:w="1700" w:type="dxa"/>
            <w:vAlign w:val="bottom"/>
            <w:tcBorders>
              <w:bottom w:val="single" w:sz="8" w:color="D7282F"/>
            </w:tcBorders>
          </w:tcPr>
          <w:p>
            <w:pPr>
              <w:jc w:val="right"/>
              <w:ind w:right="690"/>
              <w:spacing w:after="0"/>
              <w:rPr>
                <w:sz w:val="20"/>
                <w:szCs w:val="20"/>
                <w:color w:val="auto"/>
              </w:rPr>
            </w:pPr>
            <w:r>
              <w:rPr>
                <w:rFonts w:ascii="Arial" w:cs="Arial" w:eastAsia="Arial" w:hAnsi="Arial"/>
                <w:sz w:val="18"/>
                <w:szCs w:val="18"/>
                <w:b w:val="1"/>
                <w:bCs w:val="1"/>
                <w:color w:val="131E29"/>
              </w:rPr>
              <w:t>2024</w:t>
            </w:r>
          </w:p>
        </w:tc>
      </w:tr>
      <w:tr>
        <w:trPr>
          <w:trHeight w:val="224"/>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Preferred stock, $0.00001 par value per share - 20,000 shares authorized; zero shares</w:t>
            </w:r>
          </w:p>
        </w:tc>
        <w:tc>
          <w:tcPr>
            <w:tcW w:w="340" w:type="dxa"/>
            <w:vAlign w:val="bottom"/>
            <w:shd w:val="clear" w:color="auto" w:fill="D2DCE5"/>
          </w:tcPr>
          <w:p>
            <w:pPr>
              <w:spacing w:after="0"/>
              <w:rPr>
                <w:sz w:val="19"/>
                <w:szCs w:val="19"/>
                <w:color w:val="auto"/>
              </w:rPr>
            </w:pPr>
          </w:p>
        </w:tc>
        <w:tc>
          <w:tcPr>
            <w:tcW w:w="16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1700" w:type="dxa"/>
            <w:vAlign w:val="bottom"/>
            <w:shd w:val="clear" w:color="auto" w:fill="D2DCE5"/>
          </w:tcPr>
          <w:p>
            <w:pPr>
              <w:spacing w:after="0"/>
              <w:rPr>
                <w:sz w:val="19"/>
                <w:szCs w:val="19"/>
                <w:color w:val="auto"/>
              </w:rPr>
            </w:pPr>
          </w:p>
        </w:tc>
      </w:tr>
      <w:tr>
        <w:trPr>
          <w:trHeight w:val="242"/>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issued and outstanding as of March 31, 2025 and December 31, 2024, respectively</w:t>
            </w:r>
          </w:p>
        </w:tc>
        <w:tc>
          <w:tcPr>
            <w:tcW w:w="340" w:type="dxa"/>
            <w:vAlign w:val="bottom"/>
            <w:tcBorders>
              <w:bottom w:val="single" w:sz="8" w:color="D2DCE5"/>
            </w:tcBorders>
            <w:shd w:val="clear" w:color="auto" w:fill="D2DCE5"/>
          </w:tcPr>
          <w:p>
            <w:pPr>
              <w:spacing w:after="0"/>
              <w:rPr>
                <w:sz w:val="21"/>
                <w:szCs w:val="21"/>
                <w:color w:val="auto"/>
              </w:rPr>
            </w:pPr>
          </w:p>
        </w:tc>
        <w:tc>
          <w:tcPr>
            <w:tcW w:w="170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006098"/>
              </w:rPr>
              <w:t>—</w:t>
            </w:r>
          </w:p>
        </w:tc>
        <w:tc>
          <w:tcPr>
            <w:tcW w:w="240" w:type="dxa"/>
            <w:vAlign w:val="bottom"/>
            <w:tcBorders>
              <w:bottom w:val="single" w:sz="8" w:color="D2DCE5"/>
            </w:tcBorders>
            <w:shd w:val="clear" w:color="auto" w:fill="D2DCE5"/>
          </w:tcPr>
          <w:p>
            <w:pPr>
              <w:spacing w:after="0"/>
              <w:rPr>
                <w:sz w:val="21"/>
                <w:szCs w:val="21"/>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24"/>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Class A common stock, $0.00001 par value per share - 400,000 shares authorized;</w:t>
            </w: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125,174 and 115,432 shares issued and outstanding as of March 31, 2025 and</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9"/>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December 31, 2024, respectively</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6098"/>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131E29"/>
              </w:rPr>
              <w:t>1</w:t>
            </w:r>
          </w:p>
        </w:tc>
      </w:tr>
      <w:tr>
        <w:trPr>
          <w:trHeight w:val="23"/>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4"/>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Class B common stock, $0.00001 par value per share - 144,000 shares authorized;</w:t>
            </w:r>
          </w:p>
        </w:tc>
        <w:tc>
          <w:tcPr>
            <w:tcW w:w="340" w:type="dxa"/>
            <w:vAlign w:val="bottom"/>
            <w:shd w:val="clear" w:color="auto" w:fill="D2DCE5"/>
          </w:tcPr>
          <w:p>
            <w:pPr>
              <w:spacing w:after="0"/>
              <w:rPr>
                <w:sz w:val="19"/>
                <w:szCs w:val="19"/>
                <w:color w:val="auto"/>
              </w:rPr>
            </w:pPr>
          </w:p>
        </w:tc>
        <w:tc>
          <w:tcPr>
            <w:tcW w:w="16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1700" w:type="dxa"/>
            <w:vAlign w:val="bottom"/>
            <w:shd w:val="clear" w:color="auto" w:fill="D2DCE5"/>
          </w:tcPr>
          <w:p>
            <w:pPr>
              <w:spacing w:after="0"/>
              <w:rPr>
                <w:sz w:val="19"/>
                <w:szCs w:val="19"/>
                <w:color w:val="auto"/>
              </w:rPr>
            </w:pPr>
          </w:p>
        </w:tc>
      </w:tr>
      <w:tr>
        <w:trPr>
          <w:trHeight w:val="216"/>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35,211 and 35,227 shares issued and outstanding as of March 31, 2025 and</w:t>
            </w:r>
          </w:p>
        </w:tc>
        <w:tc>
          <w:tcPr>
            <w:tcW w:w="340" w:type="dxa"/>
            <w:vAlign w:val="bottom"/>
            <w:shd w:val="clear" w:color="auto" w:fill="D2DCE5"/>
          </w:tcPr>
          <w:p>
            <w:pPr>
              <w:spacing w:after="0"/>
              <w:rPr>
                <w:sz w:val="18"/>
                <w:szCs w:val="18"/>
                <w:color w:val="auto"/>
              </w:rPr>
            </w:pPr>
          </w:p>
        </w:tc>
        <w:tc>
          <w:tcPr>
            <w:tcW w:w="16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1700" w:type="dxa"/>
            <w:vAlign w:val="bottom"/>
            <w:shd w:val="clear" w:color="auto" w:fill="D2DCE5"/>
          </w:tcPr>
          <w:p>
            <w:pPr>
              <w:spacing w:after="0"/>
              <w:rPr>
                <w:sz w:val="18"/>
                <w:szCs w:val="18"/>
                <w:color w:val="auto"/>
              </w:rPr>
            </w:pPr>
          </w:p>
        </w:tc>
      </w:tr>
      <w:tr>
        <w:trPr>
          <w:trHeight w:val="242"/>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December 31, 2024</w:t>
            </w:r>
            <w:r>
              <w:rPr>
                <w:rFonts w:ascii="Arial" w:cs="Arial" w:eastAsia="Arial" w:hAnsi="Arial"/>
                <w:sz w:val="14"/>
                <w:szCs w:val="14"/>
                <w:color w:val="000000"/>
              </w:rPr>
              <w:t>,</w:t>
            </w:r>
            <w:r>
              <w:rPr>
                <w:rFonts w:ascii="Arial" w:cs="Arial" w:eastAsia="Arial" w:hAnsi="Arial"/>
                <w:sz w:val="18"/>
                <w:szCs w:val="18"/>
                <w:color w:val="131E29"/>
              </w:rPr>
              <w:t xml:space="preserve"> </w:t>
            </w:r>
            <w:r>
              <w:rPr>
                <w:rFonts w:ascii="Arial" w:cs="Arial" w:eastAsia="Arial" w:hAnsi="Arial"/>
                <w:sz w:val="18"/>
                <w:szCs w:val="18"/>
                <w:color w:val="000000"/>
              </w:rPr>
              <w:t>respectively</w:t>
            </w:r>
          </w:p>
        </w:tc>
        <w:tc>
          <w:tcPr>
            <w:tcW w:w="340" w:type="dxa"/>
            <w:vAlign w:val="bottom"/>
            <w:tcBorders>
              <w:bottom w:val="single" w:sz="8" w:color="D2DCE5"/>
            </w:tcBorders>
            <w:shd w:val="clear" w:color="auto" w:fill="D2DCE5"/>
          </w:tcPr>
          <w:p>
            <w:pPr>
              <w:spacing w:after="0"/>
              <w:rPr>
                <w:sz w:val="21"/>
                <w:szCs w:val="21"/>
                <w:color w:val="auto"/>
              </w:rPr>
            </w:pPr>
          </w:p>
        </w:tc>
        <w:tc>
          <w:tcPr>
            <w:tcW w:w="170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006098"/>
              </w:rPr>
              <w:t>—</w:t>
            </w:r>
          </w:p>
        </w:tc>
        <w:tc>
          <w:tcPr>
            <w:tcW w:w="240" w:type="dxa"/>
            <w:vAlign w:val="bottom"/>
            <w:tcBorders>
              <w:bottom w:val="single" w:sz="8" w:color="D2DCE5"/>
            </w:tcBorders>
            <w:shd w:val="clear" w:color="auto" w:fill="D2DCE5"/>
          </w:tcPr>
          <w:p>
            <w:pPr>
              <w:spacing w:after="0"/>
              <w:rPr>
                <w:sz w:val="21"/>
                <w:szCs w:val="21"/>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24"/>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Class C common stock, $0.00001 par value per share - 105,000 shares authorized;</w:t>
            </w: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2,347 and 3,545 shares issued and outstanding as of March 31, 2025 and</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9"/>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December 31, 2024</w:t>
            </w:r>
            <w:r>
              <w:rPr>
                <w:rFonts w:ascii="Arial" w:cs="Arial" w:eastAsia="Arial" w:hAnsi="Arial"/>
                <w:sz w:val="18"/>
                <w:szCs w:val="18"/>
                <w:color w:val="000000"/>
              </w:rPr>
              <w:t>, respectively</w:t>
            </w:r>
          </w:p>
        </w:tc>
        <w:tc>
          <w:tcPr>
            <w:tcW w:w="34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006098"/>
              </w:rPr>
              <w:t>—</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131E29"/>
              </w:rPr>
              <w:t>—</w:t>
            </w:r>
          </w:p>
        </w:tc>
      </w:tr>
      <w:tr>
        <w:trPr>
          <w:trHeight w:val="23"/>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Additional paid-in capital</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563,600</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517,074</w:t>
            </w:r>
          </w:p>
        </w:tc>
      </w:tr>
      <w:tr>
        <w:trPr>
          <w:trHeight w:val="247"/>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Accumulated other comprehensive income</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6098"/>
              </w:rPr>
              <w:t>438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131E29"/>
              </w:rPr>
              <w:t>628</w:t>
            </w:r>
          </w:p>
        </w:tc>
      </w:tr>
      <w:tr>
        <w:trPr>
          <w:trHeight w:val="23"/>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Retained earnings</w:t>
            </w:r>
          </w:p>
        </w:tc>
        <w:tc>
          <w:tcPr>
            <w:tcW w:w="340" w:type="dxa"/>
            <w:vAlign w:val="bottom"/>
            <w:tcBorders>
              <w:bottom w:val="single" w:sz="8" w:color="D2DCE5"/>
            </w:tcBorders>
            <w:shd w:val="clear" w:color="auto" w:fill="D2DCE5"/>
          </w:tcPr>
          <w:p>
            <w:pPr>
              <w:spacing w:after="0"/>
              <w:rPr>
                <w:sz w:val="23"/>
                <w:szCs w:val="23"/>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35,019</w:t>
            </w:r>
          </w:p>
        </w:tc>
        <w:tc>
          <w:tcPr>
            <w:tcW w:w="100" w:type="dxa"/>
            <w:vAlign w:val="bottom"/>
            <w:tcBorders>
              <w:bottom w:val="single" w:sz="8" w:color="D2DCE5"/>
            </w:tcBorders>
            <w:shd w:val="clear" w:color="auto" w:fill="D2DCE5"/>
          </w:tcPr>
          <w:p>
            <w:pPr>
              <w:spacing w:after="0"/>
              <w:rPr>
                <w:sz w:val="23"/>
                <w:szCs w:val="23"/>
                <w:color w:val="auto"/>
              </w:rPr>
            </w:pPr>
          </w:p>
        </w:tc>
        <w:tc>
          <w:tcPr>
            <w:tcW w:w="240" w:type="dxa"/>
            <w:vAlign w:val="bottom"/>
            <w:tcBorders>
              <w:bottom w:val="single" w:sz="8" w:color="D2DCE5"/>
            </w:tcBorders>
            <w:shd w:val="clear" w:color="auto" w:fill="D2DCE5"/>
          </w:tcPr>
          <w:p>
            <w:pPr>
              <w:spacing w:after="0"/>
              <w:rPr>
                <w:sz w:val="23"/>
                <w:szCs w:val="23"/>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19,666</w:t>
            </w:r>
          </w:p>
        </w:tc>
      </w:tr>
      <w:tr>
        <w:trPr>
          <w:trHeight w:val="241"/>
        </w:trPr>
        <w:tc>
          <w:tcPr>
            <w:tcW w:w="7260" w:type="dxa"/>
            <w:vAlign w:val="bottom"/>
            <w:gridSpan w:val="2"/>
          </w:tcPr>
          <w:p>
            <w:pPr>
              <w:ind w:left="360"/>
              <w:spacing w:after="0"/>
              <w:rPr>
                <w:sz w:val="20"/>
                <w:szCs w:val="20"/>
                <w:color w:val="auto"/>
              </w:rPr>
            </w:pPr>
            <w:r>
              <w:rPr>
                <w:rFonts w:ascii="Arial" w:cs="Arial" w:eastAsia="Arial" w:hAnsi="Arial"/>
                <w:sz w:val="18"/>
                <w:szCs w:val="18"/>
                <w:color w:val="131E29"/>
              </w:rPr>
              <w:t>Total stockholders' equity attributable to Dutch Bros Inc.</w:t>
            </w: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06098"/>
              </w:rPr>
              <w:t>599,058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537,369</w:t>
            </w:r>
          </w:p>
        </w:tc>
      </w:tr>
      <w:tr>
        <w:trPr>
          <w:trHeight w:val="23"/>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2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Non-controlling interests</w:t>
            </w:r>
          </w:p>
        </w:tc>
        <w:tc>
          <w:tcPr>
            <w:tcW w:w="340" w:type="dxa"/>
            <w:vAlign w:val="bottom"/>
            <w:tcBorders>
              <w:bottom w:val="single" w:sz="8" w:color="D2DCE5"/>
            </w:tcBorders>
            <w:shd w:val="clear" w:color="auto" w:fill="D2DCE5"/>
          </w:tcPr>
          <w:p>
            <w:pPr>
              <w:spacing w:after="0"/>
              <w:rPr>
                <w:sz w:val="23"/>
                <w:szCs w:val="23"/>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197,244</w:t>
            </w:r>
          </w:p>
        </w:tc>
        <w:tc>
          <w:tcPr>
            <w:tcW w:w="100" w:type="dxa"/>
            <w:vAlign w:val="bottom"/>
            <w:tcBorders>
              <w:bottom w:val="single" w:sz="8" w:color="D2DCE5"/>
            </w:tcBorders>
            <w:shd w:val="clear" w:color="auto" w:fill="D2DCE5"/>
          </w:tcPr>
          <w:p>
            <w:pPr>
              <w:spacing w:after="0"/>
              <w:rPr>
                <w:sz w:val="23"/>
                <w:szCs w:val="23"/>
                <w:color w:val="auto"/>
              </w:rPr>
            </w:pPr>
          </w:p>
        </w:tc>
        <w:tc>
          <w:tcPr>
            <w:tcW w:w="240" w:type="dxa"/>
            <w:vAlign w:val="bottom"/>
            <w:tcBorders>
              <w:bottom w:val="single" w:sz="8" w:color="D2DCE5"/>
            </w:tcBorders>
            <w:shd w:val="clear" w:color="auto" w:fill="D2DCE5"/>
          </w:tcPr>
          <w:p>
            <w:pPr>
              <w:spacing w:after="0"/>
              <w:rPr>
                <w:sz w:val="23"/>
                <w:szCs w:val="23"/>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226,496</w:t>
            </w:r>
          </w:p>
        </w:tc>
      </w:tr>
      <w:tr>
        <w:trPr>
          <w:trHeight w:val="241"/>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Total equity</w:t>
            </w: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06098"/>
              </w:rPr>
              <w:t>796,302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763,865</w:t>
            </w:r>
          </w:p>
        </w:tc>
      </w:tr>
      <w:tr>
        <w:trPr>
          <w:trHeight w:val="23"/>
        </w:trPr>
        <w:tc>
          <w:tcPr>
            <w:tcW w:w="71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9"/>
        </w:trPr>
        <w:tc>
          <w:tcPr>
            <w:tcW w:w="7260" w:type="dxa"/>
            <w:vAlign w:val="bottom"/>
            <w:tcBorders>
              <w:bottom w:val="single" w:sz="8" w:color="D2DCE5"/>
            </w:tcBorders>
            <w:gridSpan w:val="2"/>
            <w:shd w:val="clear" w:color="auto" w:fill="D2DCE5"/>
          </w:tcPr>
          <w:p>
            <w:pPr>
              <w:ind w:left="520"/>
              <w:spacing w:after="0"/>
              <w:rPr>
                <w:sz w:val="20"/>
                <w:szCs w:val="20"/>
                <w:color w:val="auto"/>
              </w:rPr>
            </w:pPr>
            <w:r>
              <w:rPr>
                <w:rFonts w:ascii="Arial" w:cs="Arial" w:eastAsia="Arial" w:hAnsi="Arial"/>
                <w:sz w:val="18"/>
                <w:szCs w:val="18"/>
                <w:b w:val="1"/>
                <w:bCs w:val="1"/>
                <w:color w:val="131E29"/>
              </w:rPr>
              <w:t>Total liabilities and equity</w:t>
            </w:r>
          </w:p>
        </w:tc>
        <w:tc>
          <w:tcPr>
            <w:tcW w:w="34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8"/>
                <w:szCs w:val="18"/>
                <w:b w:val="1"/>
                <w:bCs w:val="1"/>
                <w:color w:val="006098"/>
                <w:w w:val="99"/>
              </w:rPr>
              <w:t>$</w:t>
            </w:r>
          </w:p>
        </w:tc>
        <w:tc>
          <w:tcPr>
            <w:tcW w:w="1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2,765,220</w:t>
            </w:r>
          </w:p>
        </w:tc>
        <w:tc>
          <w:tcPr>
            <w:tcW w:w="100" w:type="dxa"/>
            <w:vAlign w:val="bottom"/>
            <w:tcBorders>
              <w:bottom w:val="single" w:sz="8" w:color="D2DCE5"/>
            </w:tcBorders>
            <w:shd w:val="clear" w:color="auto" w:fill="D2DCE5"/>
          </w:tcPr>
          <w:p>
            <w:pPr>
              <w:spacing w:after="0"/>
              <w:rPr>
                <w:sz w:val="24"/>
                <w:szCs w:val="24"/>
                <w:color w:val="auto"/>
              </w:rPr>
            </w:pPr>
          </w:p>
        </w:tc>
        <w:tc>
          <w:tcPr>
            <w:tcW w:w="24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b w:val="1"/>
                <w:bCs w:val="1"/>
                <w:color w:val="131E29"/>
                <w:w w:val="99"/>
              </w:rPr>
              <w:t>$</w:t>
            </w:r>
          </w:p>
        </w:tc>
        <w:tc>
          <w:tcPr>
            <w:tcW w:w="17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2,501,085</w:t>
            </w:r>
          </w:p>
        </w:tc>
      </w:tr>
      <w:tr>
        <w:trPr>
          <w:trHeight w:val="20"/>
        </w:trPr>
        <w:tc>
          <w:tcPr>
            <w:tcW w:w="71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16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1700" w:type="dxa"/>
            <w:vAlign w:val="bottom"/>
            <w:tcBorders>
              <w:top w:val="single" w:sz="8" w:color="D2DCE5"/>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Operations</w:t>
      </w:r>
    </w:p>
    <w:p>
      <w:pPr>
        <w:spacing w:after="0" w:line="225"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34925</wp:posOffset>
            </wp:positionV>
            <wp:extent cx="18770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57" w:lineRule="exact"/>
        <w:rPr>
          <w:sz w:val="20"/>
          <w:szCs w:val="20"/>
          <w:color w:val="auto"/>
        </w:rPr>
      </w:pPr>
    </w:p>
    <w:tbl>
      <w:tblPr>
        <w:tblLayout w:type="fixed"/>
        <w:tblInd w:w="320" w:type="dxa"/>
        <w:tblCellMar>
          <w:top w:w="0" w:type="dxa"/>
          <w:left w:w="0" w:type="dxa"/>
          <w:bottom w:w="0" w:type="dxa"/>
          <w:right w:w="0" w:type="dxa"/>
        </w:tblCellMar>
      </w:tblPr>
      <w:tr>
        <w:trPr>
          <w:trHeight w:val="255"/>
        </w:trPr>
        <w:tc>
          <w:tcPr>
            <w:tcW w:w="75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100" w:type="dxa"/>
            <w:vAlign w:val="bottom"/>
            <w:tcBorders>
              <w:bottom w:val="single" w:sz="8" w:color="D2DCE5"/>
            </w:tcBorders>
          </w:tcPr>
          <w:p>
            <w:pPr>
              <w:spacing w:after="0"/>
              <w:rPr>
                <w:sz w:val="22"/>
                <w:szCs w:val="22"/>
                <w:color w:val="auto"/>
              </w:rPr>
            </w:pPr>
          </w:p>
        </w:tc>
        <w:tc>
          <w:tcPr>
            <w:tcW w:w="320" w:type="dxa"/>
            <w:vAlign w:val="bottom"/>
            <w:tcBorders>
              <w:bottom w:val="single" w:sz="8" w:color="D7282F"/>
            </w:tcBorders>
          </w:tcPr>
          <w:p>
            <w:pPr>
              <w:spacing w:after="0"/>
              <w:rPr>
                <w:sz w:val="22"/>
                <w:szCs w:val="22"/>
                <w:color w:val="auto"/>
              </w:rPr>
            </w:pPr>
          </w:p>
        </w:tc>
        <w:tc>
          <w:tcPr>
            <w:tcW w:w="1160" w:type="dxa"/>
            <w:vAlign w:val="bottom"/>
            <w:tcBorders>
              <w:bottom w:val="single" w:sz="8" w:color="D7282F"/>
            </w:tcBorders>
          </w:tcPr>
          <w:p>
            <w:pPr>
              <w:jc w:val="right"/>
              <w:ind w:right="45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D7282F"/>
            </w:tcBorders>
          </w:tcPr>
          <w:p>
            <w:pPr>
              <w:spacing w:after="0"/>
              <w:rPr>
                <w:sz w:val="22"/>
                <w:szCs w:val="22"/>
                <w:color w:val="auto"/>
              </w:rPr>
            </w:pPr>
          </w:p>
        </w:tc>
        <w:tc>
          <w:tcPr>
            <w:tcW w:w="1060" w:type="dxa"/>
            <w:vAlign w:val="bottom"/>
            <w:tcBorders>
              <w:bottom w:val="single" w:sz="8" w:color="D7282F"/>
            </w:tcBorders>
          </w:tcPr>
          <w:p>
            <w:pPr>
              <w:jc w:val="right"/>
              <w:ind w:right="390"/>
              <w:spacing w:after="0"/>
              <w:rPr>
                <w:sz w:val="20"/>
                <w:szCs w:val="20"/>
                <w:color w:val="auto"/>
              </w:rPr>
            </w:pPr>
            <w:r>
              <w:rPr>
                <w:rFonts w:ascii="Arial" w:cs="Arial" w:eastAsia="Arial" w:hAnsi="Arial"/>
                <w:sz w:val="18"/>
                <w:szCs w:val="18"/>
                <w:b w:val="1"/>
                <w:bCs w:val="1"/>
                <w:color w:val="131E29"/>
              </w:rPr>
              <w:t>2024</w:t>
            </w:r>
          </w:p>
        </w:tc>
      </w:tr>
      <w:tr>
        <w:trPr>
          <w:trHeight w:val="270"/>
        </w:trPr>
        <w:tc>
          <w:tcPr>
            <w:tcW w:w="766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Revenues</w:t>
            </w:r>
          </w:p>
        </w:tc>
        <w:tc>
          <w:tcPr>
            <w:tcW w:w="320" w:type="dxa"/>
            <w:vAlign w:val="bottom"/>
            <w:shd w:val="clear" w:color="auto" w:fill="D2DCE5"/>
          </w:tcPr>
          <w:p>
            <w:pPr>
              <w:spacing w:after="0"/>
              <w:rPr>
                <w:sz w:val="23"/>
                <w:szCs w:val="23"/>
                <w:color w:val="auto"/>
              </w:rPr>
            </w:pPr>
          </w:p>
        </w:tc>
        <w:tc>
          <w:tcPr>
            <w:tcW w:w="11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060" w:type="dxa"/>
            <w:vAlign w:val="bottom"/>
            <w:shd w:val="clear" w:color="auto" w:fill="D2DCE5"/>
          </w:tcPr>
          <w:p>
            <w:pPr>
              <w:spacing w:after="0"/>
              <w:rPr>
                <w:sz w:val="23"/>
                <w:szCs w:val="23"/>
                <w:color w:val="auto"/>
              </w:rPr>
            </w:pPr>
          </w:p>
        </w:tc>
      </w:tr>
      <w:tr>
        <w:trPr>
          <w:trHeight w:val="247"/>
        </w:trPr>
        <w:tc>
          <w:tcPr>
            <w:tcW w:w="7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20" w:type="dxa"/>
            <w:vAlign w:val="bottom"/>
          </w:tcPr>
          <w:p>
            <w:pPr>
              <w:jc w:val="right"/>
              <w:ind w:right="110"/>
              <w:spacing w:after="0"/>
              <w:rPr>
                <w:sz w:val="20"/>
                <w:szCs w:val="20"/>
                <w:color w:val="auto"/>
              </w:rPr>
            </w:pPr>
            <w:r>
              <w:rPr>
                <w:rFonts w:ascii="Arial" w:cs="Arial" w:eastAsia="Arial" w:hAnsi="Arial"/>
                <w:sz w:val="18"/>
                <w:szCs w:val="18"/>
                <w:color w:val="006098"/>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006098"/>
              </w:rPr>
              <w:t>326,421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131E29"/>
              </w:rPr>
              <w:t>248,085</w:t>
            </w:r>
          </w:p>
        </w:tc>
      </w:tr>
      <w:tr>
        <w:trPr>
          <w:trHeight w:val="2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2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28,731</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27,014</w:t>
            </w:r>
          </w:p>
        </w:tc>
      </w:tr>
      <w:tr>
        <w:trPr>
          <w:trHeight w:val="241"/>
        </w:trPr>
        <w:tc>
          <w:tcPr>
            <w:tcW w:w="7660" w:type="dxa"/>
            <w:vAlign w:val="bottom"/>
            <w:gridSpan w:val="2"/>
          </w:tcPr>
          <w:p>
            <w:pPr>
              <w:ind w:left="340"/>
              <w:spacing w:after="0"/>
              <w:rPr>
                <w:sz w:val="20"/>
                <w:szCs w:val="20"/>
                <w:color w:val="auto"/>
              </w:rPr>
            </w:pPr>
            <w:r>
              <w:rPr>
                <w:rFonts w:ascii="Arial" w:cs="Arial" w:eastAsia="Arial" w:hAnsi="Arial"/>
                <w:sz w:val="18"/>
                <w:szCs w:val="18"/>
                <w:color w:val="131E29"/>
              </w:rPr>
              <w:t>Total revenues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06098"/>
              </w:rPr>
              <w:t>355,152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275,099</w:t>
            </w:r>
          </w:p>
        </w:tc>
      </w:tr>
      <w:tr>
        <w:trPr>
          <w:trHeight w:val="23"/>
        </w:trPr>
        <w:tc>
          <w:tcPr>
            <w:tcW w:w="7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75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20" w:type="dxa"/>
            <w:vAlign w:val="bottom"/>
            <w:shd w:val="clear" w:color="auto" w:fill="D2DCE5"/>
          </w:tcPr>
          <w:p>
            <w:pPr>
              <w:spacing w:after="0"/>
              <w:rPr>
                <w:sz w:val="21"/>
                <w:szCs w:val="21"/>
                <w:color w:val="auto"/>
              </w:rPr>
            </w:pPr>
          </w:p>
        </w:tc>
        <w:tc>
          <w:tcPr>
            <w:tcW w:w="11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00" w:type="dxa"/>
            <w:vAlign w:val="bottom"/>
            <w:shd w:val="clear" w:color="auto" w:fill="D2DCE5"/>
          </w:tcPr>
          <w:p>
            <w:pPr>
              <w:spacing w:after="0"/>
              <w:rPr>
                <w:sz w:val="21"/>
                <w:szCs w:val="21"/>
                <w:color w:val="auto"/>
              </w:rPr>
            </w:pPr>
          </w:p>
        </w:tc>
        <w:tc>
          <w:tcPr>
            <w:tcW w:w="1060" w:type="dxa"/>
            <w:vAlign w:val="bottom"/>
            <w:shd w:val="clear" w:color="auto" w:fill="D2DCE5"/>
          </w:tcPr>
          <w:p>
            <w:pPr>
              <w:spacing w:after="0"/>
              <w:rPr>
                <w:sz w:val="21"/>
                <w:szCs w:val="21"/>
                <w:color w:val="auto"/>
              </w:rPr>
            </w:pPr>
          </w:p>
        </w:tc>
      </w:tr>
      <w:tr>
        <w:trPr>
          <w:trHeight w:val="263"/>
        </w:trPr>
        <w:tc>
          <w:tcPr>
            <w:tcW w:w="7660" w:type="dxa"/>
            <w:vAlign w:val="bottom"/>
            <w:gridSpan w:val="2"/>
          </w:tcPr>
          <w:p>
            <w:pPr>
              <w:ind w:left="20"/>
              <w:spacing w:after="0"/>
              <w:rPr>
                <w:sz w:val="20"/>
                <w:szCs w:val="20"/>
                <w:color w:val="auto"/>
              </w:rPr>
            </w:pPr>
            <w:r>
              <w:rPr>
                <w:rFonts w:ascii="Arial" w:cs="Arial" w:eastAsia="Arial" w:hAnsi="Arial"/>
                <w:sz w:val="18"/>
                <w:szCs w:val="18"/>
                <w:b w:val="1"/>
                <w:bCs w:val="1"/>
                <w:color w:val="131E29"/>
              </w:rPr>
              <w:t>Costs and Expenses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8"/>
        </w:trPr>
        <w:tc>
          <w:tcPr>
            <w:tcW w:w="7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Cost of sales</w:t>
            </w:r>
          </w:p>
        </w:tc>
        <w:tc>
          <w:tcPr>
            <w:tcW w:w="320" w:type="dxa"/>
            <w:vAlign w:val="bottom"/>
            <w:tcBorders>
              <w:bottom w:val="single" w:sz="8" w:color="D2DCE5"/>
            </w:tcBorders>
            <w:shd w:val="clear" w:color="auto" w:fill="D2DCE5"/>
          </w:tcPr>
          <w:p>
            <w:pPr>
              <w:spacing w:after="0"/>
              <w:rPr>
                <w:sz w:val="22"/>
                <w:szCs w:val="22"/>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265,159</w:t>
            </w:r>
          </w:p>
        </w:tc>
        <w:tc>
          <w:tcPr>
            <w:tcW w:w="100" w:type="dxa"/>
            <w:vAlign w:val="bottom"/>
            <w:tcBorders>
              <w:bottom w:val="single" w:sz="8" w:color="D2DCE5"/>
            </w:tcBorders>
            <w:shd w:val="clear" w:color="auto" w:fill="D2DCE5"/>
          </w:tcPr>
          <w:p>
            <w:pPr>
              <w:spacing w:after="0"/>
              <w:rPr>
                <w:sz w:val="22"/>
                <w:szCs w:val="22"/>
                <w:color w:val="auto"/>
              </w:rPr>
            </w:pPr>
          </w:p>
        </w:tc>
        <w:tc>
          <w:tcPr>
            <w:tcW w:w="300" w:type="dxa"/>
            <w:vAlign w:val="bottom"/>
            <w:tcBorders>
              <w:bottom w:val="single" w:sz="8" w:color="D2DCE5"/>
            </w:tcBorders>
            <w:shd w:val="clear" w:color="auto" w:fill="D2DCE5"/>
          </w:tcPr>
          <w:p>
            <w:pPr>
              <w:spacing w:after="0"/>
              <w:rPr>
                <w:sz w:val="22"/>
                <w:szCs w:val="22"/>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203,326</w:t>
            </w:r>
          </w:p>
        </w:tc>
      </w:tr>
      <w:tr>
        <w:trPr>
          <w:trHeight w:val="247"/>
        </w:trPr>
        <w:tc>
          <w:tcPr>
            <w:tcW w:w="7660" w:type="dxa"/>
            <w:vAlign w:val="bottom"/>
            <w:gridSpan w:val="2"/>
          </w:tcPr>
          <w:p>
            <w:pPr>
              <w:ind w:left="180"/>
              <w:spacing w:after="0"/>
              <w:rPr>
                <w:sz w:val="20"/>
                <w:szCs w:val="20"/>
                <w:color w:val="auto"/>
              </w:rPr>
            </w:pPr>
            <w:r>
              <w:rPr>
                <w:rFonts w:ascii="Arial" w:cs="Arial" w:eastAsia="Arial" w:hAnsi="Arial"/>
                <w:sz w:val="18"/>
                <w:szCs w:val="18"/>
                <w:color w:val="131E29"/>
              </w:rPr>
              <w:t>Selling, general and administrative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6098"/>
              </w:rPr>
              <w:t>58,921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46,194</w:t>
            </w:r>
          </w:p>
        </w:tc>
      </w:tr>
      <w:tr>
        <w:trPr>
          <w:trHeight w:val="23"/>
        </w:trPr>
        <w:tc>
          <w:tcPr>
            <w:tcW w:w="7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7660" w:type="dxa"/>
            <w:vAlign w:val="bottom"/>
            <w:tcBorders>
              <w:bottom w:val="single" w:sz="8" w:color="D2DCE5"/>
            </w:tcBorders>
            <w:gridSpan w:val="2"/>
            <w:shd w:val="clear" w:color="auto" w:fill="D2DCE5"/>
          </w:tcPr>
          <w:p>
            <w:pPr>
              <w:ind w:left="340"/>
              <w:spacing w:after="0"/>
              <w:rPr>
                <w:sz w:val="20"/>
                <w:szCs w:val="20"/>
                <w:color w:val="auto"/>
              </w:rPr>
            </w:pPr>
            <w:r>
              <w:rPr>
                <w:rFonts w:ascii="Arial" w:cs="Arial" w:eastAsia="Arial" w:hAnsi="Arial"/>
                <w:sz w:val="18"/>
                <w:szCs w:val="18"/>
                <w:color w:val="131E29"/>
              </w:rPr>
              <w:t>Total costs and expenses</w:t>
            </w:r>
          </w:p>
        </w:tc>
        <w:tc>
          <w:tcPr>
            <w:tcW w:w="320" w:type="dxa"/>
            <w:vAlign w:val="bottom"/>
            <w:tcBorders>
              <w:bottom w:val="single" w:sz="8" w:color="D2DCE5"/>
            </w:tcBorders>
            <w:shd w:val="clear" w:color="auto" w:fill="D2DCE5"/>
          </w:tcPr>
          <w:p>
            <w:pPr>
              <w:spacing w:after="0"/>
              <w:rPr>
                <w:sz w:val="22"/>
                <w:szCs w:val="22"/>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324,080</w:t>
            </w:r>
          </w:p>
        </w:tc>
        <w:tc>
          <w:tcPr>
            <w:tcW w:w="100" w:type="dxa"/>
            <w:vAlign w:val="bottom"/>
            <w:tcBorders>
              <w:bottom w:val="single" w:sz="8" w:color="D2DCE5"/>
            </w:tcBorders>
            <w:shd w:val="clear" w:color="auto" w:fill="D2DCE5"/>
          </w:tcPr>
          <w:p>
            <w:pPr>
              <w:spacing w:after="0"/>
              <w:rPr>
                <w:sz w:val="22"/>
                <w:szCs w:val="22"/>
                <w:color w:val="auto"/>
              </w:rPr>
            </w:pPr>
          </w:p>
        </w:tc>
        <w:tc>
          <w:tcPr>
            <w:tcW w:w="300" w:type="dxa"/>
            <w:vAlign w:val="bottom"/>
            <w:tcBorders>
              <w:bottom w:val="single" w:sz="8" w:color="D2DCE5"/>
            </w:tcBorders>
            <w:shd w:val="clear" w:color="auto" w:fill="D2DCE5"/>
          </w:tcPr>
          <w:p>
            <w:pPr>
              <w:spacing w:after="0"/>
              <w:rPr>
                <w:sz w:val="22"/>
                <w:szCs w:val="22"/>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249,520</w:t>
            </w:r>
          </w:p>
        </w:tc>
      </w:tr>
      <w:tr>
        <w:trPr>
          <w:trHeight w:val="250"/>
        </w:trPr>
        <w:tc>
          <w:tcPr>
            <w:tcW w:w="7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50"/>
        </w:trPr>
        <w:tc>
          <w:tcPr>
            <w:tcW w:w="7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from operations</w:t>
            </w:r>
          </w:p>
        </w:tc>
        <w:tc>
          <w:tcPr>
            <w:tcW w:w="32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31,072</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25,579</w:t>
            </w:r>
          </w:p>
        </w:tc>
      </w:tr>
      <w:tr>
        <w:trPr>
          <w:trHeight w:val="270"/>
        </w:trPr>
        <w:tc>
          <w:tcPr>
            <w:tcW w:w="7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766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Other expense</w:t>
            </w:r>
          </w:p>
        </w:tc>
        <w:tc>
          <w:tcPr>
            <w:tcW w:w="320" w:type="dxa"/>
            <w:vAlign w:val="bottom"/>
            <w:shd w:val="clear" w:color="auto" w:fill="D2DCE5"/>
          </w:tcPr>
          <w:p>
            <w:pPr>
              <w:spacing w:after="0"/>
              <w:rPr>
                <w:sz w:val="23"/>
                <w:szCs w:val="23"/>
                <w:color w:val="auto"/>
              </w:rPr>
            </w:pPr>
          </w:p>
        </w:tc>
        <w:tc>
          <w:tcPr>
            <w:tcW w:w="11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060" w:type="dxa"/>
            <w:vAlign w:val="bottom"/>
            <w:shd w:val="clear" w:color="auto" w:fill="D2DCE5"/>
          </w:tcPr>
          <w:p>
            <w:pPr>
              <w:spacing w:after="0"/>
              <w:rPr>
                <w:sz w:val="23"/>
                <w:szCs w:val="23"/>
                <w:color w:val="auto"/>
              </w:rPr>
            </w:pPr>
          </w:p>
        </w:tc>
      </w:tr>
      <w:tr>
        <w:trPr>
          <w:trHeight w:val="247"/>
        </w:trPr>
        <w:tc>
          <w:tcPr>
            <w:tcW w:w="7660" w:type="dxa"/>
            <w:vAlign w:val="bottom"/>
            <w:gridSpan w:val="2"/>
          </w:tcPr>
          <w:p>
            <w:pPr>
              <w:ind w:left="180"/>
              <w:spacing w:after="0"/>
              <w:rPr>
                <w:sz w:val="20"/>
                <w:szCs w:val="20"/>
                <w:color w:val="auto"/>
              </w:rPr>
            </w:pPr>
            <w:r>
              <w:rPr>
                <w:rFonts w:ascii="Arial" w:cs="Arial" w:eastAsia="Arial" w:hAnsi="Arial"/>
                <w:sz w:val="18"/>
                <w:szCs w:val="18"/>
                <w:color w:val="131E29"/>
              </w:rPr>
              <w:t>Interest expense,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6098"/>
              </w:rPr>
              <w:t>(7,115)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(6,393)</w:t>
            </w:r>
          </w:p>
        </w:tc>
      </w:tr>
      <w:tr>
        <w:trPr>
          <w:trHeight w:val="2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Other income (expense), net</w:t>
            </w:r>
          </w:p>
        </w:tc>
        <w:tc>
          <w:tcPr>
            <w:tcW w:w="32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(18)</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5,801</w:t>
            </w:r>
          </w:p>
        </w:tc>
      </w:tr>
      <w:tr>
        <w:trPr>
          <w:trHeight w:val="240"/>
        </w:trPr>
        <w:tc>
          <w:tcPr>
            <w:tcW w:w="7660" w:type="dxa"/>
            <w:vAlign w:val="bottom"/>
            <w:gridSpan w:val="2"/>
          </w:tcPr>
          <w:p>
            <w:pPr>
              <w:ind w:left="340"/>
              <w:spacing w:after="0"/>
              <w:rPr>
                <w:sz w:val="20"/>
                <w:szCs w:val="20"/>
                <w:color w:val="auto"/>
              </w:rPr>
            </w:pPr>
            <w:r>
              <w:rPr>
                <w:rFonts w:ascii="Arial" w:cs="Arial" w:eastAsia="Arial" w:hAnsi="Arial"/>
                <w:sz w:val="18"/>
                <w:szCs w:val="18"/>
                <w:color w:val="131E29"/>
              </w:rPr>
              <w:t>Total other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06098"/>
              </w:rPr>
              <w:t>(7,133)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(592)</w:t>
            </w:r>
          </w:p>
        </w:tc>
      </w:tr>
      <w:tr>
        <w:trPr>
          <w:trHeight w:val="23"/>
        </w:trPr>
        <w:tc>
          <w:tcPr>
            <w:tcW w:w="7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75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20" w:type="dxa"/>
            <w:vAlign w:val="bottom"/>
            <w:shd w:val="clear" w:color="auto" w:fill="D2DCE5"/>
          </w:tcPr>
          <w:p>
            <w:pPr>
              <w:spacing w:after="0"/>
              <w:rPr>
                <w:sz w:val="21"/>
                <w:szCs w:val="21"/>
                <w:color w:val="auto"/>
              </w:rPr>
            </w:pPr>
          </w:p>
        </w:tc>
        <w:tc>
          <w:tcPr>
            <w:tcW w:w="11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00" w:type="dxa"/>
            <w:vAlign w:val="bottom"/>
            <w:shd w:val="clear" w:color="auto" w:fill="D2DCE5"/>
          </w:tcPr>
          <w:p>
            <w:pPr>
              <w:spacing w:after="0"/>
              <w:rPr>
                <w:sz w:val="21"/>
                <w:szCs w:val="21"/>
                <w:color w:val="auto"/>
              </w:rPr>
            </w:pPr>
          </w:p>
        </w:tc>
        <w:tc>
          <w:tcPr>
            <w:tcW w:w="1060" w:type="dxa"/>
            <w:vAlign w:val="bottom"/>
            <w:shd w:val="clear" w:color="auto" w:fill="D2DCE5"/>
          </w:tcPr>
          <w:p>
            <w:pPr>
              <w:spacing w:after="0"/>
              <w:rPr>
                <w:sz w:val="21"/>
                <w:szCs w:val="21"/>
                <w:color w:val="auto"/>
              </w:rPr>
            </w:pPr>
          </w:p>
        </w:tc>
      </w:tr>
      <w:tr>
        <w:trPr>
          <w:trHeight w:val="247"/>
        </w:trPr>
        <w:tc>
          <w:tcPr>
            <w:tcW w:w="7660" w:type="dxa"/>
            <w:vAlign w:val="bottom"/>
            <w:gridSpan w:val="2"/>
          </w:tcPr>
          <w:p>
            <w:pPr>
              <w:ind w:left="20"/>
              <w:spacing w:after="0"/>
              <w:rPr>
                <w:sz w:val="20"/>
                <w:szCs w:val="20"/>
                <w:color w:val="auto"/>
              </w:rPr>
            </w:pPr>
            <w:r>
              <w:rPr>
                <w:rFonts w:ascii="Arial" w:cs="Arial" w:eastAsia="Arial" w:hAnsi="Arial"/>
                <w:sz w:val="18"/>
                <w:szCs w:val="18"/>
                <w:color w:val="131E29"/>
              </w:rPr>
              <w:t>Income before income taxes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6098"/>
              </w:rPr>
              <w:t>23,939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24,987</w:t>
            </w:r>
          </w:p>
        </w:tc>
      </w:tr>
      <w:tr>
        <w:trPr>
          <w:trHeight w:val="2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w:t>
            </w:r>
          </w:p>
        </w:tc>
        <w:tc>
          <w:tcPr>
            <w:tcW w:w="32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1,459</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8,772</w:t>
            </w:r>
          </w:p>
        </w:tc>
      </w:tr>
      <w:tr>
        <w:trPr>
          <w:trHeight w:val="240"/>
        </w:trPr>
        <w:tc>
          <w:tcPr>
            <w:tcW w:w="7660" w:type="dxa"/>
            <w:vAlign w:val="bottom"/>
            <w:gridSpan w:val="2"/>
          </w:tcPr>
          <w:p>
            <w:pPr>
              <w:ind w:left="20"/>
              <w:spacing w:after="0"/>
              <w:rPr>
                <w:sz w:val="20"/>
                <w:szCs w:val="20"/>
                <w:color w:val="auto"/>
              </w:rPr>
            </w:pPr>
            <w:r>
              <w:rPr>
                <w:rFonts w:ascii="Arial" w:cs="Arial" w:eastAsia="Arial" w:hAnsi="Arial"/>
                <w:sz w:val="18"/>
                <w:szCs w:val="18"/>
                <w:color w:val="131E29"/>
              </w:rPr>
              <w:t>Net income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06098"/>
              </w:rPr>
              <w:t>22,480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16,215</w:t>
            </w:r>
          </w:p>
        </w:tc>
      </w:tr>
      <w:tr>
        <w:trPr>
          <w:trHeight w:val="2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Less: Net income attributable to non-controlling interests</w:t>
            </w:r>
          </w:p>
        </w:tc>
        <w:tc>
          <w:tcPr>
            <w:tcW w:w="32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7,127</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9,153</w:t>
            </w:r>
          </w:p>
        </w:tc>
      </w:tr>
      <w:tr>
        <w:trPr>
          <w:trHeight w:val="263"/>
        </w:trPr>
        <w:tc>
          <w:tcPr>
            <w:tcW w:w="7660" w:type="dxa"/>
            <w:vAlign w:val="bottom"/>
            <w:gridSpan w:val="2"/>
          </w:tcPr>
          <w:p>
            <w:pPr>
              <w:ind w:left="20"/>
              <w:spacing w:after="0"/>
              <w:rPr>
                <w:sz w:val="20"/>
                <w:szCs w:val="20"/>
                <w:color w:val="auto"/>
              </w:rPr>
            </w:pPr>
            <w:r>
              <w:rPr>
                <w:rFonts w:ascii="Arial" w:cs="Arial" w:eastAsia="Arial" w:hAnsi="Arial"/>
                <w:sz w:val="18"/>
                <w:szCs w:val="18"/>
                <w:b w:val="1"/>
                <w:bCs w:val="1"/>
                <w:color w:val="131E29"/>
              </w:rPr>
              <w:t>Net income attributable to Dutch Bros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006098"/>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15,353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131E29"/>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7,062</w:t>
            </w:r>
          </w:p>
        </w:tc>
      </w:tr>
      <w:tr>
        <w:trPr>
          <w:trHeight w:val="20"/>
        </w:trPr>
        <w:tc>
          <w:tcPr>
            <w:tcW w:w="756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7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income per share of Class A and Class D common stock:</w:t>
            </w:r>
          </w:p>
        </w:tc>
        <w:tc>
          <w:tcPr>
            <w:tcW w:w="320" w:type="dxa"/>
            <w:vAlign w:val="bottom"/>
            <w:tcBorders>
              <w:bottom w:val="single" w:sz="8" w:color="D2DCE5"/>
            </w:tcBorders>
            <w:shd w:val="clear" w:color="auto" w:fill="D2DCE5"/>
          </w:tcPr>
          <w:p>
            <w:pPr>
              <w:spacing w:after="0"/>
              <w:rPr>
                <w:sz w:val="18"/>
                <w:szCs w:val="18"/>
                <w:color w:val="auto"/>
              </w:rPr>
            </w:pPr>
          </w:p>
        </w:tc>
        <w:tc>
          <w:tcPr>
            <w:tcW w:w="116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60" w:type="dxa"/>
            <w:vAlign w:val="bottom"/>
            <w:tcBorders>
              <w:bottom w:val="single" w:sz="8" w:color="D2DCE5"/>
            </w:tcBorders>
            <w:shd w:val="clear" w:color="auto" w:fill="D2DCE5"/>
          </w:tcPr>
          <w:p>
            <w:pPr>
              <w:spacing w:after="0"/>
              <w:rPr>
                <w:sz w:val="18"/>
                <w:szCs w:val="18"/>
                <w:color w:val="auto"/>
              </w:rPr>
            </w:pPr>
          </w:p>
        </w:tc>
      </w:tr>
      <w:tr>
        <w:trPr>
          <w:trHeight w:val="263"/>
        </w:trPr>
        <w:tc>
          <w:tcPr>
            <w:tcW w:w="7660" w:type="dxa"/>
            <w:vAlign w:val="bottom"/>
            <w:gridSpan w:val="2"/>
          </w:tcPr>
          <w:p>
            <w:pPr>
              <w:ind w:left="180"/>
              <w:spacing w:after="0"/>
              <w:rPr>
                <w:sz w:val="20"/>
                <w:szCs w:val="20"/>
                <w:color w:val="auto"/>
              </w:rPr>
            </w:pPr>
            <w:r>
              <w:rPr>
                <w:rFonts w:ascii="Arial" w:cs="Arial" w:eastAsia="Arial" w:hAnsi="Arial"/>
                <w:sz w:val="18"/>
                <w:szCs w:val="18"/>
                <w:b w:val="1"/>
                <w:bCs w:val="1"/>
                <w:color w:val="131E29"/>
              </w:rPr>
              <w:t>Basic</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006098"/>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006098"/>
              </w:rPr>
              <w:t>0.13</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131E29"/>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131E29"/>
              </w:rPr>
              <w:t>0.08</w:t>
            </w:r>
          </w:p>
        </w:tc>
      </w:tr>
      <w:tr>
        <w:trPr>
          <w:trHeight w:val="278"/>
        </w:trPr>
        <w:tc>
          <w:tcPr>
            <w:tcW w:w="7660" w:type="dxa"/>
            <w:vAlign w:val="bottom"/>
            <w:gridSpan w:val="2"/>
            <w:shd w:val="clear" w:color="auto" w:fill="D2DCE5"/>
          </w:tcPr>
          <w:p>
            <w:pPr>
              <w:ind w:left="180"/>
              <w:spacing w:after="0"/>
              <w:rPr>
                <w:sz w:val="20"/>
                <w:szCs w:val="20"/>
                <w:color w:val="auto"/>
              </w:rPr>
            </w:pPr>
            <w:r>
              <w:rPr>
                <w:rFonts w:ascii="Arial" w:cs="Arial" w:eastAsia="Arial" w:hAnsi="Arial"/>
                <w:sz w:val="18"/>
                <w:szCs w:val="18"/>
                <w:b w:val="1"/>
                <w:bCs w:val="1"/>
                <w:color w:val="131E29"/>
              </w:rPr>
              <w:t>Diluted</w:t>
            </w:r>
          </w:p>
        </w:tc>
        <w:tc>
          <w:tcPr>
            <w:tcW w:w="320" w:type="dxa"/>
            <w:vAlign w:val="bottom"/>
            <w:shd w:val="clear" w:color="auto" w:fill="D2DCE5"/>
          </w:tcPr>
          <w:p>
            <w:pPr>
              <w:jc w:val="right"/>
              <w:ind w:right="110"/>
              <w:spacing w:after="0"/>
              <w:rPr>
                <w:sz w:val="20"/>
                <w:szCs w:val="20"/>
                <w:color w:val="auto"/>
              </w:rPr>
            </w:pPr>
            <w:r>
              <w:rPr>
                <w:rFonts w:ascii="Arial" w:cs="Arial" w:eastAsia="Arial" w:hAnsi="Arial"/>
                <w:sz w:val="18"/>
                <w:szCs w:val="18"/>
                <w:b w:val="1"/>
                <w:bCs w:val="1"/>
                <w:color w:val="006098"/>
                <w:w w:val="9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0.13</w:t>
            </w:r>
          </w:p>
        </w:tc>
        <w:tc>
          <w:tcPr>
            <w:tcW w:w="100" w:type="dxa"/>
            <w:vAlign w:val="bottom"/>
            <w:shd w:val="clear" w:color="auto" w:fill="D2DCE5"/>
          </w:tcPr>
          <w:p>
            <w:pPr>
              <w:spacing w:after="0"/>
              <w:rPr>
                <w:sz w:val="24"/>
                <w:szCs w:val="24"/>
                <w:color w:val="auto"/>
              </w:rPr>
            </w:pP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b w:val="1"/>
                <w:bCs w:val="1"/>
                <w:color w:val="131E29"/>
                <w:w w:val="99"/>
              </w:rPr>
              <w:t>$</w:t>
            </w:r>
          </w:p>
        </w:tc>
        <w:tc>
          <w:tcPr>
            <w:tcW w:w="10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0.08</w:t>
            </w:r>
          </w:p>
        </w:tc>
      </w:tr>
      <w:tr>
        <w:trPr>
          <w:trHeight w:val="247"/>
        </w:trPr>
        <w:tc>
          <w:tcPr>
            <w:tcW w:w="7660" w:type="dxa"/>
            <w:vAlign w:val="bottom"/>
            <w:gridSpan w:val="2"/>
          </w:tcPr>
          <w:p>
            <w:pPr>
              <w:ind w:left="20"/>
              <w:spacing w:after="0"/>
              <w:rPr>
                <w:sz w:val="20"/>
                <w:szCs w:val="20"/>
                <w:color w:val="auto"/>
              </w:rPr>
            </w:pPr>
            <w:r>
              <w:rPr>
                <w:rFonts w:ascii="Arial" w:cs="Arial" w:eastAsia="Arial" w:hAnsi="Arial"/>
                <w:sz w:val="18"/>
                <w:szCs w:val="18"/>
                <w:color w:val="131E29"/>
              </w:rPr>
              <w:t>Weighted-average shares of Class A and Class D common stock outstanding:</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Basic</w:t>
            </w:r>
          </w:p>
        </w:tc>
        <w:tc>
          <w:tcPr>
            <w:tcW w:w="32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120,810</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83,328</w:t>
            </w:r>
          </w:p>
        </w:tc>
      </w:tr>
      <w:tr>
        <w:trPr>
          <w:trHeight w:val="247"/>
        </w:trPr>
        <w:tc>
          <w:tcPr>
            <w:tcW w:w="7660" w:type="dxa"/>
            <w:vAlign w:val="bottom"/>
            <w:gridSpan w:val="2"/>
          </w:tcPr>
          <w:p>
            <w:pPr>
              <w:ind w:left="180"/>
              <w:spacing w:after="0"/>
              <w:rPr>
                <w:sz w:val="20"/>
                <w:szCs w:val="20"/>
                <w:color w:val="auto"/>
              </w:rPr>
            </w:pPr>
            <w:r>
              <w:rPr>
                <w:rFonts w:ascii="Arial" w:cs="Arial" w:eastAsia="Arial" w:hAnsi="Arial"/>
                <w:sz w:val="18"/>
                <w:szCs w:val="18"/>
                <w:color w:val="131E29"/>
              </w:rPr>
              <w:t>Diluted</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6098"/>
              </w:rPr>
              <w:t>121,508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83,410</w:t>
            </w: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Comprehensive Income</w:t>
      </w:r>
    </w:p>
    <w:p>
      <w:pPr>
        <w:spacing w:after="0" w:line="225"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34925</wp:posOffset>
            </wp:positionV>
            <wp:extent cx="20656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unaudited)</w:t>
            </w:r>
          </w:p>
        </w:tc>
        <w:tc>
          <w:tcPr>
            <w:tcW w:w="8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2024</w:t>
            </w:r>
          </w:p>
        </w:tc>
      </w:tr>
      <w:tr>
        <w:trPr>
          <w:trHeight w:val="250"/>
        </w:trPr>
        <w:tc>
          <w:tcPr>
            <w:tcW w:w="79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income</w:t>
            </w:r>
          </w:p>
        </w:tc>
        <w:tc>
          <w:tcPr>
            <w:tcW w:w="36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006098"/>
                <w:w w:val="9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22,480</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16,215</w:t>
            </w:r>
          </w:p>
        </w:tc>
      </w:tr>
      <w:tr>
        <w:trPr>
          <w:trHeight w:val="247"/>
        </w:trPr>
        <w:tc>
          <w:tcPr>
            <w:tcW w:w="7980" w:type="dxa"/>
            <w:vAlign w:val="bottom"/>
            <w:gridSpan w:val="2"/>
          </w:tcPr>
          <w:p>
            <w:pPr>
              <w:ind w:left="20"/>
              <w:spacing w:after="0"/>
              <w:rPr>
                <w:sz w:val="20"/>
                <w:szCs w:val="20"/>
                <w:color w:val="auto"/>
              </w:rPr>
            </w:pPr>
            <w:r>
              <w:rPr>
                <w:rFonts w:ascii="Arial" w:cs="Arial" w:eastAsia="Arial" w:hAnsi="Arial"/>
                <w:sz w:val="18"/>
                <w:szCs w:val="18"/>
                <w:color w:val="131E29"/>
              </w:rPr>
              <w:t>Other comprehensive income (loss):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4"/>
        </w:trPr>
        <w:tc>
          <w:tcPr>
            <w:tcW w:w="79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Unrealized gain (loss) on derivative securities, effective portion, net of income tax expense</w:t>
            </w:r>
          </w:p>
        </w:tc>
        <w:tc>
          <w:tcPr>
            <w:tcW w:w="360" w:type="dxa"/>
            <w:vAlign w:val="bottom"/>
            <w:shd w:val="clear" w:color="auto" w:fill="D2DCE5"/>
          </w:tcPr>
          <w:p>
            <w:pPr>
              <w:spacing w:after="0"/>
              <w:rPr>
                <w:sz w:val="19"/>
                <w:szCs w:val="19"/>
                <w:color w:val="auto"/>
              </w:rPr>
            </w:pPr>
          </w:p>
        </w:tc>
        <w:tc>
          <w:tcPr>
            <w:tcW w:w="12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20" w:type="dxa"/>
            <w:vAlign w:val="bottom"/>
            <w:shd w:val="clear" w:color="auto" w:fill="D2DCE5"/>
          </w:tcPr>
          <w:p>
            <w:pPr>
              <w:spacing w:after="0"/>
              <w:rPr>
                <w:sz w:val="19"/>
                <w:szCs w:val="19"/>
                <w:color w:val="auto"/>
              </w:rPr>
            </w:pPr>
          </w:p>
        </w:tc>
      </w:tr>
      <w:tr>
        <w:trPr>
          <w:trHeight w:val="262"/>
        </w:trPr>
        <w:tc>
          <w:tcPr>
            <w:tcW w:w="79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(benefit) of $(93) and $79, respectively</w:t>
            </w:r>
          </w:p>
        </w:tc>
        <w:tc>
          <w:tcPr>
            <w:tcW w:w="360" w:type="dxa"/>
            <w:vAlign w:val="bottom"/>
            <w:tcBorders>
              <w:bottom w:val="single" w:sz="8" w:color="D2DCE5"/>
            </w:tcBorders>
            <w:shd w:val="clear" w:color="auto" w:fill="D2DCE5"/>
          </w:tcPr>
          <w:p>
            <w:pPr>
              <w:spacing w:after="0"/>
              <w:rPr>
                <w:sz w:val="22"/>
                <w:szCs w:val="22"/>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(349)</w:t>
            </w:r>
          </w:p>
        </w:tc>
        <w:tc>
          <w:tcPr>
            <w:tcW w:w="100" w:type="dxa"/>
            <w:vAlign w:val="bottom"/>
            <w:tcBorders>
              <w:bottom w:val="single" w:sz="8" w:color="D2DCE5"/>
            </w:tcBorders>
            <w:shd w:val="clear" w:color="auto" w:fill="D2DCE5"/>
          </w:tcPr>
          <w:p>
            <w:pPr>
              <w:spacing w:after="0"/>
              <w:rPr>
                <w:sz w:val="22"/>
                <w:szCs w:val="22"/>
                <w:color w:val="auto"/>
              </w:rPr>
            </w:pPr>
          </w:p>
        </w:tc>
        <w:tc>
          <w:tcPr>
            <w:tcW w:w="360" w:type="dxa"/>
            <w:vAlign w:val="bottom"/>
            <w:tcBorders>
              <w:bottom w:val="single" w:sz="8" w:color="D2DCE5"/>
            </w:tcBorders>
            <w:shd w:val="clear" w:color="auto" w:fill="D2DCE5"/>
          </w:tcPr>
          <w:p>
            <w:pPr>
              <w:spacing w:after="0"/>
              <w:rPr>
                <w:sz w:val="22"/>
                <w:szCs w:val="22"/>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674</w:t>
            </w:r>
          </w:p>
        </w:tc>
      </w:tr>
      <w:tr>
        <w:trPr>
          <w:trHeight w:val="241"/>
        </w:trPr>
        <w:tc>
          <w:tcPr>
            <w:tcW w:w="7980" w:type="dxa"/>
            <w:vAlign w:val="bottom"/>
            <w:gridSpan w:val="2"/>
          </w:tcPr>
          <w:p>
            <w:pPr>
              <w:ind w:left="20"/>
              <w:spacing w:after="0"/>
              <w:rPr>
                <w:sz w:val="20"/>
                <w:szCs w:val="20"/>
                <w:color w:val="auto"/>
              </w:rPr>
            </w:pPr>
            <w:r>
              <w:rPr>
                <w:rFonts w:ascii="Arial" w:cs="Arial" w:eastAsia="Arial" w:hAnsi="Arial"/>
                <w:sz w:val="18"/>
                <w:szCs w:val="18"/>
                <w:color w:val="131E29"/>
              </w:rPr>
              <w:t>Comprehensive income</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06098"/>
              </w:rPr>
              <w:t>22,131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16,889</w:t>
            </w: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Less: comprehensive income attributable to non-controlling interests</w:t>
            </w:r>
          </w:p>
        </w:tc>
        <w:tc>
          <w:tcPr>
            <w:tcW w:w="36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6,968</w:t>
            </w:r>
          </w:p>
        </w:tc>
        <w:tc>
          <w:tcPr>
            <w:tcW w:w="100" w:type="dxa"/>
            <w:vAlign w:val="bottom"/>
            <w:tcBorders>
              <w:bottom w:val="single" w:sz="8" w:color="D2DCE5"/>
            </w:tcBorders>
            <w:shd w:val="clear" w:color="auto" w:fill="D2DCE5"/>
          </w:tcPr>
          <w:p>
            <w:pPr>
              <w:spacing w:after="0"/>
              <w:rPr>
                <w:sz w:val="23"/>
                <w:szCs w:val="23"/>
                <w:color w:val="auto"/>
              </w:rPr>
            </w:pPr>
          </w:p>
        </w:tc>
        <w:tc>
          <w:tcPr>
            <w:tcW w:w="36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9,446</w:t>
            </w:r>
          </w:p>
        </w:tc>
      </w:tr>
      <w:tr>
        <w:trPr>
          <w:trHeight w:val="263"/>
        </w:trPr>
        <w:tc>
          <w:tcPr>
            <w:tcW w:w="7980" w:type="dxa"/>
            <w:vAlign w:val="bottom"/>
            <w:gridSpan w:val="2"/>
          </w:tcPr>
          <w:p>
            <w:pPr>
              <w:ind w:left="20"/>
              <w:spacing w:after="0"/>
              <w:rPr>
                <w:sz w:val="20"/>
                <w:szCs w:val="20"/>
                <w:color w:val="auto"/>
              </w:rPr>
            </w:pPr>
            <w:r>
              <w:rPr>
                <w:rFonts w:ascii="Arial" w:cs="Arial" w:eastAsia="Arial" w:hAnsi="Arial"/>
                <w:sz w:val="18"/>
                <w:szCs w:val="18"/>
                <w:b w:val="1"/>
                <w:bCs w:val="1"/>
                <w:color w:val="131E29"/>
              </w:rPr>
              <w:t>Comprehensive income attributable to Dutch Bros Inc.</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15,163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7,443</w:t>
            </w:r>
          </w:p>
        </w:tc>
      </w:tr>
      <w:tr>
        <w:trPr>
          <w:trHeight w:val="21"/>
        </w:trPr>
        <w:tc>
          <w:tcPr>
            <w:tcW w:w="7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6098"/>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31E29"/>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34925</wp:posOffset>
            </wp:positionV>
            <wp:extent cx="67036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323" w:lineRule="exact"/>
        <w:rPr>
          <w:sz w:val="20"/>
          <w:szCs w:val="20"/>
          <w:color w:val="auto"/>
        </w:rPr>
      </w:pPr>
    </w:p>
    <w:tbl>
      <w:tblPr>
        <w:tblLayout w:type="fixed"/>
        <w:tblInd w:w="340" w:type="dxa"/>
        <w:tblCellMar>
          <w:top w:w="0" w:type="dxa"/>
          <w:left w:w="0" w:type="dxa"/>
          <w:bottom w:w="0" w:type="dxa"/>
          <w:right w:w="0" w:type="dxa"/>
        </w:tblCellMar>
      </w:tblPr>
      <w:tr>
        <w:trPr>
          <w:trHeight w:val="205"/>
        </w:trPr>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2780" w:type="dxa"/>
            <w:vAlign w:val="bottom"/>
            <w:tcBorders>
              <w:bottom w:val="single" w:sz="8" w:color="D7282F"/>
            </w:tcBorders>
            <w:gridSpan w:val="10"/>
          </w:tcPr>
          <w:p>
            <w:pPr>
              <w:ind w:left="40"/>
              <w:spacing w:after="0"/>
              <w:rPr>
                <w:sz w:val="20"/>
                <w:szCs w:val="20"/>
                <w:color w:val="auto"/>
              </w:rPr>
            </w:pPr>
            <w:r>
              <w:rPr>
                <w:rFonts w:ascii="Arial" w:cs="Arial" w:eastAsia="Arial" w:hAnsi="Arial"/>
                <w:sz w:val="14"/>
                <w:szCs w:val="14"/>
                <w:b w:val="1"/>
                <w:bCs w:val="1"/>
                <w:color w:val="131E29"/>
              </w:rPr>
              <w:t>Dutch Bros. Inc. Stockholders’ Equity</w:t>
            </w:r>
          </w:p>
        </w:tc>
        <w:tc>
          <w:tcPr>
            <w:tcW w:w="10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131E29"/>
              </w:rPr>
              <w:t>Class A</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131E29"/>
              </w:rPr>
              <w:t>Class B</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131E29"/>
              </w:rPr>
              <w:t>Class C</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4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60"/>
              <w:spacing w:after="0"/>
              <w:rPr>
                <w:sz w:val="20"/>
                <w:szCs w:val="20"/>
                <w:color w:val="auto"/>
              </w:rPr>
            </w:pPr>
            <w:r>
              <w:rPr>
                <w:rFonts w:ascii="Arial" w:cs="Arial" w:eastAsia="Arial" w:hAnsi="Arial"/>
                <w:sz w:val="14"/>
                <w:szCs w:val="14"/>
                <w:color w:val="131E29"/>
              </w:rPr>
              <w:t>Common Stock</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131E29"/>
              </w:rPr>
              <w:t>Accumulated</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color w:val="131E29"/>
              </w:rPr>
              <w:t>Additional</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131E29"/>
              </w:rPr>
              <w:t>Other</w:t>
            </w:r>
          </w:p>
        </w:tc>
        <w:tc>
          <w:tcPr>
            <w:tcW w:w="100" w:type="dxa"/>
            <w:vAlign w:val="bottom"/>
          </w:tcPr>
          <w:p>
            <w:pPr>
              <w:spacing w:after="0"/>
              <w:rPr>
                <w:sz w:val="15"/>
                <w:szCs w:val="1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color w:val="131E29"/>
              </w:rPr>
              <w:t>Retained</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color w:val="131E29"/>
              </w:rPr>
              <w:t>Non-</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color w:val="131E29"/>
                <w:w w:val="99"/>
              </w:rPr>
              <w:t>Paid-in-</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color w:val="131E29"/>
              </w:rPr>
              <w:t>Comprehensive</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color w:val="131E29"/>
              </w:rPr>
              <w:t>Controlling</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1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unaudited)</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7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131E29"/>
              </w:rPr>
              <w:t>Capital</w:t>
            </w:r>
          </w:p>
        </w:tc>
        <w:tc>
          <w:tcPr>
            <w:tcW w:w="80" w:type="dxa"/>
            <w:vAlign w:val="bottom"/>
            <w:tcBorders>
              <w:bottom w:val="single" w:sz="8" w:color="D2DCE5"/>
            </w:tcBorders>
          </w:tcPr>
          <w:p>
            <w:pPr>
              <w:spacing w:after="0"/>
              <w:rPr>
                <w:sz w:val="18"/>
                <w:szCs w:val="18"/>
                <w:color w:val="auto"/>
              </w:rPr>
            </w:pPr>
          </w:p>
        </w:tc>
        <w:tc>
          <w:tcPr>
            <w:tcW w:w="100" w:type="dxa"/>
            <w:vAlign w:val="bottom"/>
            <w:tcBorders>
              <w:bottom w:val="single" w:sz="8" w:color="D7282F"/>
            </w:tcBorders>
          </w:tcPr>
          <w:p>
            <w:pPr>
              <w:spacing w:after="0"/>
              <w:rPr>
                <w:sz w:val="18"/>
                <w:szCs w:val="18"/>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color w:val="131E29"/>
              </w:rPr>
              <w:t>Income</w:t>
            </w:r>
          </w:p>
        </w:tc>
        <w:tc>
          <w:tcPr>
            <w:tcW w:w="80" w:type="dxa"/>
            <w:vAlign w:val="bottom"/>
            <w:tcBorders>
              <w:bottom w:val="single" w:sz="8" w:color="D2DCE5"/>
            </w:tcBorders>
          </w:tcPr>
          <w:p>
            <w:pPr>
              <w:spacing w:after="0"/>
              <w:rPr>
                <w:sz w:val="18"/>
                <w:szCs w:val="18"/>
                <w:color w:val="auto"/>
              </w:rPr>
            </w:pPr>
          </w:p>
        </w:tc>
        <w:tc>
          <w:tcPr>
            <w:tcW w:w="100" w:type="dxa"/>
            <w:vAlign w:val="bottom"/>
            <w:tcBorders>
              <w:bottom w:val="single" w:sz="8" w:color="D7282F"/>
            </w:tcBorders>
          </w:tcPr>
          <w:p>
            <w:pPr>
              <w:spacing w:after="0"/>
              <w:rPr>
                <w:sz w:val="18"/>
                <w:szCs w:val="18"/>
                <w:color w:val="auto"/>
              </w:rPr>
            </w:pPr>
          </w:p>
        </w:tc>
        <w:tc>
          <w:tcPr>
            <w:tcW w:w="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Earnings</w:t>
            </w:r>
          </w:p>
        </w:tc>
        <w:tc>
          <w:tcPr>
            <w:tcW w:w="100" w:type="dxa"/>
            <w:vAlign w:val="bottom"/>
            <w:tcBorders>
              <w:bottom w:val="single" w:sz="8" w:color="D2DCE5"/>
            </w:tcBorders>
          </w:tcPr>
          <w:p>
            <w:pPr>
              <w:spacing w:after="0"/>
              <w:rPr>
                <w:sz w:val="18"/>
                <w:szCs w:val="18"/>
                <w:color w:val="auto"/>
              </w:rPr>
            </w:pPr>
          </w:p>
        </w:tc>
        <w:tc>
          <w:tcPr>
            <w:tcW w:w="7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227"/>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2024</w:t>
            </w:r>
          </w:p>
        </w:tc>
        <w:tc>
          <w:tcPr>
            <w:tcW w:w="6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115,432</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jc w:val="right"/>
              <w:ind w:right="128"/>
              <w:spacing w:after="0"/>
              <w:rPr>
                <w:sz w:val="20"/>
                <w:szCs w:val="20"/>
                <w:color w:val="auto"/>
              </w:rPr>
            </w:pPr>
            <w:r>
              <w:rPr>
                <w:rFonts w:ascii="Arial" w:cs="Arial" w:eastAsia="Arial" w:hAnsi="Arial"/>
                <w:sz w:val="14"/>
                <w:szCs w:val="14"/>
                <w:b w:val="1"/>
                <w:bCs w:val="1"/>
                <w:color w:val="131E29"/>
              </w:rPr>
              <w:t>$</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w:t>
            </w:r>
          </w:p>
        </w:tc>
        <w:tc>
          <w:tcPr>
            <w:tcW w:w="80" w:type="dxa"/>
            <w:vAlign w:val="bottom"/>
            <w:shd w:val="clear" w:color="auto" w:fill="D2DCE5"/>
          </w:tcPr>
          <w:p>
            <w:pPr>
              <w:spacing w:after="0"/>
              <w:rPr>
                <w:sz w:val="19"/>
                <w:szCs w:val="19"/>
                <w:color w:val="auto"/>
              </w:rPr>
            </w:pPr>
          </w:p>
        </w:tc>
        <w:tc>
          <w:tcPr>
            <w:tcW w:w="60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35,227</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jc w:val="right"/>
              <w:ind w:right="148"/>
              <w:spacing w:after="0"/>
              <w:rPr>
                <w:sz w:val="20"/>
                <w:szCs w:val="20"/>
                <w:color w:val="auto"/>
              </w:rPr>
            </w:pPr>
            <w:r>
              <w:rPr>
                <w:rFonts w:ascii="Arial" w:cs="Arial" w:eastAsia="Arial" w:hAnsi="Arial"/>
                <w:sz w:val="14"/>
                <w:szCs w:val="14"/>
                <w:b w:val="1"/>
                <w:bCs w:val="1"/>
                <w:color w:val="131E29"/>
                <w:w w:val="76"/>
              </w:rPr>
              <w:t>$</w:t>
            </w: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b w:val="1"/>
                <w:bCs w:val="1"/>
                <w:color w:val="131E29"/>
              </w:rPr>
              <w:t>—</w:t>
            </w:r>
          </w:p>
        </w:tc>
        <w:tc>
          <w:tcPr>
            <w:tcW w:w="58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3,545</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jc w:val="right"/>
              <w:ind w:right="128"/>
              <w:spacing w:after="0"/>
              <w:rPr>
                <w:sz w:val="20"/>
                <w:szCs w:val="20"/>
                <w:color w:val="auto"/>
              </w:rPr>
            </w:pPr>
            <w:r>
              <w:rPr>
                <w:rFonts w:ascii="Arial" w:cs="Arial" w:eastAsia="Arial" w:hAnsi="Arial"/>
                <w:sz w:val="14"/>
                <w:szCs w:val="14"/>
                <w:b w:val="1"/>
                <w:bCs w:val="1"/>
                <w:color w:val="131E29"/>
              </w:rPr>
              <w:t>$</w:t>
            </w: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b w:val="1"/>
                <w:bCs w:val="1"/>
                <w:color w:val="131E29"/>
              </w:rPr>
              <w:t>—</w:t>
            </w:r>
          </w:p>
        </w:tc>
        <w:tc>
          <w:tcPr>
            <w:tcW w:w="72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w w:val="99"/>
              </w:rPr>
              <w:t>$ 517,074</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628</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6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19,666</w:t>
            </w:r>
          </w:p>
        </w:tc>
        <w:tc>
          <w:tcPr>
            <w:tcW w:w="10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$ 226,496</w:t>
            </w:r>
          </w:p>
        </w:tc>
        <w:tc>
          <w:tcPr>
            <w:tcW w:w="80" w:type="dxa"/>
            <w:vAlign w:val="bottom"/>
            <w:shd w:val="clear" w:color="auto" w:fill="D2DCE5"/>
          </w:tcPr>
          <w:p>
            <w:pPr>
              <w:spacing w:after="0"/>
              <w:rPr>
                <w:sz w:val="19"/>
                <w:szCs w:val="19"/>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w w:val="99"/>
              </w:rPr>
              <w:t>$ 763,865</w:t>
            </w: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4"/>
                <w:szCs w:val="14"/>
                <w:color w:val="131E29"/>
              </w:rPr>
              <w:t>Net income</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006098"/>
              </w:rPr>
              <w:t>15,353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6098"/>
              </w:rPr>
              <w:t>7,127</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6098"/>
              </w:rPr>
              <w:t>22,480</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Unrealized loss on derivative</w:t>
            </w: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6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7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securities, effective portion, net</w:t>
            </w:r>
          </w:p>
        </w:tc>
        <w:tc>
          <w:tcPr>
            <w:tcW w:w="68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68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7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(96)</w:t>
            </w: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(190)</w:t>
            </w: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78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7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(159)</w:t>
            </w:r>
          </w:p>
        </w:tc>
        <w:tc>
          <w:tcPr>
            <w:tcW w:w="80" w:type="dxa"/>
            <w:vAlign w:val="bottom"/>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(445)</w:t>
            </w:r>
          </w:p>
        </w:tc>
        <w:tc>
          <w:tcPr>
            <w:tcW w:w="0" w:type="dxa"/>
            <w:vAlign w:val="bottom"/>
          </w:tcPr>
          <w:p>
            <w:pPr>
              <w:spacing w:after="0"/>
              <w:rPr>
                <w:sz w:val="1"/>
                <w:szCs w:val="1"/>
                <w:color w:val="auto"/>
              </w:rPr>
            </w:pPr>
          </w:p>
        </w:tc>
      </w:tr>
      <w:tr>
        <w:trPr>
          <w:trHeight w:val="198"/>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of income tax benefit of $93</w:t>
            </w:r>
          </w:p>
        </w:tc>
        <w:tc>
          <w:tcPr>
            <w:tcW w:w="680" w:type="dxa"/>
            <w:vAlign w:val="bottom"/>
            <w:gridSpan w:val="2"/>
            <w:vMerge w:val="continue"/>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680" w:type="dxa"/>
            <w:vAlign w:val="bottom"/>
            <w:gridSpan w:val="2"/>
            <w:vMerge w:val="continue"/>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660" w:type="dxa"/>
            <w:vAlign w:val="bottom"/>
            <w:gridSpan w:val="2"/>
            <w:vMerge w:val="continue"/>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72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780" w:type="dxa"/>
            <w:vAlign w:val="bottom"/>
            <w:gridSpan w:val="2"/>
            <w:vMerge w:val="continue"/>
            <w:shd w:val="clear" w:color="auto" w:fill="D2DCE5"/>
          </w:tcPr>
          <w:p>
            <w:pPr>
              <w:spacing w:after="0"/>
              <w:rPr>
                <w:sz w:val="17"/>
                <w:szCs w:val="17"/>
                <w:color w:val="auto"/>
              </w:rPr>
            </w:pPr>
          </w:p>
        </w:tc>
        <w:tc>
          <w:tcPr>
            <w:tcW w:w="72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60" w:type="dxa"/>
            <w:vAlign w:val="bottom"/>
            <w:gridSpan w:val="2"/>
          </w:tcPr>
          <w:p>
            <w:pPr>
              <w:ind w:left="20"/>
              <w:spacing w:after="0"/>
              <w:rPr>
                <w:sz w:val="20"/>
                <w:szCs w:val="20"/>
                <w:color w:val="auto"/>
              </w:rPr>
            </w:pPr>
            <w:r>
              <w:rPr>
                <w:rFonts w:ascii="Arial" w:cs="Arial" w:eastAsia="Arial" w:hAnsi="Arial"/>
                <w:sz w:val="14"/>
                <w:szCs w:val="14"/>
                <w:color w:val="131E29"/>
              </w:rPr>
              <w:t>Equity-based compensation</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60" w:type="dxa"/>
            <w:vAlign w:val="bottom"/>
            <w:gridSpan w:val="2"/>
          </w:tcPr>
          <w:p>
            <w:pPr>
              <w:ind w:left="20"/>
              <w:spacing w:after="0"/>
              <w:rPr>
                <w:sz w:val="20"/>
                <w:szCs w:val="20"/>
                <w:color w:val="auto"/>
              </w:rPr>
            </w:pPr>
            <w:r>
              <w:rPr>
                <w:rFonts w:ascii="Arial" w:cs="Arial" w:eastAsia="Arial" w:hAnsi="Arial"/>
                <w:sz w:val="14"/>
                <w:szCs w:val="14"/>
                <w:color w:val="131E29"/>
              </w:rPr>
              <w:t>expense</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006098"/>
              </w:rPr>
              <w:t>2,900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720" w:type="dxa"/>
            <w:vAlign w:val="bottom"/>
          </w:tcPr>
          <w:p>
            <w:pPr>
              <w:jc w:val="right"/>
              <w:spacing w:after="0"/>
              <w:rPr>
                <w:sz w:val="20"/>
                <w:szCs w:val="20"/>
                <w:color w:val="auto"/>
              </w:rPr>
            </w:pPr>
            <w:r>
              <w:rPr>
                <w:rFonts w:ascii="Arial" w:cs="Arial" w:eastAsia="Arial" w:hAnsi="Arial"/>
                <w:sz w:val="14"/>
                <w:szCs w:val="14"/>
                <w:color w:val="006098"/>
              </w:rPr>
              <w:t>1,294</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6098"/>
              </w:rPr>
              <w:t>4,194</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Issuance of Class A common</w:t>
            </w: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6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7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stock pursuant to vesting of</w:t>
            </w: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7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 awards, net of stock</w:t>
            </w: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6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7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withheld for tax and forfeitures</w:t>
            </w:r>
          </w:p>
        </w:tc>
        <w:tc>
          <w:tcPr>
            <w:tcW w:w="6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006098"/>
              </w:rPr>
              <w:t>295</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6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006098"/>
              </w:rPr>
              <w:t>(7,771)</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tcBorders>
              <w:bottom w:val="single" w:sz="8" w:color="D2DCE5"/>
            </w:tcBorders>
            <w:shd w:val="clear" w:color="auto" w:fill="D2DCE5"/>
          </w:tcPr>
          <w:p>
            <w:pPr>
              <w:spacing w:after="0"/>
              <w:rPr>
                <w:sz w:val="16"/>
                <w:szCs w:val="16"/>
                <w:color w:val="auto"/>
              </w:rPr>
            </w:pPr>
          </w:p>
        </w:tc>
        <w:tc>
          <w:tcPr>
            <w:tcW w:w="7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006098"/>
              </w:rPr>
              <w:t>(3,247)</w:t>
            </w: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006098"/>
              </w:rPr>
              <w:t>(11,018)</w:t>
            </w:r>
          </w:p>
        </w:tc>
        <w:tc>
          <w:tcPr>
            <w:tcW w:w="0" w:type="dxa"/>
            <w:vAlign w:val="bottom"/>
          </w:tcPr>
          <w:p>
            <w:pPr>
              <w:spacing w:after="0"/>
              <w:rPr>
                <w:sz w:val="1"/>
                <w:szCs w:val="1"/>
                <w:color w:val="auto"/>
              </w:rPr>
            </w:pPr>
          </w:p>
        </w:tc>
      </w:tr>
      <w:tr>
        <w:trPr>
          <w:trHeight w:val="193"/>
        </w:trPr>
        <w:tc>
          <w:tcPr>
            <w:tcW w:w="2260" w:type="dxa"/>
            <w:vAlign w:val="bottom"/>
            <w:gridSpan w:val="2"/>
          </w:tcPr>
          <w:p>
            <w:pPr>
              <w:ind w:left="20"/>
              <w:spacing w:after="0"/>
              <w:rPr>
                <w:sz w:val="20"/>
                <w:szCs w:val="20"/>
                <w:color w:val="auto"/>
              </w:rPr>
            </w:pPr>
            <w:r>
              <w:rPr>
                <w:rFonts w:ascii="Arial" w:cs="Arial" w:eastAsia="Arial" w:hAnsi="Arial"/>
                <w:sz w:val="14"/>
                <w:szCs w:val="14"/>
                <w:color w:val="131E29"/>
              </w:rPr>
              <w:t>Issuance of Class A common</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gridSpan w:val="2"/>
          </w:tcPr>
          <w:p>
            <w:pPr>
              <w:ind w:left="20"/>
              <w:spacing w:after="0"/>
              <w:rPr>
                <w:sz w:val="20"/>
                <w:szCs w:val="20"/>
                <w:color w:val="auto"/>
              </w:rPr>
            </w:pPr>
            <w:r>
              <w:rPr>
                <w:rFonts w:ascii="Arial" w:cs="Arial" w:eastAsia="Arial" w:hAnsi="Arial"/>
                <w:sz w:val="14"/>
                <w:szCs w:val="14"/>
                <w:color w:val="131E29"/>
              </w:rPr>
              <w:t>stock for conversion of Dutch</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60" w:type="dxa"/>
            <w:vAlign w:val="bottom"/>
            <w:gridSpan w:val="2"/>
          </w:tcPr>
          <w:p>
            <w:pPr>
              <w:ind w:left="20"/>
              <w:spacing w:after="0"/>
              <w:rPr>
                <w:sz w:val="20"/>
                <w:szCs w:val="20"/>
                <w:color w:val="auto"/>
              </w:rPr>
            </w:pPr>
            <w:r>
              <w:rPr>
                <w:rFonts w:ascii="Arial" w:cs="Arial" w:eastAsia="Arial" w:hAnsi="Arial"/>
                <w:sz w:val="14"/>
                <w:szCs w:val="14"/>
                <w:color w:val="131E29"/>
              </w:rPr>
              <w:t>Bros OpCo Class A common</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60" w:type="dxa"/>
            <w:vAlign w:val="bottom"/>
            <w:gridSpan w:val="2"/>
          </w:tcPr>
          <w:p>
            <w:pPr>
              <w:ind w:left="20"/>
              <w:spacing w:after="0"/>
              <w:rPr>
                <w:sz w:val="20"/>
                <w:szCs w:val="20"/>
                <w:color w:val="auto"/>
              </w:rPr>
            </w:pPr>
            <w:r>
              <w:rPr>
                <w:rFonts w:ascii="Arial" w:cs="Arial" w:eastAsia="Arial" w:hAnsi="Arial"/>
                <w:sz w:val="14"/>
                <w:szCs w:val="14"/>
                <w:color w:val="131E29"/>
              </w:rPr>
              <w:t>units, and for surrender and</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gridSpan w:val="2"/>
          </w:tcPr>
          <w:p>
            <w:pPr>
              <w:ind w:left="20"/>
              <w:spacing w:after="0"/>
              <w:rPr>
                <w:sz w:val="20"/>
                <w:szCs w:val="20"/>
                <w:color w:val="auto"/>
              </w:rPr>
            </w:pPr>
            <w:r>
              <w:rPr>
                <w:rFonts w:ascii="Arial" w:cs="Arial" w:eastAsia="Arial" w:hAnsi="Arial"/>
                <w:sz w:val="14"/>
                <w:szCs w:val="14"/>
                <w:color w:val="131E29"/>
              </w:rPr>
              <w:t>cancellation of Class C common</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gridSpan w:val="2"/>
          </w:tcPr>
          <w:p>
            <w:pPr>
              <w:ind w:left="20"/>
              <w:spacing w:after="0"/>
              <w:rPr>
                <w:sz w:val="20"/>
                <w:szCs w:val="20"/>
                <w:color w:val="auto"/>
              </w:rPr>
            </w:pPr>
            <w:r>
              <w:rPr>
                <w:rFonts w:ascii="Arial" w:cs="Arial" w:eastAsia="Arial" w:hAnsi="Arial"/>
                <w:sz w:val="14"/>
                <w:szCs w:val="14"/>
                <w:color w:val="131E29"/>
              </w:rPr>
              <w:t>stock, pursuant to exchange</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260" w:type="dxa"/>
            <w:vAlign w:val="bottom"/>
            <w:gridSpan w:val="2"/>
          </w:tcPr>
          <w:p>
            <w:pPr>
              <w:ind w:left="20"/>
              <w:spacing w:after="0"/>
              <w:rPr>
                <w:sz w:val="20"/>
                <w:szCs w:val="20"/>
                <w:color w:val="auto"/>
              </w:rPr>
            </w:pPr>
            <w:r>
              <w:rPr>
                <w:rFonts w:ascii="Arial" w:cs="Arial" w:eastAsia="Arial" w:hAnsi="Arial"/>
                <w:sz w:val="14"/>
                <w:szCs w:val="14"/>
                <w:color w:val="131E29"/>
              </w:rPr>
              <w:t>transactions</w:t>
            </w:r>
          </w:p>
        </w:tc>
        <w:tc>
          <w:tcPr>
            <w:tcW w:w="600" w:type="dxa"/>
            <w:vAlign w:val="bottom"/>
          </w:tcPr>
          <w:p>
            <w:pPr>
              <w:jc w:val="right"/>
              <w:ind w:right="8"/>
              <w:spacing w:after="0"/>
              <w:rPr>
                <w:sz w:val="20"/>
                <w:szCs w:val="20"/>
                <w:color w:val="auto"/>
              </w:rPr>
            </w:pPr>
            <w:r>
              <w:rPr>
                <w:rFonts w:ascii="Arial" w:cs="Arial" w:eastAsia="Arial" w:hAnsi="Arial"/>
                <w:sz w:val="14"/>
                <w:szCs w:val="14"/>
                <w:color w:val="006098"/>
              </w:rPr>
              <w:t>9,447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580" w:type="dxa"/>
            <w:vAlign w:val="bottom"/>
          </w:tcPr>
          <w:p>
            <w:pPr>
              <w:jc w:val="right"/>
              <w:spacing w:after="0"/>
              <w:rPr>
                <w:sz w:val="20"/>
                <w:szCs w:val="20"/>
                <w:color w:val="auto"/>
              </w:rPr>
            </w:pPr>
            <w:r>
              <w:rPr>
                <w:rFonts w:ascii="Arial" w:cs="Arial" w:eastAsia="Arial" w:hAnsi="Arial"/>
                <w:sz w:val="14"/>
                <w:szCs w:val="14"/>
                <w:color w:val="006098"/>
              </w:rPr>
              <w:t>(1,197)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700" w:type="dxa"/>
            <w:vAlign w:val="bottom"/>
          </w:tcPr>
          <w:p>
            <w:pPr>
              <w:jc w:val="right"/>
              <w:spacing w:after="0"/>
              <w:rPr>
                <w:sz w:val="20"/>
                <w:szCs w:val="20"/>
                <w:color w:val="auto"/>
              </w:rPr>
            </w:pPr>
            <w:r>
              <w:rPr>
                <w:rFonts w:ascii="Arial" w:cs="Arial" w:eastAsia="Arial" w:hAnsi="Arial"/>
                <w:sz w:val="14"/>
                <w:szCs w:val="14"/>
                <w:color w:val="006098"/>
              </w:rPr>
              <w:t>—</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 of equity transactions of</w:t>
            </w: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6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7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Dutch Bros OpCo Class A</w:t>
            </w:r>
          </w:p>
        </w:tc>
        <w:tc>
          <w:tcPr>
            <w:tcW w:w="68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68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72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006098"/>
              </w:rPr>
              <w:t>34,267</w:t>
            </w: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02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shd w:val="clear" w:color="auto" w:fill="D2DCE5"/>
          </w:tcPr>
          <w:p>
            <w:pPr>
              <w:spacing w:after="0"/>
              <w:rPr>
                <w:sz w:val="15"/>
                <w:szCs w:val="15"/>
                <w:color w:val="auto"/>
              </w:rPr>
            </w:pPr>
          </w:p>
        </w:tc>
        <w:tc>
          <w:tcPr>
            <w:tcW w:w="78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7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(34,267)</w:t>
            </w:r>
          </w:p>
        </w:tc>
        <w:tc>
          <w:tcPr>
            <w:tcW w:w="80" w:type="dxa"/>
            <w:vAlign w:val="bottom"/>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w:t>
            </w:r>
          </w:p>
        </w:tc>
        <w:tc>
          <w:tcPr>
            <w:tcW w:w="0" w:type="dxa"/>
            <w:vAlign w:val="bottom"/>
          </w:tcPr>
          <w:p>
            <w:pPr>
              <w:spacing w:after="0"/>
              <w:rPr>
                <w:sz w:val="1"/>
                <w:szCs w:val="1"/>
                <w:color w:val="auto"/>
              </w:rPr>
            </w:pPr>
          </w:p>
        </w:tc>
      </w:tr>
      <w:tr>
        <w:trPr>
          <w:trHeight w:val="198"/>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common units</w:t>
            </w:r>
          </w:p>
        </w:tc>
        <w:tc>
          <w:tcPr>
            <w:tcW w:w="680" w:type="dxa"/>
            <w:vAlign w:val="bottom"/>
            <w:gridSpan w:val="2"/>
            <w:vMerge w:val="continue"/>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680" w:type="dxa"/>
            <w:vAlign w:val="bottom"/>
            <w:gridSpan w:val="2"/>
            <w:vMerge w:val="continue"/>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660" w:type="dxa"/>
            <w:vAlign w:val="bottom"/>
            <w:gridSpan w:val="2"/>
            <w:vMerge w:val="continue"/>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72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20" w:type="dxa"/>
            <w:vAlign w:val="bottom"/>
            <w:gridSpan w:val="2"/>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780" w:type="dxa"/>
            <w:vAlign w:val="bottom"/>
            <w:gridSpan w:val="2"/>
            <w:vMerge w:val="continue"/>
            <w:shd w:val="clear" w:color="auto" w:fill="D2DCE5"/>
          </w:tcPr>
          <w:p>
            <w:pPr>
              <w:spacing w:after="0"/>
              <w:rPr>
                <w:sz w:val="17"/>
                <w:szCs w:val="17"/>
                <w:color w:val="auto"/>
              </w:rPr>
            </w:pPr>
          </w:p>
        </w:tc>
        <w:tc>
          <w:tcPr>
            <w:tcW w:w="72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60" w:type="dxa"/>
            <w:vAlign w:val="bottom"/>
            <w:gridSpan w:val="2"/>
          </w:tcPr>
          <w:p>
            <w:pPr>
              <w:ind w:left="20"/>
              <w:spacing w:after="0"/>
              <w:rPr>
                <w:sz w:val="20"/>
                <w:szCs w:val="20"/>
                <w:color w:val="auto"/>
              </w:rPr>
            </w:pPr>
            <w:r>
              <w:rPr>
                <w:rFonts w:ascii="Arial" w:cs="Arial" w:eastAsia="Arial" w:hAnsi="Arial"/>
                <w:sz w:val="14"/>
                <w:szCs w:val="14"/>
                <w:color w:val="131E29"/>
              </w:rPr>
              <w:t>Impacts of Tax Receivable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60" w:type="dxa"/>
            <w:vAlign w:val="bottom"/>
            <w:gridSpan w:val="2"/>
          </w:tcPr>
          <w:p>
            <w:pPr>
              <w:ind w:left="20"/>
              <w:spacing w:after="0"/>
              <w:rPr>
                <w:sz w:val="20"/>
                <w:szCs w:val="20"/>
                <w:color w:val="auto"/>
              </w:rPr>
            </w:pPr>
            <w:r>
              <w:rPr>
                <w:rFonts w:ascii="Arial" w:cs="Arial" w:eastAsia="Arial" w:hAnsi="Arial"/>
                <w:sz w:val="14"/>
                <w:szCs w:val="14"/>
                <w:color w:val="131E29"/>
              </w:rPr>
              <w:t>Agreements</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30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006098"/>
              </w:rPr>
              <w:t>17,226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700" w:type="dxa"/>
            <w:vAlign w:val="bottom"/>
          </w:tcPr>
          <w:p>
            <w:pPr>
              <w:jc w:val="right"/>
              <w:spacing w:after="0"/>
              <w:rPr>
                <w:sz w:val="20"/>
                <w:szCs w:val="20"/>
                <w:color w:val="auto"/>
              </w:rPr>
            </w:pPr>
            <w:r>
              <w:rPr>
                <w:rFonts w:ascii="Arial" w:cs="Arial" w:eastAsia="Arial" w:hAnsi="Arial"/>
                <w:sz w:val="14"/>
                <w:szCs w:val="14"/>
                <w:color w:val="006098"/>
              </w:rPr>
              <w:t>17,226</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Reverse Split transaction</w:t>
            </w: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6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7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pursuant to OpCo</w:t>
            </w:r>
          </w:p>
        </w:tc>
        <w:tc>
          <w:tcPr>
            <w:tcW w:w="60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006098"/>
              </w:rPr>
              <w:t>—</w:t>
            </w:r>
          </w:p>
        </w:tc>
        <w:tc>
          <w:tcPr>
            <w:tcW w:w="80" w:type="dxa"/>
            <w:vAlign w:val="bottom"/>
            <w:vMerge w:val="restart"/>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w:t>
            </w:r>
          </w:p>
        </w:tc>
        <w:tc>
          <w:tcPr>
            <w:tcW w:w="80" w:type="dxa"/>
            <w:vAlign w:val="bottom"/>
            <w:vMerge w:val="restart"/>
            <w:shd w:val="clear" w:color="auto" w:fill="D2DCE5"/>
          </w:tcPr>
          <w:p>
            <w:pPr>
              <w:spacing w:after="0"/>
              <w:rPr>
                <w:sz w:val="15"/>
                <w:szCs w:val="15"/>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(16)</w:t>
            </w: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80" w:type="dxa"/>
            <w:vAlign w:val="bottom"/>
            <w:vMerge w:val="restart"/>
            <w:shd w:val="clear" w:color="auto" w:fill="D2DCE5"/>
          </w:tcPr>
          <w:p>
            <w:pPr>
              <w:spacing w:after="0"/>
              <w:rPr>
                <w:sz w:val="15"/>
                <w:szCs w:val="15"/>
                <w:color w:val="auto"/>
              </w:rPr>
            </w:pPr>
          </w:p>
        </w:tc>
        <w:tc>
          <w:tcPr>
            <w:tcW w:w="5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(1)</w:t>
            </w: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80" w:type="dxa"/>
            <w:vAlign w:val="bottom"/>
            <w:vMerge w:val="restart"/>
            <w:shd w:val="clear" w:color="auto" w:fill="D2DCE5"/>
          </w:tcPr>
          <w:p>
            <w:pPr>
              <w:spacing w:after="0"/>
              <w:rPr>
                <w:sz w:val="15"/>
                <w:szCs w:val="15"/>
                <w:color w:val="auto"/>
              </w:rPr>
            </w:pPr>
          </w:p>
        </w:tc>
        <w:tc>
          <w:tcPr>
            <w:tcW w:w="72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006098"/>
              </w:rPr>
              <w:t>—</w:t>
            </w:r>
          </w:p>
        </w:tc>
        <w:tc>
          <w:tcPr>
            <w:tcW w:w="80" w:type="dxa"/>
            <w:vAlign w:val="bottom"/>
            <w:vMerge w:val="restart"/>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w:t>
            </w:r>
          </w:p>
        </w:tc>
        <w:tc>
          <w:tcPr>
            <w:tcW w:w="80" w:type="dxa"/>
            <w:vAlign w:val="bottom"/>
            <w:vMerge w:val="restart"/>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w:t>
            </w:r>
          </w:p>
        </w:tc>
        <w:tc>
          <w:tcPr>
            <w:tcW w:w="100" w:type="dxa"/>
            <w:vAlign w:val="bottom"/>
            <w:vMerge w:val="restart"/>
            <w:shd w:val="clear" w:color="auto" w:fill="D2DCE5"/>
          </w:tcPr>
          <w:p>
            <w:pPr>
              <w:spacing w:after="0"/>
              <w:rPr>
                <w:sz w:val="15"/>
                <w:szCs w:val="15"/>
                <w:color w:val="auto"/>
              </w:rPr>
            </w:pPr>
          </w:p>
        </w:tc>
        <w:tc>
          <w:tcPr>
            <w:tcW w:w="72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w:t>
            </w:r>
          </w:p>
        </w:tc>
        <w:tc>
          <w:tcPr>
            <w:tcW w:w="80" w:type="dxa"/>
            <w:vAlign w:val="bottom"/>
            <w:vMerge w:val="restart"/>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006098"/>
              </w:rPr>
              <w:t>—</w:t>
            </w:r>
          </w:p>
        </w:tc>
        <w:tc>
          <w:tcPr>
            <w:tcW w:w="0" w:type="dxa"/>
            <w:vAlign w:val="bottom"/>
          </w:tcPr>
          <w:p>
            <w:pPr>
              <w:spacing w:after="0"/>
              <w:rPr>
                <w:sz w:val="1"/>
                <w:szCs w:val="1"/>
                <w:color w:val="auto"/>
              </w:rPr>
            </w:pPr>
          </w:p>
        </w:tc>
      </w:tr>
      <w:tr>
        <w:trPr>
          <w:trHeight w:val="194"/>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Recapitalization</w:t>
            </w:r>
          </w:p>
        </w:tc>
        <w:tc>
          <w:tcPr>
            <w:tcW w:w="60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60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5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72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100" w:type="dxa"/>
            <w:vAlign w:val="bottom"/>
            <w:tcBorders>
              <w:bottom w:val="single" w:sz="8" w:color="auto"/>
            </w:tcBorders>
            <w:shd w:val="clear" w:color="auto" w:fill="D2DCE5"/>
          </w:tcPr>
          <w:p>
            <w:pPr>
              <w:spacing w:after="0"/>
              <w:rPr>
                <w:sz w:val="16"/>
                <w:szCs w:val="16"/>
                <w:color w:val="auto"/>
              </w:rPr>
            </w:pPr>
          </w:p>
        </w:tc>
        <w:tc>
          <w:tcPr>
            <w:tcW w:w="94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100" w:type="dxa"/>
            <w:vAlign w:val="bottom"/>
            <w:tcBorders>
              <w:bottom w:val="single" w:sz="8" w:color="auto"/>
            </w:tcBorders>
            <w:shd w:val="clear" w:color="auto" w:fill="D2DCE5"/>
          </w:tcPr>
          <w:p>
            <w:pPr>
              <w:spacing w:after="0"/>
              <w:rPr>
                <w:sz w:val="16"/>
                <w:szCs w:val="16"/>
                <w:color w:val="auto"/>
              </w:rPr>
            </w:pPr>
          </w:p>
        </w:tc>
        <w:tc>
          <w:tcPr>
            <w:tcW w:w="680" w:type="dxa"/>
            <w:vAlign w:val="bottom"/>
            <w:tcBorders>
              <w:bottom w:val="single" w:sz="8" w:color="auto"/>
            </w:tcBorders>
            <w:vMerge w:val="continue"/>
            <w:shd w:val="clear" w:color="auto" w:fill="D2DCE5"/>
          </w:tcPr>
          <w:p>
            <w:pPr>
              <w:spacing w:after="0"/>
              <w:rPr>
                <w:sz w:val="16"/>
                <w:szCs w:val="16"/>
                <w:color w:val="auto"/>
              </w:rPr>
            </w:pPr>
          </w:p>
        </w:tc>
        <w:tc>
          <w:tcPr>
            <w:tcW w:w="100" w:type="dxa"/>
            <w:vAlign w:val="bottom"/>
            <w:vMerge w:val="continue"/>
            <w:shd w:val="clear" w:color="auto" w:fill="D2DCE5"/>
          </w:tcPr>
          <w:p>
            <w:pPr>
              <w:spacing w:after="0"/>
              <w:rPr>
                <w:sz w:val="16"/>
                <w:szCs w:val="16"/>
                <w:color w:val="auto"/>
              </w:rPr>
            </w:pPr>
          </w:p>
        </w:tc>
        <w:tc>
          <w:tcPr>
            <w:tcW w:w="72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700" w:type="dxa"/>
            <w:vAlign w:val="bottom"/>
            <w:tcBorders>
              <w:bottom w:val="single" w:sz="8" w:color="auto"/>
            </w:tcBorders>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26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March 31, 2025</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006098"/>
              </w:rPr>
              <w:t>125,174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006098"/>
              </w:rPr>
              <w:t>1</w:t>
            </w:r>
          </w:p>
        </w:tc>
        <w:tc>
          <w:tcPr>
            <w:tcW w:w="80" w:type="dxa"/>
            <w:vAlign w:val="bottom"/>
          </w:tcPr>
          <w:p>
            <w:pPr>
              <w:spacing w:after="0"/>
              <w:rPr>
                <w:sz w:val="19"/>
                <w:szCs w:val="19"/>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006098"/>
              </w:rPr>
              <w:t>35,211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b w:val="1"/>
                <w:bCs w:val="1"/>
                <w:color w:val="006098"/>
              </w:rPr>
              <w:t>—</w:t>
            </w: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006098"/>
              </w:rPr>
              <w:t>2,347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b w:val="1"/>
                <w:bCs w:val="1"/>
                <w:color w:val="006098"/>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006098"/>
              </w:rPr>
              <w:t>563,600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006098"/>
              </w:rPr>
              <w:t>438</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006098"/>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006098"/>
              </w:rPr>
              <w:t>35,019</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6098"/>
              </w:rPr>
              <w:t>$ 197,244</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6098"/>
                <w:w w:val="99"/>
              </w:rPr>
              <w:t>$ 796,302</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6098"/>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131E29"/>
        </w:rPr>
        <w:t>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062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3420" w:type="dxa"/>
            <w:vAlign w:val="bottom"/>
            <w:tcBorders>
              <w:bottom w:val="single" w:sz="8" w:color="D7282F"/>
            </w:tcBorders>
            <w:gridSpan w:val="12"/>
          </w:tcPr>
          <w:p>
            <w:pPr>
              <w:ind w:left="120"/>
              <w:spacing w:after="0"/>
              <w:rPr>
                <w:sz w:val="20"/>
                <w:szCs w:val="20"/>
                <w:color w:val="auto"/>
              </w:rPr>
            </w:pPr>
            <w:r>
              <w:rPr>
                <w:rFonts w:ascii="Arial" w:cs="Arial" w:eastAsia="Arial" w:hAnsi="Arial"/>
                <w:sz w:val="14"/>
                <w:szCs w:val="14"/>
                <w:b w:val="1"/>
                <w:bCs w:val="1"/>
                <w:color w:val="131E29"/>
              </w:rPr>
              <w:t>Dutch Bros. Inc. Stockholders’ Equity</w:t>
            </w:r>
          </w:p>
        </w:tc>
        <w:tc>
          <w:tcPr>
            <w:tcW w:w="10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131E29"/>
              </w:rPr>
              <w:t>Class A</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B</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ind w:left="360"/>
              <w:spacing w:after="0"/>
              <w:rPr>
                <w:sz w:val="20"/>
                <w:szCs w:val="20"/>
                <w:color w:val="auto"/>
              </w:rPr>
            </w:pPr>
            <w:r>
              <w:rPr>
                <w:rFonts w:ascii="Arial" w:cs="Arial" w:eastAsia="Arial" w:hAnsi="Arial"/>
                <w:sz w:val="14"/>
                <w:szCs w:val="14"/>
                <w:b w:val="1"/>
                <w:bCs w:val="1"/>
                <w:color w:val="131E29"/>
              </w:rPr>
              <w:t>Class C</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D</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10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ind w:left="12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60"/>
              <w:spacing w:after="0"/>
              <w:rPr>
                <w:sz w:val="20"/>
                <w:szCs w:val="20"/>
                <w:color w:val="auto"/>
              </w:rPr>
            </w:pPr>
            <w:r>
              <w:rPr>
                <w:rFonts w:ascii="Arial" w:cs="Arial" w:eastAsia="Arial" w:hAnsi="Arial"/>
                <w:sz w:val="14"/>
                <w:szCs w:val="14"/>
                <w:color w:val="131E29"/>
              </w:rPr>
              <w:t>Common Stock</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D7282F"/>
            </w:tcBorders>
          </w:tcPr>
          <w:p>
            <w:pPr>
              <w:spacing w:after="0" w:line="20" w:lineRule="exact"/>
              <w:rPr>
                <w:sz w:val="1"/>
                <w:szCs w:val="1"/>
                <w:color w:val="auto"/>
              </w:rPr>
            </w:pPr>
          </w:p>
        </w:tc>
        <w:tc>
          <w:tcPr>
            <w:tcW w:w="10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131E29"/>
              </w:rPr>
              <w:t>Accumulated</w:t>
            </w: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131E29"/>
              </w:rPr>
              <w:t>(in thousands;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131E29"/>
              </w:rPr>
              <w:t>Additional</w:t>
            </w:r>
          </w:p>
        </w:tc>
        <w:tc>
          <w:tcPr>
            <w:tcW w:w="10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131E29"/>
              </w:rPr>
              <w:t>Other</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color w:val="131E29"/>
              </w:rPr>
              <w:t>Accumulated</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w w:val="98"/>
              </w:rPr>
              <w:t>Non-</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62"/>
        </w:trPr>
        <w:tc>
          <w:tcPr>
            <w:tcW w:w="15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131E29"/>
              </w:rPr>
              <w:t>Paid-in-</w:t>
            </w:r>
          </w:p>
        </w:tc>
        <w:tc>
          <w:tcPr>
            <w:tcW w:w="1140" w:type="dxa"/>
            <w:vAlign w:val="bottom"/>
            <w:gridSpan w:val="3"/>
          </w:tcPr>
          <w:p>
            <w:pPr>
              <w:jc w:val="center"/>
              <w:ind w:right="60"/>
              <w:spacing w:after="0"/>
              <w:rPr>
                <w:sz w:val="20"/>
                <w:szCs w:val="20"/>
                <w:color w:val="auto"/>
              </w:rPr>
            </w:pPr>
            <w:r>
              <w:rPr>
                <w:rFonts w:ascii="Arial" w:cs="Arial" w:eastAsia="Arial" w:hAnsi="Arial"/>
                <w:sz w:val="14"/>
                <w:szCs w:val="14"/>
                <w:color w:val="131E29"/>
              </w:rPr>
              <w:t>Comprehensive</w:t>
            </w:r>
          </w:p>
        </w:tc>
        <w:tc>
          <w:tcPr>
            <w:tcW w:w="960" w:type="dxa"/>
            <w:vAlign w:val="bottom"/>
            <w:gridSpan w:val="3"/>
            <w:vMerge w:val="continue"/>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rPr>
              <w:t>Controlling</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unaudited)</w:t>
            </w:r>
          </w:p>
        </w:tc>
        <w:tc>
          <w:tcPr>
            <w:tcW w:w="80" w:type="dxa"/>
            <w:vAlign w:val="bottom"/>
            <w:tcBorders>
              <w:bottom w:val="single" w:sz="8" w:color="D2DCE5"/>
            </w:tcBorders>
          </w:tcPr>
          <w:p>
            <w:pPr>
              <w:spacing w:after="0"/>
              <w:rPr>
                <w:sz w:val="18"/>
                <w:szCs w:val="18"/>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10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131E29"/>
              </w:rPr>
              <w:t>Capital</w:t>
            </w:r>
          </w:p>
        </w:tc>
        <w:tc>
          <w:tcPr>
            <w:tcW w:w="80" w:type="dxa"/>
            <w:vAlign w:val="bottom"/>
            <w:tcBorders>
              <w:bottom w:val="single" w:sz="8" w:color="D2DCE5"/>
            </w:tcBorders>
          </w:tcPr>
          <w:p>
            <w:pPr>
              <w:spacing w:after="0"/>
              <w:rPr>
                <w:sz w:val="18"/>
                <w:szCs w:val="18"/>
                <w:color w:val="auto"/>
              </w:rPr>
            </w:pPr>
          </w:p>
        </w:tc>
        <w:tc>
          <w:tcPr>
            <w:tcW w:w="100" w:type="dxa"/>
            <w:vAlign w:val="bottom"/>
            <w:tcBorders>
              <w:bottom w:val="single" w:sz="8" w:color="D7282F"/>
            </w:tcBorders>
          </w:tcPr>
          <w:p>
            <w:pPr>
              <w:spacing w:after="0"/>
              <w:rPr>
                <w:sz w:val="18"/>
                <w:szCs w:val="18"/>
                <w:color w:val="auto"/>
              </w:rPr>
            </w:pPr>
          </w:p>
        </w:tc>
        <w:tc>
          <w:tcPr>
            <w:tcW w:w="960" w:type="dxa"/>
            <w:vAlign w:val="bottom"/>
            <w:tcBorders>
              <w:bottom w:val="single" w:sz="8" w:color="D7282F"/>
            </w:tcBorders>
          </w:tcPr>
          <w:p>
            <w:pPr>
              <w:jc w:val="center"/>
              <w:ind w:right="8"/>
              <w:spacing w:after="0"/>
              <w:rPr>
                <w:sz w:val="20"/>
                <w:szCs w:val="20"/>
                <w:color w:val="auto"/>
              </w:rPr>
            </w:pPr>
            <w:r>
              <w:rPr>
                <w:rFonts w:ascii="Arial" w:cs="Arial" w:eastAsia="Arial" w:hAnsi="Arial"/>
                <w:sz w:val="14"/>
                <w:szCs w:val="14"/>
                <w:color w:val="131E29"/>
              </w:rPr>
              <w:t>Income</w:t>
            </w:r>
          </w:p>
        </w:tc>
        <w:tc>
          <w:tcPr>
            <w:tcW w:w="80" w:type="dxa"/>
            <w:vAlign w:val="bottom"/>
            <w:tcBorders>
              <w:bottom w:val="single" w:sz="8" w:color="D2DCE5"/>
            </w:tcBorders>
          </w:tcPr>
          <w:p>
            <w:pPr>
              <w:spacing w:after="0"/>
              <w:rPr>
                <w:sz w:val="18"/>
                <w:szCs w:val="18"/>
                <w:color w:val="auto"/>
              </w:rPr>
            </w:pPr>
          </w:p>
        </w:tc>
        <w:tc>
          <w:tcPr>
            <w:tcW w:w="180" w:type="dxa"/>
            <w:vAlign w:val="bottom"/>
            <w:tcBorders>
              <w:bottom w:val="single" w:sz="8" w:color="D7282F"/>
            </w:tcBorders>
          </w:tcPr>
          <w:p>
            <w:pPr>
              <w:spacing w:after="0"/>
              <w:rPr>
                <w:sz w:val="18"/>
                <w:szCs w:val="18"/>
                <w:color w:val="auto"/>
              </w:rPr>
            </w:pPr>
          </w:p>
        </w:tc>
        <w:tc>
          <w:tcPr>
            <w:tcW w:w="7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131E29"/>
              </w:rPr>
              <w:t>Deficit</w:t>
            </w:r>
          </w:p>
        </w:tc>
        <w:tc>
          <w:tcPr>
            <w:tcW w:w="80" w:type="dxa"/>
            <w:vAlign w:val="bottom"/>
            <w:tcBorders>
              <w:bottom w:val="single" w:sz="8" w:color="D2DCE5"/>
            </w:tcBorders>
          </w:tcPr>
          <w:p>
            <w:pPr>
              <w:spacing w:after="0"/>
              <w:rPr>
                <w:sz w:val="18"/>
                <w:szCs w:val="18"/>
                <w:color w:val="auto"/>
              </w:rPr>
            </w:pPr>
          </w:p>
        </w:tc>
        <w:tc>
          <w:tcPr>
            <w:tcW w:w="74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191"/>
        </w:trPr>
        <w:tc>
          <w:tcPr>
            <w:tcW w:w="154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w:t>
            </w: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6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31, 2023</w:t>
            </w: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69,958</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8"/>
              <w:spacing w:after="0"/>
              <w:rPr>
                <w:sz w:val="20"/>
                <w:szCs w:val="20"/>
                <w:color w:val="auto"/>
              </w:rPr>
            </w:pPr>
            <w:r>
              <w:rPr>
                <w:rFonts w:ascii="Arial" w:cs="Arial" w:eastAsia="Arial" w:hAnsi="Arial"/>
                <w:sz w:val="14"/>
                <w:szCs w:val="14"/>
                <w:b w:val="1"/>
                <w:bCs w:val="1"/>
                <w:color w:val="131E29"/>
              </w:rPr>
              <w:t>$</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w:t>
            </w: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60,629</w:t>
            </w: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48"/>
              <w:spacing w:after="0"/>
              <w:rPr>
                <w:sz w:val="20"/>
                <w:szCs w:val="20"/>
                <w:color w:val="auto"/>
              </w:rPr>
            </w:pPr>
            <w:r>
              <w:rPr>
                <w:rFonts w:ascii="Arial" w:cs="Arial" w:eastAsia="Arial" w:hAnsi="Arial"/>
                <w:sz w:val="14"/>
                <w:szCs w:val="14"/>
                <w:b w:val="1"/>
                <w:bCs w:val="1"/>
                <w:color w:val="131E29"/>
                <w:w w:val="76"/>
              </w:rPr>
              <w:t>$</w:t>
            </w:r>
          </w:p>
        </w:tc>
        <w:tc>
          <w:tcPr>
            <w:tcW w:w="28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1</w:t>
            </w:r>
          </w:p>
        </w:tc>
        <w:tc>
          <w:tcPr>
            <w:tcW w:w="80" w:type="dxa"/>
            <w:vAlign w:val="bottom"/>
            <w:shd w:val="clear" w:color="auto" w:fill="D2DCE5"/>
          </w:tcPr>
          <w:p>
            <w:pPr>
              <w:spacing w:after="0"/>
              <w:rPr>
                <w:sz w:val="18"/>
                <w:szCs w:val="18"/>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35,864</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8"/>
              <w:spacing w:after="0"/>
              <w:rPr>
                <w:sz w:val="20"/>
                <w:szCs w:val="20"/>
                <w:color w:val="auto"/>
              </w:rPr>
            </w:pPr>
            <w:r>
              <w:rPr>
                <w:rFonts w:ascii="Arial" w:cs="Arial" w:eastAsia="Arial" w:hAnsi="Arial"/>
                <w:sz w:val="14"/>
                <w:szCs w:val="14"/>
                <w:b w:val="1"/>
                <w:bCs w:val="1"/>
                <w:color w:val="131E29"/>
              </w:rPr>
              <w:t>$</w:t>
            </w: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b w:val="1"/>
                <w:bCs w:val="1"/>
                <w:color w:val="131E29"/>
              </w:rPr>
              <w:t>—</w:t>
            </w:r>
          </w:p>
        </w:tc>
        <w:tc>
          <w:tcPr>
            <w:tcW w:w="58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10,669</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8"/>
              <w:spacing w:after="0"/>
              <w:rPr>
                <w:sz w:val="20"/>
                <w:szCs w:val="20"/>
                <w:color w:val="auto"/>
              </w:rPr>
            </w:pPr>
            <w:r>
              <w:rPr>
                <w:rFonts w:ascii="Arial" w:cs="Arial" w:eastAsia="Arial" w:hAnsi="Arial"/>
                <w:sz w:val="14"/>
                <w:szCs w:val="14"/>
                <w:b w:val="1"/>
                <w:bCs w:val="1"/>
                <w:color w:val="131E29"/>
              </w:rPr>
              <w:t>$</w:t>
            </w:r>
          </w:p>
        </w:tc>
        <w:tc>
          <w:tcPr>
            <w:tcW w:w="360" w:type="dxa"/>
            <w:vAlign w:val="bottom"/>
            <w:gridSpan w:val="2"/>
            <w:shd w:val="clear" w:color="auto" w:fill="D2DCE5"/>
          </w:tcPr>
          <w:p>
            <w:pPr>
              <w:ind w:left="60"/>
              <w:spacing w:after="0"/>
              <w:rPr>
                <w:sz w:val="20"/>
                <w:szCs w:val="20"/>
                <w:color w:val="auto"/>
              </w:rPr>
            </w:pPr>
            <w:r>
              <w:rPr>
                <w:rFonts w:ascii="Arial" w:cs="Arial" w:eastAsia="Arial" w:hAnsi="Arial"/>
                <w:sz w:val="14"/>
                <w:szCs w:val="14"/>
                <w:b w:val="1"/>
                <w:bCs w:val="1"/>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w w:val="99"/>
              </w:rPr>
              <w:t>$ 379,391</w:t>
            </w: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544</w:t>
            </w: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(15,592)</w:t>
            </w:r>
          </w:p>
        </w:tc>
        <w:tc>
          <w:tcPr>
            <w:tcW w:w="80" w:type="dxa"/>
            <w:vAlign w:val="bottom"/>
            <w:shd w:val="clear" w:color="auto" w:fill="D2DCE5"/>
          </w:tcPr>
          <w:p>
            <w:pPr>
              <w:spacing w:after="0"/>
              <w:rPr>
                <w:sz w:val="18"/>
                <w:szCs w:val="18"/>
                <w:color w:val="auto"/>
              </w:rPr>
            </w:pPr>
          </w:p>
        </w:tc>
        <w:tc>
          <w:tcPr>
            <w:tcW w:w="74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$ 311,576</w:t>
            </w: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w w:val="99"/>
              </w:rPr>
              <w:t>$ 675,921</w:t>
            </w:r>
          </w:p>
        </w:tc>
        <w:tc>
          <w:tcPr>
            <w:tcW w:w="0" w:type="dxa"/>
            <w:vAlign w:val="bottom"/>
          </w:tcPr>
          <w:p>
            <w:pPr>
              <w:spacing w:after="0"/>
              <w:rPr>
                <w:sz w:val="1"/>
                <w:szCs w:val="1"/>
                <w:color w:val="auto"/>
              </w:rPr>
            </w:pPr>
          </w:p>
        </w:tc>
      </w:tr>
      <w:tr>
        <w:trPr>
          <w:trHeight w:val="208"/>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Net income</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7,062</w:t>
            </w:r>
          </w:p>
        </w:tc>
        <w:tc>
          <w:tcPr>
            <w:tcW w:w="8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131E29"/>
              </w:rPr>
              <w:t>9,153</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16,215</w:t>
            </w: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5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Unrealized gain on</w:t>
            </w: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derivative securities,</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effective portion, net</w:t>
            </w: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of income tax</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expense of $79</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(135)</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381</w:t>
            </w:r>
          </w:p>
        </w:tc>
        <w:tc>
          <w:tcPr>
            <w:tcW w:w="80" w:type="dxa"/>
            <w:vAlign w:val="bottom"/>
            <w:tcBorders>
              <w:bottom w:val="single" w:sz="8" w:color="D2DCE5"/>
            </w:tcBorders>
            <w:shd w:val="clear" w:color="auto" w:fill="D2DCE5"/>
          </w:tcPr>
          <w:p>
            <w:pPr>
              <w:spacing w:after="0"/>
              <w:rPr>
                <w:sz w:val="16"/>
                <w:szCs w:val="16"/>
                <w:color w:val="auto"/>
              </w:rPr>
            </w:pPr>
          </w:p>
        </w:tc>
        <w:tc>
          <w:tcPr>
            <w:tcW w:w="180" w:type="dxa"/>
            <w:vAlign w:val="bottom"/>
            <w:tcBorders>
              <w:bottom w:val="single" w:sz="8" w:color="D2DCE5"/>
            </w:tcBorders>
            <w:shd w:val="clear" w:color="auto" w:fill="D2DCE5"/>
          </w:tcPr>
          <w:p>
            <w:pPr>
              <w:spacing w:after="0"/>
              <w:rPr>
                <w:sz w:val="16"/>
                <w:szCs w:val="16"/>
                <w:color w:val="auto"/>
              </w:rPr>
            </w:pPr>
          </w:p>
        </w:tc>
        <w:tc>
          <w:tcPr>
            <w:tcW w:w="7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293</w:t>
            </w: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539</w:t>
            </w:r>
          </w:p>
        </w:tc>
        <w:tc>
          <w:tcPr>
            <w:tcW w:w="0" w:type="dxa"/>
            <w:vAlign w:val="bottom"/>
          </w:tcPr>
          <w:p>
            <w:pPr>
              <w:spacing w:after="0"/>
              <w:rPr>
                <w:sz w:val="1"/>
                <w:szCs w:val="1"/>
                <w:color w:val="auto"/>
              </w:rPr>
            </w:pPr>
          </w:p>
        </w:tc>
      </w:tr>
      <w:tr>
        <w:trPr>
          <w:trHeight w:val="193"/>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Equity-based</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compensation</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991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5"/>
                <w:szCs w:val="15"/>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131E29"/>
              </w:rPr>
              <w:t>942</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1,933</w:t>
            </w:r>
          </w:p>
        </w:tc>
        <w:tc>
          <w:tcPr>
            <w:tcW w:w="0" w:type="dxa"/>
            <w:vAlign w:val="bottom"/>
          </w:tcPr>
          <w:p>
            <w:pPr>
              <w:spacing w:after="0"/>
              <w:rPr>
                <w:sz w:val="1"/>
                <w:szCs w:val="1"/>
                <w:color w:val="auto"/>
              </w:rPr>
            </w:pPr>
          </w:p>
        </w:tc>
      </w:tr>
      <w:tr>
        <w:trPr>
          <w:trHeight w:val="194"/>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expense</w:t>
            </w:r>
          </w:p>
        </w:tc>
        <w:tc>
          <w:tcPr>
            <w:tcW w:w="6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Issuance of Class A</w:t>
            </w: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common stock</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pursuant to vesting of</w:t>
            </w: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 awards, net of</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stock withheld for tax</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and forfeitures</w:t>
            </w: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58</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1,867</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0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Borders>
              <w:bottom w:val="single" w:sz="8" w:color="D2DCE5"/>
            </w:tcBorders>
            <w:shd w:val="clear" w:color="auto" w:fill="D2DCE5"/>
          </w:tcPr>
          <w:p>
            <w:pPr>
              <w:spacing w:after="0"/>
              <w:rPr>
                <w:sz w:val="16"/>
                <w:szCs w:val="16"/>
                <w:color w:val="auto"/>
              </w:rPr>
            </w:pPr>
          </w:p>
        </w:tc>
        <w:tc>
          <w:tcPr>
            <w:tcW w:w="7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(2,742)</w:t>
            </w: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(875)</w:t>
            </w:r>
          </w:p>
        </w:tc>
        <w:tc>
          <w:tcPr>
            <w:tcW w:w="0" w:type="dxa"/>
            <w:vAlign w:val="bottom"/>
          </w:tcPr>
          <w:p>
            <w:pPr>
              <w:spacing w:after="0"/>
              <w:rPr>
                <w:sz w:val="1"/>
                <w:szCs w:val="1"/>
                <w:color w:val="auto"/>
              </w:rPr>
            </w:pPr>
          </w:p>
        </w:tc>
      </w:tr>
      <w:tr>
        <w:trPr>
          <w:trHeight w:val="193"/>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Issuance of Class A</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common stock in</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exchange for</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surrender and</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cancellation of Class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D common stock, and</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conversion of Dutch</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Bros OpCo Class A</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common units for</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surrender and</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cancellation of Class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B and C common</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stock, pursuant to</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exchange</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transactions</w:t>
            </w:r>
          </w:p>
        </w:tc>
        <w:tc>
          <w:tcPr>
            <w:tcW w:w="560" w:type="dxa"/>
            <w:vAlign w:val="bottom"/>
          </w:tcPr>
          <w:p>
            <w:pPr>
              <w:jc w:val="right"/>
              <w:spacing w:after="0"/>
              <w:rPr>
                <w:sz w:val="20"/>
                <w:szCs w:val="20"/>
                <w:color w:val="auto"/>
              </w:rPr>
            </w:pPr>
            <w:r>
              <w:rPr>
                <w:rFonts w:ascii="Arial" w:cs="Arial" w:eastAsia="Arial" w:hAnsi="Arial"/>
                <w:sz w:val="14"/>
                <w:szCs w:val="14"/>
                <w:color w:val="131E29"/>
              </w:rPr>
              <w:t>16,559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560" w:type="dxa"/>
            <w:vAlign w:val="bottom"/>
          </w:tcPr>
          <w:p>
            <w:pPr>
              <w:jc w:val="right"/>
              <w:spacing w:after="0"/>
              <w:rPr>
                <w:sz w:val="20"/>
                <w:szCs w:val="20"/>
                <w:color w:val="auto"/>
              </w:rPr>
            </w:pPr>
            <w:r>
              <w:rPr>
                <w:rFonts w:ascii="Arial" w:cs="Arial" w:eastAsia="Arial" w:hAnsi="Arial"/>
                <w:sz w:val="14"/>
                <w:szCs w:val="14"/>
                <w:color w:val="131E29"/>
              </w:rPr>
              <w:t>(558)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580" w:type="dxa"/>
            <w:vAlign w:val="bottom"/>
          </w:tcPr>
          <w:p>
            <w:pPr>
              <w:jc w:val="right"/>
              <w:spacing w:after="0"/>
              <w:rPr>
                <w:sz w:val="20"/>
                <w:szCs w:val="20"/>
                <w:color w:val="auto"/>
              </w:rPr>
            </w:pPr>
            <w:r>
              <w:rPr>
                <w:rFonts w:ascii="Arial" w:cs="Arial" w:eastAsia="Arial" w:hAnsi="Arial"/>
                <w:sz w:val="14"/>
                <w:szCs w:val="14"/>
                <w:color w:val="131E29"/>
              </w:rPr>
              <w:t>(11,985)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580" w:type="dxa"/>
            <w:vAlign w:val="bottom"/>
          </w:tcPr>
          <w:p>
            <w:pPr>
              <w:jc w:val="right"/>
              <w:spacing w:after="0"/>
              <w:rPr>
                <w:sz w:val="20"/>
                <w:szCs w:val="20"/>
                <w:color w:val="auto"/>
              </w:rPr>
            </w:pPr>
            <w:r>
              <w:rPr>
                <w:rFonts w:ascii="Arial" w:cs="Arial" w:eastAsia="Arial" w:hAnsi="Arial"/>
                <w:sz w:val="14"/>
                <w:szCs w:val="14"/>
                <w:color w:val="131E29"/>
              </w:rPr>
              <w:t>(4,016)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5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 of equity</w:t>
            </w: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transactions of Dutch</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Bros OpCo Class A</w:t>
            </w: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common units</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40,377</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0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Borders>
              <w:bottom w:val="single" w:sz="8" w:color="D2DCE5"/>
            </w:tcBorders>
            <w:shd w:val="clear" w:color="auto" w:fill="D2DCE5"/>
          </w:tcPr>
          <w:p>
            <w:pPr>
              <w:spacing w:after="0"/>
              <w:rPr>
                <w:sz w:val="16"/>
                <w:szCs w:val="16"/>
                <w:color w:val="auto"/>
              </w:rPr>
            </w:pPr>
          </w:p>
        </w:tc>
        <w:tc>
          <w:tcPr>
            <w:tcW w:w="7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(40,377)</w:t>
            </w: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3"/>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Impacts of Tax</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40" w:type="dxa"/>
            <w:vAlign w:val="bottom"/>
            <w:gridSpan w:val="2"/>
          </w:tcPr>
          <w:p>
            <w:pPr>
              <w:ind w:left="20"/>
              <w:spacing w:after="0"/>
              <w:rPr>
                <w:sz w:val="20"/>
                <w:szCs w:val="20"/>
                <w:color w:val="auto"/>
              </w:rPr>
            </w:pPr>
            <w:r>
              <w:rPr>
                <w:rFonts w:ascii="Arial" w:cs="Arial" w:eastAsia="Arial" w:hAnsi="Arial"/>
                <w:sz w:val="14"/>
                <w:szCs w:val="14"/>
                <w:color w:val="131E29"/>
              </w:rPr>
              <w:t>Receivable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10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vMerge w:val="restart"/>
          </w:tcPr>
          <w:p>
            <w:pPr>
              <w:ind w:left="80"/>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2,230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2,230</w:t>
            </w:r>
          </w:p>
        </w:tc>
        <w:tc>
          <w:tcPr>
            <w:tcW w:w="0" w:type="dxa"/>
            <w:vAlign w:val="bottom"/>
          </w:tcPr>
          <w:p>
            <w:pPr>
              <w:spacing w:after="0"/>
              <w:rPr>
                <w:sz w:val="1"/>
                <w:szCs w:val="1"/>
                <w:color w:val="auto"/>
              </w:rPr>
            </w:pPr>
          </w:p>
        </w:tc>
      </w:tr>
      <w:tr>
        <w:trPr>
          <w:trHeight w:val="194"/>
        </w:trPr>
        <w:tc>
          <w:tcPr>
            <w:tcW w:w="154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Agreements</w:t>
            </w: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2DCE5"/>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2DCE5"/>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2DCE5"/>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2DCE5"/>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2DCE5"/>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2DCE5"/>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2DCE5"/>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2DCE5"/>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2DCE5"/>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2DCE5"/>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2DCE5"/>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2DCE5"/>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54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March 31,</w:t>
            </w: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b w:val="1"/>
                <w:bCs w:val="1"/>
                <w:color w:val="131E29"/>
              </w:rPr>
              <w:t>86,575</w:t>
            </w: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jc w:val="right"/>
              <w:spacing w:after="0"/>
              <w:rPr>
                <w:sz w:val="20"/>
                <w:szCs w:val="20"/>
                <w:color w:val="auto"/>
              </w:rPr>
            </w:pPr>
            <w:r>
              <w:rPr>
                <w:rFonts w:ascii="Arial" w:cs="Arial" w:eastAsia="Arial" w:hAnsi="Arial"/>
                <w:sz w:val="14"/>
                <w:szCs w:val="14"/>
                <w:b w:val="1"/>
                <w:bCs w:val="1"/>
                <w:color w:val="131E29"/>
              </w:rPr>
              <w:t>1</w:t>
            </w:r>
          </w:p>
        </w:tc>
        <w:tc>
          <w:tcPr>
            <w:tcW w:w="80" w:type="dxa"/>
            <w:vAlign w:val="bottom"/>
            <w:shd w:val="clear" w:color="auto" w:fill="D2DCE5"/>
          </w:tcPr>
          <w:p>
            <w:pPr>
              <w:spacing w:after="0"/>
              <w:rPr>
                <w:sz w:val="15"/>
                <w:szCs w:val="15"/>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b w:val="1"/>
                <w:bCs w:val="1"/>
                <w:color w:val="131E29"/>
              </w:rPr>
              <w:t>60,071</w:t>
            </w: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1</w:t>
            </w:r>
          </w:p>
        </w:tc>
        <w:tc>
          <w:tcPr>
            <w:tcW w:w="80" w:type="dxa"/>
            <w:vAlign w:val="bottom"/>
            <w:shd w:val="clear" w:color="auto" w:fill="D2DCE5"/>
          </w:tcPr>
          <w:p>
            <w:pPr>
              <w:spacing w:after="0"/>
              <w:rPr>
                <w:sz w:val="15"/>
                <w:szCs w:val="15"/>
                <w:color w:val="auto"/>
              </w:rPr>
            </w:pPr>
          </w:p>
        </w:tc>
        <w:tc>
          <w:tcPr>
            <w:tcW w:w="580" w:type="dxa"/>
            <w:vAlign w:val="bottom"/>
            <w:vMerge w:val="restart"/>
            <w:shd w:val="clear" w:color="auto" w:fill="D2DCE5"/>
          </w:tcPr>
          <w:p>
            <w:pPr>
              <w:jc w:val="right"/>
              <w:spacing w:after="0"/>
              <w:rPr>
                <w:sz w:val="20"/>
                <w:szCs w:val="20"/>
                <w:color w:val="auto"/>
              </w:rPr>
            </w:pPr>
            <w:r>
              <w:rPr>
                <w:rFonts w:ascii="Arial" w:cs="Arial" w:eastAsia="Arial" w:hAnsi="Arial"/>
                <w:sz w:val="14"/>
                <w:szCs w:val="14"/>
                <w:b w:val="1"/>
                <w:bCs w:val="1"/>
                <w:color w:val="131E29"/>
              </w:rPr>
              <w:t>23,879</w:t>
            </w: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b w:val="1"/>
                <w:bCs w:val="1"/>
                <w:color w:val="131E29"/>
              </w:rPr>
              <w:t>—</w:t>
            </w:r>
          </w:p>
        </w:tc>
        <w:tc>
          <w:tcPr>
            <w:tcW w:w="58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6,653</w:t>
            </w: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60"/>
              <w:spacing w:after="0"/>
              <w:rPr>
                <w:sz w:val="20"/>
                <w:szCs w:val="20"/>
                <w:color w:val="auto"/>
              </w:rPr>
            </w:pPr>
            <w:r>
              <w:rPr>
                <w:rFonts w:ascii="Arial" w:cs="Arial" w:eastAsia="Arial" w:hAnsi="Arial"/>
                <w:sz w:val="14"/>
                <w:szCs w:val="14"/>
                <w:b w:val="1"/>
                <w:bCs w:val="1"/>
                <w:color w:val="131E29"/>
              </w:rPr>
              <w:t>—</w:t>
            </w: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b w:val="1"/>
                <w:bCs w:val="1"/>
                <w:color w:val="131E29"/>
              </w:rPr>
              <w:t>424,721</w:t>
            </w: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vMerge w:val="restart"/>
            <w:shd w:val="clear" w:color="auto" w:fill="D2DCE5"/>
          </w:tcPr>
          <w:p>
            <w:pPr>
              <w:jc w:val="right"/>
              <w:spacing w:after="0"/>
              <w:rPr>
                <w:sz w:val="20"/>
                <w:szCs w:val="20"/>
                <w:color w:val="auto"/>
              </w:rPr>
            </w:pPr>
            <w:r>
              <w:rPr>
                <w:rFonts w:ascii="Arial" w:cs="Arial" w:eastAsia="Arial" w:hAnsi="Arial"/>
                <w:sz w:val="14"/>
                <w:szCs w:val="14"/>
                <w:b w:val="1"/>
                <w:bCs w:val="1"/>
                <w:color w:val="131E29"/>
              </w:rPr>
              <w:t>925</w:t>
            </w:r>
          </w:p>
        </w:tc>
        <w:tc>
          <w:tcPr>
            <w:tcW w:w="80" w:type="dxa"/>
            <w:vAlign w:val="bottom"/>
            <w:shd w:val="clear" w:color="auto" w:fill="D2DCE5"/>
          </w:tcPr>
          <w:p>
            <w:pPr>
              <w:spacing w:after="0"/>
              <w:rPr>
                <w:sz w:val="15"/>
                <w:szCs w:val="15"/>
                <w:color w:val="auto"/>
              </w:rPr>
            </w:pPr>
          </w:p>
        </w:tc>
        <w:tc>
          <w:tcPr>
            <w:tcW w:w="180" w:type="dxa"/>
            <w:vAlign w:val="bottom"/>
            <w:vMerge w:val="restart"/>
            <w:shd w:val="clear" w:color="auto" w:fill="D2DCE5"/>
          </w:tcPr>
          <w:p>
            <w:pPr>
              <w:ind w:left="20"/>
              <w:spacing w:after="0"/>
              <w:rPr>
                <w:sz w:val="20"/>
                <w:szCs w:val="20"/>
                <w:color w:val="auto"/>
              </w:rPr>
            </w:pPr>
            <w:r>
              <w:rPr>
                <w:rFonts w:ascii="Arial" w:cs="Arial" w:eastAsia="Arial" w:hAnsi="Arial"/>
                <w:sz w:val="14"/>
                <w:szCs w:val="14"/>
                <w:b w:val="1"/>
                <w:bCs w:val="1"/>
                <w:color w:val="131E29"/>
              </w:rPr>
              <w:t>$</w:t>
            </w: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b w:val="1"/>
                <w:bCs w:val="1"/>
                <w:color w:val="131E29"/>
              </w:rPr>
              <w:t>(8,530)</w:t>
            </w:r>
          </w:p>
        </w:tc>
        <w:tc>
          <w:tcPr>
            <w:tcW w:w="80" w:type="dxa"/>
            <w:vAlign w:val="bottom"/>
            <w:shd w:val="clear" w:color="auto" w:fill="D2DCE5"/>
          </w:tcPr>
          <w:p>
            <w:pPr>
              <w:spacing w:after="0"/>
              <w:rPr>
                <w:sz w:val="15"/>
                <w:szCs w:val="15"/>
                <w:color w:val="auto"/>
              </w:rPr>
            </w:pPr>
          </w:p>
        </w:tc>
        <w:tc>
          <w:tcPr>
            <w:tcW w:w="74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$ 278,845</w:t>
            </w:r>
          </w:p>
        </w:tc>
        <w:tc>
          <w:tcPr>
            <w:tcW w:w="80" w:type="dxa"/>
            <w:vAlign w:val="bottom"/>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b w:val="1"/>
                <w:bCs w:val="1"/>
                <w:color w:val="131E29"/>
                <w:w w:val="99"/>
              </w:rPr>
              <w:t>$ 695,963</w:t>
            </w:r>
          </w:p>
        </w:tc>
        <w:tc>
          <w:tcPr>
            <w:tcW w:w="0" w:type="dxa"/>
            <w:vAlign w:val="bottom"/>
          </w:tcPr>
          <w:p>
            <w:pPr>
              <w:spacing w:after="0"/>
              <w:rPr>
                <w:sz w:val="1"/>
                <w:szCs w:val="1"/>
                <w:color w:val="auto"/>
              </w:rPr>
            </w:pPr>
          </w:p>
        </w:tc>
      </w:tr>
      <w:tr>
        <w:trPr>
          <w:trHeight w:val="205"/>
        </w:trPr>
        <w:tc>
          <w:tcPr>
            <w:tcW w:w="146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2024</w:t>
            </w:r>
          </w:p>
        </w:tc>
        <w:tc>
          <w:tcPr>
            <w:tcW w:w="80" w:type="dxa"/>
            <w:vAlign w:val="bottom"/>
            <w:shd w:val="clear" w:color="auto" w:fill="D2DCE5"/>
          </w:tcPr>
          <w:p>
            <w:pPr>
              <w:spacing w:after="0"/>
              <w:rPr>
                <w:sz w:val="17"/>
                <w:szCs w:val="17"/>
                <w:color w:val="auto"/>
              </w:rPr>
            </w:pPr>
          </w:p>
        </w:tc>
        <w:tc>
          <w:tcPr>
            <w:tcW w:w="56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58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70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6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vMerge w:val="continue"/>
            <w:shd w:val="clear" w:color="auto" w:fill="D2DCE5"/>
          </w:tcPr>
          <w:p>
            <w:pPr>
              <w:spacing w:after="0"/>
              <w:rPr>
                <w:sz w:val="17"/>
                <w:szCs w:val="17"/>
                <w:color w:val="auto"/>
              </w:rPr>
            </w:pPr>
          </w:p>
        </w:tc>
        <w:tc>
          <w:tcPr>
            <w:tcW w:w="70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6098"/>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131E29"/>
        </w:rPr>
        <w:t>Condensed Consolidated Statements of Cash Flows</w:t>
      </w:r>
    </w:p>
    <w:p>
      <w:pPr>
        <w:spacing w:after="0" w:line="200" w:lineRule="exact"/>
        <w:rPr>
          <w:sz w:val="20"/>
          <w:szCs w:val="20"/>
          <w:color w:val="auto"/>
        </w:rPr>
      </w:pP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8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20" w:type="dxa"/>
            <w:vAlign w:val="bottom"/>
            <w:gridSpan w:val="5"/>
          </w:tcPr>
          <w:p>
            <w:pPr>
              <w:jc w:val="right"/>
              <w:ind w:right="19"/>
              <w:spacing w:after="0"/>
              <w:rPr>
                <w:sz w:val="20"/>
                <w:szCs w:val="20"/>
                <w:color w:val="auto"/>
              </w:rPr>
            </w:pPr>
            <w:r>
              <w:rPr>
                <w:rFonts w:ascii="Arial" w:cs="Arial" w:eastAsia="Arial" w:hAnsi="Arial"/>
                <w:sz w:val="16"/>
                <w:szCs w:val="16"/>
                <w:b w:val="1"/>
                <w:bCs w:val="1"/>
                <w:color w:val="131E29"/>
              </w:rPr>
              <w:t>Three Months Ended March</w:t>
            </w:r>
          </w:p>
        </w:tc>
      </w:tr>
      <w:tr>
        <w:trPr>
          <w:trHeight w:val="223"/>
        </w:trPr>
        <w:tc>
          <w:tcPr>
            <w:tcW w:w="8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ind w:right="79"/>
              <w:spacing w:after="0"/>
              <w:rPr>
                <w:sz w:val="20"/>
                <w:szCs w:val="20"/>
                <w:color w:val="auto"/>
              </w:rPr>
            </w:pPr>
            <w:r>
              <w:rPr>
                <w:rFonts w:ascii="Arial" w:cs="Arial" w:eastAsia="Arial" w:hAnsi="Arial"/>
                <w:sz w:val="16"/>
                <w:szCs w:val="16"/>
                <w:b w:val="1"/>
                <w:bCs w:val="1"/>
                <w:color w:val="131E29"/>
              </w:rPr>
              <w:t>31,</w:t>
            </w:r>
          </w:p>
        </w:tc>
        <w:tc>
          <w:tcPr>
            <w:tcW w:w="880" w:type="dxa"/>
            <w:vAlign w:val="bottom"/>
          </w:tcPr>
          <w:p>
            <w:pPr>
              <w:spacing w:after="0"/>
              <w:rPr>
                <w:sz w:val="19"/>
                <w:szCs w:val="19"/>
                <w:color w:val="auto"/>
              </w:rPr>
            </w:pPr>
          </w:p>
        </w:tc>
      </w:tr>
      <w:tr>
        <w:trPr>
          <w:trHeight w:val="21"/>
        </w:trPr>
        <w:tc>
          <w:tcPr>
            <w:tcW w:w="8780" w:type="dxa"/>
            <w:vAlign w:val="bottom"/>
            <w:gridSpan w:val="2"/>
          </w:tcPr>
          <w:p>
            <w:pPr>
              <w:spacing w:after="0" w:line="20" w:lineRule="exact"/>
              <w:rPr>
                <w:sz w:val="1"/>
                <w:szCs w:val="1"/>
                <w:color w:val="auto"/>
              </w:rPr>
            </w:pPr>
          </w:p>
        </w:tc>
        <w:tc>
          <w:tcPr>
            <w:tcW w:w="240" w:type="dxa"/>
            <w:vAlign w:val="bottom"/>
            <w:tcBorders>
              <w:bottom w:val="single" w:sz="8" w:color="D7282F"/>
            </w:tcBorders>
          </w:tcPr>
          <w:p>
            <w:pPr>
              <w:spacing w:after="0" w:line="20" w:lineRule="exact"/>
              <w:rPr>
                <w:sz w:val="1"/>
                <w:szCs w:val="1"/>
                <w:color w:val="auto"/>
              </w:rPr>
            </w:pPr>
          </w:p>
        </w:tc>
        <w:tc>
          <w:tcPr>
            <w:tcW w:w="88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240" w:type="dxa"/>
            <w:vAlign w:val="bottom"/>
            <w:tcBorders>
              <w:bottom w:val="single" w:sz="8" w:color="D7282F"/>
            </w:tcBorders>
          </w:tcPr>
          <w:p>
            <w:pPr>
              <w:spacing w:after="0" w:line="20" w:lineRule="exact"/>
              <w:rPr>
                <w:sz w:val="1"/>
                <w:szCs w:val="1"/>
                <w:color w:val="auto"/>
              </w:rPr>
            </w:pPr>
          </w:p>
        </w:tc>
        <w:tc>
          <w:tcPr>
            <w:tcW w:w="880" w:type="dxa"/>
            <w:vAlign w:val="bottom"/>
            <w:tcBorders>
              <w:bottom w:val="single" w:sz="8" w:color="D7282F"/>
            </w:tcBorders>
          </w:tcPr>
          <w:p>
            <w:pPr>
              <w:spacing w:after="0" w:line="20" w:lineRule="exact"/>
              <w:rPr>
                <w:sz w:val="1"/>
                <w:szCs w:val="1"/>
                <w:color w:val="auto"/>
              </w:rPr>
            </w:pPr>
          </w:p>
        </w:tc>
      </w:tr>
      <w:tr>
        <w:trPr>
          <w:trHeight w:val="233"/>
        </w:trPr>
        <w:tc>
          <w:tcPr>
            <w:tcW w:w="8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unaudited)</w:t>
            </w:r>
          </w:p>
        </w:tc>
        <w:tc>
          <w:tcPr>
            <w:tcW w:w="660" w:type="dxa"/>
            <w:vAlign w:val="bottom"/>
            <w:tcBorders>
              <w:bottom w:val="single" w:sz="8" w:color="D2DCE5"/>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880" w:type="dxa"/>
            <w:vAlign w:val="bottom"/>
            <w:tcBorders>
              <w:bottom w:val="single" w:sz="8" w:color="D7282F"/>
            </w:tcBorders>
          </w:tcPr>
          <w:p>
            <w:pPr>
              <w:jc w:val="right"/>
              <w:ind w:right="299"/>
              <w:spacing w:after="0"/>
              <w:rPr>
                <w:sz w:val="20"/>
                <w:szCs w:val="20"/>
                <w:color w:val="auto"/>
              </w:rPr>
            </w:pPr>
            <w:r>
              <w:rPr>
                <w:rFonts w:ascii="Arial" w:cs="Arial" w:eastAsia="Arial" w:hAnsi="Arial"/>
                <w:sz w:val="16"/>
                <w:szCs w:val="16"/>
                <w:b w:val="1"/>
                <w:bCs w:val="1"/>
                <w:color w:val="131E29"/>
              </w:rPr>
              <w:t>2025</w:t>
            </w:r>
          </w:p>
        </w:tc>
        <w:tc>
          <w:tcPr>
            <w:tcW w:w="80" w:type="dxa"/>
            <w:vAlign w:val="bottom"/>
            <w:tcBorders>
              <w:bottom w:val="single" w:sz="8" w:color="D2DCE5"/>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880" w:type="dxa"/>
            <w:vAlign w:val="bottom"/>
            <w:tcBorders>
              <w:bottom w:val="single" w:sz="8" w:color="D7282F"/>
            </w:tcBorders>
          </w:tcPr>
          <w:p>
            <w:pPr>
              <w:jc w:val="right"/>
              <w:ind w:right="299"/>
              <w:spacing w:after="0"/>
              <w:rPr>
                <w:sz w:val="20"/>
                <w:szCs w:val="20"/>
                <w:color w:val="auto"/>
              </w:rPr>
            </w:pPr>
            <w:r>
              <w:rPr>
                <w:rFonts w:ascii="Arial" w:cs="Arial" w:eastAsia="Arial" w:hAnsi="Arial"/>
                <w:sz w:val="16"/>
                <w:szCs w:val="16"/>
                <w:b w:val="1"/>
                <w:bCs w:val="1"/>
                <w:color w:val="131E29"/>
              </w:rPr>
              <w:t>2024</w:t>
            </w:r>
          </w:p>
        </w:tc>
      </w:tr>
      <w:tr>
        <w:trPr>
          <w:trHeight w:val="240"/>
        </w:trPr>
        <w:tc>
          <w:tcPr>
            <w:tcW w:w="8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Cash flows from operating activities:</w:t>
            </w:r>
          </w:p>
        </w:tc>
        <w:tc>
          <w:tcPr>
            <w:tcW w:w="240" w:type="dxa"/>
            <w:vAlign w:val="bottom"/>
            <w:shd w:val="clear" w:color="auto" w:fill="D2DCE5"/>
          </w:tcPr>
          <w:p>
            <w:pPr>
              <w:spacing w:after="0"/>
              <w:rPr>
                <w:sz w:val="20"/>
                <w:szCs w:val="20"/>
                <w:color w:val="auto"/>
              </w:rPr>
            </w:pPr>
          </w:p>
        </w:tc>
        <w:tc>
          <w:tcPr>
            <w:tcW w:w="8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880" w:type="dxa"/>
            <w:vAlign w:val="bottom"/>
            <w:shd w:val="clear" w:color="auto" w:fill="D2DCE5"/>
          </w:tcPr>
          <w:p>
            <w:pPr>
              <w:spacing w:after="0"/>
              <w:rPr>
                <w:sz w:val="20"/>
                <w:szCs w:val="20"/>
                <w:color w:val="auto"/>
              </w:rPr>
            </w:pPr>
          </w:p>
        </w:tc>
      </w:tr>
      <w:tr>
        <w:trPr>
          <w:trHeight w:val="235"/>
        </w:trPr>
        <w:tc>
          <w:tcPr>
            <w:tcW w:w="8780" w:type="dxa"/>
            <w:vAlign w:val="bottom"/>
            <w:gridSpan w:val="2"/>
          </w:tcPr>
          <w:p>
            <w:pPr>
              <w:ind w:left="180"/>
              <w:spacing w:after="0"/>
              <w:rPr>
                <w:sz w:val="20"/>
                <w:szCs w:val="20"/>
                <w:color w:val="auto"/>
              </w:rPr>
            </w:pPr>
            <w:r>
              <w:rPr>
                <w:rFonts w:ascii="Arial" w:cs="Arial" w:eastAsia="Arial" w:hAnsi="Arial"/>
                <w:sz w:val="16"/>
                <w:szCs w:val="16"/>
                <w:color w:val="131E29"/>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006098"/>
              </w:rPr>
              <w:t>$</w:t>
            </w:r>
          </w:p>
        </w:tc>
        <w:tc>
          <w:tcPr>
            <w:tcW w:w="880" w:type="dxa"/>
            <w:vAlign w:val="bottom"/>
          </w:tcPr>
          <w:p>
            <w:pPr>
              <w:jc w:val="right"/>
              <w:spacing w:after="0"/>
              <w:rPr>
                <w:sz w:val="20"/>
                <w:szCs w:val="20"/>
                <w:color w:val="auto"/>
              </w:rPr>
            </w:pPr>
            <w:r>
              <w:rPr>
                <w:rFonts w:ascii="Arial" w:cs="Arial" w:eastAsia="Arial" w:hAnsi="Arial"/>
                <w:sz w:val="16"/>
                <w:szCs w:val="16"/>
                <w:color w:val="006098"/>
              </w:rPr>
              <w:t>22,480</w:t>
            </w:r>
          </w:p>
        </w:tc>
        <w:tc>
          <w:tcPr>
            <w:tcW w:w="8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131E29"/>
              </w:rPr>
              <w:t>$</w:t>
            </w:r>
          </w:p>
        </w:tc>
        <w:tc>
          <w:tcPr>
            <w:tcW w:w="880" w:type="dxa"/>
            <w:vAlign w:val="bottom"/>
          </w:tcPr>
          <w:p>
            <w:pPr>
              <w:jc w:val="right"/>
              <w:spacing w:after="0"/>
              <w:rPr>
                <w:sz w:val="20"/>
                <w:szCs w:val="20"/>
                <w:color w:val="auto"/>
              </w:rPr>
            </w:pPr>
            <w:r>
              <w:rPr>
                <w:rFonts w:ascii="Arial" w:cs="Arial" w:eastAsia="Arial" w:hAnsi="Arial"/>
                <w:sz w:val="16"/>
                <w:szCs w:val="16"/>
                <w:color w:val="131E29"/>
              </w:rPr>
              <w:t>16,215</w:t>
            </w:r>
          </w:p>
        </w:tc>
      </w:tr>
      <w:tr>
        <w:trPr>
          <w:trHeight w:val="251"/>
        </w:trPr>
        <w:tc>
          <w:tcPr>
            <w:tcW w:w="878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Adjustments to reconcile net income to net cash provided by operating activities:</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spacing w:after="0"/>
              <w:rPr>
                <w:sz w:val="21"/>
                <w:szCs w:val="21"/>
                <w:color w:val="auto"/>
              </w:rPr>
            </w:pPr>
          </w:p>
        </w:tc>
      </w:tr>
      <w:tr>
        <w:trPr>
          <w:trHeight w:val="235"/>
        </w:trPr>
        <w:tc>
          <w:tcPr>
            <w:tcW w:w="8780" w:type="dxa"/>
            <w:vAlign w:val="bottom"/>
            <w:gridSpan w:val="2"/>
          </w:tcPr>
          <w:p>
            <w:pPr>
              <w:ind w:left="340"/>
              <w:spacing w:after="0"/>
              <w:rPr>
                <w:sz w:val="20"/>
                <w:szCs w:val="20"/>
                <w:color w:val="auto"/>
              </w:rPr>
            </w:pPr>
            <w:r>
              <w:rPr>
                <w:rFonts w:ascii="Arial" w:cs="Arial" w:eastAsia="Arial" w:hAnsi="Arial"/>
                <w:sz w:val="16"/>
                <w:szCs w:val="16"/>
                <w:color w:val="131E29"/>
              </w:rPr>
              <w:t>Depreciation and amortization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26,430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21,253</w:t>
            </w:r>
          </w:p>
        </w:tc>
      </w:tr>
      <w:tr>
        <w:trPr>
          <w:trHeight w:val="251"/>
        </w:trPr>
        <w:tc>
          <w:tcPr>
            <w:tcW w:w="8780" w:type="dxa"/>
            <w:vAlign w:val="bottom"/>
            <w:gridSpan w:val="2"/>
            <w:shd w:val="clear" w:color="auto" w:fill="D2DCE5"/>
          </w:tcPr>
          <w:p>
            <w:pPr>
              <w:ind w:left="340"/>
              <w:spacing w:after="0"/>
              <w:rPr>
                <w:sz w:val="20"/>
                <w:szCs w:val="20"/>
                <w:color w:val="auto"/>
              </w:rPr>
            </w:pPr>
            <w:r>
              <w:rPr>
                <w:rFonts w:ascii="Arial" w:cs="Arial" w:eastAsia="Arial" w:hAnsi="Arial"/>
                <w:sz w:val="16"/>
                <w:szCs w:val="16"/>
                <w:color w:val="131E29"/>
              </w:rPr>
              <w:t>Non-cash interest expense</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278</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278</w:t>
            </w:r>
          </w:p>
        </w:tc>
      </w:tr>
      <w:tr>
        <w:trPr>
          <w:trHeight w:val="235"/>
        </w:trPr>
        <w:tc>
          <w:tcPr>
            <w:tcW w:w="8780" w:type="dxa"/>
            <w:vAlign w:val="bottom"/>
            <w:gridSpan w:val="2"/>
          </w:tcPr>
          <w:p>
            <w:pPr>
              <w:ind w:left="340"/>
              <w:spacing w:after="0"/>
              <w:rPr>
                <w:sz w:val="20"/>
                <w:szCs w:val="20"/>
                <w:color w:val="auto"/>
              </w:rPr>
            </w:pPr>
            <w:r>
              <w:rPr>
                <w:rFonts w:ascii="Arial" w:cs="Arial" w:eastAsia="Arial" w:hAnsi="Arial"/>
                <w:sz w:val="16"/>
                <w:szCs w:val="16"/>
                <w:color w:val="131E29"/>
              </w:rPr>
              <w:t>Gain (loss) on disposal of assets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58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(1)</w:t>
            </w:r>
          </w:p>
        </w:tc>
      </w:tr>
      <w:tr>
        <w:trPr>
          <w:trHeight w:val="251"/>
        </w:trPr>
        <w:tc>
          <w:tcPr>
            <w:tcW w:w="8780" w:type="dxa"/>
            <w:vAlign w:val="bottom"/>
            <w:gridSpan w:val="2"/>
            <w:shd w:val="clear" w:color="auto" w:fill="D2DCE5"/>
          </w:tcPr>
          <w:p>
            <w:pPr>
              <w:ind w:left="340"/>
              <w:spacing w:after="0"/>
              <w:rPr>
                <w:sz w:val="20"/>
                <w:szCs w:val="20"/>
                <w:color w:val="auto"/>
              </w:rPr>
            </w:pPr>
            <w:r>
              <w:rPr>
                <w:rFonts w:ascii="Arial" w:cs="Arial" w:eastAsia="Arial" w:hAnsi="Arial"/>
                <w:sz w:val="16"/>
                <w:szCs w:val="16"/>
                <w:color w:val="131E29"/>
              </w:rPr>
              <w:t>Equity-based compensation</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4,194</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1,933</w:t>
            </w:r>
          </w:p>
        </w:tc>
      </w:tr>
      <w:tr>
        <w:trPr>
          <w:trHeight w:val="235"/>
        </w:trPr>
        <w:tc>
          <w:tcPr>
            <w:tcW w:w="8780" w:type="dxa"/>
            <w:vAlign w:val="bottom"/>
            <w:gridSpan w:val="2"/>
          </w:tcPr>
          <w:p>
            <w:pPr>
              <w:ind w:left="340"/>
              <w:spacing w:after="0"/>
              <w:rPr>
                <w:sz w:val="20"/>
                <w:szCs w:val="20"/>
                <w:color w:val="auto"/>
              </w:rPr>
            </w:pPr>
            <w:r>
              <w:rPr>
                <w:rFonts w:ascii="Arial" w:cs="Arial" w:eastAsia="Arial" w:hAnsi="Arial"/>
                <w:sz w:val="16"/>
                <w:szCs w:val="16"/>
                <w:color w:val="131E29"/>
              </w:rPr>
              <w:t>Deferred income taxes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985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8,395</w:t>
            </w:r>
          </w:p>
        </w:tc>
      </w:tr>
      <w:tr>
        <w:trPr>
          <w:trHeight w:val="251"/>
        </w:trPr>
        <w:tc>
          <w:tcPr>
            <w:tcW w:w="8780" w:type="dxa"/>
            <w:vAlign w:val="bottom"/>
            <w:gridSpan w:val="2"/>
            <w:shd w:val="clear" w:color="auto" w:fill="D2DCE5"/>
          </w:tcPr>
          <w:p>
            <w:pPr>
              <w:ind w:left="340"/>
              <w:spacing w:after="0"/>
              <w:rPr>
                <w:sz w:val="20"/>
                <w:szCs w:val="20"/>
                <w:color w:val="auto"/>
              </w:rPr>
            </w:pPr>
            <w:r>
              <w:rPr>
                <w:rFonts w:ascii="Arial" w:cs="Arial" w:eastAsia="Arial" w:hAnsi="Arial"/>
                <w:sz w:val="16"/>
                <w:szCs w:val="16"/>
                <w:color w:val="131E29"/>
              </w:rPr>
              <w:t>Remeasurement gain on TRAs</w:t>
            </w:r>
          </w:p>
        </w:tc>
        <w:tc>
          <w:tcPr>
            <w:tcW w:w="240" w:type="dxa"/>
            <w:vAlign w:val="bottom"/>
            <w:shd w:val="clear" w:color="auto" w:fill="D2DCE5"/>
          </w:tcPr>
          <w:p>
            <w:pPr>
              <w:spacing w:after="0"/>
              <w:rPr>
                <w:sz w:val="21"/>
                <w:szCs w:val="21"/>
                <w:color w:val="auto"/>
              </w:rPr>
            </w:pPr>
          </w:p>
        </w:tc>
        <w:tc>
          <w:tcPr>
            <w:tcW w:w="960" w:type="dxa"/>
            <w:vAlign w:val="bottom"/>
            <w:gridSpan w:val="2"/>
            <w:shd w:val="clear" w:color="auto" w:fill="D2DCE5"/>
          </w:tcPr>
          <w:p>
            <w:pPr>
              <w:jc w:val="right"/>
              <w:ind w:right="160"/>
              <w:spacing w:after="0"/>
              <w:rPr>
                <w:sz w:val="20"/>
                <w:szCs w:val="20"/>
                <w:color w:val="auto"/>
              </w:rPr>
            </w:pPr>
            <w:r>
              <w:rPr>
                <w:rFonts w:ascii="Arial" w:cs="Arial" w:eastAsia="Arial" w:hAnsi="Arial"/>
                <w:sz w:val="16"/>
                <w:szCs w:val="16"/>
                <w:color w:val="006098"/>
              </w:rPr>
              <w:t>—</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(5,687)</w:t>
            </w:r>
          </w:p>
        </w:tc>
      </w:tr>
      <w:tr>
        <w:trPr>
          <w:trHeight w:val="235"/>
        </w:trPr>
        <w:tc>
          <w:tcPr>
            <w:tcW w:w="8780" w:type="dxa"/>
            <w:vAlign w:val="bottom"/>
            <w:gridSpan w:val="2"/>
          </w:tcPr>
          <w:p>
            <w:pPr>
              <w:ind w:left="340"/>
              <w:spacing w:after="0"/>
              <w:rPr>
                <w:sz w:val="20"/>
                <w:szCs w:val="20"/>
                <w:color w:val="auto"/>
              </w:rPr>
            </w:pPr>
            <w:r>
              <w:rPr>
                <w:rFonts w:ascii="Arial" w:cs="Arial" w:eastAsia="Arial" w:hAnsi="Arial"/>
                <w:sz w:val="16"/>
                <w:szCs w:val="16"/>
                <w:color w:val="131E29"/>
              </w:rPr>
              <w:t>Non-cash operating lease cost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4,635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3,320</w:t>
            </w:r>
          </w:p>
        </w:tc>
      </w:tr>
      <w:tr>
        <w:trPr>
          <w:trHeight w:val="251"/>
        </w:trPr>
        <w:tc>
          <w:tcPr>
            <w:tcW w:w="8780" w:type="dxa"/>
            <w:vAlign w:val="bottom"/>
            <w:gridSpan w:val="2"/>
            <w:shd w:val="clear" w:color="auto" w:fill="D2DCE5"/>
          </w:tcPr>
          <w:p>
            <w:pPr>
              <w:ind w:left="340"/>
              <w:spacing w:after="0"/>
              <w:rPr>
                <w:sz w:val="20"/>
                <w:szCs w:val="20"/>
                <w:color w:val="auto"/>
              </w:rPr>
            </w:pPr>
            <w:r>
              <w:rPr>
                <w:rFonts w:ascii="Arial" w:cs="Arial" w:eastAsia="Arial" w:hAnsi="Arial"/>
                <w:sz w:val="16"/>
                <w:szCs w:val="16"/>
                <w:color w:val="131E29"/>
              </w:rPr>
              <w:t>Changes in operating assets and liabilities:</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spacing w:after="0"/>
              <w:rPr>
                <w:sz w:val="21"/>
                <w:szCs w:val="21"/>
                <w:color w:val="auto"/>
              </w:rPr>
            </w:pPr>
          </w:p>
        </w:tc>
      </w:tr>
      <w:tr>
        <w:trPr>
          <w:trHeight w:val="235"/>
        </w:trPr>
        <w:tc>
          <w:tcPr>
            <w:tcW w:w="8780" w:type="dxa"/>
            <w:vAlign w:val="bottom"/>
            <w:gridSpan w:val="2"/>
          </w:tcPr>
          <w:p>
            <w:pPr>
              <w:ind w:left="500"/>
              <w:spacing w:after="0"/>
              <w:rPr>
                <w:sz w:val="20"/>
                <w:szCs w:val="20"/>
                <w:color w:val="auto"/>
              </w:rPr>
            </w:pPr>
            <w:r>
              <w:rPr>
                <w:rFonts w:ascii="Arial" w:cs="Arial" w:eastAsia="Arial" w:hAnsi="Arial"/>
                <w:sz w:val="16"/>
                <w:szCs w:val="16"/>
                <w:color w:val="131E29"/>
              </w:rPr>
              <w:t>Accounts receivable, net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(1,037)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(2,535)</w:t>
            </w:r>
          </w:p>
        </w:tc>
      </w:tr>
      <w:tr>
        <w:trPr>
          <w:trHeight w:val="251"/>
        </w:trPr>
        <w:tc>
          <w:tcPr>
            <w:tcW w:w="8780" w:type="dxa"/>
            <w:vAlign w:val="bottom"/>
            <w:gridSpan w:val="2"/>
            <w:shd w:val="clear" w:color="auto" w:fill="D2DCE5"/>
          </w:tcPr>
          <w:p>
            <w:pPr>
              <w:ind w:left="500"/>
              <w:spacing w:after="0"/>
              <w:rPr>
                <w:sz w:val="20"/>
                <w:szCs w:val="20"/>
                <w:color w:val="auto"/>
              </w:rPr>
            </w:pPr>
            <w:r>
              <w:rPr>
                <w:rFonts w:ascii="Arial" w:cs="Arial" w:eastAsia="Arial" w:hAnsi="Arial"/>
                <w:sz w:val="16"/>
                <w:szCs w:val="16"/>
                <w:color w:val="131E29"/>
              </w:rPr>
              <w:t>Inventories, net</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(1,737)</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1,560</w:t>
            </w:r>
          </w:p>
        </w:tc>
      </w:tr>
      <w:tr>
        <w:trPr>
          <w:trHeight w:val="235"/>
        </w:trPr>
        <w:tc>
          <w:tcPr>
            <w:tcW w:w="8780" w:type="dxa"/>
            <w:vAlign w:val="bottom"/>
            <w:gridSpan w:val="2"/>
          </w:tcPr>
          <w:p>
            <w:pPr>
              <w:ind w:left="500"/>
              <w:spacing w:after="0"/>
              <w:rPr>
                <w:sz w:val="20"/>
                <w:szCs w:val="20"/>
                <w:color w:val="auto"/>
              </w:rPr>
            </w:pPr>
            <w:r>
              <w:rPr>
                <w:rFonts w:ascii="Arial" w:cs="Arial" w:eastAsia="Arial" w:hAnsi="Arial"/>
                <w:sz w:val="16"/>
                <w:szCs w:val="16"/>
                <w:color w:val="131E29"/>
              </w:rPr>
              <w:t>Prepaid expenses and other current assets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792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483</w:t>
            </w:r>
          </w:p>
        </w:tc>
      </w:tr>
      <w:tr>
        <w:trPr>
          <w:trHeight w:val="251"/>
        </w:trPr>
        <w:tc>
          <w:tcPr>
            <w:tcW w:w="8780" w:type="dxa"/>
            <w:vAlign w:val="bottom"/>
            <w:gridSpan w:val="2"/>
            <w:shd w:val="clear" w:color="auto" w:fill="D2DCE5"/>
          </w:tcPr>
          <w:p>
            <w:pPr>
              <w:ind w:left="500"/>
              <w:spacing w:after="0"/>
              <w:rPr>
                <w:sz w:val="20"/>
                <w:szCs w:val="20"/>
                <w:color w:val="auto"/>
              </w:rPr>
            </w:pPr>
            <w:r>
              <w:rPr>
                <w:rFonts w:ascii="Arial" w:cs="Arial" w:eastAsia="Arial" w:hAnsi="Arial"/>
                <w:sz w:val="16"/>
                <w:szCs w:val="16"/>
                <w:color w:val="131E29"/>
              </w:rPr>
              <w:t>Other long-term assets</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(2,240)</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84</w:t>
            </w:r>
          </w:p>
        </w:tc>
      </w:tr>
      <w:tr>
        <w:trPr>
          <w:trHeight w:val="235"/>
        </w:trPr>
        <w:tc>
          <w:tcPr>
            <w:tcW w:w="8780" w:type="dxa"/>
            <w:vAlign w:val="bottom"/>
            <w:gridSpan w:val="2"/>
          </w:tcPr>
          <w:p>
            <w:pPr>
              <w:ind w:left="500"/>
              <w:spacing w:after="0"/>
              <w:rPr>
                <w:sz w:val="20"/>
                <w:szCs w:val="20"/>
                <w:color w:val="auto"/>
              </w:rPr>
            </w:pPr>
            <w:r>
              <w:rPr>
                <w:rFonts w:ascii="Arial" w:cs="Arial" w:eastAsia="Arial" w:hAnsi="Arial"/>
                <w:sz w:val="16"/>
                <w:szCs w:val="16"/>
                <w:color w:val="131E29"/>
              </w:rPr>
              <w:t>Accounts payable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(1,026)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8,299</w:t>
            </w:r>
          </w:p>
        </w:tc>
      </w:tr>
      <w:tr>
        <w:trPr>
          <w:trHeight w:val="251"/>
        </w:trPr>
        <w:tc>
          <w:tcPr>
            <w:tcW w:w="8780" w:type="dxa"/>
            <w:vAlign w:val="bottom"/>
            <w:gridSpan w:val="2"/>
            <w:shd w:val="clear" w:color="auto" w:fill="D2DCE5"/>
          </w:tcPr>
          <w:p>
            <w:pPr>
              <w:ind w:left="500"/>
              <w:spacing w:after="0"/>
              <w:rPr>
                <w:sz w:val="20"/>
                <w:szCs w:val="20"/>
                <w:color w:val="auto"/>
              </w:rPr>
            </w:pPr>
            <w:r>
              <w:rPr>
                <w:rFonts w:ascii="Arial" w:cs="Arial" w:eastAsia="Arial" w:hAnsi="Arial"/>
                <w:sz w:val="16"/>
                <w:szCs w:val="16"/>
                <w:color w:val="131E29"/>
              </w:rPr>
              <w:t>Accrued compensation and benefits</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(17,084)</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(8,344)</w:t>
            </w:r>
          </w:p>
        </w:tc>
      </w:tr>
      <w:tr>
        <w:trPr>
          <w:trHeight w:val="235"/>
        </w:trPr>
        <w:tc>
          <w:tcPr>
            <w:tcW w:w="8780" w:type="dxa"/>
            <w:vAlign w:val="bottom"/>
            <w:gridSpan w:val="2"/>
          </w:tcPr>
          <w:p>
            <w:pPr>
              <w:ind w:left="500"/>
              <w:spacing w:after="0"/>
              <w:rPr>
                <w:sz w:val="20"/>
                <w:szCs w:val="20"/>
                <w:color w:val="auto"/>
              </w:rPr>
            </w:pPr>
            <w:r>
              <w:rPr>
                <w:rFonts w:ascii="Arial" w:cs="Arial" w:eastAsia="Arial" w:hAnsi="Arial"/>
                <w:sz w:val="16"/>
                <w:szCs w:val="16"/>
                <w:color w:val="131E29"/>
              </w:rPr>
              <w:t>Other accrued liabilities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(1,097)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768</w:t>
            </w:r>
          </w:p>
        </w:tc>
      </w:tr>
      <w:tr>
        <w:trPr>
          <w:trHeight w:val="251"/>
        </w:trPr>
        <w:tc>
          <w:tcPr>
            <w:tcW w:w="8780" w:type="dxa"/>
            <w:vAlign w:val="bottom"/>
            <w:gridSpan w:val="2"/>
            <w:shd w:val="clear" w:color="auto" w:fill="D2DCE5"/>
          </w:tcPr>
          <w:p>
            <w:pPr>
              <w:ind w:left="500"/>
              <w:spacing w:after="0"/>
              <w:rPr>
                <w:sz w:val="20"/>
                <w:szCs w:val="20"/>
                <w:color w:val="auto"/>
              </w:rPr>
            </w:pPr>
            <w:r>
              <w:rPr>
                <w:rFonts w:ascii="Arial" w:cs="Arial" w:eastAsia="Arial" w:hAnsi="Arial"/>
                <w:sz w:val="16"/>
                <w:szCs w:val="16"/>
                <w:color w:val="131E29"/>
              </w:rPr>
              <w:t>Other current liabilities</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7,041</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(810)</w:t>
            </w:r>
          </w:p>
        </w:tc>
      </w:tr>
      <w:tr>
        <w:trPr>
          <w:trHeight w:val="235"/>
        </w:trPr>
        <w:tc>
          <w:tcPr>
            <w:tcW w:w="8780" w:type="dxa"/>
            <w:vAlign w:val="bottom"/>
            <w:gridSpan w:val="2"/>
          </w:tcPr>
          <w:p>
            <w:pPr>
              <w:ind w:left="500"/>
              <w:spacing w:after="0"/>
              <w:rPr>
                <w:sz w:val="20"/>
                <w:szCs w:val="20"/>
                <w:color w:val="auto"/>
              </w:rPr>
            </w:pPr>
            <w:r>
              <w:rPr>
                <w:rFonts w:ascii="Arial" w:cs="Arial" w:eastAsia="Arial" w:hAnsi="Arial"/>
                <w:sz w:val="16"/>
                <w:szCs w:val="16"/>
                <w:color w:val="131E29"/>
              </w:rPr>
              <w:t>Deferred revenue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(3,187)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(1,602)</w:t>
            </w:r>
          </w:p>
        </w:tc>
      </w:tr>
      <w:tr>
        <w:trPr>
          <w:trHeight w:val="244"/>
        </w:trPr>
        <w:tc>
          <w:tcPr>
            <w:tcW w:w="8780" w:type="dxa"/>
            <w:vAlign w:val="bottom"/>
            <w:gridSpan w:val="2"/>
            <w:shd w:val="clear" w:color="auto" w:fill="D2DCE5"/>
          </w:tcPr>
          <w:p>
            <w:pPr>
              <w:ind w:left="500"/>
              <w:spacing w:after="0"/>
              <w:rPr>
                <w:sz w:val="20"/>
                <w:szCs w:val="20"/>
                <w:color w:val="auto"/>
              </w:rPr>
            </w:pPr>
            <w:r>
              <w:rPr>
                <w:rFonts w:ascii="Arial" w:cs="Arial" w:eastAsia="Arial" w:hAnsi="Arial"/>
                <w:sz w:val="16"/>
                <w:szCs w:val="16"/>
                <w:color w:val="131E29"/>
              </w:rPr>
              <w:t>Operating lease liabilities</w:t>
            </w:r>
          </w:p>
        </w:tc>
        <w:tc>
          <w:tcPr>
            <w:tcW w:w="240" w:type="dxa"/>
            <w:vAlign w:val="bottom"/>
            <w:tcBorders>
              <w:bottom w:val="single" w:sz="8" w:color="auto"/>
            </w:tcBorders>
            <w:shd w:val="clear" w:color="auto" w:fill="D2DCE5"/>
          </w:tcPr>
          <w:p>
            <w:pPr>
              <w:spacing w:after="0"/>
              <w:rPr>
                <w:sz w:val="21"/>
                <w:szCs w:val="21"/>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006098"/>
              </w:rPr>
              <w:t>(2,601)</w:t>
            </w:r>
          </w:p>
        </w:tc>
        <w:tc>
          <w:tcPr>
            <w:tcW w:w="80" w:type="dxa"/>
            <w:vAlign w:val="bottom"/>
            <w:shd w:val="clear" w:color="auto" w:fill="D2DCE5"/>
          </w:tcPr>
          <w:p>
            <w:pPr>
              <w:spacing w:after="0"/>
              <w:rPr>
                <w:sz w:val="21"/>
                <w:szCs w:val="21"/>
                <w:color w:val="auto"/>
              </w:rPr>
            </w:pPr>
          </w:p>
        </w:tc>
        <w:tc>
          <w:tcPr>
            <w:tcW w:w="240" w:type="dxa"/>
            <w:vAlign w:val="bottom"/>
            <w:tcBorders>
              <w:bottom w:val="single" w:sz="8" w:color="auto"/>
            </w:tcBorders>
            <w:shd w:val="clear" w:color="auto" w:fill="D2DCE5"/>
          </w:tcPr>
          <w:p>
            <w:pPr>
              <w:spacing w:after="0"/>
              <w:rPr>
                <w:sz w:val="21"/>
                <w:szCs w:val="21"/>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(2,416)</w:t>
            </w:r>
          </w:p>
        </w:tc>
      </w:tr>
      <w:tr>
        <w:trPr>
          <w:trHeight w:val="236"/>
        </w:trPr>
        <w:tc>
          <w:tcPr>
            <w:tcW w:w="8780" w:type="dxa"/>
            <w:vAlign w:val="bottom"/>
            <w:tcBorders>
              <w:bottom w:val="single" w:sz="8" w:color="D2DCE5"/>
            </w:tcBorders>
            <w:gridSpan w:val="2"/>
          </w:tcPr>
          <w:p>
            <w:pPr>
              <w:ind w:left="660"/>
              <w:spacing w:after="0"/>
              <w:rPr>
                <w:sz w:val="20"/>
                <w:szCs w:val="20"/>
                <w:color w:val="auto"/>
              </w:rPr>
            </w:pPr>
            <w:r>
              <w:rPr>
                <w:rFonts w:ascii="Arial" w:cs="Arial" w:eastAsia="Arial" w:hAnsi="Arial"/>
                <w:sz w:val="16"/>
                <w:szCs w:val="16"/>
                <w:color w:val="131E29"/>
              </w:rPr>
              <w:t>Net cash provided by operating activities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6098"/>
              </w:rPr>
              <w:t>36,884</w:t>
            </w:r>
          </w:p>
        </w:tc>
        <w:tc>
          <w:tcPr>
            <w:tcW w:w="80" w:type="dxa"/>
            <w:vAlign w:val="bottom"/>
            <w:tcBorders>
              <w:bottom w:val="single" w:sz="8" w:color="D2DC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41,193</w:t>
            </w:r>
          </w:p>
        </w:tc>
      </w:tr>
      <w:tr>
        <w:trPr>
          <w:trHeight w:val="230"/>
        </w:trPr>
        <w:tc>
          <w:tcPr>
            <w:tcW w:w="8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Cash flows from investing activities:</w:t>
            </w:r>
          </w:p>
        </w:tc>
        <w:tc>
          <w:tcPr>
            <w:tcW w:w="240" w:type="dxa"/>
            <w:vAlign w:val="bottom"/>
            <w:shd w:val="clear" w:color="auto" w:fill="D2DCE5"/>
          </w:tcPr>
          <w:p>
            <w:pPr>
              <w:spacing w:after="0"/>
              <w:rPr>
                <w:sz w:val="19"/>
                <w:szCs w:val="19"/>
                <w:color w:val="auto"/>
              </w:rPr>
            </w:pPr>
          </w:p>
        </w:tc>
        <w:tc>
          <w:tcPr>
            <w:tcW w:w="8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880" w:type="dxa"/>
            <w:vAlign w:val="bottom"/>
            <w:shd w:val="clear" w:color="auto" w:fill="D2DCE5"/>
          </w:tcPr>
          <w:p>
            <w:pPr>
              <w:spacing w:after="0"/>
              <w:rPr>
                <w:sz w:val="19"/>
                <w:szCs w:val="19"/>
                <w:color w:val="auto"/>
              </w:rPr>
            </w:pPr>
          </w:p>
        </w:tc>
      </w:tr>
      <w:tr>
        <w:trPr>
          <w:trHeight w:val="235"/>
        </w:trPr>
        <w:tc>
          <w:tcPr>
            <w:tcW w:w="8780" w:type="dxa"/>
            <w:vAlign w:val="bottom"/>
            <w:gridSpan w:val="2"/>
          </w:tcPr>
          <w:p>
            <w:pPr>
              <w:ind w:left="180"/>
              <w:spacing w:after="0"/>
              <w:rPr>
                <w:sz w:val="20"/>
                <w:szCs w:val="20"/>
                <w:color w:val="auto"/>
              </w:rPr>
            </w:pPr>
            <w:r>
              <w:rPr>
                <w:rFonts w:ascii="Arial" w:cs="Arial" w:eastAsia="Arial" w:hAnsi="Arial"/>
                <w:sz w:val="16"/>
                <w:szCs w:val="16"/>
                <w:color w:val="131E29"/>
              </w:rPr>
              <w:t>Purchases of property and equipment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(45,551)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(57,462)</w:t>
            </w:r>
          </w:p>
        </w:tc>
      </w:tr>
      <w:tr>
        <w:trPr>
          <w:trHeight w:val="244"/>
        </w:trPr>
        <w:tc>
          <w:tcPr>
            <w:tcW w:w="878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Proceeds from disposal of fixed assets</w:t>
            </w:r>
          </w:p>
        </w:tc>
        <w:tc>
          <w:tcPr>
            <w:tcW w:w="240" w:type="dxa"/>
            <w:vAlign w:val="bottom"/>
            <w:tcBorders>
              <w:bottom w:val="single" w:sz="8" w:color="auto"/>
            </w:tcBorders>
            <w:shd w:val="clear" w:color="auto" w:fill="D2DCE5"/>
          </w:tcPr>
          <w:p>
            <w:pPr>
              <w:spacing w:after="0"/>
              <w:rPr>
                <w:sz w:val="21"/>
                <w:szCs w:val="21"/>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006098"/>
              </w:rPr>
              <w:t>23</w:t>
            </w:r>
          </w:p>
        </w:tc>
        <w:tc>
          <w:tcPr>
            <w:tcW w:w="80" w:type="dxa"/>
            <w:vAlign w:val="bottom"/>
            <w:shd w:val="clear" w:color="auto" w:fill="D2DCE5"/>
          </w:tcPr>
          <w:p>
            <w:pPr>
              <w:spacing w:after="0"/>
              <w:rPr>
                <w:sz w:val="21"/>
                <w:szCs w:val="21"/>
                <w:color w:val="auto"/>
              </w:rPr>
            </w:pPr>
          </w:p>
        </w:tc>
        <w:tc>
          <w:tcPr>
            <w:tcW w:w="240" w:type="dxa"/>
            <w:vAlign w:val="bottom"/>
            <w:tcBorders>
              <w:bottom w:val="single" w:sz="8" w:color="auto"/>
            </w:tcBorders>
            <w:shd w:val="clear" w:color="auto" w:fill="D2DCE5"/>
          </w:tcPr>
          <w:p>
            <w:pPr>
              <w:spacing w:after="0"/>
              <w:rPr>
                <w:sz w:val="21"/>
                <w:szCs w:val="21"/>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w:t>
            </w:r>
          </w:p>
        </w:tc>
      </w:tr>
      <w:tr>
        <w:trPr>
          <w:trHeight w:val="236"/>
        </w:trPr>
        <w:tc>
          <w:tcPr>
            <w:tcW w:w="8780" w:type="dxa"/>
            <w:vAlign w:val="bottom"/>
            <w:tcBorders>
              <w:bottom w:val="single" w:sz="8" w:color="D2DCE5"/>
            </w:tcBorders>
            <w:gridSpan w:val="2"/>
          </w:tcPr>
          <w:p>
            <w:pPr>
              <w:ind w:left="660"/>
              <w:spacing w:after="0"/>
              <w:rPr>
                <w:sz w:val="20"/>
                <w:szCs w:val="20"/>
                <w:color w:val="auto"/>
              </w:rPr>
            </w:pPr>
            <w:r>
              <w:rPr>
                <w:rFonts w:ascii="Arial" w:cs="Arial" w:eastAsia="Arial" w:hAnsi="Arial"/>
                <w:sz w:val="16"/>
                <w:szCs w:val="16"/>
                <w:color w:val="131E29"/>
              </w:rPr>
              <w:t>Net cash used in investing activities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6098"/>
              </w:rPr>
              <w:t>(45,528)</w:t>
            </w:r>
          </w:p>
        </w:tc>
        <w:tc>
          <w:tcPr>
            <w:tcW w:w="80" w:type="dxa"/>
            <w:vAlign w:val="bottom"/>
            <w:tcBorders>
              <w:bottom w:val="single" w:sz="8" w:color="D2DC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(57,462)</w:t>
            </w:r>
          </w:p>
        </w:tc>
      </w:tr>
      <w:tr>
        <w:trPr>
          <w:trHeight w:val="230"/>
        </w:trPr>
        <w:tc>
          <w:tcPr>
            <w:tcW w:w="87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Cash flows from financing activities:</w:t>
            </w:r>
          </w:p>
        </w:tc>
        <w:tc>
          <w:tcPr>
            <w:tcW w:w="240" w:type="dxa"/>
            <w:vAlign w:val="bottom"/>
            <w:shd w:val="clear" w:color="auto" w:fill="D2DCE5"/>
          </w:tcPr>
          <w:p>
            <w:pPr>
              <w:spacing w:after="0"/>
              <w:rPr>
                <w:sz w:val="19"/>
                <w:szCs w:val="19"/>
                <w:color w:val="auto"/>
              </w:rPr>
            </w:pPr>
          </w:p>
        </w:tc>
        <w:tc>
          <w:tcPr>
            <w:tcW w:w="8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880" w:type="dxa"/>
            <w:vAlign w:val="bottom"/>
            <w:shd w:val="clear" w:color="auto" w:fill="D2DCE5"/>
          </w:tcPr>
          <w:p>
            <w:pPr>
              <w:spacing w:after="0"/>
              <w:rPr>
                <w:sz w:val="19"/>
                <w:szCs w:val="19"/>
                <w:color w:val="auto"/>
              </w:rPr>
            </w:pPr>
          </w:p>
        </w:tc>
      </w:tr>
      <w:tr>
        <w:trPr>
          <w:trHeight w:val="235"/>
        </w:trPr>
        <w:tc>
          <w:tcPr>
            <w:tcW w:w="8780" w:type="dxa"/>
            <w:vAlign w:val="bottom"/>
            <w:gridSpan w:val="2"/>
          </w:tcPr>
          <w:p>
            <w:pPr>
              <w:ind w:left="180"/>
              <w:spacing w:after="0"/>
              <w:rPr>
                <w:sz w:val="20"/>
                <w:szCs w:val="20"/>
                <w:color w:val="auto"/>
              </w:rPr>
            </w:pPr>
            <w:r>
              <w:rPr>
                <w:rFonts w:ascii="Arial" w:cs="Arial" w:eastAsia="Arial" w:hAnsi="Arial"/>
                <w:sz w:val="16"/>
                <w:szCs w:val="16"/>
                <w:color w:val="131E29"/>
              </w:rPr>
              <w:t>Payments on finance lease liabilities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(3,400)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(2,094)</w:t>
            </w:r>
          </w:p>
        </w:tc>
      </w:tr>
      <w:tr>
        <w:trPr>
          <w:trHeight w:val="251"/>
        </w:trPr>
        <w:tc>
          <w:tcPr>
            <w:tcW w:w="878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Proceeds from long-term debt</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50,000</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150,000</w:t>
            </w:r>
          </w:p>
        </w:tc>
      </w:tr>
      <w:tr>
        <w:trPr>
          <w:trHeight w:val="235"/>
        </w:trPr>
        <w:tc>
          <w:tcPr>
            <w:tcW w:w="8780" w:type="dxa"/>
            <w:vAlign w:val="bottom"/>
            <w:gridSpan w:val="2"/>
          </w:tcPr>
          <w:p>
            <w:pPr>
              <w:ind w:left="180"/>
              <w:spacing w:after="0"/>
              <w:rPr>
                <w:sz w:val="20"/>
                <w:szCs w:val="20"/>
                <w:color w:val="auto"/>
              </w:rPr>
            </w:pPr>
            <w:r>
              <w:rPr>
                <w:rFonts w:ascii="Arial" w:cs="Arial" w:eastAsia="Arial" w:hAnsi="Arial"/>
                <w:sz w:val="16"/>
                <w:szCs w:val="16"/>
                <w:color w:val="131E29"/>
              </w:rPr>
              <w:t>Payments on long-term debt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(3,780)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(1,590)</w:t>
            </w:r>
          </w:p>
        </w:tc>
      </w:tr>
      <w:tr>
        <w:trPr>
          <w:trHeight w:val="251"/>
        </w:trPr>
        <w:tc>
          <w:tcPr>
            <w:tcW w:w="878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Tax withholding payments upon vesting of equity awards</w:t>
            </w: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(11,018)</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(873)</w:t>
            </w:r>
          </w:p>
        </w:tc>
      </w:tr>
      <w:tr>
        <w:trPr>
          <w:trHeight w:val="236"/>
        </w:trPr>
        <w:tc>
          <w:tcPr>
            <w:tcW w:w="8780" w:type="dxa"/>
            <w:vAlign w:val="bottom"/>
            <w:tcBorders>
              <w:bottom w:val="single" w:sz="8" w:color="D2DCE5"/>
            </w:tcBorders>
            <w:gridSpan w:val="2"/>
          </w:tcPr>
          <w:p>
            <w:pPr>
              <w:ind w:left="180"/>
              <w:spacing w:after="0"/>
              <w:rPr>
                <w:sz w:val="20"/>
                <w:szCs w:val="20"/>
                <w:color w:val="auto"/>
              </w:rPr>
            </w:pPr>
            <w:r>
              <w:rPr>
                <w:rFonts w:ascii="Arial" w:cs="Arial" w:eastAsia="Arial" w:hAnsi="Arial"/>
                <w:sz w:val="16"/>
                <w:szCs w:val="16"/>
                <w:color w:val="131E29"/>
              </w:rPr>
              <w:t>Payments under tax receivable agreements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6098"/>
              </w:rPr>
              <w:t>(71)</w:t>
            </w:r>
          </w:p>
        </w:tc>
        <w:tc>
          <w:tcPr>
            <w:tcW w:w="80" w:type="dxa"/>
            <w:vAlign w:val="bottom"/>
            <w:tcBorders>
              <w:bottom w:val="single" w:sz="8" w:color="D2DC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w:t>
            </w:r>
          </w:p>
        </w:tc>
      </w:tr>
      <w:tr>
        <w:trPr>
          <w:trHeight w:val="237"/>
        </w:trPr>
        <w:tc>
          <w:tcPr>
            <w:tcW w:w="8780" w:type="dxa"/>
            <w:vAlign w:val="bottom"/>
            <w:gridSpan w:val="2"/>
            <w:shd w:val="clear" w:color="auto" w:fill="D2DCE5"/>
          </w:tcPr>
          <w:p>
            <w:pPr>
              <w:ind w:left="560"/>
              <w:spacing w:after="0"/>
              <w:rPr>
                <w:sz w:val="20"/>
                <w:szCs w:val="20"/>
                <w:color w:val="auto"/>
              </w:rPr>
            </w:pPr>
            <w:r>
              <w:rPr>
                <w:rFonts w:ascii="Arial" w:cs="Arial" w:eastAsia="Arial" w:hAnsi="Arial"/>
                <w:sz w:val="16"/>
                <w:szCs w:val="16"/>
                <w:color w:val="131E29"/>
              </w:rPr>
              <w:t>Net cash provided by financing activities</w:t>
            </w:r>
          </w:p>
        </w:tc>
        <w:tc>
          <w:tcPr>
            <w:tcW w:w="240" w:type="dxa"/>
            <w:vAlign w:val="bottom"/>
            <w:tcBorders>
              <w:bottom w:val="single" w:sz="8" w:color="auto"/>
            </w:tcBorders>
            <w:shd w:val="clear" w:color="auto" w:fill="D2DCE5"/>
          </w:tcPr>
          <w:p>
            <w:pPr>
              <w:spacing w:after="0"/>
              <w:rPr>
                <w:sz w:val="20"/>
                <w:szCs w:val="20"/>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006098"/>
              </w:rPr>
              <w:t>31,731</w:t>
            </w:r>
          </w:p>
        </w:tc>
        <w:tc>
          <w:tcPr>
            <w:tcW w:w="80" w:type="dxa"/>
            <w:vAlign w:val="bottom"/>
            <w:shd w:val="clear" w:color="auto" w:fill="D2DCE5"/>
          </w:tcPr>
          <w:p>
            <w:pPr>
              <w:spacing w:after="0"/>
              <w:rPr>
                <w:sz w:val="20"/>
                <w:szCs w:val="20"/>
                <w:color w:val="auto"/>
              </w:rPr>
            </w:pPr>
          </w:p>
        </w:tc>
        <w:tc>
          <w:tcPr>
            <w:tcW w:w="240" w:type="dxa"/>
            <w:vAlign w:val="bottom"/>
            <w:tcBorders>
              <w:bottom w:val="single" w:sz="8" w:color="auto"/>
            </w:tcBorders>
            <w:shd w:val="clear" w:color="auto" w:fill="D2DCE5"/>
          </w:tcPr>
          <w:p>
            <w:pPr>
              <w:spacing w:after="0"/>
              <w:rPr>
                <w:sz w:val="20"/>
                <w:szCs w:val="20"/>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145,443</w:t>
            </w:r>
          </w:p>
        </w:tc>
      </w:tr>
      <w:tr>
        <w:trPr>
          <w:trHeight w:val="235"/>
        </w:trPr>
        <w:tc>
          <w:tcPr>
            <w:tcW w:w="8780" w:type="dxa"/>
            <w:vAlign w:val="bottom"/>
            <w:gridSpan w:val="2"/>
          </w:tcPr>
          <w:p>
            <w:pPr>
              <w:ind w:left="660"/>
              <w:spacing w:after="0"/>
              <w:rPr>
                <w:sz w:val="20"/>
                <w:szCs w:val="20"/>
                <w:color w:val="auto"/>
              </w:rPr>
            </w:pPr>
            <w:r>
              <w:rPr>
                <w:rFonts w:ascii="Arial" w:cs="Arial" w:eastAsia="Arial" w:hAnsi="Arial"/>
                <w:sz w:val="16"/>
                <w:szCs w:val="16"/>
                <w:color w:val="131E29"/>
              </w:rPr>
              <w:t>Net increase in cash and cash equivalents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6098"/>
              </w:rPr>
              <w:t>23,087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131E29"/>
              </w:rPr>
              <w:t>129,174</w:t>
            </w:r>
          </w:p>
        </w:tc>
      </w:tr>
      <w:tr>
        <w:trPr>
          <w:trHeight w:val="244"/>
        </w:trPr>
        <w:tc>
          <w:tcPr>
            <w:tcW w:w="87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Cash and cash equivalents, beginning of period</w:t>
            </w:r>
          </w:p>
        </w:tc>
        <w:tc>
          <w:tcPr>
            <w:tcW w:w="240" w:type="dxa"/>
            <w:vAlign w:val="bottom"/>
            <w:tcBorders>
              <w:bottom w:val="single" w:sz="8" w:color="auto"/>
            </w:tcBorders>
            <w:shd w:val="clear" w:color="auto" w:fill="D2DCE5"/>
          </w:tcPr>
          <w:p>
            <w:pPr>
              <w:spacing w:after="0"/>
              <w:rPr>
                <w:sz w:val="21"/>
                <w:szCs w:val="21"/>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006098"/>
              </w:rPr>
              <w:t>293,354</w:t>
            </w:r>
          </w:p>
        </w:tc>
        <w:tc>
          <w:tcPr>
            <w:tcW w:w="80" w:type="dxa"/>
            <w:vAlign w:val="bottom"/>
            <w:shd w:val="clear" w:color="auto" w:fill="D2DCE5"/>
          </w:tcPr>
          <w:p>
            <w:pPr>
              <w:spacing w:after="0"/>
              <w:rPr>
                <w:sz w:val="21"/>
                <w:szCs w:val="21"/>
                <w:color w:val="auto"/>
              </w:rPr>
            </w:pPr>
          </w:p>
        </w:tc>
        <w:tc>
          <w:tcPr>
            <w:tcW w:w="240" w:type="dxa"/>
            <w:vAlign w:val="bottom"/>
            <w:tcBorders>
              <w:bottom w:val="single" w:sz="8" w:color="auto"/>
            </w:tcBorders>
            <w:shd w:val="clear" w:color="auto" w:fill="D2DCE5"/>
          </w:tcPr>
          <w:p>
            <w:pPr>
              <w:spacing w:after="0"/>
              <w:rPr>
                <w:sz w:val="21"/>
                <w:szCs w:val="21"/>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133,545</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6"/>
                <w:szCs w:val="16"/>
                <w:b w:val="1"/>
                <w:bCs w:val="1"/>
                <w:color w:val="131E29"/>
              </w:rPr>
              <w:t>Cash and cash equivalents,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006098"/>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6098"/>
              </w:rPr>
              <w:t>316,441</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131E2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131E29"/>
              </w:rPr>
              <w:t>262,719</w:t>
            </w:r>
          </w:p>
        </w:tc>
      </w:tr>
      <w:tr>
        <w:trPr>
          <w:trHeight w:val="20"/>
        </w:trPr>
        <w:tc>
          <w:tcPr>
            <w:tcW w:w="8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6098"/>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131E29"/>
        </w:rPr>
        <w:t>Condensed Consolidated Statements of Cash Flows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jc w:val="center"/>
              <w:ind w:right="59"/>
              <w:spacing w:after="0"/>
              <w:rPr>
                <w:sz w:val="20"/>
                <w:szCs w:val="20"/>
                <w:color w:val="auto"/>
              </w:rPr>
            </w:pPr>
            <w:r>
              <w:rPr>
                <w:rFonts w:ascii="Arial" w:cs="Arial" w:eastAsia="Arial" w:hAnsi="Arial"/>
                <w:sz w:val="16"/>
                <w:szCs w:val="16"/>
                <w:b w:val="1"/>
                <w:bCs w:val="1"/>
                <w:color w:val="131E29"/>
              </w:rPr>
              <w:t>Three Months Ended March</w:t>
            </w:r>
          </w:p>
        </w:tc>
      </w:tr>
      <w:tr>
        <w:trPr>
          <w:trHeight w:val="223"/>
        </w:trPr>
        <w:tc>
          <w:tcPr>
            <w:tcW w:w="8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131E29"/>
                <w:w w:val="89"/>
              </w:rPr>
              <w:t>31,</w:t>
            </w:r>
          </w:p>
        </w:tc>
        <w:tc>
          <w:tcPr>
            <w:tcW w:w="900" w:type="dxa"/>
            <w:vAlign w:val="bottom"/>
          </w:tcPr>
          <w:p>
            <w:pPr>
              <w:spacing w:after="0"/>
              <w:rPr>
                <w:sz w:val="19"/>
                <w:szCs w:val="19"/>
                <w:color w:val="auto"/>
              </w:rPr>
            </w:pPr>
          </w:p>
        </w:tc>
      </w:tr>
      <w:tr>
        <w:trPr>
          <w:trHeight w:val="21"/>
        </w:trPr>
        <w:tc>
          <w:tcPr>
            <w:tcW w:w="8820" w:type="dxa"/>
            <w:vAlign w:val="bottom"/>
            <w:gridSpan w:val="2"/>
          </w:tcPr>
          <w:p>
            <w:pPr>
              <w:spacing w:after="0" w:line="20" w:lineRule="exact"/>
              <w:rPr>
                <w:sz w:val="1"/>
                <w:szCs w:val="1"/>
                <w:color w:val="auto"/>
              </w:rPr>
            </w:pPr>
          </w:p>
        </w:tc>
        <w:tc>
          <w:tcPr>
            <w:tcW w:w="140" w:type="dxa"/>
            <w:vAlign w:val="bottom"/>
            <w:tcBorders>
              <w:bottom w:val="single" w:sz="8" w:color="D7282F"/>
            </w:tcBorders>
          </w:tcPr>
          <w:p>
            <w:pPr>
              <w:spacing w:after="0" w:line="20" w:lineRule="exact"/>
              <w:rPr>
                <w:sz w:val="1"/>
                <w:szCs w:val="1"/>
                <w:color w:val="auto"/>
              </w:rPr>
            </w:pPr>
          </w:p>
        </w:tc>
        <w:tc>
          <w:tcPr>
            <w:tcW w:w="960" w:type="dxa"/>
            <w:vAlign w:val="bottom"/>
            <w:tcBorders>
              <w:bottom w:val="single" w:sz="8" w:color="D7282F"/>
            </w:tcBorders>
          </w:tcPr>
          <w:p>
            <w:pPr>
              <w:spacing w:after="0" w:line="20" w:lineRule="exact"/>
              <w:rPr>
                <w:sz w:val="1"/>
                <w:szCs w:val="1"/>
                <w:color w:val="auto"/>
              </w:rPr>
            </w:pPr>
          </w:p>
        </w:tc>
        <w:tc>
          <w:tcPr>
            <w:tcW w:w="60" w:type="dxa"/>
            <w:vAlign w:val="bottom"/>
            <w:tcBorders>
              <w:bottom w:val="single" w:sz="8" w:color="D7282F"/>
            </w:tcBorders>
          </w:tcPr>
          <w:p>
            <w:pPr>
              <w:spacing w:after="0" w:line="20" w:lineRule="exact"/>
              <w:rPr>
                <w:sz w:val="1"/>
                <w:szCs w:val="1"/>
                <w:color w:val="auto"/>
              </w:rPr>
            </w:pPr>
          </w:p>
        </w:tc>
        <w:tc>
          <w:tcPr>
            <w:tcW w:w="100" w:type="dxa"/>
            <w:vAlign w:val="bottom"/>
            <w:tcBorders>
              <w:bottom w:val="single" w:sz="8" w:color="D7282F"/>
            </w:tcBorders>
          </w:tcPr>
          <w:p>
            <w:pPr>
              <w:spacing w:after="0" w:line="20" w:lineRule="exact"/>
              <w:rPr>
                <w:sz w:val="1"/>
                <w:szCs w:val="1"/>
                <w:color w:val="auto"/>
              </w:rPr>
            </w:pPr>
          </w:p>
        </w:tc>
        <w:tc>
          <w:tcPr>
            <w:tcW w:w="260" w:type="dxa"/>
            <w:vAlign w:val="bottom"/>
            <w:tcBorders>
              <w:bottom w:val="single" w:sz="8" w:color="D7282F"/>
            </w:tcBorders>
          </w:tcPr>
          <w:p>
            <w:pPr>
              <w:spacing w:after="0" w:line="20" w:lineRule="exact"/>
              <w:rPr>
                <w:sz w:val="1"/>
                <w:szCs w:val="1"/>
                <w:color w:val="auto"/>
              </w:rPr>
            </w:pPr>
          </w:p>
        </w:tc>
        <w:tc>
          <w:tcPr>
            <w:tcW w:w="900" w:type="dxa"/>
            <w:vAlign w:val="bottom"/>
            <w:tcBorders>
              <w:bottom w:val="single" w:sz="8" w:color="D7282F"/>
            </w:tcBorders>
          </w:tcPr>
          <w:p>
            <w:pPr>
              <w:spacing w:after="0" w:line="20" w:lineRule="exact"/>
              <w:rPr>
                <w:sz w:val="1"/>
                <w:szCs w:val="1"/>
                <w:color w:val="auto"/>
              </w:rPr>
            </w:pPr>
          </w:p>
        </w:tc>
      </w:tr>
      <w:tr>
        <w:trPr>
          <w:trHeight w:val="233"/>
        </w:trPr>
        <w:tc>
          <w:tcPr>
            <w:tcW w:w="87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Pr>
          <w:p>
            <w:pPr>
              <w:spacing w:after="0"/>
              <w:rPr>
                <w:sz w:val="20"/>
                <w:szCs w:val="20"/>
                <w:color w:val="auto"/>
              </w:rPr>
            </w:pPr>
          </w:p>
        </w:tc>
        <w:tc>
          <w:tcPr>
            <w:tcW w:w="140" w:type="dxa"/>
            <w:vAlign w:val="bottom"/>
            <w:tcBorders>
              <w:bottom w:val="single" w:sz="8" w:color="D7282F"/>
            </w:tcBorders>
          </w:tcPr>
          <w:p>
            <w:pPr>
              <w:spacing w:after="0"/>
              <w:rPr>
                <w:sz w:val="20"/>
                <w:szCs w:val="20"/>
                <w:color w:val="auto"/>
              </w:rPr>
            </w:pPr>
          </w:p>
        </w:tc>
        <w:tc>
          <w:tcPr>
            <w:tcW w:w="960" w:type="dxa"/>
            <w:vAlign w:val="bottom"/>
            <w:tcBorders>
              <w:bottom w:val="single" w:sz="8" w:color="D7282F"/>
            </w:tcBorders>
          </w:tcPr>
          <w:p>
            <w:pPr>
              <w:jc w:val="right"/>
              <w:ind w:right="259"/>
              <w:spacing w:after="0"/>
              <w:rPr>
                <w:sz w:val="20"/>
                <w:szCs w:val="20"/>
                <w:color w:val="auto"/>
              </w:rPr>
            </w:pPr>
            <w:r>
              <w:rPr>
                <w:rFonts w:ascii="Arial" w:cs="Arial" w:eastAsia="Arial" w:hAnsi="Arial"/>
                <w:sz w:val="16"/>
                <w:szCs w:val="16"/>
                <w:b w:val="1"/>
                <w:bCs w:val="1"/>
                <w:color w:val="131E29"/>
              </w:rPr>
              <w:t>2025</w:t>
            </w:r>
          </w:p>
        </w:tc>
        <w:tc>
          <w:tcPr>
            <w:tcW w:w="60" w:type="dxa"/>
            <w:vAlign w:val="bottom"/>
            <w:tcBorders>
              <w:bottom w:val="single" w:sz="8" w:color="D7282F"/>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00" w:type="dxa"/>
            <w:vAlign w:val="bottom"/>
            <w:tcBorders>
              <w:bottom w:val="single" w:sz="8" w:color="D7282F"/>
            </w:tcBorders>
          </w:tcPr>
          <w:p>
            <w:pPr>
              <w:jc w:val="right"/>
              <w:ind w:right="319"/>
              <w:spacing w:after="0"/>
              <w:rPr>
                <w:sz w:val="20"/>
                <w:szCs w:val="20"/>
                <w:color w:val="auto"/>
              </w:rPr>
            </w:pPr>
            <w:r>
              <w:rPr>
                <w:rFonts w:ascii="Arial" w:cs="Arial" w:eastAsia="Arial" w:hAnsi="Arial"/>
                <w:sz w:val="16"/>
                <w:szCs w:val="16"/>
                <w:b w:val="1"/>
                <w:bCs w:val="1"/>
                <w:color w:val="131E29"/>
              </w:rPr>
              <w:t>2024</w:t>
            </w:r>
          </w:p>
        </w:tc>
      </w:tr>
      <w:tr>
        <w:trPr>
          <w:trHeight w:val="237"/>
        </w:trPr>
        <w:tc>
          <w:tcPr>
            <w:tcW w:w="8820" w:type="dxa"/>
            <w:vAlign w:val="bottom"/>
            <w:gridSpan w:val="2"/>
          </w:tcPr>
          <w:p>
            <w:pPr>
              <w:ind w:left="20"/>
              <w:spacing w:after="0"/>
              <w:rPr>
                <w:sz w:val="20"/>
                <w:szCs w:val="20"/>
                <w:color w:val="auto"/>
              </w:rPr>
            </w:pPr>
            <w:r>
              <w:rPr>
                <w:rFonts w:ascii="Arial" w:cs="Arial" w:eastAsia="Arial" w:hAnsi="Arial"/>
                <w:sz w:val="16"/>
                <w:szCs w:val="16"/>
                <w:b w:val="1"/>
                <w:bCs w:val="1"/>
                <w:color w:val="131E29"/>
              </w:rPr>
              <w:t>Supplemental disclosure of cash flow information</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7"/>
        </w:trPr>
        <w:tc>
          <w:tcPr>
            <w:tcW w:w="882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Interest paid</w:t>
            </w:r>
          </w:p>
        </w:tc>
        <w:tc>
          <w:tcPr>
            <w:tcW w:w="14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9,823</w:t>
            </w:r>
          </w:p>
        </w:tc>
        <w:tc>
          <w:tcPr>
            <w:tcW w:w="420" w:type="dxa"/>
            <w:vAlign w:val="bottom"/>
            <w:gridSpan w:val="3"/>
            <w:shd w:val="clear" w:color="auto" w:fill="D2DCE5"/>
          </w:tcPr>
          <w:p>
            <w:pPr>
              <w:jc w:val="right"/>
              <w:ind w:right="160"/>
              <w:spacing w:after="0"/>
              <w:rPr>
                <w:sz w:val="20"/>
                <w:szCs w:val="20"/>
                <w:color w:val="auto"/>
              </w:rPr>
            </w:pPr>
            <w:r>
              <w:rPr>
                <w:rFonts w:ascii="Arial" w:cs="Arial" w:eastAsia="Arial" w:hAnsi="Arial"/>
                <w:sz w:val="16"/>
                <w:szCs w:val="16"/>
                <w:color w:val="131E29"/>
              </w:rPr>
              <w:t>$</w:t>
            </w:r>
          </w:p>
        </w:tc>
        <w:tc>
          <w:tcPr>
            <w:tcW w:w="9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8,413</w:t>
            </w:r>
          </w:p>
        </w:tc>
      </w:tr>
      <w:tr>
        <w:trPr>
          <w:trHeight w:val="235"/>
        </w:trPr>
        <w:tc>
          <w:tcPr>
            <w:tcW w:w="8820" w:type="dxa"/>
            <w:vAlign w:val="bottom"/>
            <w:gridSpan w:val="2"/>
          </w:tcPr>
          <w:p>
            <w:pPr>
              <w:ind w:left="180"/>
              <w:spacing w:after="0"/>
              <w:rPr>
                <w:sz w:val="20"/>
                <w:szCs w:val="20"/>
                <w:color w:val="auto"/>
              </w:rPr>
            </w:pPr>
            <w:r>
              <w:rPr>
                <w:rFonts w:ascii="Arial" w:cs="Arial" w:eastAsia="Arial" w:hAnsi="Arial"/>
                <w:sz w:val="16"/>
                <w:szCs w:val="16"/>
                <w:color w:val="131E29"/>
              </w:rPr>
              <w:t>Income taxes paid</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06098"/>
              </w:rPr>
              <w:t>183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131E29"/>
              </w:rPr>
              <w:t>—</w:t>
            </w:r>
          </w:p>
        </w:tc>
      </w:tr>
      <w:tr>
        <w:trPr>
          <w:trHeight w:val="251"/>
        </w:trPr>
        <w:tc>
          <w:tcPr>
            <w:tcW w:w="882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Supplemental disclosure of noncash investing and financing activities</w:t>
            </w:r>
          </w:p>
        </w:tc>
        <w:tc>
          <w:tcPr>
            <w:tcW w:w="14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00" w:type="dxa"/>
            <w:vAlign w:val="bottom"/>
            <w:shd w:val="clear" w:color="auto" w:fill="D2DCE5"/>
          </w:tcPr>
          <w:p>
            <w:pPr>
              <w:spacing w:after="0"/>
              <w:rPr>
                <w:sz w:val="21"/>
                <w:szCs w:val="21"/>
                <w:color w:val="auto"/>
              </w:rPr>
            </w:pPr>
          </w:p>
        </w:tc>
      </w:tr>
      <w:tr>
        <w:trPr>
          <w:trHeight w:val="227"/>
        </w:trPr>
        <w:tc>
          <w:tcPr>
            <w:tcW w:w="8820" w:type="dxa"/>
            <w:vAlign w:val="bottom"/>
            <w:gridSpan w:val="2"/>
          </w:tcPr>
          <w:p>
            <w:pPr>
              <w:ind w:left="180"/>
              <w:spacing w:after="0"/>
              <w:rPr>
                <w:sz w:val="20"/>
                <w:szCs w:val="20"/>
                <w:color w:val="auto"/>
              </w:rPr>
            </w:pPr>
            <w:r>
              <w:rPr>
                <w:rFonts w:ascii="Arial" w:cs="Arial" w:eastAsia="Arial" w:hAnsi="Arial"/>
                <w:sz w:val="16"/>
                <w:szCs w:val="16"/>
                <w:color w:val="131E29"/>
              </w:rPr>
              <w:t>Additions of property and equipment accrued as of end of period</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06098"/>
              </w:rPr>
              <w:t>9,778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131E29"/>
              </w:rPr>
              <w:t>15,131</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540" w:type="dxa"/>
            <w:vAlign w:val="bottom"/>
            <w:gridSpan w:val="2"/>
          </w:tcPr>
          <w:p>
            <w:pPr>
              <w:ind w:left="3020"/>
              <w:spacing w:after="0"/>
              <w:rPr>
                <w:sz w:val="20"/>
                <w:szCs w:val="20"/>
                <w:color w:val="auto"/>
              </w:rPr>
            </w:pPr>
            <w:r>
              <w:rPr>
                <w:rFonts w:ascii="Arial" w:cs="Arial" w:eastAsia="Arial" w:hAnsi="Arial"/>
                <w:sz w:val="18"/>
                <w:szCs w:val="18"/>
                <w:color w:val="131E29"/>
              </w:rPr>
              <w:t>Index for Notes to Condensed Consolidated Financial Statements</w:t>
            </w:r>
          </w:p>
        </w:tc>
        <w:tc>
          <w:tcPr>
            <w:tcW w:w="700" w:type="dxa"/>
            <w:vAlign w:val="bottom"/>
          </w:tcPr>
          <w:p>
            <w:pPr>
              <w:spacing w:after="0"/>
              <w:rPr>
                <w:sz w:val="20"/>
                <w:szCs w:val="20"/>
                <w:color w:val="auto"/>
              </w:rPr>
            </w:pPr>
          </w:p>
        </w:tc>
      </w:tr>
      <w:tr>
        <w:trPr>
          <w:trHeight w:val="287"/>
        </w:trPr>
        <w:tc>
          <w:tcPr>
            <w:tcW w:w="10440" w:type="dxa"/>
            <w:vAlign w:val="bottom"/>
            <w:tcBorders>
              <w:bottom w:val="single" w:sz="8" w:color="D7282F"/>
            </w:tcBorders>
          </w:tcPr>
          <w:p>
            <w:pPr>
              <w:ind w:left="20"/>
              <w:spacing w:after="0"/>
              <w:rPr>
                <w:sz w:val="20"/>
                <w:szCs w:val="20"/>
                <w:color w:val="auto"/>
              </w:rPr>
            </w:pPr>
            <w:r>
              <w:rPr>
                <w:rFonts w:ascii="Arial" w:cs="Arial" w:eastAsia="Arial" w:hAnsi="Arial"/>
                <w:sz w:val="18"/>
                <w:szCs w:val="18"/>
                <w:b w:val="1"/>
                <w:bCs w:val="1"/>
                <w:color w:val="006098"/>
              </w:rPr>
              <w:t>Note</w:t>
            </w:r>
          </w:p>
        </w:tc>
        <w:tc>
          <w:tcPr>
            <w:tcW w:w="100" w:type="dxa"/>
            <w:vAlign w:val="bottom"/>
            <w:tcBorders>
              <w:bottom w:val="single" w:sz="8" w:color="D2DCE5"/>
            </w:tcBorders>
          </w:tcPr>
          <w:p>
            <w:pPr>
              <w:spacing w:after="0"/>
              <w:rPr>
                <w:sz w:val="24"/>
                <w:szCs w:val="24"/>
                <w:color w:val="auto"/>
              </w:rPr>
            </w:pPr>
          </w:p>
        </w:tc>
        <w:tc>
          <w:tcPr>
            <w:tcW w:w="70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006098"/>
                <w:w w:val="97"/>
              </w:rPr>
              <w:t>Page</w:t>
            </w: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1 — Organization and Background</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12</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2 — Basis of Presentation and Summary of Significant Accounting Policies</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12</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3 — Revenue Recognition</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13</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4 — Organization Realignment and Restructuring</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15</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5 — Inventories</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16</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6 — Property and Equipment</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16</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7 — Intangible Assets</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17</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8 — Leases</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17</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9 — Debt</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18</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10 — Derivative Financial Instruments</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19</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11 — Income Taxes</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20</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12 — Equity-Based Compensation</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21</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13 — Non-Controlling Interests</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23</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14 — Income Per Share</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24</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15 — Commitments and Contingencies</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26</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16 — Segment Reporting</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ind w:left="2900"/>
        <w:spacing w:after="0"/>
        <w:rPr>
          <w:sz w:val="20"/>
          <w:szCs w:val="20"/>
          <w:color w:val="auto"/>
        </w:rPr>
      </w:pPr>
      <w:r>
        <w:rPr>
          <w:rFonts w:ascii="Arial" w:cs="Arial" w:eastAsia="Arial" w:hAnsi="Arial"/>
          <w:sz w:val="18"/>
          <w:szCs w:val="18"/>
          <w:color w:val="131E29"/>
        </w:rPr>
        <w:t>Notes to Condensed Consolidated Financial Statements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 — Organization and Background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Business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Dutch Bros Inc., a Delaware corporation, together with its subsidiaries (the Company, we, us, or our, collectively) is in the business of operating and franchising drive-thru coffee shops as well as the wholesale and distribution of coffee, coffee-related products, and accessories. As of March 31, 2025, there were 1012 shops in operation in 18 U.S. states, of which 695 were company-operated and 317 were franchised.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Organization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Dutch Bros Inc. is the sole managing member of Dutch Bros OpCo and operates and controls all of the business and affairs of Dutch Bros OpCo. As a result, Dutch Bros Inc. consolidates the financial results of Dutch Bros OpCo and reports a non-controlling interest representing the economic interest in Dutch Bros OpCo held by the other members of Dutch Bros OpCo. The Company’s fiscal year end is December 31. As of March 31, 2025, Dutch Bros Inc. held 100.0% of the voting interest and 70.5% of the economic interest of Dutch Bros OpCo. The Continuing Members held none of the voting interest and the remaining 29.5% of the economic interest of Dutch Bros OpCo.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Dutch Bros OpCo Recapitalization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From time to time, Dutch Bros Inc. receives cash distributions from Dutch Bros OpCo pursuant to the OpCo LLC Agreement. Dutch Bros Inc. may then loan any cash in excess of its liabilities back to Dutch Bros OpCo for operations, under the open-ended balance Subordinated Intercompany Note, between Dutch Bros OpCo and Dutch Bros Inc., dated February 28, 2022 (the Intercompany Note).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On February 7, 2025, Dutch Bros Inc. entered into a subscription agreement with Dutch Bros OpCo, pursuant to which Dutch Bros OpCo issued 51,942 newly authorized Dutch Bros OpCo Class A common units to Dutch Bros Inc. in exchange for satisfaction of the outstanding balance of the Intercompany Note, which at that time was approximately $3.5 million.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In accordance with the OpCo LLC Agreement, all outstanding Dutch Bros OpCo Class A common units were then recapitalized through a reverse unit split (the Reverse Split) in order to maintain a one-to-one ratio between the number of Dutch Bros OpCo Class A common units owned by Dutch Bros Inc. and the number of outstanding shares of Class A common stock. Consequently, 15,734 outstanding shares of Class B common stock, and 1,220 outstanding shares of Class C common stock, that were paired with Dutch Bros OpCo Class A common units eliminated as a result of the Reverse Split, were cancelled.</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2 — Basis of Presentation and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Financial Statements Presentation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Our condensed consolidated financial statements as of March 31, 2025 and for the three months ended March 31, 2025 and 2024 have been prepared in accordance with GAAP and pursuant to the rules and regulations of the SEC, consistent in all material respects with those applied in the 2024 Form 10-K and as updated by this Form 10-Q.</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We have made estimates and judgments affecting the amounts reported in its condensed consolidated financial statements and the accompanying notes. Although management bases its estimates on historical experience and assumptions that are believed to be reasonable under the circumstances, actual results could differ from those estimates. This report should be read in conjunction with the consolidated financial statements in the 2024 Form 10-K that includes additional information on accounting estimates, policies, and the methods and assumptions used in its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In the opinion of management, the accompanying condensed consolidated financial statements reflect all adjustments, consisting of normal recurring adjustments, necessary to present fairly our consolidated financial statements for the periods presented. Operating results for the three months ended March 31, 2025 are not necessarily indicative of the results that may be expected for the fiscal year ending December 31, 2025.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Significant Accounting Policies Updates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There have been no material updates to our significant accounting policies during the three months ended March 31, 2025 from those previously reported in the 2024 Form 10-K.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Recently Issued Accounting Standards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 xml:space="preserve">In December 2023, the FASB issued ASU No. 2023-09, </w:t>
      </w:r>
      <w:r>
        <w:rPr>
          <w:rFonts w:ascii="Arial" w:cs="Arial" w:eastAsia="Arial" w:hAnsi="Arial"/>
          <w:sz w:val="18"/>
          <w:szCs w:val="18"/>
          <w:i w:val="1"/>
          <w:iCs w:val="1"/>
          <w:color w:val="131E29"/>
        </w:rPr>
        <w:t>Income Taxes (Topic 740): Improvements to Income Tax Disclosures</w:t>
      </w:r>
      <w:r>
        <w:rPr>
          <w:rFonts w:ascii="Arial" w:cs="Arial" w:eastAsia="Arial" w:hAnsi="Arial"/>
          <w:sz w:val="18"/>
          <w:szCs w:val="18"/>
          <w:color w:val="131E29"/>
        </w:rPr>
        <w:t>. The amendments in this update are intended to enhance the transparency and decision usefulness of income tax disclosures, primarily through improvements to the rate reconciliation and income taxes paid information, specifically requiring (1) consistent categories and greater disaggregation of information in the rate reconciliation, and (2) income taxes paid disaggregation by jurisdiction. These amendments are effective for public business entities' annual periods beginning after December 15, 2024 and interim periods within fiscal years beginning after December 15, 2025, and should be applied on a prospective basis. Early adoption is permitted for annual financial statements that have not yet been issued. We expect to provide additional detail and disclosures under the new guidance in our Form 10-K to be filed for the year ending December 31, 2025.</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 xml:space="preserve">In November 2024, the FASB issued ASU No. 2024-03, </w:t>
      </w:r>
      <w:r>
        <w:rPr>
          <w:rFonts w:ascii="Arial" w:cs="Arial" w:eastAsia="Arial" w:hAnsi="Arial"/>
          <w:sz w:val="18"/>
          <w:szCs w:val="18"/>
          <w:i w:val="1"/>
          <w:iCs w:val="1"/>
          <w:color w:val="131E29"/>
        </w:rPr>
        <w:t>Income Statement - Reporting Comprehensive Income - Expense Disaggregation</w:t>
      </w:r>
      <w:r>
        <w:rPr>
          <w:rFonts w:ascii="Arial" w:cs="Arial" w:eastAsia="Arial" w:hAnsi="Arial"/>
          <w:sz w:val="18"/>
          <w:szCs w:val="18"/>
          <w:color w:val="131E29"/>
        </w:rPr>
        <w:t xml:space="preserve"> </w:t>
      </w:r>
      <w:r>
        <w:rPr>
          <w:rFonts w:ascii="Arial" w:cs="Arial" w:eastAsia="Arial" w:hAnsi="Arial"/>
          <w:sz w:val="18"/>
          <w:szCs w:val="18"/>
          <w:i w:val="1"/>
          <w:iCs w:val="1"/>
          <w:color w:val="131E29"/>
        </w:rPr>
        <w:t xml:space="preserve">Disclosures (Subtopic 220-40). </w:t>
      </w:r>
      <w:r>
        <w:rPr>
          <w:rFonts w:ascii="Arial" w:cs="Arial" w:eastAsia="Arial" w:hAnsi="Arial"/>
          <w:sz w:val="18"/>
          <w:szCs w:val="18"/>
          <w:color w:val="131E29"/>
        </w:rPr>
        <w:t>The intent of this ASU is to improve public entity financial footnote disclosures around types of expenses in</w:t>
      </w:r>
      <w:r>
        <w:rPr>
          <w:rFonts w:ascii="Arial" w:cs="Arial" w:eastAsia="Arial" w:hAnsi="Arial"/>
          <w:sz w:val="18"/>
          <w:szCs w:val="18"/>
          <w:i w:val="1"/>
          <w:iCs w:val="1"/>
          <w:color w:val="131E29"/>
        </w:rPr>
        <w:t xml:space="preserve"> </w:t>
      </w:r>
      <w:r>
        <w:rPr>
          <w:rFonts w:ascii="Arial" w:cs="Arial" w:eastAsia="Arial" w:hAnsi="Arial"/>
          <w:sz w:val="18"/>
          <w:szCs w:val="18"/>
          <w:color w:val="131E29"/>
        </w:rPr>
        <w:t>commonly presented expense categories (i.e., cost of sales; selling, general, and administrative expense; and research and development expense). The amendments in this ASU do not change or remove current expense disclosure requirements, but rather 1) impact where this information appears in the notes to the consolidated financial statements and 2) add additional disclosure requirements for certain expense line items appearing on the face of our consolidated statements of operations. ASU 2024-03, as amended, is effective for annual reporting periods beginning after December 15, 2026 and interim reporting periods beginning after December 15, 2027. Early adoption is permitted. We are currently assessing potential impacts of this standard on our business processes and future disclosures.</w:t>
      </w:r>
    </w:p>
    <w:p>
      <w:pPr>
        <w:sectPr>
          <w:pgSz w:w="11900" w:h="16838" w:orient="portrait"/>
          <w:cols w:equalWidth="0" w:num="1">
            <w:col w:w="11240"/>
          </w:cols>
          <w:pgMar w:left="320" w:top="130" w:right="339" w:bottom="1440" w:gutter="0" w:footer="0" w:header="0"/>
        </w:sectPr>
      </w:pP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3 — Revenue Recognition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disaggregates revenue by major component:</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Company-operated shops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Franchising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Other</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131E29"/>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20656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2025</w:t>
            </w:r>
          </w:p>
        </w:tc>
        <w:tc>
          <w:tcPr>
            <w:tcW w:w="100" w:type="dxa"/>
            <w:vAlign w:val="bottom"/>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2024</w:t>
            </w:r>
          </w:p>
        </w:tc>
      </w:tr>
      <w:tr>
        <w:trPr>
          <w:trHeight w:val="247"/>
        </w:trPr>
        <w:tc>
          <w:tcPr>
            <w:tcW w:w="360" w:type="dxa"/>
            <w:vAlign w:val="bottom"/>
          </w:tcPr>
          <w:p>
            <w:pPr>
              <w:jc w:val="right"/>
              <w:ind w:right="150"/>
              <w:spacing w:after="0"/>
              <w:rPr>
                <w:sz w:val="20"/>
                <w:szCs w:val="20"/>
                <w:color w:val="auto"/>
              </w:rPr>
            </w:pPr>
            <w:r>
              <w:rPr>
                <w:rFonts w:ascii="Arial" w:cs="Arial" w:eastAsia="Arial" w:hAnsi="Arial"/>
                <w:sz w:val="18"/>
                <w:szCs w:val="18"/>
                <w:color w:val="006098"/>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006098"/>
              </w:rPr>
              <w:t>326,421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131E29"/>
              </w:rPr>
              <w:t>248,085</w:t>
            </w:r>
          </w:p>
        </w:tc>
      </w:tr>
      <w:tr>
        <w:trPr>
          <w:trHeight w:val="270"/>
        </w:trPr>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27,091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25,771</w:t>
            </w:r>
          </w:p>
        </w:tc>
      </w:tr>
      <w:tr>
        <w:trPr>
          <w:trHeight w:val="270"/>
        </w:trPr>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1,640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1,243</w:t>
            </w:r>
          </w:p>
        </w:tc>
      </w:tr>
      <w:tr>
        <w:trPr>
          <w:trHeight w:val="23"/>
        </w:trPr>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355,152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275,099</w:t>
            </w:r>
          </w:p>
        </w:tc>
      </w:tr>
      <w:tr>
        <w:trPr>
          <w:trHeight w:val="27"/>
        </w:trPr>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260" w:space="720"/>
            <w:col w:w="326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Deferred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Components of our deferred revenue liability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780" w:type="dxa"/>
            <w:vAlign w:val="bottom"/>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Pr>
          <w:p>
            <w:pPr>
              <w:spacing w:after="0"/>
              <w:rPr>
                <w:sz w:val="22"/>
                <w:szCs w:val="22"/>
                <w:color w:val="auto"/>
              </w:rPr>
            </w:pPr>
          </w:p>
        </w:tc>
        <w:tc>
          <w:tcPr>
            <w:tcW w:w="3360" w:type="dxa"/>
            <w:vAlign w:val="bottom"/>
            <w:gridSpan w:val="5"/>
          </w:tcPr>
          <w:p>
            <w:pPr>
              <w:jc w:val="right"/>
              <w:ind w:right="10"/>
              <w:spacing w:after="0"/>
              <w:rPr>
                <w:sz w:val="20"/>
                <w:szCs w:val="20"/>
                <w:color w:val="auto"/>
              </w:rPr>
            </w:pPr>
            <w:r>
              <w:rPr>
                <w:rFonts w:ascii="Arial" w:cs="Arial" w:eastAsia="Arial" w:hAnsi="Arial"/>
                <w:sz w:val="18"/>
                <w:szCs w:val="18"/>
                <w:b w:val="1"/>
                <w:bCs w:val="1"/>
                <w:color w:val="131E29"/>
              </w:rPr>
              <w:t>March 31, 2025   December 31, 2024</w:t>
            </w:r>
          </w:p>
        </w:tc>
      </w:tr>
      <w:tr>
        <w:trPr>
          <w:trHeight w:val="270"/>
        </w:trPr>
        <w:tc>
          <w:tcPr>
            <w:tcW w:w="7780" w:type="dxa"/>
            <w:vAlign w:val="bottom"/>
            <w:tcBorders>
              <w:top w:val="single" w:sz="8" w:color="D7282F"/>
            </w:tcBorders>
            <w:shd w:val="clear" w:color="auto" w:fill="D2DCE5"/>
          </w:tcPr>
          <w:p>
            <w:pPr>
              <w:ind w:left="20"/>
              <w:spacing w:after="0"/>
              <w:rPr>
                <w:sz w:val="20"/>
                <w:szCs w:val="20"/>
                <w:color w:val="auto"/>
              </w:rPr>
            </w:pPr>
            <w:r>
              <w:rPr>
                <w:rFonts w:ascii="Arial" w:cs="Arial" w:eastAsia="Arial" w:hAnsi="Arial"/>
                <w:sz w:val="18"/>
                <w:szCs w:val="18"/>
                <w:color w:val="131E29"/>
              </w:rPr>
              <w:t>Gift card and loyalty programs</w:t>
            </w:r>
          </w:p>
        </w:tc>
        <w:tc>
          <w:tcPr>
            <w:tcW w:w="100" w:type="dxa"/>
            <w:vAlign w:val="bottom"/>
            <w:tcBorders>
              <w:top w:val="single" w:sz="8" w:color="D2DCE5"/>
            </w:tcBorders>
            <w:shd w:val="clear" w:color="auto" w:fill="D2DCE5"/>
          </w:tcPr>
          <w:p>
            <w:pPr>
              <w:spacing w:after="0"/>
              <w:rPr>
                <w:sz w:val="23"/>
                <w:szCs w:val="23"/>
                <w:color w:val="auto"/>
              </w:rPr>
            </w:pPr>
          </w:p>
        </w:tc>
        <w:tc>
          <w:tcPr>
            <w:tcW w:w="460" w:type="dxa"/>
            <w:vAlign w:val="bottom"/>
            <w:tcBorders>
              <w:top w:val="single" w:sz="8" w:color="D7282F"/>
            </w:tcBorders>
            <w:shd w:val="clear" w:color="auto" w:fill="D2DCE5"/>
          </w:tcPr>
          <w:p>
            <w:pPr>
              <w:jc w:val="right"/>
              <w:ind w:right="250"/>
              <w:spacing w:after="0"/>
              <w:rPr>
                <w:sz w:val="20"/>
                <w:szCs w:val="20"/>
                <w:color w:val="auto"/>
              </w:rPr>
            </w:pPr>
            <w:r>
              <w:rPr>
                <w:rFonts w:ascii="Arial" w:cs="Arial" w:eastAsia="Arial" w:hAnsi="Arial"/>
                <w:sz w:val="18"/>
                <w:szCs w:val="18"/>
                <w:color w:val="006098"/>
                <w:w w:val="99"/>
              </w:rPr>
              <w:t>$</w:t>
            </w:r>
          </w:p>
        </w:tc>
        <w:tc>
          <w:tcPr>
            <w:tcW w:w="980" w:type="dxa"/>
            <w:vAlign w:val="bottom"/>
            <w:tcBorders>
              <w:top w:val="single" w:sz="8" w:color="D7282F"/>
            </w:tcBorders>
            <w:shd w:val="clear" w:color="auto" w:fill="D2DCE5"/>
          </w:tcPr>
          <w:p>
            <w:pPr>
              <w:jc w:val="right"/>
              <w:spacing w:after="0"/>
              <w:rPr>
                <w:sz w:val="20"/>
                <w:szCs w:val="20"/>
                <w:color w:val="auto"/>
              </w:rPr>
            </w:pPr>
            <w:r>
              <w:rPr>
                <w:rFonts w:ascii="Arial" w:cs="Arial" w:eastAsia="Arial" w:hAnsi="Arial"/>
                <w:sz w:val="18"/>
                <w:szCs w:val="18"/>
                <w:color w:val="006098"/>
              </w:rPr>
              <w:t>45,025</w:t>
            </w:r>
          </w:p>
        </w:tc>
        <w:tc>
          <w:tcPr>
            <w:tcW w:w="100" w:type="dxa"/>
            <w:vAlign w:val="bottom"/>
            <w:tcBorders>
              <w:top w:val="single" w:sz="8" w:color="D2DCE5"/>
            </w:tcBorders>
            <w:shd w:val="clear" w:color="auto" w:fill="D2DCE5"/>
          </w:tcPr>
          <w:p>
            <w:pPr>
              <w:spacing w:after="0"/>
              <w:rPr>
                <w:sz w:val="23"/>
                <w:szCs w:val="23"/>
                <w:color w:val="auto"/>
              </w:rPr>
            </w:pPr>
          </w:p>
        </w:tc>
        <w:tc>
          <w:tcPr>
            <w:tcW w:w="660" w:type="dxa"/>
            <w:vAlign w:val="bottom"/>
            <w:tcBorders>
              <w:top w:val="single" w:sz="8" w:color="D7282F"/>
            </w:tcBorders>
            <w:shd w:val="clear" w:color="auto" w:fill="D2DCE5"/>
          </w:tcPr>
          <w:p>
            <w:pPr>
              <w:jc w:val="right"/>
              <w:ind w:right="450"/>
              <w:spacing w:after="0"/>
              <w:rPr>
                <w:sz w:val="20"/>
                <w:szCs w:val="20"/>
                <w:color w:val="auto"/>
              </w:rPr>
            </w:pPr>
            <w:r>
              <w:rPr>
                <w:rFonts w:ascii="Arial" w:cs="Arial" w:eastAsia="Arial" w:hAnsi="Arial"/>
                <w:sz w:val="18"/>
                <w:szCs w:val="18"/>
                <w:color w:val="131E29"/>
                <w:w w:val="99"/>
              </w:rPr>
              <w:t>$</w:t>
            </w:r>
          </w:p>
        </w:tc>
        <w:tc>
          <w:tcPr>
            <w:tcW w:w="1160" w:type="dxa"/>
            <w:vAlign w:val="bottom"/>
            <w:tcBorders>
              <w:top w:val="single" w:sz="8" w:color="D7282F"/>
            </w:tcBorders>
            <w:shd w:val="clear" w:color="auto" w:fill="D2DCE5"/>
          </w:tcPr>
          <w:p>
            <w:pPr>
              <w:jc w:val="right"/>
              <w:spacing w:after="0"/>
              <w:rPr>
                <w:sz w:val="20"/>
                <w:szCs w:val="20"/>
                <w:color w:val="auto"/>
              </w:rPr>
            </w:pPr>
            <w:r>
              <w:rPr>
                <w:rFonts w:ascii="Arial" w:cs="Arial" w:eastAsia="Arial" w:hAnsi="Arial"/>
                <w:sz w:val="18"/>
                <w:szCs w:val="18"/>
                <w:color w:val="131E29"/>
              </w:rPr>
              <w:t>48,265</w:t>
            </w:r>
          </w:p>
        </w:tc>
      </w:tr>
      <w:tr>
        <w:trPr>
          <w:trHeight w:val="270"/>
        </w:trPr>
        <w:tc>
          <w:tcPr>
            <w:tcW w:w="788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 xml:space="preserve">Other deferred revenue, net </w:t>
            </w:r>
            <w:r>
              <w:rPr>
                <w:rFonts w:ascii="Arial" w:cs="Arial" w:eastAsia="Arial" w:hAnsi="Arial"/>
                <w:sz w:val="23"/>
                <w:szCs w:val="23"/>
                <w:color w:val="131E29"/>
                <w:vertAlign w:val="superscript"/>
              </w:rPr>
              <w:t>1</w:t>
            </w: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2,671</w:t>
            </w:r>
          </w:p>
        </w:tc>
        <w:tc>
          <w:tcPr>
            <w:tcW w:w="100" w:type="dxa"/>
            <w:vAlign w:val="bottom"/>
            <w:tcBorders>
              <w:bottom w:val="single" w:sz="8" w:color="D2DCE5"/>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2,618</w:t>
            </w:r>
          </w:p>
        </w:tc>
      </w:tr>
      <w:tr>
        <w:trPr>
          <w:trHeight w:val="248"/>
        </w:trPr>
        <w:tc>
          <w:tcPr>
            <w:tcW w:w="78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deferred revenue</w:t>
            </w:r>
          </w:p>
        </w:tc>
        <w:tc>
          <w:tcPr>
            <w:tcW w:w="460" w:type="dxa"/>
            <w:vAlign w:val="bottom"/>
            <w:tcBorders>
              <w:bottom w:val="single" w:sz="8" w:color="auto"/>
            </w:tcBorders>
            <w:shd w:val="clear" w:color="auto" w:fill="D2DCE5"/>
          </w:tcPr>
          <w:p>
            <w:pPr>
              <w:jc w:val="right"/>
              <w:ind w:right="250"/>
              <w:spacing w:after="0"/>
              <w:rPr>
                <w:sz w:val="20"/>
                <w:szCs w:val="20"/>
                <w:color w:val="auto"/>
              </w:rPr>
            </w:pPr>
            <w:r>
              <w:rPr>
                <w:rFonts w:ascii="Arial" w:cs="Arial" w:eastAsia="Arial" w:hAnsi="Arial"/>
                <w:sz w:val="18"/>
                <w:szCs w:val="18"/>
                <w:b w:val="1"/>
                <w:bCs w:val="1"/>
                <w:color w:val="006098"/>
                <w:w w:val="99"/>
              </w:rPr>
              <w:t>$</w:t>
            </w: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47,696</w:t>
            </w:r>
          </w:p>
        </w:tc>
        <w:tc>
          <w:tcPr>
            <w:tcW w:w="100" w:type="dxa"/>
            <w:vAlign w:val="bottom"/>
            <w:tcBorders>
              <w:bottom w:val="single" w:sz="8" w:color="D2DCE5"/>
            </w:tcBorders>
            <w:shd w:val="clear" w:color="auto" w:fill="D2DCE5"/>
          </w:tcPr>
          <w:p>
            <w:pPr>
              <w:spacing w:after="0"/>
              <w:rPr>
                <w:sz w:val="21"/>
                <w:szCs w:val="21"/>
                <w:color w:val="auto"/>
              </w:rPr>
            </w:pPr>
          </w:p>
        </w:tc>
        <w:tc>
          <w:tcPr>
            <w:tcW w:w="660" w:type="dxa"/>
            <w:vAlign w:val="bottom"/>
            <w:tcBorders>
              <w:bottom w:val="single" w:sz="8" w:color="auto"/>
            </w:tcBorders>
            <w:shd w:val="clear" w:color="auto" w:fill="D2DCE5"/>
          </w:tcPr>
          <w:p>
            <w:pPr>
              <w:jc w:val="right"/>
              <w:ind w:right="450"/>
              <w:spacing w:after="0"/>
              <w:rPr>
                <w:sz w:val="20"/>
                <w:szCs w:val="20"/>
                <w:color w:val="auto"/>
              </w:rPr>
            </w:pPr>
            <w:r>
              <w:rPr>
                <w:rFonts w:ascii="Arial" w:cs="Arial" w:eastAsia="Arial" w:hAnsi="Arial"/>
                <w:sz w:val="18"/>
                <w:szCs w:val="18"/>
                <w:b w:val="1"/>
                <w:bCs w:val="1"/>
                <w:color w:val="131E29"/>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50,883</w:t>
            </w:r>
          </w:p>
        </w:tc>
      </w:tr>
      <w:tr>
        <w:trPr>
          <w:trHeight w:val="20"/>
        </w:trPr>
        <w:tc>
          <w:tcPr>
            <w:tcW w:w="77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60" w:type="dxa"/>
            <w:vAlign w:val="bottom"/>
            <w:tcBorders>
              <w:top w:val="single" w:sz="8" w:color="D2DCE5"/>
              <w:bottom w:val="single" w:sz="8" w:color="auto"/>
            </w:tcBorders>
          </w:tcPr>
          <w:p>
            <w:pPr>
              <w:spacing w:after="0" w:line="20" w:lineRule="exact"/>
              <w:rPr>
                <w:sz w:val="1"/>
                <w:szCs w:val="1"/>
                <w:color w:val="auto"/>
              </w:rPr>
            </w:pPr>
          </w:p>
        </w:tc>
        <w:tc>
          <w:tcPr>
            <w:tcW w:w="9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spacing w:after="0" w:line="44" w:lineRule="exact"/>
        <w:rPr>
          <w:sz w:val="20"/>
          <w:szCs w:val="20"/>
          <w:color w:val="auto"/>
        </w:rPr>
      </w:pPr>
    </w:p>
    <w:p>
      <w:pPr>
        <w:ind w:left="80" w:hanging="72"/>
        <w:spacing w:after="0"/>
        <w:tabs>
          <w:tab w:leader="none" w:pos="80" w:val="left"/>
        </w:tabs>
        <w:numPr>
          <w:ilvl w:val="0"/>
          <w:numId w:val="3"/>
        </w:numPr>
        <w:rPr>
          <w:rFonts w:ascii="Arial" w:cs="Arial" w:eastAsia="Arial" w:hAnsi="Arial"/>
          <w:sz w:val="19"/>
          <w:szCs w:val="19"/>
          <w:color w:val="131E29"/>
          <w:vertAlign w:val="superscript"/>
        </w:rPr>
      </w:pPr>
      <w:r>
        <w:rPr>
          <w:rFonts w:ascii="Arial" w:cs="Arial" w:eastAsia="Arial" w:hAnsi="Arial"/>
          <w:sz w:val="14"/>
          <w:szCs w:val="14"/>
          <w:color w:val="131E29"/>
        </w:rPr>
        <w:t>Other deferred revenue, net, includes initial unearned franchise fees and performance obligations that have not been satisfied related to sales to distributors.</w:t>
      </w:r>
    </w:p>
    <w:p>
      <w:pPr>
        <w:sectPr>
          <w:pgSz w:w="11900" w:h="16838" w:orient="portrait"/>
          <w:cols w:equalWidth="0" w:num="1">
            <w:col w:w="11240"/>
          </w:cols>
          <w:pgMar w:left="320" w:top="130" w:right="3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131E29"/>
        </w:rPr>
        <w:t>Deferred revenue activity was as follows:</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Beginning balance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 xml:space="preserve">Revenue deferred </w:t>
      </w:r>
      <w:r>
        <w:rPr>
          <w:rFonts w:ascii="Arial" w:cs="Arial" w:eastAsia="Arial" w:hAnsi="Arial"/>
          <w:sz w:val="23"/>
          <w:szCs w:val="23"/>
          <w:color w:val="131E29"/>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 xml:space="preserve">Revenue recognized </w:t>
      </w:r>
      <w:r>
        <w:rPr>
          <w:rFonts w:ascii="Arial" w:cs="Arial" w:eastAsia="Arial" w:hAnsi="Arial"/>
          <w:sz w:val="23"/>
          <w:szCs w:val="23"/>
          <w:color w:val="131E29"/>
          <w:vertAlign w:val="superscript"/>
        </w:rPr>
        <w:t>2</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 xml:space="preserve">Other deferred revenue, net </w:t>
      </w:r>
      <w:r>
        <w:rPr>
          <w:rFonts w:ascii="Arial" w:cs="Arial" w:eastAsia="Arial" w:hAnsi="Arial"/>
          <w:sz w:val="23"/>
          <w:szCs w:val="23"/>
          <w:color w:val="131E29"/>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131E29"/>
        </w:rPr>
        <w:t>Ending balance</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96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Deferred revenue, net of 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2065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2025</w:t>
            </w:r>
          </w:p>
        </w:tc>
        <w:tc>
          <w:tcPr>
            <w:tcW w:w="100" w:type="dxa"/>
            <w:vAlign w:val="bottom"/>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2024</w:t>
            </w:r>
          </w:p>
        </w:tc>
      </w:tr>
      <w:tr>
        <w:trPr>
          <w:trHeight w:val="278"/>
        </w:trPr>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006098"/>
              </w:rPr>
              <w:t>50,883</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131E29"/>
              </w:rPr>
              <w:t>37,025</w:t>
            </w:r>
          </w:p>
        </w:tc>
      </w:tr>
      <w:tr>
        <w:trPr>
          <w:trHeight w:val="266"/>
        </w:trPr>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126,012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89,394</w:t>
            </w:r>
          </w:p>
        </w:tc>
      </w:tr>
      <w:tr>
        <w:trPr>
          <w:trHeight w:val="270"/>
        </w:trPr>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(129,253)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(91,057)</w:t>
            </w:r>
          </w:p>
        </w:tc>
      </w:tr>
      <w:tr>
        <w:trPr>
          <w:trHeight w:val="266"/>
        </w:trPr>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54</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61</w:t>
            </w:r>
          </w:p>
        </w:tc>
      </w:tr>
      <w:tr>
        <w:trPr>
          <w:trHeight w:val="272"/>
        </w:trPr>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006098"/>
              </w:rPr>
              <w:t>47,696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131E29"/>
              </w:rPr>
              <w:t>35,423</w:t>
            </w:r>
          </w:p>
        </w:tc>
      </w:tr>
      <w:tr>
        <w:trPr>
          <w:trHeight w:val="262"/>
        </w:trPr>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(39,711)</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(29,110)</w:t>
            </w:r>
          </w:p>
        </w:tc>
      </w:tr>
      <w:tr>
        <w:trPr>
          <w:trHeight w:val="263"/>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7,985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6,313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2">
            <w:col w:w="7260" w:space="720"/>
            <w:col w:w="3260"/>
          </w:cols>
          <w:pgMar w:left="320" w:top="130" w:right="339" w:bottom="1440" w:gutter="0" w:footer="0" w:header="0"/>
          <w:type w:val="continuous"/>
        </w:sectPr>
      </w:pPr>
    </w:p>
    <w:p>
      <w:pPr>
        <w:spacing w:after="0"/>
        <w:rPr>
          <w:sz w:val="20"/>
          <w:szCs w:val="20"/>
          <w:color w:val="auto"/>
        </w:rPr>
      </w:pPr>
      <w:r>
        <w:rPr>
          <w:rFonts w:ascii="Arial" w:cs="Arial" w:eastAsia="Arial" w:hAnsi="Arial"/>
          <w:sz w:val="18"/>
          <w:szCs w:val="18"/>
          <w:color w:val="131E29"/>
        </w:rPr>
        <w:t>_______________</w:t>
      </w:r>
    </w:p>
    <w:p>
      <w:pPr>
        <w:spacing w:after="0" w:line="44" w:lineRule="exact"/>
        <w:rPr>
          <w:sz w:val="20"/>
          <w:szCs w:val="20"/>
          <w:color w:val="auto"/>
        </w:rPr>
      </w:pPr>
    </w:p>
    <w:p>
      <w:pPr>
        <w:ind w:left="80" w:hanging="72"/>
        <w:spacing w:after="0"/>
        <w:tabs>
          <w:tab w:leader="none" w:pos="80" w:val="left"/>
        </w:tabs>
        <w:numPr>
          <w:ilvl w:val="0"/>
          <w:numId w:val="4"/>
        </w:numPr>
        <w:rPr>
          <w:rFonts w:ascii="Arial" w:cs="Arial" w:eastAsia="Arial" w:hAnsi="Arial"/>
          <w:sz w:val="19"/>
          <w:szCs w:val="19"/>
          <w:color w:val="131E29"/>
          <w:vertAlign w:val="superscript"/>
        </w:rPr>
      </w:pPr>
      <w:r>
        <w:rPr>
          <w:rFonts w:ascii="Arial" w:cs="Arial" w:eastAsia="Arial" w:hAnsi="Arial"/>
          <w:sz w:val="14"/>
          <w:szCs w:val="14"/>
          <w:color w:val="131E29"/>
        </w:rPr>
        <w:t>Revenue deferred includes gift card activations, loyalty app loads and loyalty points and rewards earned.</w:t>
      </w:r>
    </w:p>
    <w:p>
      <w:pPr>
        <w:spacing w:after="0" w:line="53" w:lineRule="exact"/>
        <w:rPr>
          <w:rFonts w:ascii="Arial" w:cs="Arial" w:eastAsia="Arial" w:hAnsi="Arial"/>
          <w:sz w:val="19"/>
          <w:szCs w:val="19"/>
          <w:color w:val="131E29"/>
          <w:vertAlign w:val="superscript"/>
        </w:rPr>
      </w:pPr>
    </w:p>
    <w:p>
      <w:pPr>
        <w:spacing w:after="0"/>
        <w:rPr>
          <w:rFonts w:ascii="Arial" w:cs="Arial" w:eastAsia="Arial" w:hAnsi="Arial"/>
          <w:sz w:val="19"/>
          <w:szCs w:val="19"/>
          <w:color w:val="131E29"/>
          <w:vertAlign w:val="superscript"/>
        </w:rPr>
      </w:pPr>
      <w:r>
        <w:rPr>
          <w:rFonts w:ascii="Arial" w:cs="Arial" w:eastAsia="Arial" w:hAnsi="Arial"/>
          <w:sz w:val="18"/>
          <w:szCs w:val="18"/>
          <w:color w:val="131E29"/>
          <w:vertAlign w:val="superscript"/>
        </w:rPr>
        <w:t>2</w:t>
      </w:r>
      <w:r>
        <w:rPr>
          <w:rFonts w:ascii="Arial" w:cs="Arial" w:eastAsia="Arial" w:hAnsi="Arial"/>
          <w:sz w:val="14"/>
          <w:szCs w:val="14"/>
          <w:color w:val="131E29"/>
        </w:rPr>
        <w:t xml:space="preserve"> Revenue recognized includes redemptions of gift cards, loyalty app and loyalty rewards, and breakage.</w:t>
      </w:r>
    </w:p>
    <w:p>
      <w:pPr>
        <w:spacing w:after="0" w:line="22" w:lineRule="exact"/>
        <w:rPr>
          <w:rFonts w:ascii="Arial" w:cs="Arial" w:eastAsia="Arial" w:hAnsi="Arial"/>
          <w:sz w:val="19"/>
          <w:szCs w:val="19"/>
          <w:color w:val="131E29"/>
          <w:vertAlign w:val="superscript"/>
        </w:rPr>
      </w:pPr>
    </w:p>
    <w:p>
      <w:pPr>
        <w:spacing w:after="0"/>
        <w:rPr>
          <w:rFonts w:ascii="Arial" w:cs="Arial" w:eastAsia="Arial" w:hAnsi="Arial"/>
          <w:sz w:val="19"/>
          <w:szCs w:val="19"/>
          <w:color w:val="131E29"/>
          <w:vertAlign w:val="superscript"/>
        </w:rPr>
      </w:pPr>
      <w:r>
        <w:rPr>
          <w:rFonts w:ascii="Arial" w:cs="Arial" w:eastAsia="Arial" w:hAnsi="Arial"/>
          <w:sz w:val="18"/>
          <w:szCs w:val="18"/>
          <w:color w:val="131E29"/>
          <w:vertAlign w:val="superscript"/>
        </w:rPr>
        <w:t>3</w:t>
      </w:r>
      <w:r>
        <w:rPr>
          <w:rFonts w:ascii="Arial" w:cs="Arial" w:eastAsia="Arial" w:hAnsi="Arial"/>
          <w:sz w:val="14"/>
          <w:szCs w:val="14"/>
          <w:color w:val="131E29"/>
        </w:rPr>
        <w:t xml:space="preserve"> Other deferred revenue, net, includes activity related to initial unearned franchise fees and sales to distributors where the performance obligation has not been satisfied.</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Revenue recognized during the three months ended March 31, 2025 and 2024 that was included in the respective deferred revenue liability balances at the beginning of the period are shown below.</w:t>
      </w:r>
    </w:p>
    <w:p>
      <w:pPr>
        <w:spacing w:after="0" w:line="15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34925</wp:posOffset>
            </wp:positionV>
            <wp:extent cx="20656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2024</w:t>
            </w:r>
          </w:p>
        </w:tc>
      </w:tr>
      <w:tr>
        <w:trPr>
          <w:trHeight w:val="270"/>
        </w:trPr>
        <w:tc>
          <w:tcPr>
            <w:tcW w:w="79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Gift card redemptions </w:t>
            </w:r>
            <w:r>
              <w:rPr>
                <w:rFonts w:ascii="Arial" w:cs="Arial" w:eastAsia="Arial" w:hAnsi="Arial"/>
                <w:sz w:val="23"/>
                <w:szCs w:val="23"/>
                <w:color w:val="131E29"/>
                <w:vertAlign w:val="superscript"/>
              </w:rPr>
              <w:t>1</w:t>
            </w:r>
          </w:p>
        </w:tc>
        <w:tc>
          <w:tcPr>
            <w:tcW w:w="36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006098"/>
                <w:w w:val="9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5,092</w:t>
            </w: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4,017</w:t>
            </w:r>
          </w:p>
        </w:tc>
      </w:tr>
      <w:tr>
        <w:trPr>
          <w:trHeight w:val="247"/>
        </w:trPr>
        <w:tc>
          <w:tcPr>
            <w:tcW w:w="7980" w:type="dxa"/>
            <w:vAlign w:val="bottom"/>
            <w:gridSpan w:val="2"/>
          </w:tcPr>
          <w:p>
            <w:pPr>
              <w:ind w:left="20"/>
              <w:spacing w:after="0"/>
              <w:rPr>
                <w:sz w:val="20"/>
                <w:szCs w:val="20"/>
                <w:color w:val="auto"/>
              </w:rPr>
            </w:pPr>
            <w:r>
              <w:rPr>
                <w:rFonts w:ascii="Arial" w:cs="Arial" w:eastAsia="Arial" w:hAnsi="Arial"/>
                <w:sz w:val="18"/>
                <w:szCs w:val="18"/>
                <w:color w:val="131E29"/>
              </w:rPr>
              <w:t>Earned franchise fees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113</w:t>
            </w:r>
          </w:p>
        </w:tc>
      </w:tr>
      <w:tr>
        <w:trPr>
          <w:trHeight w:val="324"/>
        </w:trPr>
        <w:tc>
          <w:tcPr>
            <w:tcW w:w="7900" w:type="dxa"/>
            <w:vAlign w:val="bottom"/>
          </w:tcPr>
          <w:p>
            <w:pPr>
              <w:spacing w:after="0"/>
              <w:rPr>
                <w:sz w:val="20"/>
                <w:szCs w:val="20"/>
                <w:color w:val="auto"/>
              </w:rPr>
            </w:pPr>
            <w:r>
              <w:rPr>
                <w:rFonts w:ascii="Arial" w:cs="Arial" w:eastAsia="Arial" w:hAnsi="Arial"/>
                <w:sz w:val="18"/>
                <w:szCs w:val="18"/>
                <w:color w:val="131E29"/>
              </w:rPr>
              <w:t>_____________________</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13"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131E29"/>
        </w:rPr>
        <w:t>Amounts exclude cash loads and transactions related to our loyalty rewards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Future recognition of initial unearned franchise fees as of March 31, 2025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
        </w:trPr>
        <w:tc>
          <w:tcPr>
            <w:tcW w:w="9560" w:type="dxa"/>
            <w:vAlign w:val="bottom"/>
            <w:tcBorders>
              <w:bottom w:val="single" w:sz="8" w:color="D7282F"/>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580" w:type="dxa"/>
            <w:vAlign w:val="bottom"/>
            <w:tcBorders>
              <w:bottom w:val="single" w:sz="8" w:color="D7282F"/>
            </w:tcBorders>
          </w:tcPr>
          <w:p>
            <w:pPr>
              <w:spacing w:after="0" w:line="20" w:lineRule="exact"/>
              <w:rPr>
                <w:sz w:val="1"/>
                <w:szCs w:val="1"/>
                <w:color w:val="auto"/>
              </w:rPr>
            </w:pPr>
          </w:p>
        </w:tc>
        <w:tc>
          <w:tcPr>
            <w:tcW w:w="1000" w:type="dxa"/>
            <w:vAlign w:val="bottom"/>
            <w:tcBorders>
              <w:bottom w:val="single" w:sz="8" w:color="D7282F"/>
            </w:tcBorders>
          </w:tcPr>
          <w:p>
            <w:pPr>
              <w:spacing w:after="0" w:line="20" w:lineRule="exact"/>
              <w:rPr>
                <w:sz w:val="1"/>
                <w:szCs w:val="1"/>
                <w:color w:val="auto"/>
              </w:rPr>
            </w:pPr>
          </w:p>
        </w:tc>
      </w:tr>
      <w:tr>
        <w:trPr>
          <w:trHeight w:val="264"/>
        </w:trPr>
        <w:tc>
          <w:tcPr>
            <w:tcW w:w="9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2025</w:t>
            </w:r>
          </w:p>
        </w:tc>
        <w:tc>
          <w:tcPr>
            <w:tcW w:w="580" w:type="dxa"/>
            <w:vAlign w:val="bottom"/>
            <w:shd w:val="clear" w:color="auto" w:fill="D2DCE5"/>
          </w:tcPr>
          <w:p>
            <w:pPr>
              <w:jc w:val="right"/>
              <w:ind w:right="370"/>
              <w:spacing w:after="0"/>
              <w:rPr>
                <w:sz w:val="20"/>
                <w:szCs w:val="20"/>
                <w:color w:val="auto"/>
              </w:rPr>
            </w:pPr>
            <w:r>
              <w:rPr>
                <w:rFonts w:ascii="Arial" w:cs="Arial" w:eastAsia="Arial" w:hAnsi="Arial"/>
                <w:sz w:val="18"/>
                <w:szCs w:val="18"/>
                <w:color w:val="006098"/>
                <w:w w:val="99"/>
              </w:rPr>
              <w:t>$</w:t>
            </w:r>
          </w:p>
        </w:tc>
        <w:tc>
          <w:tcPr>
            <w:tcW w:w="10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330</w:t>
            </w:r>
          </w:p>
        </w:tc>
      </w:tr>
      <w:tr>
        <w:trPr>
          <w:trHeight w:val="270"/>
        </w:trPr>
        <w:tc>
          <w:tcPr>
            <w:tcW w:w="9560" w:type="dxa"/>
            <w:vAlign w:val="bottom"/>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006098"/>
              </w:rPr>
              <w:t>403</w:t>
            </w:r>
          </w:p>
        </w:tc>
      </w:tr>
      <w:tr>
        <w:trPr>
          <w:trHeight w:val="270"/>
        </w:trPr>
        <w:tc>
          <w:tcPr>
            <w:tcW w:w="95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2027</w:t>
            </w:r>
          </w:p>
        </w:tc>
        <w:tc>
          <w:tcPr>
            <w:tcW w:w="100" w:type="dxa"/>
            <w:vAlign w:val="bottom"/>
            <w:shd w:val="clear" w:color="auto" w:fill="D2DCE5"/>
          </w:tcPr>
          <w:p>
            <w:pPr>
              <w:spacing w:after="0"/>
              <w:rPr>
                <w:sz w:val="23"/>
                <w:szCs w:val="23"/>
                <w:color w:val="auto"/>
              </w:rPr>
            </w:pPr>
          </w:p>
        </w:tc>
        <w:tc>
          <w:tcPr>
            <w:tcW w:w="580" w:type="dxa"/>
            <w:vAlign w:val="bottom"/>
            <w:shd w:val="clear" w:color="auto" w:fill="D2DCE5"/>
          </w:tcPr>
          <w:p>
            <w:pPr>
              <w:spacing w:after="0"/>
              <w:rPr>
                <w:sz w:val="23"/>
                <w:szCs w:val="23"/>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358</w:t>
            </w:r>
          </w:p>
        </w:tc>
      </w:tr>
      <w:tr>
        <w:trPr>
          <w:trHeight w:val="270"/>
        </w:trPr>
        <w:tc>
          <w:tcPr>
            <w:tcW w:w="9560" w:type="dxa"/>
            <w:vAlign w:val="bottom"/>
          </w:tcPr>
          <w:p>
            <w:pPr>
              <w:ind w:left="20"/>
              <w:spacing w:after="0"/>
              <w:rPr>
                <w:sz w:val="20"/>
                <w:szCs w:val="20"/>
                <w:color w:val="auto"/>
              </w:rPr>
            </w:pPr>
            <w:r>
              <w:rPr>
                <w:rFonts w:ascii="Arial" w:cs="Arial" w:eastAsia="Arial" w:hAnsi="Arial"/>
                <w:sz w:val="18"/>
                <w:szCs w:val="18"/>
                <w:color w:val="131E29"/>
              </w:rPr>
              <w:t>2028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006098"/>
              </w:rPr>
              <w:t>309</w:t>
            </w:r>
          </w:p>
        </w:tc>
      </w:tr>
      <w:tr>
        <w:trPr>
          <w:trHeight w:val="270"/>
        </w:trPr>
        <w:tc>
          <w:tcPr>
            <w:tcW w:w="95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2029</w:t>
            </w:r>
          </w:p>
        </w:tc>
        <w:tc>
          <w:tcPr>
            <w:tcW w:w="100" w:type="dxa"/>
            <w:vAlign w:val="bottom"/>
            <w:shd w:val="clear" w:color="auto" w:fill="D2DCE5"/>
          </w:tcPr>
          <w:p>
            <w:pPr>
              <w:spacing w:after="0"/>
              <w:rPr>
                <w:sz w:val="23"/>
                <w:szCs w:val="23"/>
                <w:color w:val="auto"/>
              </w:rPr>
            </w:pPr>
          </w:p>
        </w:tc>
        <w:tc>
          <w:tcPr>
            <w:tcW w:w="580" w:type="dxa"/>
            <w:vAlign w:val="bottom"/>
            <w:shd w:val="clear" w:color="auto" w:fill="D2DCE5"/>
          </w:tcPr>
          <w:p>
            <w:pPr>
              <w:spacing w:after="0"/>
              <w:rPr>
                <w:sz w:val="23"/>
                <w:szCs w:val="23"/>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264</w:t>
            </w:r>
          </w:p>
        </w:tc>
      </w:tr>
      <w:tr>
        <w:trPr>
          <w:trHeight w:val="270"/>
        </w:trPr>
        <w:tc>
          <w:tcPr>
            <w:tcW w:w="966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Thereafter</w:t>
            </w: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920</w:t>
            </w:r>
          </w:p>
        </w:tc>
      </w:tr>
      <w:tr>
        <w:trPr>
          <w:trHeight w:val="248"/>
        </w:trPr>
        <w:tc>
          <w:tcPr>
            <w:tcW w:w="9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b w:val="1"/>
                <w:bCs w:val="1"/>
                <w:color w:val="131E29"/>
              </w:rPr>
              <w:t>Total</w:t>
            </w:r>
          </w:p>
        </w:tc>
        <w:tc>
          <w:tcPr>
            <w:tcW w:w="580" w:type="dxa"/>
            <w:vAlign w:val="bottom"/>
            <w:tcBorders>
              <w:bottom w:val="single" w:sz="8" w:color="auto"/>
            </w:tcBorders>
            <w:shd w:val="clear" w:color="auto" w:fill="D2DCE5"/>
          </w:tcPr>
          <w:p>
            <w:pPr>
              <w:jc w:val="right"/>
              <w:ind w:right="370"/>
              <w:spacing w:after="0"/>
              <w:rPr>
                <w:sz w:val="20"/>
                <w:szCs w:val="20"/>
                <w:color w:val="auto"/>
              </w:rPr>
            </w:pPr>
            <w:r>
              <w:rPr>
                <w:rFonts w:ascii="Arial" w:cs="Arial" w:eastAsia="Arial" w:hAnsi="Arial"/>
                <w:sz w:val="18"/>
                <w:szCs w:val="18"/>
                <w:b w:val="1"/>
                <w:bCs w:val="1"/>
                <w:color w:val="006098"/>
                <w:w w:val="9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2,584</w:t>
            </w:r>
          </w:p>
        </w:tc>
      </w:tr>
      <w:tr>
        <w:trPr>
          <w:trHeight w:val="20"/>
        </w:trPr>
        <w:tc>
          <w:tcPr>
            <w:tcW w:w="9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4 — Organization Realignment and Restructuring</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On January 29, 2024, our Board of Directors approved an organizational realignment and restructuring plan to expand support operations at our Phoenix, Arizona office. As part of this large-scale initiative, we relocated certain support center staff from our Grants Pass, Oregon headquarters to the Phoenix office. As of March 31, 2025, approximately 40% of our total support operations staff were located in Phoenix, Arizona. We have incurred total aggregate charges of approximately $ 19.1 million related to this initiative, consisting of (i) approximately $16.6 million in employee-related costs, including relocation, retention and transition costs, termination benefits, and duplicate transition wages and benefits; and (ii) approximately $2.5 million in other costs, including building donation, consulting fees and costs and duplicate rent. Substantially all of the estimated charges have resulted in current or expected future cash expenditures.</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During the three months ended March 31, 2025 and 2024, we recorded restructuring charges for employee-related and other costs in selling, general and administrative expenses on the condensed consolidated statements of operations as follows:</w:t>
      </w:r>
    </w:p>
    <w:p>
      <w:pPr>
        <w:spacing w:after="0" w:line="15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34925</wp:posOffset>
            </wp:positionV>
            <wp:extent cx="20656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2024</w:t>
            </w:r>
          </w:p>
        </w:tc>
      </w:tr>
      <w:tr>
        <w:trPr>
          <w:trHeight w:val="270"/>
        </w:trPr>
        <w:tc>
          <w:tcPr>
            <w:tcW w:w="79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Relocation and travel costs</w:t>
            </w:r>
          </w:p>
        </w:tc>
        <w:tc>
          <w:tcPr>
            <w:tcW w:w="36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006098"/>
                <w:w w:val="9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531</w:t>
            </w: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2,429</w:t>
            </w:r>
          </w:p>
        </w:tc>
      </w:tr>
      <w:tr>
        <w:trPr>
          <w:trHeight w:val="270"/>
        </w:trPr>
        <w:tc>
          <w:tcPr>
            <w:tcW w:w="798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One-time termination benefits</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478</w:t>
            </w:r>
          </w:p>
        </w:tc>
        <w:tc>
          <w:tcPr>
            <w:tcW w:w="100" w:type="dxa"/>
            <w:vAlign w:val="bottom"/>
            <w:tcBorders>
              <w:bottom w:val="single" w:sz="8" w:color="D2DCE5"/>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196</w:t>
            </w:r>
          </w:p>
        </w:tc>
      </w:tr>
      <w:tr>
        <w:trPr>
          <w:trHeight w:val="250"/>
        </w:trPr>
        <w:tc>
          <w:tcPr>
            <w:tcW w:w="7980" w:type="dxa"/>
            <w:vAlign w:val="bottom"/>
            <w:gridSpan w:val="2"/>
            <w:shd w:val="clear" w:color="auto" w:fill="D2DCE5"/>
          </w:tcPr>
          <w:p>
            <w:pPr>
              <w:ind w:left="100"/>
              <w:spacing w:after="0"/>
              <w:rPr>
                <w:sz w:val="20"/>
                <w:szCs w:val="20"/>
                <w:color w:val="auto"/>
              </w:rPr>
            </w:pPr>
            <w:r>
              <w:rPr>
                <w:rFonts w:ascii="Arial" w:cs="Arial" w:eastAsia="Arial" w:hAnsi="Arial"/>
                <w:sz w:val="18"/>
                <w:szCs w:val="18"/>
                <w:color w:val="131E29"/>
              </w:rPr>
              <w:t>Total employee-related costs</w:t>
            </w:r>
          </w:p>
        </w:tc>
        <w:tc>
          <w:tcPr>
            <w:tcW w:w="360" w:type="dxa"/>
            <w:vAlign w:val="bottom"/>
            <w:tcBorders>
              <w:bottom w:val="single" w:sz="8" w:color="auto"/>
            </w:tcBorders>
            <w:shd w:val="clear" w:color="auto" w:fill="D2DCE5"/>
          </w:tcPr>
          <w:p>
            <w:pPr>
              <w:spacing w:after="0"/>
              <w:rPr>
                <w:sz w:val="21"/>
                <w:szCs w:val="21"/>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1,009</w:t>
            </w:r>
          </w:p>
        </w:tc>
        <w:tc>
          <w:tcPr>
            <w:tcW w:w="100" w:type="dxa"/>
            <w:vAlign w:val="bottom"/>
            <w:shd w:val="clear" w:color="auto" w:fill="D2DCE5"/>
          </w:tcPr>
          <w:p>
            <w:pPr>
              <w:spacing w:after="0"/>
              <w:rPr>
                <w:sz w:val="21"/>
                <w:szCs w:val="21"/>
                <w:color w:val="auto"/>
              </w:rPr>
            </w:pPr>
          </w:p>
        </w:tc>
        <w:tc>
          <w:tcPr>
            <w:tcW w:w="360" w:type="dxa"/>
            <w:vAlign w:val="bottom"/>
            <w:tcBorders>
              <w:bottom w:val="single" w:sz="8" w:color="auto"/>
            </w:tcBorders>
            <w:shd w:val="clear" w:color="auto" w:fill="D2DCE5"/>
          </w:tcPr>
          <w:p>
            <w:pPr>
              <w:spacing w:after="0"/>
              <w:rPr>
                <w:sz w:val="21"/>
                <w:szCs w:val="21"/>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2,625</w:t>
            </w:r>
          </w:p>
        </w:tc>
      </w:tr>
      <w:tr>
        <w:trPr>
          <w:trHeight w:val="250"/>
        </w:trPr>
        <w:tc>
          <w:tcPr>
            <w:tcW w:w="7980" w:type="dxa"/>
            <w:vAlign w:val="bottom"/>
            <w:gridSpan w:val="2"/>
          </w:tcPr>
          <w:p>
            <w:pPr>
              <w:ind w:left="20"/>
              <w:spacing w:after="0"/>
              <w:rPr>
                <w:sz w:val="20"/>
                <w:szCs w:val="20"/>
                <w:color w:val="auto"/>
              </w:rPr>
            </w:pPr>
            <w:r>
              <w:rPr>
                <w:rFonts w:ascii="Arial" w:cs="Arial" w:eastAsia="Arial" w:hAnsi="Arial"/>
                <w:sz w:val="18"/>
                <w:szCs w:val="18"/>
                <w:color w:val="131E29"/>
              </w:rPr>
              <w:t>Duplicate rent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w:t>
            </w:r>
          </w:p>
        </w:tc>
      </w:tr>
      <w:tr>
        <w:trPr>
          <w:trHeight w:val="270"/>
        </w:trPr>
        <w:tc>
          <w:tcPr>
            <w:tcW w:w="79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Consulting</w:t>
            </w:r>
          </w:p>
        </w:tc>
        <w:tc>
          <w:tcPr>
            <w:tcW w:w="360" w:type="dxa"/>
            <w:vAlign w:val="bottom"/>
            <w:tcBorders>
              <w:bottom w:val="single" w:sz="8" w:color="auto"/>
            </w:tcBorders>
            <w:shd w:val="clear" w:color="auto" w:fill="D2DCE5"/>
          </w:tcPr>
          <w:p>
            <w:pPr>
              <w:spacing w:after="0"/>
              <w:rPr>
                <w:sz w:val="23"/>
                <w:szCs w:val="23"/>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(25)</w:t>
            </w:r>
          </w:p>
        </w:tc>
        <w:tc>
          <w:tcPr>
            <w:tcW w:w="100" w:type="dxa"/>
            <w:vAlign w:val="bottom"/>
            <w:shd w:val="clear" w:color="auto" w:fill="D2DCE5"/>
          </w:tcPr>
          <w:p>
            <w:pPr>
              <w:spacing w:after="0"/>
              <w:rPr>
                <w:sz w:val="23"/>
                <w:szCs w:val="23"/>
                <w:color w:val="auto"/>
              </w:rPr>
            </w:pPr>
          </w:p>
        </w:tc>
        <w:tc>
          <w:tcPr>
            <w:tcW w:w="360" w:type="dxa"/>
            <w:vAlign w:val="bottom"/>
            <w:tcBorders>
              <w:bottom w:val="single" w:sz="8" w:color="auto"/>
            </w:tcBorders>
            <w:shd w:val="clear" w:color="auto" w:fill="D2DCE5"/>
          </w:tcPr>
          <w:p>
            <w:pPr>
              <w:spacing w:after="0"/>
              <w:rPr>
                <w:sz w:val="23"/>
                <w:szCs w:val="23"/>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50"/>
        </w:trPr>
        <w:tc>
          <w:tcPr>
            <w:tcW w:w="7980" w:type="dxa"/>
            <w:vAlign w:val="bottom"/>
            <w:tcBorders>
              <w:bottom w:val="single" w:sz="8" w:color="D2DCE5"/>
            </w:tcBorders>
            <w:gridSpan w:val="2"/>
          </w:tcPr>
          <w:p>
            <w:pPr>
              <w:ind w:left="140"/>
              <w:spacing w:after="0"/>
              <w:rPr>
                <w:sz w:val="20"/>
                <w:szCs w:val="20"/>
                <w:color w:val="auto"/>
              </w:rPr>
            </w:pPr>
            <w:r>
              <w:rPr>
                <w:rFonts w:ascii="Arial" w:cs="Arial" w:eastAsia="Arial" w:hAnsi="Arial"/>
                <w:sz w:val="18"/>
                <w:szCs w:val="18"/>
                <w:color w:val="131E29"/>
              </w:rPr>
              <w:t>Total other costs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219</w:t>
            </w:r>
          </w:p>
        </w:tc>
        <w:tc>
          <w:tcPr>
            <w:tcW w:w="100" w:type="dxa"/>
            <w:vAlign w:val="bottom"/>
            <w:tcBorders>
              <w:bottom w:val="single" w:sz="8" w:color="D2DCE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w:t>
            </w:r>
          </w:p>
        </w:tc>
      </w:tr>
      <w:tr>
        <w:trPr>
          <w:trHeight w:val="248"/>
        </w:trPr>
        <w:tc>
          <w:tcPr>
            <w:tcW w:w="7980" w:type="dxa"/>
            <w:vAlign w:val="bottom"/>
            <w:tcBorders>
              <w:bottom w:val="single" w:sz="8" w:color="D2DCE5"/>
            </w:tcBorders>
            <w:gridSpan w:val="2"/>
            <w:shd w:val="clear" w:color="auto" w:fill="D2DCE5"/>
          </w:tcPr>
          <w:p>
            <w:pPr>
              <w:ind w:left="220"/>
              <w:spacing w:after="0"/>
              <w:rPr>
                <w:sz w:val="20"/>
                <w:szCs w:val="20"/>
                <w:color w:val="auto"/>
              </w:rPr>
            </w:pPr>
            <w:r>
              <w:rPr>
                <w:rFonts w:ascii="Arial" w:cs="Arial" w:eastAsia="Arial" w:hAnsi="Arial"/>
                <w:sz w:val="18"/>
                <w:szCs w:val="18"/>
                <w:b w:val="1"/>
                <w:bCs w:val="1"/>
                <w:color w:val="131E29"/>
              </w:rPr>
              <w:t>Total restructuring costs incurred</w:t>
            </w: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1,228</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2,625</w:t>
            </w:r>
          </w:p>
        </w:tc>
      </w:tr>
      <w:tr>
        <w:trPr>
          <w:trHeight w:val="20"/>
        </w:trPr>
        <w:tc>
          <w:tcPr>
            <w:tcW w:w="79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As of March 31, 2025 and December 31, 2024, the accruals for corporate restructuring costs are included in accounts payable, accrued compensation and benefits, and accrued expenses on the condensed consolidated balance sheets. The following table summarizes the activity for the restructuring liability during the three months ended March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b w:val="1"/>
                <w:bCs w:val="1"/>
                <w:color w:val="131E29"/>
              </w:rPr>
              <w:t>Liability, December</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131E29"/>
                <w:w w:val="97"/>
              </w:rPr>
              <w:t>Liability, March</w:t>
            </w:r>
          </w:p>
        </w:tc>
      </w:tr>
      <w:tr>
        <w:trPr>
          <w:trHeight w:val="255"/>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340" w:type="dxa"/>
            <w:vAlign w:val="bottom"/>
            <w:tcBorders>
              <w:bottom w:val="single" w:sz="8" w:color="D7282F"/>
            </w:tcBorders>
          </w:tcPr>
          <w:p>
            <w:pPr>
              <w:spacing w:after="0"/>
              <w:rPr>
                <w:sz w:val="22"/>
                <w:szCs w:val="22"/>
                <w:color w:val="auto"/>
              </w:rPr>
            </w:pPr>
          </w:p>
        </w:tc>
        <w:tc>
          <w:tcPr>
            <w:tcW w:w="1480" w:type="dxa"/>
            <w:vAlign w:val="bottom"/>
            <w:tcBorders>
              <w:bottom w:val="single" w:sz="8" w:color="D7282F"/>
            </w:tcBorders>
          </w:tcPr>
          <w:p>
            <w:pPr>
              <w:jc w:val="right"/>
              <w:ind w:right="470"/>
              <w:spacing w:after="0"/>
              <w:rPr>
                <w:sz w:val="20"/>
                <w:szCs w:val="20"/>
                <w:color w:val="auto"/>
              </w:rPr>
            </w:pPr>
            <w:r>
              <w:rPr>
                <w:rFonts w:ascii="Arial" w:cs="Arial" w:eastAsia="Arial" w:hAnsi="Arial"/>
                <w:sz w:val="18"/>
                <w:szCs w:val="18"/>
                <w:b w:val="1"/>
                <w:bCs w:val="1"/>
                <w:color w:val="131E29"/>
              </w:rPr>
              <w:t>31, 2024</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130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Charges</w:t>
            </w:r>
          </w:p>
        </w:tc>
        <w:tc>
          <w:tcPr>
            <w:tcW w:w="100" w:type="dxa"/>
            <w:vAlign w:val="bottom"/>
            <w:tcBorders>
              <w:bottom w:val="single" w:sz="8" w:color="D2DCE5"/>
            </w:tcBorders>
          </w:tcPr>
          <w:p>
            <w:pPr>
              <w:spacing w:after="0"/>
              <w:rPr>
                <w:sz w:val="22"/>
                <w:szCs w:val="22"/>
                <w:color w:val="auto"/>
              </w:rPr>
            </w:pPr>
          </w:p>
        </w:tc>
        <w:tc>
          <w:tcPr>
            <w:tcW w:w="1560" w:type="dxa"/>
            <w:vAlign w:val="bottom"/>
            <w:tcBorders>
              <w:bottom w:val="single" w:sz="8" w:color="D7282F"/>
            </w:tcBorders>
            <w:gridSpan w:val="2"/>
          </w:tcPr>
          <w:p>
            <w:pPr>
              <w:jc w:val="right"/>
              <w:ind w:right="30"/>
              <w:spacing w:after="0"/>
              <w:rPr>
                <w:sz w:val="20"/>
                <w:szCs w:val="20"/>
                <w:color w:val="auto"/>
              </w:rPr>
            </w:pPr>
            <w:r>
              <w:rPr>
                <w:rFonts w:ascii="Arial" w:cs="Arial" w:eastAsia="Arial" w:hAnsi="Arial"/>
                <w:sz w:val="18"/>
                <w:szCs w:val="18"/>
                <w:b w:val="1"/>
                <w:bCs w:val="1"/>
                <w:color w:val="131E29"/>
              </w:rPr>
              <w:t>Cash Payments</w:t>
            </w:r>
          </w:p>
        </w:tc>
        <w:tc>
          <w:tcPr>
            <w:tcW w:w="100" w:type="dxa"/>
            <w:vAlign w:val="bottom"/>
            <w:tcBorders>
              <w:bottom w:val="single" w:sz="8" w:color="D2DCE5"/>
            </w:tcBorders>
          </w:tcPr>
          <w:p>
            <w:pPr>
              <w:spacing w:after="0"/>
              <w:rPr>
                <w:sz w:val="22"/>
                <w:szCs w:val="22"/>
                <w:color w:val="auto"/>
              </w:rPr>
            </w:pPr>
          </w:p>
        </w:tc>
        <w:tc>
          <w:tcPr>
            <w:tcW w:w="120" w:type="dxa"/>
            <w:vAlign w:val="bottom"/>
            <w:tcBorders>
              <w:bottom w:val="single" w:sz="8" w:color="D7282F"/>
            </w:tcBorders>
          </w:tcPr>
          <w:p>
            <w:pPr>
              <w:spacing w:after="0"/>
              <w:rPr>
                <w:sz w:val="22"/>
                <w:szCs w:val="22"/>
                <w:color w:val="auto"/>
              </w:rPr>
            </w:pPr>
          </w:p>
        </w:tc>
        <w:tc>
          <w:tcPr>
            <w:tcW w:w="1440" w:type="dxa"/>
            <w:vAlign w:val="bottom"/>
            <w:tcBorders>
              <w:bottom w:val="single" w:sz="8" w:color="D7282F"/>
            </w:tcBorders>
          </w:tcPr>
          <w:p>
            <w:pPr>
              <w:jc w:val="right"/>
              <w:ind w:right="350"/>
              <w:spacing w:after="0"/>
              <w:rPr>
                <w:sz w:val="20"/>
                <w:szCs w:val="20"/>
                <w:color w:val="auto"/>
              </w:rPr>
            </w:pPr>
            <w:r>
              <w:rPr>
                <w:rFonts w:ascii="Arial" w:cs="Arial" w:eastAsia="Arial" w:hAnsi="Arial"/>
                <w:sz w:val="18"/>
                <w:szCs w:val="18"/>
                <w:b w:val="1"/>
                <w:bCs w:val="1"/>
                <w:color w:val="131E29"/>
              </w:rPr>
              <w:t>31, 2025</w:t>
            </w:r>
          </w:p>
        </w:tc>
      </w:tr>
      <w:tr>
        <w:trPr>
          <w:trHeight w:val="270"/>
        </w:trPr>
        <w:tc>
          <w:tcPr>
            <w:tcW w:w="44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Relocation and travel costs</w:t>
            </w:r>
          </w:p>
        </w:tc>
        <w:tc>
          <w:tcPr>
            <w:tcW w:w="340" w:type="dxa"/>
            <w:vAlign w:val="bottom"/>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4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698</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jc w:val="right"/>
              <w:ind w:right="50"/>
              <w:spacing w:after="0"/>
              <w:rPr>
                <w:sz w:val="20"/>
                <w:szCs w:val="20"/>
                <w:color w:val="auto"/>
              </w:rPr>
            </w:pPr>
            <w:r>
              <w:rPr>
                <w:rFonts w:ascii="Arial" w:cs="Arial" w:eastAsia="Arial" w:hAnsi="Arial"/>
                <w:sz w:val="18"/>
                <w:szCs w:val="18"/>
                <w:color w:val="006098"/>
                <w:w w:val="99"/>
              </w:rPr>
              <w:t>$</w:t>
            </w:r>
          </w:p>
        </w:tc>
        <w:tc>
          <w:tcPr>
            <w:tcW w:w="13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531</w:t>
            </w:r>
          </w:p>
        </w:tc>
        <w:tc>
          <w:tcPr>
            <w:tcW w:w="100" w:type="dxa"/>
            <w:vAlign w:val="bottom"/>
            <w:shd w:val="clear" w:color="auto" w:fill="D2DCE5"/>
          </w:tcPr>
          <w:p>
            <w:pPr>
              <w:spacing w:after="0"/>
              <w:rPr>
                <w:sz w:val="23"/>
                <w:szCs w:val="23"/>
                <w:color w:val="auto"/>
              </w:rPr>
            </w:pPr>
          </w:p>
        </w:tc>
        <w:tc>
          <w:tcPr>
            <w:tcW w:w="540" w:type="dxa"/>
            <w:vAlign w:val="bottom"/>
            <w:shd w:val="clear" w:color="auto" w:fill="D2DCE5"/>
          </w:tcPr>
          <w:p>
            <w:pPr>
              <w:jc w:val="right"/>
              <w:ind w:right="330"/>
              <w:spacing w:after="0"/>
              <w:rPr>
                <w:sz w:val="20"/>
                <w:szCs w:val="20"/>
                <w:color w:val="auto"/>
              </w:rPr>
            </w:pPr>
            <w:r>
              <w:rPr>
                <w:rFonts w:ascii="Arial" w:cs="Arial" w:eastAsia="Arial" w:hAnsi="Arial"/>
                <w:sz w:val="18"/>
                <w:szCs w:val="18"/>
                <w:color w:val="006098"/>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(1,066)</w:t>
            </w: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163</w:t>
            </w:r>
          </w:p>
        </w:tc>
      </w:tr>
      <w:tr>
        <w:trPr>
          <w:trHeight w:val="270"/>
        </w:trPr>
        <w:tc>
          <w:tcPr>
            <w:tcW w:w="444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One-time termination benefits</w:t>
            </w:r>
          </w:p>
        </w:tc>
        <w:tc>
          <w:tcPr>
            <w:tcW w:w="3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2,028</w:t>
            </w:r>
          </w:p>
        </w:tc>
        <w:tc>
          <w:tcPr>
            <w:tcW w:w="100" w:type="dxa"/>
            <w:vAlign w:val="bottom"/>
            <w:tcBorders>
              <w:bottom w:val="single" w:sz="8" w:color="D2DCE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478</w:t>
            </w:r>
          </w:p>
        </w:tc>
        <w:tc>
          <w:tcPr>
            <w:tcW w:w="100" w:type="dxa"/>
            <w:vAlign w:val="bottom"/>
            <w:tcBorders>
              <w:bottom w:val="single" w:sz="8" w:color="D2DCE5"/>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(1,262)</w:t>
            </w:r>
          </w:p>
        </w:tc>
        <w:tc>
          <w:tcPr>
            <w:tcW w:w="100" w:type="dxa"/>
            <w:vAlign w:val="bottom"/>
            <w:tcBorders>
              <w:bottom w:val="single" w:sz="8" w:color="D2DCE5"/>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1,244</w:t>
            </w:r>
          </w:p>
        </w:tc>
      </w:tr>
      <w:tr>
        <w:trPr>
          <w:trHeight w:val="263"/>
        </w:trPr>
        <w:tc>
          <w:tcPr>
            <w:tcW w:w="4440" w:type="dxa"/>
            <w:vAlign w:val="bottom"/>
            <w:gridSpan w:val="2"/>
            <w:shd w:val="clear" w:color="auto" w:fill="D2DCE5"/>
          </w:tcPr>
          <w:p>
            <w:pPr>
              <w:ind w:left="100"/>
              <w:spacing w:after="0"/>
              <w:rPr>
                <w:sz w:val="20"/>
                <w:szCs w:val="20"/>
                <w:color w:val="auto"/>
              </w:rPr>
            </w:pPr>
            <w:r>
              <w:rPr>
                <w:rFonts w:ascii="Arial" w:cs="Arial" w:eastAsia="Arial" w:hAnsi="Arial"/>
                <w:sz w:val="18"/>
                <w:szCs w:val="18"/>
                <w:color w:val="131E29"/>
              </w:rPr>
              <w:t>Total employee-related costs</w:t>
            </w:r>
          </w:p>
        </w:tc>
        <w:tc>
          <w:tcPr>
            <w:tcW w:w="340" w:type="dxa"/>
            <w:vAlign w:val="bottom"/>
            <w:tcBorders>
              <w:bottom w:val="single" w:sz="8" w:color="auto"/>
            </w:tcBorders>
            <w:shd w:val="clear" w:color="auto" w:fill="D2DCE5"/>
          </w:tcPr>
          <w:p>
            <w:pPr>
              <w:spacing w:after="0"/>
              <w:rPr>
                <w:sz w:val="22"/>
                <w:szCs w:val="22"/>
                <w:color w:val="auto"/>
              </w:rPr>
            </w:pPr>
          </w:p>
        </w:tc>
        <w:tc>
          <w:tcPr>
            <w:tcW w:w="14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2,726</w:t>
            </w:r>
          </w:p>
        </w:tc>
        <w:tc>
          <w:tcPr>
            <w:tcW w:w="100" w:type="dxa"/>
            <w:vAlign w:val="bottom"/>
            <w:shd w:val="clear" w:color="auto" w:fill="D2DCE5"/>
          </w:tcPr>
          <w:p>
            <w:pPr>
              <w:spacing w:after="0"/>
              <w:rPr>
                <w:sz w:val="22"/>
                <w:szCs w:val="22"/>
                <w:color w:val="auto"/>
              </w:rPr>
            </w:pPr>
          </w:p>
        </w:tc>
        <w:tc>
          <w:tcPr>
            <w:tcW w:w="260" w:type="dxa"/>
            <w:vAlign w:val="bottom"/>
            <w:tcBorders>
              <w:bottom w:val="single" w:sz="8" w:color="auto"/>
            </w:tcBorders>
            <w:shd w:val="clear" w:color="auto" w:fill="D2DCE5"/>
          </w:tcPr>
          <w:p>
            <w:pPr>
              <w:spacing w:after="0"/>
              <w:rPr>
                <w:sz w:val="22"/>
                <w:szCs w:val="22"/>
                <w:color w:val="auto"/>
              </w:rPr>
            </w:pPr>
          </w:p>
        </w:tc>
        <w:tc>
          <w:tcPr>
            <w:tcW w:w="1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1,009</w:t>
            </w:r>
          </w:p>
        </w:tc>
        <w:tc>
          <w:tcPr>
            <w:tcW w:w="100" w:type="dxa"/>
            <w:vAlign w:val="bottom"/>
            <w:shd w:val="clear" w:color="auto" w:fill="D2DCE5"/>
          </w:tcPr>
          <w:p>
            <w:pPr>
              <w:spacing w:after="0"/>
              <w:rPr>
                <w:sz w:val="22"/>
                <w:szCs w:val="22"/>
                <w:color w:val="auto"/>
              </w:rPr>
            </w:pPr>
          </w:p>
        </w:tc>
        <w:tc>
          <w:tcPr>
            <w:tcW w:w="540" w:type="dxa"/>
            <w:vAlign w:val="bottom"/>
            <w:tcBorders>
              <w:bottom w:val="single" w:sz="8" w:color="auto"/>
            </w:tcBorders>
            <w:shd w:val="clear" w:color="auto" w:fill="D2DCE5"/>
          </w:tcPr>
          <w:p>
            <w:pPr>
              <w:spacing w:after="0"/>
              <w:rPr>
                <w:sz w:val="22"/>
                <w:szCs w:val="22"/>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(2,328)</w:t>
            </w:r>
          </w:p>
        </w:tc>
        <w:tc>
          <w:tcPr>
            <w:tcW w:w="100" w:type="dxa"/>
            <w:vAlign w:val="bottom"/>
            <w:shd w:val="clear" w:color="auto" w:fill="D2DCE5"/>
          </w:tcPr>
          <w:p>
            <w:pPr>
              <w:spacing w:after="0"/>
              <w:rPr>
                <w:sz w:val="22"/>
                <w:szCs w:val="22"/>
                <w:color w:val="auto"/>
              </w:rPr>
            </w:pPr>
          </w:p>
        </w:tc>
        <w:tc>
          <w:tcPr>
            <w:tcW w:w="120" w:type="dxa"/>
            <w:vAlign w:val="bottom"/>
            <w:tcBorders>
              <w:bottom w:val="single" w:sz="8" w:color="auto"/>
            </w:tcBorders>
            <w:shd w:val="clear" w:color="auto" w:fill="D2DCE5"/>
          </w:tcPr>
          <w:p>
            <w:pPr>
              <w:spacing w:after="0"/>
              <w:rPr>
                <w:sz w:val="22"/>
                <w:szCs w:val="22"/>
                <w:color w:val="auto"/>
              </w:rPr>
            </w:pP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1,407</w:t>
            </w:r>
          </w:p>
        </w:tc>
      </w:tr>
      <w:tr>
        <w:trPr>
          <w:trHeight w:val="263"/>
        </w:trPr>
        <w:tc>
          <w:tcPr>
            <w:tcW w:w="4440" w:type="dxa"/>
            <w:vAlign w:val="bottom"/>
            <w:gridSpan w:val="2"/>
          </w:tcPr>
          <w:p>
            <w:pPr>
              <w:ind w:left="20"/>
              <w:spacing w:after="0"/>
              <w:rPr>
                <w:sz w:val="20"/>
                <w:szCs w:val="20"/>
                <w:color w:val="auto"/>
              </w:rPr>
            </w:pPr>
            <w:r>
              <w:rPr>
                <w:rFonts w:ascii="Arial" w:cs="Arial" w:eastAsia="Arial" w:hAnsi="Arial"/>
                <w:sz w:val="18"/>
                <w:szCs w:val="18"/>
                <w:color w:val="131E29"/>
              </w:rPr>
              <w:t>Duplicate rent</w:t>
            </w:r>
          </w:p>
        </w:tc>
        <w:tc>
          <w:tcPr>
            <w:tcW w:w="340" w:type="dxa"/>
            <w:vAlign w:val="bottom"/>
          </w:tcPr>
          <w:p>
            <w:pPr>
              <w:spacing w:after="0"/>
              <w:rPr>
                <w:sz w:val="22"/>
                <w:szCs w:val="22"/>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6098"/>
              </w:rPr>
              <w:t>244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6098"/>
              </w:rPr>
              <w:t>(244)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6098"/>
              </w:rPr>
              <w:t>—</w:t>
            </w:r>
          </w:p>
        </w:tc>
      </w:tr>
      <w:tr>
        <w:trPr>
          <w:trHeight w:val="270"/>
        </w:trPr>
        <w:tc>
          <w:tcPr>
            <w:tcW w:w="44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Consulting</w:t>
            </w:r>
          </w:p>
        </w:tc>
        <w:tc>
          <w:tcPr>
            <w:tcW w:w="340" w:type="dxa"/>
            <w:vAlign w:val="bottom"/>
            <w:tcBorders>
              <w:bottom w:val="single" w:sz="8" w:color="auto"/>
            </w:tcBorders>
            <w:shd w:val="clear" w:color="auto" w:fill="D2DCE5"/>
          </w:tcPr>
          <w:p>
            <w:pPr>
              <w:spacing w:after="0"/>
              <w:rPr>
                <w:sz w:val="23"/>
                <w:szCs w:val="23"/>
                <w:color w:val="auto"/>
              </w:rPr>
            </w:pPr>
          </w:p>
        </w:tc>
        <w:tc>
          <w:tcPr>
            <w:tcW w:w="14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55</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1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(25)</w:t>
            </w:r>
          </w:p>
        </w:tc>
        <w:tc>
          <w:tcPr>
            <w:tcW w:w="100" w:type="dxa"/>
            <w:vAlign w:val="bottom"/>
            <w:shd w:val="clear" w:color="auto" w:fill="D2DCE5"/>
          </w:tcPr>
          <w:p>
            <w:pPr>
              <w:spacing w:after="0"/>
              <w:rPr>
                <w:sz w:val="23"/>
                <w:szCs w:val="23"/>
                <w:color w:val="auto"/>
              </w:rPr>
            </w:pPr>
          </w:p>
        </w:tc>
        <w:tc>
          <w:tcPr>
            <w:tcW w:w="540" w:type="dxa"/>
            <w:vAlign w:val="bottom"/>
            <w:tcBorders>
              <w:bottom w:val="single" w:sz="8" w:color="auto"/>
            </w:tcBorders>
            <w:shd w:val="clear" w:color="auto" w:fill="D2DCE5"/>
          </w:tcPr>
          <w:p>
            <w:pPr>
              <w:spacing w:after="0"/>
              <w:rPr>
                <w:sz w:val="23"/>
                <w:szCs w:val="23"/>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(30)</w:t>
            </w:r>
          </w:p>
        </w:tc>
        <w:tc>
          <w:tcPr>
            <w:tcW w:w="100" w:type="dxa"/>
            <w:vAlign w:val="bottom"/>
            <w:shd w:val="clear" w:color="auto" w:fill="D2DCE5"/>
          </w:tcPr>
          <w:p>
            <w:pPr>
              <w:spacing w:after="0"/>
              <w:rPr>
                <w:sz w:val="23"/>
                <w:szCs w:val="23"/>
                <w:color w:val="auto"/>
              </w:rPr>
            </w:pPr>
          </w:p>
        </w:tc>
        <w:tc>
          <w:tcPr>
            <w:tcW w:w="120" w:type="dxa"/>
            <w:vAlign w:val="bottom"/>
            <w:tcBorders>
              <w:bottom w:val="single" w:sz="8" w:color="auto"/>
            </w:tcBorders>
            <w:shd w:val="clear" w:color="auto" w:fill="D2DCE5"/>
          </w:tcPr>
          <w:p>
            <w:pPr>
              <w:spacing w:after="0"/>
              <w:rPr>
                <w:sz w:val="23"/>
                <w:szCs w:val="23"/>
                <w:color w:val="auto"/>
              </w:rPr>
            </w:pP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w:t>
            </w:r>
          </w:p>
        </w:tc>
      </w:tr>
      <w:tr>
        <w:trPr>
          <w:trHeight w:val="263"/>
        </w:trPr>
        <w:tc>
          <w:tcPr>
            <w:tcW w:w="4440" w:type="dxa"/>
            <w:vAlign w:val="bottom"/>
            <w:tcBorders>
              <w:bottom w:val="single" w:sz="8" w:color="D2DCE5"/>
            </w:tcBorders>
            <w:gridSpan w:val="2"/>
          </w:tcPr>
          <w:p>
            <w:pPr>
              <w:ind w:left="100"/>
              <w:spacing w:after="0"/>
              <w:rPr>
                <w:sz w:val="20"/>
                <w:szCs w:val="20"/>
                <w:color w:val="auto"/>
              </w:rPr>
            </w:pPr>
            <w:r>
              <w:rPr>
                <w:rFonts w:ascii="Arial" w:cs="Arial" w:eastAsia="Arial" w:hAnsi="Arial"/>
                <w:sz w:val="18"/>
                <w:szCs w:val="18"/>
                <w:color w:val="131E29"/>
              </w:rPr>
              <w:t>Total other costs</w:t>
            </w: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55</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219</w:t>
            </w:r>
          </w:p>
        </w:tc>
        <w:tc>
          <w:tcPr>
            <w:tcW w:w="100" w:type="dxa"/>
            <w:vAlign w:val="bottom"/>
            <w:tcBorders>
              <w:bottom w:val="single" w:sz="8" w:color="D2DCE5"/>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(274)</w:t>
            </w:r>
          </w:p>
        </w:tc>
        <w:tc>
          <w:tcPr>
            <w:tcW w:w="100" w:type="dxa"/>
            <w:vAlign w:val="bottom"/>
            <w:tcBorders>
              <w:bottom w:val="single" w:sz="8" w:color="D2DCE5"/>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w:t>
            </w:r>
          </w:p>
        </w:tc>
      </w:tr>
      <w:tr>
        <w:trPr>
          <w:trHeight w:val="288"/>
        </w:trPr>
        <w:tc>
          <w:tcPr>
            <w:tcW w:w="4440" w:type="dxa"/>
            <w:vAlign w:val="bottom"/>
            <w:tcBorders>
              <w:bottom w:val="single" w:sz="8" w:color="D2DCE5"/>
            </w:tcBorders>
            <w:gridSpan w:val="2"/>
            <w:shd w:val="clear" w:color="auto" w:fill="D2DCE5"/>
          </w:tcPr>
          <w:p>
            <w:pPr>
              <w:ind w:left="220"/>
              <w:spacing w:after="0"/>
              <w:rPr>
                <w:sz w:val="20"/>
                <w:szCs w:val="20"/>
                <w:color w:val="auto"/>
              </w:rPr>
            </w:pPr>
            <w:r>
              <w:rPr>
                <w:rFonts w:ascii="Arial" w:cs="Arial" w:eastAsia="Arial" w:hAnsi="Arial"/>
                <w:sz w:val="18"/>
                <w:szCs w:val="18"/>
                <w:b w:val="1"/>
                <w:bCs w:val="1"/>
                <w:color w:val="131E29"/>
              </w:rPr>
              <w:t>Totals</w:t>
            </w:r>
          </w:p>
        </w:tc>
        <w:tc>
          <w:tcPr>
            <w:tcW w:w="34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8"/>
                <w:szCs w:val="18"/>
                <w:b w:val="1"/>
                <w:bCs w:val="1"/>
                <w:color w:val="131E29"/>
                <w:w w:val="99"/>
              </w:rPr>
              <w:t>$</w:t>
            </w:r>
          </w:p>
        </w:tc>
        <w:tc>
          <w:tcPr>
            <w:tcW w:w="14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2,781</w:t>
            </w:r>
          </w:p>
        </w:tc>
        <w:tc>
          <w:tcPr>
            <w:tcW w:w="100" w:type="dxa"/>
            <w:vAlign w:val="bottom"/>
            <w:tcBorders>
              <w:bottom w:val="single" w:sz="8" w:color="D2DCE5"/>
            </w:tcBorders>
            <w:shd w:val="clear" w:color="auto" w:fill="D2DCE5"/>
          </w:tcPr>
          <w:p>
            <w:pPr>
              <w:spacing w:after="0"/>
              <w:rPr>
                <w:sz w:val="24"/>
                <w:szCs w:val="24"/>
                <w:color w:val="auto"/>
              </w:rPr>
            </w:pPr>
          </w:p>
        </w:tc>
        <w:tc>
          <w:tcPr>
            <w:tcW w:w="26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b w:val="1"/>
                <w:bCs w:val="1"/>
                <w:color w:val="006098"/>
                <w:w w:val="99"/>
              </w:rPr>
              <w:t>$</w:t>
            </w:r>
          </w:p>
        </w:tc>
        <w:tc>
          <w:tcPr>
            <w:tcW w:w="1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1,228</w:t>
            </w:r>
          </w:p>
        </w:tc>
        <w:tc>
          <w:tcPr>
            <w:tcW w:w="100" w:type="dxa"/>
            <w:vAlign w:val="bottom"/>
            <w:tcBorders>
              <w:bottom w:val="single" w:sz="8" w:color="D2DCE5"/>
            </w:tcBorders>
            <w:shd w:val="clear" w:color="auto" w:fill="D2DCE5"/>
          </w:tcPr>
          <w:p>
            <w:pPr>
              <w:spacing w:after="0"/>
              <w:rPr>
                <w:sz w:val="24"/>
                <w:szCs w:val="24"/>
                <w:color w:val="auto"/>
              </w:rPr>
            </w:pPr>
          </w:p>
        </w:tc>
        <w:tc>
          <w:tcPr>
            <w:tcW w:w="540" w:type="dxa"/>
            <w:vAlign w:val="bottom"/>
            <w:tcBorders>
              <w:bottom w:val="single" w:sz="8" w:color="auto"/>
            </w:tcBorders>
            <w:shd w:val="clear" w:color="auto" w:fill="D2DCE5"/>
          </w:tcPr>
          <w:p>
            <w:pPr>
              <w:jc w:val="right"/>
              <w:ind w:right="330"/>
              <w:spacing w:after="0"/>
              <w:rPr>
                <w:sz w:val="20"/>
                <w:szCs w:val="20"/>
                <w:color w:val="auto"/>
              </w:rPr>
            </w:pPr>
            <w:r>
              <w:rPr>
                <w:rFonts w:ascii="Arial" w:cs="Arial" w:eastAsia="Arial" w:hAnsi="Arial"/>
                <w:sz w:val="18"/>
                <w:szCs w:val="18"/>
                <w:b w:val="1"/>
                <w:bCs w:val="1"/>
                <w:color w:val="006098"/>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(2,602)</w:t>
            </w:r>
          </w:p>
        </w:tc>
        <w:tc>
          <w:tcPr>
            <w:tcW w:w="100" w:type="dxa"/>
            <w:vAlign w:val="bottom"/>
            <w:tcBorders>
              <w:bottom w:val="single" w:sz="8" w:color="D2DCE5"/>
            </w:tcBorders>
            <w:shd w:val="clear" w:color="auto" w:fill="D2DCE5"/>
          </w:tcPr>
          <w:p>
            <w:pPr>
              <w:spacing w:after="0"/>
              <w:rPr>
                <w:sz w:val="24"/>
                <w:szCs w:val="24"/>
                <w:color w:val="auto"/>
              </w:rPr>
            </w:pPr>
          </w:p>
        </w:tc>
        <w:tc>
          <w:tcPr>
            <w:tcW w:w="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1,407</w:t>
            </w:r>
          </w:p>
        </w:tc>
      </w:tr>
      <w:tr>
        <w:trPr>
          <w:trHeight w:val="20"/>
        </w:trPr>
        <w:tc>
          <w:tcPr>
            <w:tcW w:w="43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14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13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bottom w:val="single" w:sz="8" w:color="auto"/>
            </w:tcBorders>
          </w:tcPr>
          <w:p>
            <w:pPr>
              <w:spacing w:after="0" w:line="20" w:lineRule="exact"/>
              <w:rPr>
                <w:sz w:val="1"/>
                <w:szCs w:val="1"/>
                <w:color w:val="auto"/>
              </w:rPr>
            </w:pPr>
          </w:p>
        </w:tc>
        <w:tc>
          <w:tcPr>
            <w:tcW w:w="1440" w:type="dxa"/>
            <w:vAlign w:val="bottom"/>
            <w:tcBorders>
              <w:top w:val="single" w:sz="8" w:color="D2DCE5"/>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As of March 31, 2025, our organizational realignment and restructuring plan to expand our support operations in Phoenix, Arizona was substantially complete.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5 — Inventories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40" w:type="dxa"/>
            <w:vAlign w:val="bottom"/>
            <w:gridSpan w:val="2"/>
          </w:tcPr>
          <w:p>
            <w:pPr>
              <w:spacing w:after="0"/>
              <w:rPr>
                <w:sz w:val="20"/>
                <w:szCs w:val="20"/>
                <w:color w:val="auto"/>
              </w:rPr>
            </w:pPr>
            <w:r>
              <w:rPr>
                <w:rFonts w:ascii="Arial" w:cs="Arial" w:eastAsia="Arial" w:hAnsi="Arial"/>
                <w:sz w:val="18"/>
                <w:szCs w:val="18"/>
                <w:color w:val="131E29"/>
              </w:rPr>
              <w:t>Inventories, net consist of the following:</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6"/>
        </w:trPr>
        <w:tc>
          <w:tcPr>
            <w:tcW w:w="76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1440" w:type="dxa"/>
            <w:vAlign w:val="bottom"/>
            <w:tcBorders>
              <w:bottom w:val="single" w:sz="8" w:color="D7282F"/>
            </w:tcBorders>
          </w:tcPr>
          <w:p>
            <w:pPr>
              <w:jc w:val="right"/>
              <w:ind w:right="50"/>
              <w:spacing w:after="0"/>
              <w:rPr>
                <w:sz w:val="20"/>
                <w:szCs w:val="20"/>
                <w:color w:val="auto"/>
              </w:rPr>
            </w:pPr>
            <w:r>
              <w:rPr>
                <w:rFonts w:ascii="Arial" w:cs="Arial" w:eastAsia="Arial" w:hAnsi="Arial"/>
                <w:sz w:val="18"/>
                <w:szCs w:val="18"/>
                <w:b w:val="1"/>
                <w:bCs w:val="1"/>
                <w:color w:val="131E29"/>
                <w:w w:val="99"/>
              </w:rPr>
              <w:t>March 31, 2025</w:t>
            </w:r>
          </w:p>
        </w:tc>
        <w:tc>
          <w:tcPr>
            <w:tcW w:w="100" w:type="dxa"/>
            <w:vAlign w:val="bottom"/>
            <w:tcBorders>
              <w:bottom w:val="single" w:sz="8" w:color="D2DCE5"/>
            </w:tcBorders>
          </w:tcPr>
          <w:p>
            <w:pPr>
              <w:spacing w:after="0"/>
              <w:rPr>
                <w:sz w:val="24"/>
                <w:szCs w:val="24"/>
                <w:color w:val="auto"/>
              </w:rPr>
            </w:pPr>
          </w:p>
        </w:tc>
        <w:tc>
          <w:tcPr>
            <w:tcW w:w="1820" w:type="dxa"/>
            <w:vAlign w:val="bottom"/>
            <w:tcBorders>
              <w:bottom w:val="single" w:sz="8" w:color="D7282F"/>
            </w:tcBorders>
            <w:gridSpan w:val="2"/>
          </w:tcPr>
          <w:p>
            <w:pPr>
              <w:jc w:val="right"/>
              <w:ind w:right="10"/>
              <w:spacing w:after="0"/>
              <w:rPr>
                <w:sz w:val="20"/>
                <w:szCs w:val="20"/>
                <w:color w:val="auto"/>
              </w:rPr>
            </w:pPr>
            <w:r>
              <w:rPr>
                <w:rFonts w:ascii="Arial" w:cs="Arial" w:eastAsia="Arial" w:hAnsi="Arial"/>
                <w:sz w:val="18"/>
                <w:szCs w:val="18"/>
                <w:b w:val="1"/>
                <w:bCs w:val="1"/>
                <w:color w:val="131E29"/>
              </w:rPr>
              <w:t>December 31, 2024</w:t>
            </w:r>
          </w:p>
        </w:tc>
      </w:tr>
      <w:tr>
        <w:trPr>
          <w:trHeight w:val="270"/>
        </w:trPr>
        <w:tc>
          <w:tcPr>
            <w:tcW w:w="77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Raw materials</w:t>
            </w:r>
          </w:p>
        </w:tc>
        <w:tc>
          <w:tcPr>
            <w:tcW w:w="14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19,059</w:t>
            </w:r>
          </w:p>
        </w:tc>
        <w:tc>
          <w:tcPr>
            <w:tcW w:w="100" w:type="dxa"/>
            <w:vAlign w:val="bottom"/>
            <w:shd w:val="clear" w:color="auto" w:fill="D2DCE5"/>
          </w:tcPr>
          <w:p>
            <w:pPr>
              <w:spacing w:after="0"/>
              <w:rPr>
                <w:sz w:val="23"/>
                <w:szCs w:val="23"/>
                <w:color w:val="auto"/>
              </w:rPr>
            </w:pPr>
          </w:p>
        </w:tc>
        <w:tc>
          <w:tcPr>
            <w:tcW w:w="660" w:type="dxa"/>
            <w:vAlign w:val="bottom"/>
            <w:shd w:val="clear" w:color="auto" w:fill="D2DCE5"/>
          </w:tcPr>
          <w:p>
            <w:pPr>
              <w:jc w:val="right"/>
              <w:ind w:right="450"/>
              <w:spacing w:after="0"/>
              <w:rPr>
                <w:sz w:val="20"/>
                <w:szCs w:val="20"/>
                <w:color w:val="auto"/>
              </w:rPr>
            </w:pPr>
            <w:r>
              <w:rPr>
                <w:rFonts w:ascii="Arial" w:cs="Arial" w:eastAsia="Arial" w:hAnsi="Arial"/>
                <w:sz w:val="18"/>
                <w:szCs w:val="18"/>
                <w:color w:val="131E29"/>
                <w:w w:val="9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14,594</w:t>
            </w:r>
          </w:p>
        </w:tc>
      </w:tr>
      <w:tr>
        <w:trPr>
          <w:trHeight w:val="270"/>
        </w:trPr>
        <w:tc>
          <w:tcPr>
            <w:tcW w:w="774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Finished goods</w:t>
            </w: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19,166</w:t>
            </w:r>
          </w:p>
        </w:tc>
        <w:tc>
          <w:tcPr>
            <w:tcW w:w="100" w:type="dxa"/>
            <w:vAlign w:val="bottom"/>
            <w:tcBorders>
              <w:bottom w:val="single" w:sz="8" w:color="D2DCE5"/>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21,894</w:t>
            </w:r>
          </w:p>
        </w:tc>
      </w:tr>
      <w:tr>
        <w:trPr>
          <w:trHeight w:val="288"/>
        </w:trPr>
        <w:tc>
          <w:tcPr>
            <w:tcW w:w="77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inventories</w:t>
            </w:r>
          </w:p>
        </w:tc>
        <w:tc>
          <w:tcPr>
            <w:tcW w:w="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38,225</w:t>
            </w:r>
          </w:p>
        </w:tc>
        <w:tc>
          <w:tcPr>
            <w:tcW w:w="100" w:type="dxa"/>
            <w:vAlign w:val="bottom"/>
            <w:tcBorders>
              <w:bottom w:val="single" w:sz="8" w:color="D2DCE5"/>
            </w:tcBorders>
            <w:shd w:val="clear" w:color="auto" w:fill="D2DCE5"/>
          </w:tcPr>
          <w:p>
            <w:pPr>
              <w:spacing w:after="0"/>
              <w:rPr>
                <w:sz w:val="24"/>
                <w:szCs w:val="24"/>
                <w:color w:val="auto"/>
              </w:rPr>
            </w:pPr>
          </w:p>
        </w:tc>
        <w:tc>
          <w:tcPr>
            <w:tcW w:w="660" w:type="dxa"/>
            <w:vAlign w:val="bottom"/>
            <w:tcBorders>
              <w:bottom w:val="single" w:sz="8" w:color="auto"/>
            </w:tcBorders>
            <w:shd w:val="clear" w:color="auto" w:fill="D2DCE5"/>
          </w:tcPr>
          <w:p>
            <w:pPr>
              <w:jc w:val="right"/>
              <w:ind w:right="450"/>
              <w:spacing w:after="0"/>
              <w:rPr>
                <w:sz w:val="20"/>
                <w:szCs w:val="20"/>
                <w:color w:val="auto"/>
              </w:rPr>
            </w:pPr>
            <w:r>
              <w:rPr>
                <w:rFonts w:ascii="Arial" w:cs="Arial" w:eastAsia="Arial" w:hAnsi="Arial"/>
                <w:sz w:val="18"/>
                <w:szCs w:val="18"/>
                <w:b w:val="1"/>
                <w:bCs w:val="1"/>
                <w:color w:val="131E29"/>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36,488</w:t>
            </w:r>
          </w:p>
        </w:tc>
      </w:tr>
      <w:tr>
        <w:trPr>
          <w:trHeight w:val="20"/>
        </w:trPr>
        <w:tc>
          <w:tcPr>
            <w:tcW w:w="76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14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6 — Property and Equipment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Property and equipment, net consists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9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1640" w:type="dxa"/>
            <w:vAlign w:val="bottom"/>
            <w:tcBorders>
              <w:bottom w:val="single" w:sz="8" w:color="D7282F"/>
            </w:tcBorders>
            <w:gridSpan w:val="3"/>
          </w:tcPr>
          <w:p>
            <w:pPr>
              <w:jc w:val="center"/>
              <w:spacing w:after="0"/>
              <w:rPr>
                <w:sz w:val="20"/>
                <w:szCs w:val="20"/>
                <w:color w:val="auto"/>
              </w:rPr>
            </w:pPr>
            <w:r>
              <w:rPr>
                <w:rFonts w:ascii="Arial" w:cs="Arial" w:eastAsia="Arial" w:hAnsi="Arial"/>
                <w:sz w:val="18"/>
                <w:szCs w:val="18"/>
                <w:b w:val="1"/>
                <w:bCs w:val="1"/>
                <w:color w:val="131E29"/>
              </w:rPr>
              <w:t xml:space="preserve">Useful Life </w:t>
            </w:r>
            <w:r>
              <w:rPr>
                <w:rFonts w:ascii="Arial" w:cs="Arial" w:eastAsia="Arial" w:hAnsi="Arial"/>
                <w:sz w:val="14"/>
                <w:szCs w:val="14"/>
                <w:color w:val="131E29"/>
              </w:rPr>
              <w:t>(Years)</w:t>
            </w:r>
          </w:p>
        </w:tc>
        <w:tc>
          <w:tcPr>
            <w:tcW w:w="100" w:type="dxa"/>
            <w:vAlign w:val="bottom"/>
            <w:tcBorders>
              <w:bottom w:val="single" w:sz="8" w:color="D2DCE5"/>
            </w:tcBorders>
          </w:tcPr>
          <w:p>
            <w:pPr>
              <w:spacing w:after="0"/>
              <w:rPr>
                <w:sz w:val="22"/>
                <w:szCs w:val="22"/>
                <w:color w:val="auto"/>
              </w:rPr>
            </w:pPr>
          </w:p>
        </w:tc>
        <w:tc>
          <w:tcPr>
            <w:tcW w:w="120" w:type="dxa"/>
            <w:vAlign w:val="bottom"/>
            <w:tcBorders>
              <w:bottom w:val="single" w:sz="8" w:color="D7282F"/>
            </w:tcBorders>
          </w:tcPr>
          <w:p>
            <w:pPr>
              <w:spacing w:after="0"/>
              <w:rPr>
                <w:sz w:val="22"/>
                <w:szCs w:val="22"/>
                <w:color w:val="auto"/>
              </w:rPr>
            </w:pPr>
          </w:p>
        </w:tc>
        <w:tc>
          <w:tcPr>
            <w:tcW w:w="1440" w:type="dxa"/>
            <w:vAlign w:val="bottom"/>
            <w:tcBorders>
              <w:bottom w:val="single" w:sz="8" w:color="D7282F"/>
            </w:tcBorders>
          </w:tcPr>
          <w:p>
            <w:pPr>
              <w:jc w:val="right"/>
              <w:ind w:right="50"/>
              <w:spacing w:after="0"/>
              <w:rPr>
                <w:sz w:val="20"/>
                <w:szCs w:val="20"/>
                <w:color w:val="auto"/>
              </w:rPr>
            </w:pPr>
            <w:r>
              <w:rPr>
                <w:rFonts w:ascii="Arial" w:cs="Arial" w:eastAsia="Arial" w:hAnsi="Arial"/>
                <w:sz w:val="18"/>
                <w:szCs w:val="18"/>
                <w:b w:val="1"/>
                <w:bCs w:val="1"/>
                <w:color w:val="131E29"/>
                <w:w w:val="99"/>
              </w:rPr>
              <w:t>March 31, 2025</w:t>
            </w:r>
          </w:p>
        </w:tc>
        <w:tc>
          <w:tcPr>
            <w:tcW w:w="100" w:type="dxa"/>
            <w:vAlign w:val="bottom"/>
            <w:tcBorders>
              <w:bottom w:val="single" w:sz="8" w:color="D2DCE5"/>
            </w:tcBorders>
          </w:tcPr>
          <w:p>
            <w:pPr>
              <w:spacing w:after="0"/>
              <w:rPr>
                <w:sz w:val="22"/>
                <w:szCs w:val="22"/>
                <w:color w:val="auto"/>
              </w:rPr>
            </w:pPr>
          </w:p>
        </w:tc>
        <w:tc>
          <w:tcPr>
            <w:tcW w:w="1800" w:type="dxa"/>
            <w:vAlign w:val="bottom"/>
            <w:tcBorders>
              <w:bottom w:val="single" w:sz="8" w:color="D7282F"/>
            </w:tcBorders>
            <w:gridSpan w:val="2"/>
          </w:tcPr>
          <w:p>
            <w:pPr>
              <w:jc w:val="right"/>
              <w:ind w:right="10"/>
              <w:spacing w:after="0"/>
              <w:rPr>
                <w:sz w:val="20"/>
                <w:szCs w:val="20"/>
                <w:color w:val="auto"/>
              </w:rPr>
            </w:pPr>
            <w:r>
              <w:rPr>
                <w:rFonts w:ascii="Arial" w:cs="Arial" w:eastAsia="Arial" w:hAnsi="Arial"/>
                <w:sz w:val="18"/>
                <w:szCs w:val="18"/>
                <w:b w:val="1"/>
                <w:bCs w:val="1"/>
                <w:color w:val="131E29"/>
              </w:rPr>
              <w:t>December 31, 2024</w:t>
            </w:r>
          </w:p>
        </w:tc>
      </w:tr>
      <w:tr>
        <w:trPr>
          <w:trHeight w:val="250"/>
        </w:trPr>
        <w:tc>
          <w:tcPr>
            <w:tcW w:w="60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Software</w:t>
            </w:r>
          </w:p>
        </w:tc>
        <w:tc>
          <w:tcPr>
            <w:tcW w:w="560" w:type="dxa"/>
            <w:vAlign w:val="bottom"/>
            <w:tcBorders>
              <w:bottom w:val="single" w:sz="8" w:color="D2DCE5"/>
            </w:tcBorders>
            <w:shd w:val="clear" w:color="auto" w:fill="D2DCE5"/>
          </w:tcPr>
          <w:p>
            <w:pPr>
              <w:spacing w:after="0"/>
              <w:rPr>
                <w:sz w:val="21"/>
                <w:szCs w:val="21"/>
                <w:color w:val="auto"/>
              </w:rPr>
            </w:pPr>
          </w:p>
        </w:tc>
        <w:tc>
          <w:tcPr>
            <w:tcW w:w="5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006098"/>
                <w:w w:val="99"/>
              </w:rPr>
              <w:t>3</w:t>
            </w:r>
          </w:p>
        </w:tc>
        <w:tc>
          <w:tcPr>
            <w:tcW w:w="780" w:type="dxa"/>
            <w:vAlign w:val="bottom"/>
            <w:tcBorders>
              <w:bottom w:val="single" w:sz="8" w:color="D2DCE5"/>
            </w:tcBorders>
            <w:gridSpan w:val="3"/>
            <w:shd w:val="clear" w:color="auto" w:fill="D2DCE5"/>
          </w:tcPr>
          <w:p>
            <w:pPr>
              <w:jc w:val="right"/>
              <w:ind w:right="20"/>
              <w:spacing w:after="0"/>
              <w:rPr>
                <w:sz w:val="20"/>
                <w:szCs w:val="20"/>
                <w:color w:val="auto"/>
              </w:rPr>
            </w:pPr>
            <w:r>
              <w:rPr>
                <w:rFonts w:ascii="Arial" w:cs="Arial" w:eastAsia="Arial" w:hAnsi="Arial"/>
                <w:sz w:val="18"/>
                <w:szCs w:val="18"/>
                <w:color w:val="006098"/>
              </w:rPr>
              <w:t>$</w:t>
            </w: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10,981</w:t>
            </w:r>
          </w:p>
        </w:tc>
        <w:tc>
          <w:tcPr>
            <w:tcW w:w="10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ind w:right="370"/>
              <w:spacing w:after="0"/>
              <w:rPr>
                <w:sz w:val="20"/>
                <w:szCs w:val="20"/>
                <w:color w:val="auto"/>
              </w:rPr>
            </w:pPr>
            <w:r>
              <w:rPr>
                <w:rFonts w:ascii="Arial" w:cs="Arial" w:eastAsia="Arial" w:hAnsi="Arial"/>
                <w:sz w:val="18"/>
                <w:szCs w:val="18"/>
                <w:color w:val="131E29"/>
                <w:w w:val="79"/>
              </w:rPr>
              <w:t>$</w:t>
            </w: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10,666</w:t>
            </w:r>
          </w:p>
        </w:tc>
      </w:tr>
      <w:tr>
        <w:trPr>
          <w:trHeight w:val="247"/>
        </w:trPr>
        <w:tc>
          <w:tcPr>
            <w:tcW w:w="6040" w:type="dxa"/>
            <w:vAlign w:val="bottom"/>
            <w:gridSpan w:val="2"/>
          </w:tcPr>
          <w:p>
            <w:pPr>
              <w:ind w:left="20"/>
              <w:spacing w:after="0"/>
              <w:rPr>
                <w:sz w:val="20"/>
                <w:szCs w:val="20"/>
                <w:color w:val="auto"/>
              </w:rPr>
            </w:pPr>
            <w:r>
              <w:rPr>
                <w:rFonts w:ascii="Arial" w:cs="Arial" w:eastAsia="Arial" w:hAnsi="Arial"/>
                <w:sz w:val="18"/>
                <w:szCs w:val="18"/>
                <w:color w:val="131E29"/>
              </w:rPr>
              <w:t>Equipment and fixtures</w:t>
            </w:r>
          </w:p>
        </w:tc>
        <w:tc>
          <w:tcPr>
            <w:tcW w:w="560" w:type="dxa"/>
            <w:vAlign w:val="bottom"/>
          </w:tcPr>
          <w:p>
            <w:pPr>
              <w:jc w:val="center"/>
              <w:ind w:left="90"/>
              <w:spacing w:after="0"/>
              <w:rPr>
                <w:sz w:val="20"/>
                <w:szCs w:val="20"/>
                <w:color w:val="auto"/>
              </w:rPr>
            </w:pPr>
            <w:r>
              <w:rPr>
                <w:rFonts w:ascii="Arial" w:cs="Arial" w:eastAsia="Arial" w:hAnsi="Arial"/>
                <w:sz w:val="18"/>
                <w:szCs w:val="18"/>
                <w:color w:val="006098"/>
                <w:w w:val="99"/>
              </w:rPr>
              <w:t>3</w:t>
            </w:r>
          </w:p>
        </w:tc>
        <w:tc>
          <w:tcPr>
            <w:tcW w:w="520" w:type="dxa"/>
            <w:vAlign w:val="bottom"/>
          </w:tcPr>
          <w:p>
            <w:pPr>
              <w:jc w:val="center"/>
              <w:spacing w:after="0"/>
              <w:rPr>
                <w:sz w:val="20"/>
                <w:szCs w:val="20"/>
                <w:color w:val="auto"/>
              </w:rPr>
            </w:pPr>
            <w:r>
              <w:rPr>
                <w:rFonts w:ascii="Arial" w:cs="Arial" w:eastAsia="Arial" w:hAnsi="Arial"/>
                <w:sz w:val="11"/>
                <w:szCs w:val="11"/>
                <w:color w:val="006098"/>
              </w:rPr>
              <w:t>—</w:t>
            </w:r>
          </w:p>
        </w:tc>
        <w:tc>
          <w:tcPr>
            <w:tcW w:w="560" w:type="dxa"/>
            <w:vAlign w:val="bottom"/>
          </w:tcPr>
          <w:p>
            <w:pPr>
              <w:jc w:val="center"/>
              <w:ind w:right="90"/>
              <w:spacing w:after="0"/>
              <w:rPr>
                <w:sz w:val="20"/>
                <w:szCs w:val="20"/>
                <w:color w:val="auto"/>
              </w:rPr>
            </w:pPr>
            <w:r>
              <w:rPr>
                <w:rFonts w:ascii="Arial" w:cs="Arial" w:eastAsia="Arial" w:hAnsi="Arial"/>
                <w:sz w:val="18"/>
                <w:szCs w:val="18"/>
                <w:color w:val="006098"/>
                <w:w w:val="99"/>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6098"/>
              </w:rPr>
              <w:t>237,482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131E29"/>
              </w:rPr>
              <w:t>229,307</w:t>
            </w:r>
          </w:p>
        </w:tc>
      </w:tr>
      <w:tr>
        <w:trPr>
          <w:trHeight w:val="23"/>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Leasehold improvements</w:t>
            </w:r>
          </w:p>
        </w:tc>
        <w:tc>
          <w:tcPr>
            <w:tcW w:w="560" w:type="dxa"/>
            <w:vAlign w:val="bottom"/>
            <w:tcBorders>
              <w:bottom w:val="single" w:sz="8" w:color="D2DCE5"/>
            </w:tcBorders>
            <w:shd w:val="clear" w:color="auto" w:fill="D2DCE5"/>
          </w:tcPr>
          <w:p>
            <w:pPr>
              <w:jc w:val="center"/>
              <w:ind w:left="90"/>
              <w:spacing w:after="0"/>
              <w:rPr>
                <w:sz w:val="20"/>
                <w:szCs w:val="20"/>
                <w:color w:val="auto"/>
              </w:rPr>
            </w:pPr>
            <w:r>
              <w:rPr>
                <w:rFonts w:ascii="Arial" w:cs="Arial" w:eastAsia="Arial" w:hAnsi="Arial"/>
                <w:sz w:val="18"/>
                <w:szCs w:val="18"/>
                <w:color w:val="006098"/>
                <w:w w:val="99"/>
              </w:rPr>
              <w:t>5</w:t>
            </w:r>
          </w:p>
        </w:tc>
        <w:tc>
          <w:tcPr>
            <w:tcW w:w="5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1"/>
                <w:szCs w:val="11"/>
                <w:color w:val="006098"/>
              </w:rPr>
              <w:t>—</w:t>
            </w:r>
          </w:p>
        </w:tc>
        <w:tc>
          <w:tcPr>
            <w:tcW w:w="560" w:type="dxa"/>
            <w:vAlign w:val="bottom"/>
            <w:tcBorders>
              <w:bottom w:val="single" w:sz="8" w:color="D2DCE5"/>
            </w:tcBorders>
            <w:shd w:val="clear" w:color="auto" w:fill="D2DCE5"/>
          </w:tcPr>
          <w:p>
            <w:pPr>
              <w:jc w:val="center"/>
              <w:ind w:right="70"/>
              <w:spacing w:after="0"/>
              <w:rPr>
                <w:sz w:val="20"/>
                <w:szCs w:val="20"/>
                <w:color w:val="auto"/>
              </w:rPr>
            </w:pPr>
            <w:r>
              <w:rPr>
                <w:rFonts w:ascii="Arial" w:cs="Arial" w:eastAsia="Arial" w:hAnsi="Arial"/>
                <w:sz w:val="18"/>
                <w:szCs w:val="18"/>
                <w:color w:val="006098"/>
                <w:w w:val="99"/>
              </w:rPr>
              <w:t>15</w:t>
            </w: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57,909</w:t>
            </w:r>
          </w:p>
        </w:tc>
        <w:tc>
          <w:tcPr>
            <w:tcW w:w="10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spacing w:after="0"/>
              <w:rPr>
                <w:sz w:val="21"/>
                <w:szCs w:val="21"/>
                <w:color w:val="auto"/>
              </w:rPr>
            </w:pP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54,535</w:t>
            </w:r>
          </w:p>
        </w:tc>
      </w:tr>
      <w:tr>
        <w:trPr>
          <w:trHeight w:val="247"/>
        </w:trPr>
        <w:tc>
          <w:tcPr>
            <w:tcW w:w="6040" w:type="dxa"/>
            <w:vAlign w:val="bottom"/>
            <w:gridSpan w:val="2"/>
          </w:tcPr>
          <w:p>
            <w:pPr>
              <w:ind w:left="20"/>
              <w:spacing w:after="0"/>
              <w:rPr>
                <w:sz w:val="20"/>
                <w:szCs w:val="20"/>
                <w:color w:val="auto"/>
              </w:rPr>
            </w:pPr>
            <w:r>
              <w:rPr>
                <w:rFonts w:ascii="Arial" w:cs="Arial" w:eastAsia="Arial" w:hAnsi="Arial"/>
                <w:sz w:val="18"/>
                <w:szCs w:val="18"/>
                <w:color w:val="131E29"/>
              </w:rPr>
              <w:t>Buildings</w:t>
            </w:r>
          </w:p>
        </w:tc>
        <w:tc>
          <w:tcPr>
            <w:tcW w:w="560" w:type="dxa"/>
            <w:vAlign w:val="bottom"/>
          </w:tcPr>
          <w:p>
            <w:pPr>
              <w:jc w:val="center"/>
              <w:ind w:left="70"/>
              <w:spacing w:after="0"/>
              <w:rPr>
                <w:sz w:val="20"/>
                <w:szCs w:val="20"/>
                <w:color w:val="auto"/>
              </w:rPr>
            </w:pPr>
            <w:r>
              <w:rPr>
                <w:rFonts w:ascii="Arial" w:cs="Arial" w:eastAsia="Arial" w:hAnsi="Arial"/>
                <w:sz w:val="18"/>
                <w:szCs w:val="18"/>
                <w:color w:val="006098"/>
                <w:w w:val="99"/>
              </w:rPr>
              <w:t>10</w:t>
            </w:r>
          </w:p>
        </w:tc>
        <w:tc>
          <w:tcPr>
            <w:tcW w:w="520" w:type="dxa"/>
            <w:vAlign w:val="bottom"/>
          </w:tcPr>
          <w:p>
            <w:pPr>
              <w:jc w:val="center"/>
              <w:spacing w:after="0"/>
              <w:rPr>
                <w:sz w:val="20"/>
                <w:szCs w:val="20"/>
                <w:color w:val="auto"/>
              </w:rPr>
            </w:pPr>
            <w:r>
              <w:rPr>
                <w:rFonts w:ascii="Arial" w:cs="Arial" w:eastAsia="Arial" w:hAnsi="Arial"/>
                <w:sz w:val="11"/>
                <w:szCs w:val="11"/>
                <w:color w:val="006098"/>
              </w:rPr>
              <w:t>—</w:t>
            </w:r>
          </w:p>
        </w:tc>
        <w:tc>
          <w:tcPr>
            <w:tcW w:w="560" w:type="dxa"/>
            <w:vAlign w:val="bottom"/>
          </w:tcPr>
          <w:p>
            <w:pPr>
              <w:jc w:val="center"/>
              <w:ind w:right="70"/>
              <w:spacing w:after="0"/>
              <w:rPr>
                <w:sz w:val="20"/>
                <w:szCs w:val="20"/>
                <w:color w:val="auto"/>
              </w:rPr>
            </w:pPr>
            <w:r>
              <w:rPr>
                <w:rFonts w:ascii="Arial" w:cs="Arial" w:eastAsia="Arial" w:hAnsi="Arial"/>
                <w:sz w:val="18"/>
                <w:szCs w:val="18"/>
                <w:color w:val="006098"/>
                <w:w w:val="99"/>
              </w:rPr>
              <w:t>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6098"/>
              </w:rPr>
              <w:t>521,538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131E29"/>
              </w:rPr>
              <w:t>487,060</w:t>
            </w:r>
          </w:p>
        </w:tc>
      </w:tr>
      <w:tr>
        <w:trPr>
          <w:trHeight w:val="23"/>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Land</w:t>
            </w:r>
          </w:p>
        </w:tc>
        <w:tc>
          <w:tcPr>
            <w:tcW w:w="560" w:type="dxa"/>
            <w:vAlign w:val="bottom"/>
            <w:tcBorders>
              <w:bottom w:val="single" w:sz="8" w:color="D2DCE5"/>
            </w:tcBorders>
            <w:shd w:val="clear" w:color="auto" w:fill="D2DCE5"/>
          </w:tcPr>
          <w:p>
            <w:pPr>
              <w:spacing w:after="0"/>
              <w:rPr>
                <w:sz w:val="21"/>
                <w:szCs w:val="21"/>
                <w:color w:val="auto"/>
              </w:rPr>
            </w:pPr>
          </w:p>
        </w:tc>
        <w:tc>
          <w:tcPr>
            <w:tcW w:w="5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006098"/>
                <w:w w:val="99"/>
              </w:rPr>
              <w:t>N/A</w:t>
            </w:r>
          </w:p>
        </w:tc>
        <w:tc>
          <w:tcPr>
            <w:tcW w:w="5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7,022</w:t>
            </w:r>
          </w:p>
        </w:tc>
        <w:tc>
          <w:tcPr>
            <w:tcW w:w="10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spacing w:after="0"/>
              <w:rPr>
                <w:sz w:val="21"/>
                <w:szCs w:val="21"/>
                <w:color w:val="auto"/>
              </w:rPr>
            </w:pP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7,022</w:t>
            </w:r>
          </w:p>
        </w:tc>
      </w:tr>
      <w:tr>
        <w:trPr>
          <w:trHeight w:val="270"/>
        </w:trPr>
        <w:tc>
          <w:tcPr>
            <w:tcW w:w="604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 xml:space="preserve">Construction-in-progress </w:t>
            </w:r>
            <w:r>
              <w:rPr>
                <w:rFonts w:ascii="Arial" w:cs="Arial" w:eastAsia="Arial" w:hAnsi="Arial"/>
                <w:sz w:val="23"/>
                <w:szCs w:val="23"/>
                <w:color w:val="131E29"/>
                <w:vertAlign w:val="superscript"/>
              </w:rPr>
              <w:t>1</w:t>
            </w:r>
          </w:p>
        </w:tc>
        <w:tc>
          <w:tcPr>
            <w:tcW w:w="560" w:type="dxa"/>
            <w:vAlign w:val="bottom"/>
            <w:tcBorders>
              <w:bottom w:val="single" w:sz="8" w:color="D2DCE5"/>
            </w:tcBorders>
          </w:tcPr>
          <w:p>
            <w:pPr>
              <w:spacing w:after="0"/>
              <w:rPr>
                <w:sz w:val="23"/>
                <w:szCs w:val="23"/>
                <w:color w:val="auto"/>
              </w:rPr>
            </w:pPr>
          </w:p>
        </w:tc>
        <w:tc>
          <w:tcPr>
            <w:tcW w:w="520" w:type="dxa"/>
            <w:vAlign w:val="bottom"/>
            <w:tcBorders>
              <w:bottom w:val="single" w:sz="8" w:color="D2DCE5"/>
            </w:tcBorders>
          </w:tcPr>
          <w:p>
            <w:pPr>
              <w:jc w:val="center"/>
              <w:spacing w:after="0"/>
              <w:rPr>
                <w:sz w:val="20"/>
                <w:szCs w:val="20"/>
                <w:color w:val="auto"/>
              </w:rPr>
            </w:pPr>
            <w:r>
              <w:rPr>
                <w:rFonts w:ascii="Arial" w:cs="Arial" w:eastAsia="Arial" w:hAnsi="Arial"/>
                <w:sz w:val="18"/>
                <w:szCs w:val="18"/>
                <w:color w:val="006098"/>
                <w:w w:val="99"/>
              </w:rPr>
              <w:t>N/A</w:t>
            </w:r>
          </w:p>
        </w:tc>
        <w:tc>
          <w:tcPr>
            <w:tcW w:w="560" w:type="dxa"/>
            <w:vAlign w:val="bottom"/>
            <w:tcBorders>
              <w:bottom w:val="single" w:sz="8" w:color="D2DCE5"/>
            </w:tcBorders>
          </w:tcPr>
          <w:p>
            <w:pPr>
              <w:spacing w:after="0"/>
              <w:rPr>
                <w:sz w:val="23"/>
                <w:szCs w:val="23"/>
                <w:color w:val="auto"/>
              </w:rPr>
            </w:pPr>
          </w:p>
        </w:tc>
        <w:tc>
          <w:tcPr>
            <w:tcW w:w="100" w:type="dxa"/>
            <w:vAlign w:val="bottom"/>
            <w:tcBorders>
              <w:bottom w:val="single" w:sz="8" w:color="D2DCE5"/>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66,689</w:t>
            </w:r>
          </w:p>
        </w:tc>
        <w:tc>
          <w:tcPr>
            <w:tcW w:w="100" w:type="dxa"/>
            <w:vAlign w:val="bottom"/>
            <w:tcBorders>
              <w:bottom w:val="single" w:sz="8" w:color="D2DCE5"/>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71,951</w:t>
            </w:r>
          </w:p>
        </w:tc>
      </w:tr>
      <w:tr>
        <w:trPr>
          <w:trHeight w:val="243"/>
        </w:trPr>
        <w:tc>
          <w:tcPr>
            <w:tcW w:w="60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Property and equipment, gross</w:t>
            </w:r>
          </w:p>
        </w:tc>
        <w:tc>
          <w:tcPr>
            <w:tcW w:w="560" w:type="dxa"/>
            <w:vAlign w:val="bottom"/>
            <w:tcBorders>
              <w:bottom w:val="single" w:sz="8" w:color="D2DCE5"/>
            </w:tcBorders>
            <w:shd w:val="clear" w:color="auto" w:fill="D2DCE5"/>
          </w:tcPr>
          <w:p>
            <w:pPr>
              <w:spacing w:after="0"/>
              <w:rPr>
                <w:sz w:val="21"/>
                <w:szCs w:val="21"/>
                <w:color w:val="auto"/>
              </w:rPr>
            </w:pPr>
          </w:p>
        </w:tc>
        <w:tc>
          <w:tcPr>
            <w:tcW w:w="52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901,621</w:t>
            </w:r>
          </w:p>
        </w:tc>
        <w:tc>
          <w:tcPr>
            <w:tcW w:w="10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spacing w:after="0"/>
              <w:rPr>
                <w:sz w:val="21"/>
                <w:szCs w:val="21"/>
                <w:color w:val="auto"/>
              </w:rPr>
            </w:pP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860,541</w:t>
            </w:r>
          </w:p>
        </w:tc>
      </w:tr>
      <w:tr>
        <w:trPr>
          <w:trHeight w:val="247"/>
        </w:trPr>
        <w:tc>
          <w:tcPr>
            <w:tcW w:w="6040" w:type="dxa"/>
            <w:vAlign w:val="bottom"/>
            <w:gridSpan w:val="2"/>
          </w:tcPr>
          <w:p>
            <w:pPr>
              <w:ind w:left="20"/>
              <w:spacing w:after="0"/>
              <w:rPr>
                <w:sz w:val="20"/>
                <w:szCs w:val="20"/>
                <w:color w:val="auto"/>
              </w:rPr>
            </w:pPr>
            <w:r>
              <w:rPr>
                <w:rFonts w:ascii="Arial" w:cs="Arial" w:eastAsia="Arial" w:hAnsi="Arial"/>
                <w:sz w:val="18"/>
                <w:szCs w:val="18"/>
                <w:color w:val="131E29"/>
              </w:rPr>
              <w:t>Less: accumulated depreciation</w:t>
            </w: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6098"/>
              </w:rPr>
              <w:t>(195,742)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131E29"/>
              </w:rPr>
              <w:t>(176,570)</w:t>
            </w:r>
          </w:p>
        </w:tc>
      </w:tr>
      <w:tr>
        <w:trPr>
          <w:trHeight w:val="23"/>
        </w:trPr>
        <w:tc>
          <w:tcPr>
            <w:tcW w:w="59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60" w:type="dxa"/>
            <w:vAlign w:val="bottom"/>
            <w:tcBorders>
              <w:bottom w:val="single" w:sz="8" w:color="D2DCE5"/>
            </w:tcBorders>
          </w:tcPr>
          <w:p>
            <w:pPr>
              <w:spacing w:after="0"/>
              <w:rPr>
                <w:sz w:val="2"/>
                <w:szCs w:val="2"/>
                <w:color w:val="auto"/>
              </w:rPr>
            </w:pPr>
          </w:p>
        </w:tc>
        <w:tc>
          <w:tcPr>
            <w:tcW w:w="520" w:type="dxa"/>
            <w:vAlign w:val="bottom"/>
            <w:tcBorders>
              <w:bottom w:val="single" w:sz="8" w:color="D2DCE5"/>
            </w:tcBorders>
          </w:tcPr>
          <w:p>
            <w:pPr>
              <w:spacing w:after="0"/>
              <w:rPr>
                <w:sz w:val="2"/>
                <w:szCs w:val="2"/>
                <w:color w:val="auto"/>
              </w:rPr>
            </w:pPr>
          </w:p>
        </w:tc>
        <w:tc>
          <w:tcPr>
            <w:tcW w:w="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4"/>
        </w:trPr>
        <w:tc>
          <w:tcPr>
            <w:tcW w:w="6040" w:type="dxa"/>
            <w:vAlign w:val="bottom"/>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Property and equipment, net</w:t>
            </w:r>
          </w:p>
        </w:tc>
        <w:tc>
          <w:tcPr>
            <w:tcW w:w="560" w:type="dxa"/>
            <w:vAlign w:val="bottom"/>
            <w:shd w:val="clear" w:color="auto" w:fill="D2DCE5"/>
          </w:tcPr>
          <w:p>
            <w:pPr>
              <w:spacing w:after="0"/>
              <w:rPr>
                <w:sz w:val="24"/>
                <w:szCs w:val="24"/>
                <w:color w:val="auto"/>
              </w:rPr>
            </w:pPr>
          </w:p>
        </w:tc>
        <w:tc>
          <w:tcPr>
            <w:tcW w:w="520" w:type="dxa"/>
            <w:vAlign w:val="bottom"/>
            <w:shd w:val="clear" w:color="auto" w:fill="D2DCE5"/>
          </w:tcPr>
          <w:p>
            <w:pPr>
              <w:spacing w:after="0"/>
              <w:rPr>
                <w:sz w:val="24"/>
                <w:szCs w:val="24"/>
                <w:color w:val="auto"/>
              </w:rPr>
            </w:pPr>
          </w:p>
        </w:tc>
        <w:tc>
          <w:tcPr>
            <w:tcW w:w="780" w:type="dxa"/>
            <w:vAlign w:val="bottom"/>
            <w:gridSpan w:val="3"/>
            <w:shd w:val="clear" w:color="auto" w:fill="D2DCE5"/>
          </w:tcPr>
          <w:p>
            <w:pPr>
              <w:jc w:val="right"/>
              <w:ind w:right="20"/>
              <w:spacing w:after="0"/>
              <w:rPr>
                <w:sz w:val="20"/>
                <w:szCs w:val="20"/>
                <w:color w:val="auto"/>
              </w:rPr>
            </w:pPr>
            <w:r>
              <w:rPr>
                <w:rFonts w:ascii="Arial" w:cs="Arial" w:eastAsia="Arial" w:hAnsi="Arial"/>
                <w:sz w:val="18"/>
                <w:szCs w:val="18"/>
                <w:b w:val="1"/>
                <w:bCs w:val="1"/>
                <w:color w:val="006098"/>
              </w:rPr>
              <w:t>$</w:t>
            </w: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705,879</w:t>
            </w:r>
          </w:p>
        </w:tc>
        <w:tc>
          <w:tcPr>
            <w:tcW w:w="100" w:type="dxa"/>
            <w:vAlign w:val="bottom"/>
            <w:shd w:val="clear" w:color="auto" w:fill="D2DCE5"/>
          </w:tcPr>
          <w:p>
            <w:pPr>
              <w:spacing w:after="0"/>
              <w:rPr>
                <w:sz w:val="24"/>
                <w:szCs w:val="24"/>
                <w:color w:val="auto"/>
              </w:rPr>
            </w:pPr>
          </w:p>
        </w:tc>
        <w:tc>
          <w:tcPr>
            <w:tcW w:w="560" w:type="dxa"/>
            <w:vAlign w:val="bottom"/>
            <w:shd w:val="clear" w:color="auto" w:fill="D2DCE5"/>
          </w:tcPr>
          <w:p>
            <w:pPr>
              <w:jc w:val="right"/>
              <w:ind w:right="370"/>
              <w:spacing w:after="0"/>
              <w:rPr>
                <w:sz w:val="20"/>
                <w:szCs w:val="20"/>
                <w:color w:val="auto"/>
              </w:rPr>
            </w:pPr>
            <w:r>
              <w:rPr>
                <w:rFonts w:ascii="Arial" w:cs="Arial" w:eastAsia="Arial" w:hAnsi="Arial"/>
                <w:sz w:val="18"/>
                <w:szCs w:val="18"/>
                <w:b w:val="1"/>
                <w:bCs w:val="1"/>
                <w:color w:val="131E29"/>
                <w:w w:val="79"/>
              </w:rPr>
              <w:t>$</w:t>
            </w: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683,971</w:t>
            </w:r>
          </w:p>
        </w:tc>
      </w:tr>
      <w:tr>
        <w:trPr>
          <w:trHeight w:val="20"/>
        </w:trPr>
        <w:tc>
          <w:tcPr>
            <w:tcW w:w="59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D2DCE5"/>
            </w:tcBorders>
          </w:tcPr>
          <w:p>
            <w:pPr>
              <w:spacing w:after="0" w:line="20" w:lineRule="exact"/>
              <w:rPr>
                <w:sz w:val="1"/>
                <w:szCs w:val="1"/>
                <w:color w:val="auto"/>
              </w:rPr>
            </w:pPr>
          </w:p>
        </w:tc>
        <w:tc>
          <w:tcPr>
            <w:tcW w:w="52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spacing w:after="0" w:line="73" w:lineRule="exact"/>
        <w:rPr>
          <w:sz w:val="20"/>
          <w:szCs w:val="20"/>
          <w:color w:val="auto"/>
        </w:rPr>
      </w:pPr>
    </w:p>
    <w:p>
      <w:pPr>
        <w:ind w:left="160" w:hanging="152"/>
        <w:spacing w:after="0"/>
        <w:tabs>
          <w:tab w:leader="none" w:pos="160" w:val="left"/>
        </w:tabs>
        <w:numPr>
          <w:ilvl w:val="0"/>
          <w:numId w:val="6"/>
        </w:numPr>
        <w:rPr>
          <w:rFonts w:ascii="Arial" w:cs="Arial" w:eastAsia="Arial" w:hAnsi="Arial"/>
          <w:sz w:val="9"/>
          <w:szCs w:val="9"/>
          <w:color w:val="131E29"/>
        </w:rPr>
      </w:pPr>
      <w:r>
        <w:rPr>
          <w:rFonts w:ascii="Arial" w:cs="Arial" w:eastAsia="Arial" w:hAnsi="Arial"/>
          <w:sz w:val="14"/>
          <w:szCs w:val="14"/>
          <w:color w:val="131E29"/>
        </w:rPr>
        <w:t>Construction-in-progress primarily consists of construction and equipment costs for new and existing shops.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Depreciation expense included in our condensed consolidated statements of operations was as follows:</w:t>
      </w:r>
    </w:p>
    <w:p>
      <w:pPr>
        <w:spacing w:after="0" w:line="225"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34925</wp:posOffset>
            </wp:positionV>
            <wp:extent cx="20656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2024</w:t>
            </w:r>
          </w:p>
        </w:tc>
      </w:tr>
      <w:tr>
        <w:trPr>
          <w:trHeight w:val="270"/>
        </w:trPr>
        <w:tc>
          <w:tcPr>
            <w:tcW w:w="79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36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006098"/>
                <w:w w:val="9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18,965</w:t>
            </w: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13,918</w:t>
            </w:r>
          </w:p>
        </w:tc>
      </w:tr>
      <w:tr>
        <w:trPr>
          <w:trHeight w:val="270"/>
        </w:trPr>
        <w:tc>
          <w:tcPr>
            <w:tcW w:w="798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Selling, general, and administrative</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387</w:t>
            </w:r>
          </w:p>
        </w:tc>
        <w:tc>
          <w:tcPr>
            <w:tcW w:w="100" w:type="dxa"/>
            <w:vAlign w:val="bottom"/>
            <w:tcBorders>
              <w:bottom w:val="single" w:sz="8" w:color="D2DCE5"/>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248</w:t>
            </w:r>
          </w:p>
        </w:tc>
      </w:tr>
      <w:tr>
        <w:trPr>
          <w:trHeight w:val="289"/>
        </w:trPr>
        <w:tc>
          <w:tcPr>
            <w:tcW w:w="79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b w:val="1"/>
                <w:bCs w:val="1"/>
                <w:color w:val="131E29"/>
              </w:rPr>
              <w:t>Total depreciation expense</w:t>
            </w: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19,352</w:t>
            </w:r>
          </w:p>
        </w:tc>
        <w:tc>
          <w:tcPr>
            <w:tcW w:w="100" w:type="dxa"/>
            <w:vAlign w:val="bottom"/>
            <w:tcBorders>
              <w:bottom w:val="single" w:sz="8" w:color="D2DCE5"/>
            </w:tcBorders>
            <w:shd w:val="clear" w:color="auto" w:fill="D2DCE5"/>
          </w:tcPr>
          <w:p>
            <w:pPr>
              <w:spacing w:after="0"/>
              <w:rPr>
                <w:sz w:val="24"/>
                <w:szCs w:val="24"/>
                <w:color w:val="auto"/>
              </w:rPr>
            </w:pP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14,166</w:t>
            </w:r>
          </w:p>
        </w:tc>
      </w:tr>
      <w:tr>
        <w:trPr>
          <w:trHeight w:val="20"/>
        </w:trPr>
        <w:tc>
          <w:tcPr>
            <w:tcW w:w="79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7 — Intangible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The details of the intangible assets are as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Reacquired franchise rights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Less: accumulated amortization</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131E29"/>
        </w:rPr>
        <w:t>Intangibles,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131E29"/>
                <w:w w:val="99"/>
              </w:rPr>
              <w:t>Weighted-average</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131E29"/>
              </w:rPr>
              <w:t>December 31,</w:t>
            </w:r>
          </w:p>
        </w:tc>
        <w:tc>
          <w:tcPr>
            <w:tcW w:w="0" w:type="dxa"/>
            <w:vAlign w:val="bottom"/>
          </w:tcPr>
          <w:p>
            <w:pPr>
              <w:spacing w:after="0"/>
              <w:rPr>
                <w:sz w:val="1"/>
                <w:szCs w:val="1"/>
                <w:color w:val="auto"/>
              </w:rPr>
            </w:pPr>
          </w:p>
        </w:tc>
      </w:tr>
      <w:tr>
        <w:trPr>
          <w:trHeight w:val="181"/>
        </w:trPr>
        <w:tc>
          <w:tcPr>
            <w:tcW w:w="2280" w:type="dxa"/>
            <w:vAlign w:val="bottom"/>
            <w:gridSpan w:val="2"/>
          </w:tcPr>
          <w:p>
            <w:pPr>
              <w:jc w:val="center"/>
              <w:ind w:right="80"/>
              <w:spacing w:after="0" w:line="181" w:lineRule="exact"/>
              <w:rPr>
                <w:sz w:val="20"/>
                <w:szCs w:val="20"/>
                <w:color w:val="auto"/>
              </w:rPr>
            </w:pPr>
            <w:r>
              <w:rPr>
                <w:rFonts w:ascii="Arial" w:cs="Arial" w:eastAsia="Arial" w:hAnsi="Arial"/>
                <w:sz w:val="18"/>
                <w:szCs w:val="18"/>
                <w:b w:val="1"/>
                <w:bCs w:val="1"/>
                <w:color w:val="131E29"/>
              </w:rPr>
              <w:t xml:space="preserve">amortization period </w:t>
            </w:r>
            <w:r>
              <w:rPr>
                <w:rFonts w:ascii="Arial" w:cs="Arial" w:eastAsia="Arial" w:hAnsi="Arial"/>
                <w:sz w:val="14"/>
                <w:szCs w:val="14"/>
                <w:color w:val="131E29"/>
              </w:rPr>
              <w:t>(in</w:t>
            </w:r>
          </w:p>
        </w:tc>
        <w:tc>
          <w:tcPr>
            <w:tcW w:w="140" w:type="dxa"/>
            <w:vAlign w:val="bottom"/>
          </w:tcPr>
          <w:p>
            <w:pPr>
              <w:spacing w:after="0"/>
              <w:rPr>
                <w:sz w:val="15"/>
                <w:szCs w:val="15"/>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131E29"/>
              </w:rPr>
              <w:t>March 31, 2025</w:t>
            </w:r>
          </w:p>
        </w:tc>
        <w:tc>
          <w:tcPr>
            <w:tcW w:w="1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80" w:type="dxa"/>
            <w:vAlign w:val="bottom"/>
            <w:gridSpan w:val="2"/>
          </w:tcPr>
          <w:p>
            <w:pPr>
              <w:jc w:val="center"/>
              <w:ind w:right="80"/>
              <w:spacing w:after="0"/>
              <w:rPr>
                <w:sz w:val="20"/>
                <w:szCs w:val="20"/>
                <w:color w:val="auto"/>
              </w:rPr>
            </w:pPr>
            <w:r>
              <w:rPr>
                <w:rFonts w:ascii="Arial" w:cs="Arial" w:eastAsia="Arial" w:hAnsi="Arial"/>
                <w:sz w:val="14"/>
                <w:szCs w:val="14"/>
                <w:color w:val="131E29"/>
              </w:rPr>
              <w:t>years)</w:t>
            </w:r>
          </w:p>
        </w:tc>
        <w:tc>
          <w:tcPr>
            <w:tcW w:w="140" w:type="dxa"/>
            <w:vAlign w:val="bottom"/>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131E29"/>
              </w:rPr>
              <w:t>2024</w:t>
            </w:r>
          </w:p>
        </w:tc>
        <w:tc>
          <w:tcPr>
            <w:tcW w:w="0" w:type="dxa"/>
            <w:vAlign w:val="bottom"/>
          </w:tcPr>
          <w:p>
            <w:pPr>
              <w:spacing w:after="0"/>
              <w:rPr>
                <w:sz w:val="1"/>
                <w:szCs w:val="1"/>
                <w:color w:val="auto"/>
              </w:rPr>
            </w:pPr>
          </w:p>
        </w:tc>
      </w:tr>
      <w:tr>
        <w:trPr>
          <w:trHeight w:val="272"/>
        </w:trPr>
        <w:tc>
          <w:tcPr>
            <w:tcW w:w="2200" w:type="dxa"/>
            <w:vAlign w:val="bottom"/>
            <w:tcBorders>
              <w:top w:val="single" w:sz="8" w:color="D7282F"/>
            </w:tcBorders>
          </w:tcPr>
          <w:p>
            <w:pPr>
              <w:jc w:val="center"/>
              <w:spacing w:after="0"/>
              <w:rPr>
                <w:sz w:val="20"/>
                <w:szCs w:val="20"/>
                <w:color w:val="auto"/>
              </w:rPr>
            </w:pPr>
            <w:r>
              <w:rPr>
                <w:rFonts w:ascii="Arial" w:cs="Arial" w:eastAsia="Arial" w:hAnsi="Arial"/>
                <w:sz w:val="18"/>
                <w:szCs w:val="18"/>
                <w:color w:val="006098"/>
              </w:rPr>
              <w:t>3.0</w:t>
            </w:r>
          </w:p>
        </w:tc>
        <w:tc>
          <w:tcPr>
            <w:tcW w:w="80" w:type="dxa"/>
            <w:vAlign w:val="bottom"/>
          </w:tcPr>
          <w:p>
            <w:pPr>
              <w:spacing w:after="0"/>
              <w:rPr>
                <w:sz w:val="23"/>
                <w:szCs w:val="23"/>
                <w:color w:val="auto"/>
              </w:rPr>
            </w:pPr>
          </w:p>
        </w:tc>
        <w:tc>
          <w:tcPr>
            <w:tcW w:w="140" w:type="dxa"/>
            <w:vAlign w:val="bottom"/>
            <w:tcBorders>
              <w:top w:val="single" w:sz="8" w:color="D7282F"/>
            </w:tcBorders>
          </w:tcPr>
          <w:p>
            <w:pPr>
              <w:jc w:val="right"/>
              <w:spacing w:after="0"/>
              <w:rPr>
                <w:sz w:val="20"/>
                <w:szCs w:val="20"/>
                <w:color w:val="auto"/>
              </w:rPr>
            </w:pPr>
            <w:r>
              <w:rPr>
                <w:rFonts w:ascii="Arial" w:cs="Arial" w:eastAsia="Arial" w:hAnsi="Arial"/>
                <w:sz w:val="18"/>
                <w:szCs w:val="18"/>
                <w:color w:val="006098"/>
                <w:w w:val="99"/>
              </w:rPr>
              <w:t>$</w:t>
            </w:r>
          </w:p>
        </w:tc>
        <w:tc>
          <w:tcPr>
            <w:tcW w:w="1440" w:type="dxa"/>
            <w:vAlign w:val="bottom"/>
            <w:tcBorders>
              <w:top w:val="single" w:sz="8" w:color="D7282F"/>
            </w:tcBorders>
          </w:tcPr>
          <w:p>
            <w:pPr>
              <w:jc w:val="right"/>
              <w:spacing w:after="0"/>
              <w:rPr>
                <w:sz w:val="20"/>
                <w:szCs w:val="20"/>
                <w:color w:val="auto"/>
              </w:rPr>
            </w:pPr>
            <w:r>
              <w:rPr>
                <w:rFonts w:ascii="Arial" w:cs="Arial" w:eastAsia="Arial" w:hAnsi="Arial"/>
                <w:sz w:val="18"/>
                <w:szCs w:val="18"/>
                <w:color w:val="006098"/>
              </w:rPr>
              <w:t>27,049</w:t>
            </w:r>
          </w:p>
        </w:tc>
        <w:tc>
          <w:tcPr>
            <w:tcW w:w="100" w:type="dxa"/>
            <w:vAlign w:val="bottom"/>
          </w:tcPr>
          <w:p>
            <w:pPr>
              <w:spacing w:after="0"/>
              <w:rPr>
                <w:sz w:val="23"/>
                <w:szCs w:val="23"/>
                <w:color w:val="auto"/>
              </w:rPr>
            </w:pPr>
          </w:p>
        </w:tc>
        <w:tc>
          <w:tcPr>
            <w:tcW w:w="160" w:type="dxa"/>
            <w:vAlign w:val="bottom"/>
            <w:tcBorders>
              <w:top w:val="single" w:sz="8" w:color="D7282F"/>
            </w:tcBorders>
          </w:tcPr>
          <w:p>
            <w:pPr>
              <w:jc w:val="right"/>
              <w:spacing w:after="0"/>
              <w:rPr>
                <w:sz w:val="20"/>
                <w:szCs w:val="20"/>
                <w:color w:val="auto"/>
              </w:rPr>
            </w:pPr>
            <w:r>
              <w:rPr>
                <w:rFonts w:ascii="Arial" w:cs="Arial" w:eastAsia="Arial" w:hAnsi="Arial"/>
                <w:sz w:val="18"/>
                <w:szCs w:val="18"/>
                <w:color w:val="131E29"/>
                <w:w w:val="99"/>
              </w:rPr>
              <w:t>$</w:t>
            </w:r>
          </w:p>
        </w:tc>
        <w:tc>
          <w:tcPr>
            <w:tcW w:w="1420" w:type="dxa"/>
            <w:vAlign w:val="bottom"/>
            <w:tcBorders>
              <w:top w:val="single" w:sz="8" w:color="D7282F"/>
            </w:tcBorders>
          </w:tcPr>
          <w:p>
            <w:pPr>
              <w:jc w:val="right"/>
              <w:spacing w:after="0"/>
              <w:rPr>
                <w:sz w:val="20"/>
                <w:szCs w:val="20"/>
                <w:color w:val="auto"/>
              </w:rPr>
            </w:pPr>
            <w:r>
              <w:rPr>
                <w:rFonts w:ascii="Arial" w:cs="Arial" w:eastAsia="Arial" w:hAnsi="Arial"/>
                <w:sz w:val="18"/>
                <w:szCs w:val="18"/>
                <w:color w:val="131E29"/>
              </w:rPr>
              <w:t>27,049</w:t>
            </w:r>
          </w:p>
        </w:tc>
        <w:tc>
          <w:tcPr>
            <w:tcW w:w="0" w:type="dxa"/>
            <w:vAlign w:val="bottom"/>
          </w:tcPr>
          <w:p>
            <w:pPr>
              <w:spacing w:after="0"/>
              <w:rPr>
                <w:sz w:val="1"/>
                <w:szCs w:val="1"/>
                <w:color w:val="auto"/>
              </w:rPr>
            </w:pPr>
          </w:p>
        </w:tc>
      </w:tr>
      <w:tr>
        <w:trPr>
          <w:trHeight w:val="266"/>
        </w:trPr>
        <w:tc>
          <w:tcPr>
            <w:tcW w:w="2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(24,605)</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(24,102)</w:t>
            </w: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2,444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2,947</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-213995</wp:posOffset>
            </wp:positionV>
            <wp:extent cx="7132320" cy="197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-565150</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720"/>
            <w:col w:w="5540"/>
          </w:cols>
          <w:pgMar w:left="320" w:top="130"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131E29"/>
        </w:rPr>
        <w:t>Amortization expense included in our condensed consolidated statements of operations was as follows:</w:t>
      </w:r>
    </w:p>
    <w:p>
      <w:pPr>
        <w:spacing w:after="0" w:line="225"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34925</wp:posOffset>
            </wp:positionV>
            <wp:extent cx="20656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1100" w:type="dxa"/>
            <w:vAlign w:val="bottom"/>
            <w:tcBorders>
              <w:bottom w:val="single" w:sz="8" w:color="D7282F"/>
            </w:tcBorders>
          </w:tcPr>
          <w:p>
            <w:pPr>
              <w:jc w:val="right"/>
              <w:ind w:right="10"/>
              <w:spacing w:after="0"/>
              <w:rPr>
                <w:sz w:val="20"/>
                <w:szCs w:val="20"/>
                <w:color w:val="auto"/>
              </w:rPr>
            </w:pPr>
            <w:r>
              <w:rPr>
                <w:rFonts w:ascii="Arial" w:cs="Arial" w:eastAsia="Arial" w:hAnsi="Arial"/>
                <w:sz w:val="18"/>
                <w:szCs w:val="18"/>
                <w:b w:val="1"/>
                <w:bCs w:val="1"/>
                <w:color w:val="131E29"/>
              </w:rPr>
              <w:t>2025</w:t>
            </w:r>
          </w:p>
        </w:tc>
        <w:tc>
          <w:tcPr>
            <w:tcW w:w="480" w:type="dxa"/>
            <w:vAlign w:val="bottom"/>
            <w:tcBorders>
              <w:bottom w:val="single" w:sz="8" w:color="D7282F"/>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2024</w:t>
            </w:r>
          </w:p>
        </w:tc>
      </w:tr>
      <w:tr>
        <w:trPr>
          <w:trHeight w:val="295"/>
        </w:trPr>
        <w:tc>
          <w:tcPr>
            <w:tcW w:w="79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1100" w:type="dxa"/>
            <w:vAlign w:val="bottom"/>
            <w:tcBorders>
              <w:bottom w:val="single" w:sz="8" w:color="auto"/>
            </w:tcBorders>
            <w:shd w:val="clear" w:color="auto" w:fill="D2DCE5"/>
          </w:tcPr>
          <w:p>
            <w:pPr>
              <w:jc w:val="right"/>
              <w:ind w:right="890"/>
              <w:spacing w:after="0"/>
              <w:rPr>
                <w:sz w:val="20"/>
                <w:szCs w:val="20"/>
                <w:color w:val="auto"/>
              </w:rPr>
            </w:pPr>
            <w:r>
              <w:rPr>
                <w:rFonts w:ascii="Arial" w:cs="Arial" w:eastAsia="Arial" w:hAnsi="Arial"/>
                <w:sz w:val="18"/>
                <w:szCs w:val="18"/>
                <w:color w:val="006098"/>
                <w:w w:val="99"/>
              </w:rPr>
              <w:t>$</w:t>
            </w:r>
          </w:p>
        </w:tc>
        <w:tc>
          <w:tcPr>
            <w:tcW w:w="4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503</w:t>
            </w:r>
          </w:p>
        </w:tc>
        <w:tc>
          <w:tcPr>
            <w:tcW w:w="100" w:type="dxa"/>
            <w:vAlign w:val="bottom"/>
            <w:tcBorders>
              <w:bottom w:val="single" w:sz="8" w:color="D2DCE5"/>
            </w:tcBorders>
            <w:shd w:val="clear" w:color="auto" w:fill="D2DCE5"/>
          </w:tcPr>
          <w:p>
            <w:pPr>
              <w:spacing w:after="0"/>
              <w:rPr>
                <w:sz w:val="24"/>
                <w:szCs w:val="24"/>
                <w:color w:val="auto"/>
              </w:rPr>
            </w:pP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800</w:t>
            </w:r>
          </w:p>
        </w:tc>
      </w:tr>
      <w:tr>
        <w:trPr>
          <w:trHeight w:val="20"/>
        </w:trPr>
        <w:tc>
          <w:tcPr>
            <w:tcW w:w="79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c>
          <w:tcPr>
            <w:tcW w:w="4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8 — Leases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components of lease costs, excluding short-term lease costs and sublease income (both immaterial for the periods presented), were as follows:</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Finance lease costs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Amortization of right-of-use assets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Amortization of right-of-use assets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Interest on lease liabilities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131E29"/>
        </w:rPr>
        <w:t>Total finance lease costs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Operating lease costs</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3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131E29"/>
              </w:rPr>
              <w:t>Statements of Operations</w:t>
            </w:r>
          </w:p>
        </w:tc>
        <w:tc>
          <w:tcPr>
            <w:tcW w:w="200" w:type="dxa"/>
            <w:vAlign w:val="bottom"/>
            <w:tcBorders>
              <w:bottom w:val="single" w:sz="8" w:color="D7282F"/>
            </w:tcBorders>
          </w:tcPr>
          <w:p>
            <w:pPr>
              <w:spacing w:after="0"/>
              <w:rPr>
                <w:sz w:val="22"/>
                <w:szCs w:val="22"/>
                <w:color w:val="auto"/>
              </w:rPr>
            </w:pPr>
          </w:p>
        </w:tc>
        <w:tc>
          <w:tcPr>
            <w:tcW w:w="3040" w:type="dxa"/>
            <w:vAlign w:val="bottom"/>
            <w:tcBorders>
              <w:bottom w:val="single" w:sz="8" w:color="D7282F"/>
            </w:tcBorders>
            <w:gridSpan w:val="4"/>
          </w:tcPr>
          <w:p>
            <w:pPr>
              <w:jc w:val="right"/>
              <w:ind w:right="210"/>
              <w:spacing w:after="0"/>
              <w:rPr>
                <w:sz w:val="20"/>
                <w:szCs w:val="20"/>
                <w:color w:val="auto"/>
              </w:rPr>
            </w:pPr>
            <w:r>
              <w:rPr>
                <w:rFonts w:ascii="Arial" w:cs="Arial" w:eastAsia="Arial" w:hAnsi="Arial"/>
                <w:sz w:val="18"/>
                <w:szCs w:val="18"/>
                <w:b w:val="1"/>
                <w:bCs w:val="1"/>
                <w:color w:val="131E29"/>
              </w:rPr>
              <w:t>Three Months Ended March 31,</w:t>
            </w:r>
          </w:p>
        </w:tc>
      </w:tr>
      <w:tr>
        <w:trPr>
          <w:trHeight w:val="257"/>
        </w:trPr>
        <w:tc>
          <w:tcPr>
            <w:tcW w:w="312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Classification</w:t>
            </w:r>
          </w:p>
        </w:tc>
        <w:tc>
          <w:tcPr>
            <w:tcW w:w="100" w:type="dxa"/>
            <w:vAlign w:val="bottom"/>
          </w:tcPr>
          <w:p>
            <w:pPr>
              <w:spacing w:after="0"/>
              <w:rPr>
                <w:sz w:val="22"/>
                <w:szCs w:val="22"/>
                <w:color w:val="auto"/>
              </w:rPr>
            </w:pPr>
          </w:p>
        </w:tc>
        <w:tc>
          <w:tcPr>
            <w:tcW w:w="200" w:type="dxa"/>
            <w:vAlign w:val="bottom"/>
            <w:tcBorders>
              <w:bottom w:val="single" w:sz="8" w:color="D7282F"/>
            </w:tcBorders>
          </w:tcPr>
          <w:p>
            <w:pPr>
              <w:spacing w:after="0"/>
              <w:rPr>
                <w:sz w:val="22"/>
                <w:szCs w:val="22"/>
                <w:color w:val="auto"/>
              </w:rPr>
            </w:pPr>
          </w:p>
        </w:tc>
        <w:tc>
          <w:tcPr>
            <w:tcW w:w="136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2025</w:t>
            </w:r>
          </w:p>
        </w:tc>
        <w:tc>
          <w:tcPr>
            <w:tcW w:w="100" w:type="dxa"/>
            <w:vAlign w:val="bottom"/>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2024</w:t>
            </w:r>
          </w:p>
        </w:tc>
      </w:tr>
      <w:tr>
        <w:trPr>
          <w:trHeight w:val="544"/>
        </w:trPr>
        <w:tc>
          <w:tcPr>
            <w:tcW w:w="3220" w:type="dxa"/>
            <w:vAlign w:val="bottom"/>
            <w:gridSpan w:val="2"/>
          </w:tcPr>
          <w:p>
            <w:pPr>
              <w:ind w:left="20"/>
              <w:spacing w:after="0"/>
              <w:rPr>
                <w:sz w:val="20"/>
                <w:szCs w:val="20"/>
                <w:color w:val="auto"/>
              </w:rPr>
            </w:pPr>
            <w:r>
              <w:rPr>
                <w:rFonts w:ascii="Arial" w:cs="Arial" w:eastAsia="Arial" w:hAnsi="Arial"/>
                <w:sz w:val="18"/>
                <w:szCs w:val="18"/>
                <w:color w:val="131E29"/>
              </w:rPr>
              <w:t>Cost of sales</w:t>
            </w:r>
          </w:p>
        </w:tc>
        <w:tc>
          <w:tcPr>
            <w:tcW w:w="200" w:type="dxa"/>
            <w:vAlign w:val="bottom"/>
          </w:tcPr>
          <w:p>
            <w:pPr>
              <w:jc w:val="right"/>
              <w:spacing w:after="0"/>
              <w:rPr>
                <w:sz w:val="20"/>
                <w:szCs w:val="20"/>
                <w:color w:val="auto"/>
              </w:rPr>
            </w:pPr>
            <w:r>
              <w:rPr>
                <w:rFonts w:ascii="Arial" w:cs="Arial" w:eastAsia="Arial" w:hAnsi="Arial"/>
                <w:sz w:val="18"/>
                <w:szCs w:val="18"/>
                <w:color w:val="006098"/>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006098"/>
              </w:rPr>
              <w:t>6,560</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131E29"/>
              </w:rPr>
              <w:t>6,272</w:t>
            </w:r>
          </w:p>
        </w:tc>
      </w:tr>
      <w:tr>
        <w:trPr>
          <w:trHeight w:val="270"/>
        </w:trPr>
        <w:tc>
          <w:tcPr>
            <w:tcW w:w="3220" w:type="dxa"/>
            <w:vAlign w:val="bottom"/>
            <w:gridSpan w:val="2"/>
          </w:tcPr>
          <w:p>
            <w:pPr>
              <w:ind w:left="20"/>
              <w:spacing w:after="0"/>
              <w:rPr>
                <w:sz w:val="20"/>
                <w:szCs w:val="20"/>
                <w:color w:val="auto"/>
              </w:rPr>
            </w:pPr>
            <w:r>
              <w:rPr>
                <w:rFonts w:ascii="Arial" w:cs="Arial" w:eastAsia="Arial" w:hAnsi="Arial"/>
                <w:sz w:val="18"/>
                <w:szCs w:val="18"/>
                <w:color w:val="131E29"/>
              </w:rPr>
              <w:t>Selling, general, and administrative</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006098"/>
              </w:rPr>
              <w:t>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15</w:t>
            </w:r>
          </w:p>
        </w:tc>
      </w:tr>
      <w:tr>
        <w:trPr>
          <w:trHeight w:val="266"/>
        </w:trPr>
        <w:tc>
          <w:tcPr>
            <w:tcW w:w="3220" w:type="dxa"/>
            <w:vAlign w:val="bottom"/>
            <w:gridSpan w:val="2"/>
          </w:tcPr>
          <w:p>
            <w:pPr>
              <w:ind w:left="20"/>
              <w:spacing w:after="0"/>
              <w:rPr>
                <w:sz w:val="20"/>
                <w:szCs w:val="20"/>
                <w:color w:val="auto"/>
              </w:rPr>
            </w:pPr>
            <w:r>
              <w:rPr>
                <w:rFonts w:ascii="Arial" w:cs="Arial" w:eastAsia="Arial" w:hAnsi="Arial"/>
                <w:sz w:val="18"/>
                <w:szCs w:val="18"/>
                <w:color w:val="131E29"/>
              </w:rPr>
              <w:t>Interest expense</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5,609</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5,452</w:t>
            </w:r>
          </w:p>
        </w:tc>
      </w:tr>
      <w:tr>
        <w:trPr>
          <w:trHeight w:val="268"/>
        </w:trPr>
        <w:tc>
          <w:tcPr>
            <w:tcW w:w="3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006098"/>
              </w:rPr>
              <w:t>12,184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11,739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-525145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-182245</wp:posOffset>
            </wp:positionV>
            <wp:extent cx="713232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100330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-876300</wp:posOffset>
            </wp:positionV>
            <wp:extent cx="713232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6" w:lineRule="exact"/>
        <w:rPr>
          <w:sz w:val="20"/>
          <w:szCs w:val="20"/>
          <w:color w:val="auto"/>
        </w:rPr>
      </w:pPr>
    </w:p>
    <w:p>
      <w:pPr>
        <w:sectPr>
          <w:pgSz w:w="11900" w:h="16838" w:orient="portrait"/>
          <w:cols w:equalWidth="0" w:num="2">
            <w:col w:w="4060" w:space="720"/>
            <w:col w:w="646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3640" w:type="dxa"/>
            <w:vAlign w:val="bottom"/>
          </w:tcPr>
          <w:p>
            <w:pPr>
              <w:jc w:val="center"/>
              <w:ind w:right="1870"/>
              <w:spacing w:after="0"/>
              <w:rPr>
                <w:sz w:val="20"/>
                <w:szCs w:val="20"/>
                <w:color w:val="auto"/>
              </w:rPr>
            </w:pPr>
            <w:r>
              <w:rPr>
                <w:rFonts w:ascii="Arial" w:cs="Arial" w:eastAsia="Arial" w:hAnsi="Arial"/>
                <w:sz w:val="18"/>
                <w:szCs w:val="18"/>
                <w:color w:val="131E29"/>
              </w:rPr>
              <w:t>Lease expenses</w:t>
            </w:r>
          </w:p>
        </w:tc>
        <w:tc>
          <w:tcPr>
            <w:tcW w:w="4880" w:type="dxa"/>
            <w:vAlign w:val="bottom"/>
            <w:gridSpan w:val="2"/>
          </w:tcPr>
          <w:p>
            <w:pPr>
              <w:ind w:left="1160"/>
              <w:spacing w:after="0"/>
              <w:rPr>
                <w:sz w:val="20"/>
                <w:szCs w:val="20"/>
                <w:color w:val="auto"/>
              </w:rPr>
            </w:pPr>
            <w:r>
              <w:rPr>
                <w:rFonts w:ascii="Arial" w:cs="Arial" w:eastAsia="Arial" w:hAnsi="Arial"/>
                <w:sz w:val="18"/>
                <w:szCs w:val="18"/>
                <w:color w:val="131E29"/>
              </w:rPr>
              <w:t>Cost of sales</w:t>
            </w:r>
          </w:p>
        </w:tc>
        <w:tc>
          <w:tcPr>
            <w:tcW w:w="1040" w:type="dxa"/>
            <w:vAlign w:val="bottom"/>
          </w:tcPr>
          <w:p>
            <w:pPr>
              <w:jc w:val="right"/>
              <w:spacing w:after="0"/>
              <w:rPr>
                <w:sz w:val="20"/>
                <w:szCs w:val="20"/>
                <w:color w:val="auto"/>
              </w:rPr>
            </w:pPr>
            <w:r>
              <w:rPr>
                <w:rFonts w:ascii="Arial" w:cs="Arial" w:eastAsia="Arial" w:hAnsi="Arial"/>
                <w:sz w:val="18"/>
                <w:szCs w:val="18"/>
                <w:color w:val="006098"/>
              </w:rPr>
              <w:t>8,663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5,944</w:t>
            </w:r>
          </w:p>
        </w:tc>
      </w:tr>
      <w:tr>
        <w:trPr>
          <w:trHeight w:val="270"/>
        </w:trPr>
        <w:tc>
          <w:tcPr>
            <w:tcW w:w="3640" w:type="dxa"/>
            <w:vAlign w:val="bottom"/>
            <w:shd w:val="clear" w:color="auto" w:fill="D2DCE5"/>
          </w:tcPr>
          <w:p>
            <w:pPr>
              <w:jc w:val="center"/>
              <w:ind w:right="1870"/>
              <w:spacing w:after="0"/>
              <w:rPr>
                <w:sz w:val="20"/>
                <w:szCs w:val="20"/>
                <w:color w:val="auto"/>
              </w:rPr>
            </w:pPr>
            <w:r>
              <w:rPr>
                <w:rFonts w:ascii="Arial" w:cs="Arial" w:eastAsia="Arial" w:hAnsi="Arial"/>
                <w:sz w:val="18"/>
                <w:szCs w:val="18"/>
                <w:color w:val="131E29"/>
              </w:rPr>
              <w:t>Lease expenses</w:t>
            </w:r>
          </w:p>
        </w:tc>
        <w:tc>
          <w:tcPr>
            <w:tcW w:w="4880" w:type="dxa"/>
            <w:vAlign w:val="bottom"/>
            <w:gridSpan w:val="2"/>
            <w:shd w:val="clear" w:color="auto" w:fill="D2DCE5"/>
          </w:tcPr>
          <w:p>
            <w:pPr>
              <w:ind w:left="1160"/>
              <w:spacing w:after="0"/>
              <w:rPr>
                <w:sz w:val="20"/>
                <w:szCs w:val="20"/>
                <w:color w:val="auto"/>
              </w:rPr>
            </w:pPr>
            <w:r>
              <w:rPr>
                <w:rFonts w:ascii="Arial" w:cs="Arial" w:eastAsia="Arial" w:hAnsi="Arial"/>
                <w:sz w:val="18"/>
                <w:szCs w:val="18"/>
                <w:color w:val="131E29"/>
              </w:rPr>
              <w:t>Selling, general, and administrative</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700</w:t>
            </w:r>
          </w:p>
        </w:tc>
        <w:tc>
          <w:tcPr>
            <w:tcW w:w="100" w:type="dxa"/>
            <w:vAlign w:val="bottom"/>
            <w:shd w:val="clear" w:color="auto" w:fill="D2DCE5"/>
          </w:tcPr>
          <w:p>
            <w:pPr>
              <w:spacing w:after="0"/>
              <w:rPr>
                <w:sz w:val="23"/>
                <w:szCs w:val="23"/>
                <w:color w:val="auto"/>
              </w:rPr>
            </w:pPr>
          </w:p>
        </w:tc>
        <w:tc>
          <w:tcPr>
            <w:tcW w:w="540" w:type="dxa"/>
            <w:vAlign w:val="bottom"/>
            <w:shd w:val="clear" w:color="auto" w:fill="D2DCE5"/>
          </w:tcPr>
          <w:p>
            <w:pPr>
              <w:spacing w:after="0"/>
              <w:rPr>
                <w:sz w:val="23"/>
                <w:szCs w:val="23"/>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47</w:t>
            </w:r>
          </w:p>
        </w:tc>
      </w:tr>
      <w:tr>
        <w:trPr>
          <w:trHeight w:val="263"/>
        </w:trPr>
        <w:tc>
          <w:tcPr>
            <w:tcW w:w="3640" w:type="dxa"/>
            <w:vAlign w:val="bottom"/>
          </w:tcPr>
          <w:p>
            <w:pPr>
              <w:ind w:left="360"/>
              <w:spacing w:after="0"/>
              <w:rPr>
                <w:sz w:val="20"/>
                <w:szCs w:val="20"/>
                <w:color w:val="auto"/>
              </w:rPr>
            </w:pPr>
            <w:r>
              <w:rPr>
                <w:rFonts w:ascii="Arial" w:cs="Arial" w:eastAsia="Arial" w:hAnsi="Arial"/>
                <w:sz w:val="18"/>
                <w:szCs w:val="18"/>
                <w:color w:val="131E29"/>
              </w:rPr>
              <w:t>Total operating lease costs</w:t>
            </w:r>
          </w:p>
        </w:tc>
        <w:tc>
          <w:tcPr>
            <w:tcW w:w="436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06098"/>
              </w:rPr>
              <w:t>9,363</w:t>
            </w:r>
          </w:p>
        </w:tc>
        <w:tc>
          <w:tcPr>
            <w:tcW w:w="10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5,991</w:t>
            </w:r>
          </w:p>
        </w:tc>
      </w:tr>
      <w:tr>
        <w:trPr>
          <w:trHeight w:val="270"/>
        </w:trPr>
        <w:tc>
          <w:tcPr>
            <w:tcW w:w="3640" w:type="dxa"/>
            <w:vAlign w:val="bottom"/>
            <w:shd w:val="clear" w:color="auto" w:fill="D2DCE5"/>
          </w:tcPr>
          <w:p>
            <w:pPr>
              <w:spacing w:after="0"/>
              <w:rPr>
                <w:sz w:val="23"/>
                <w:szCs w:val="23"/>
                <w:color w:val="auto"/>
              </w:rPr>
            </w:pPr>
          </w:p>
        </w:tc>
        <w:tc>
          <w:tcPr>
            <w:tcW w:w="4360" w:type="dxa"/>
            <w:vAlign w:val="bottom"/>
            <w:shd w:val="clear" w:color="auto" w:fill="D2DCE5"/>
          </w:tcPr>
          <w:p>
            <w:pPr>
              <w:spacing w:after="0"/>
              <w:rPr>
                <w:sz w:val="23"/>
                <w:szCs w:val="23"/>
                <w:color w:val="auto"/>
              </w:rPr>
            </w:pPr>
          </w:p>
        </w:tc>
        <w:tc>
          <w:tcPr>
            <w:tcW w:w="52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54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r>
      <w:tr>
        <w:trPr>
          <w:trHeight w:val="270"/>
        </w:trPr>
        <w:tc>
          <w:tcPr>
            <w:tcW w:w="3640" w:type="dxa"/>
            <w:vAlign w:val="bottom"/>
            <w:tcBorders>
              <w:bottom w:val="single" w:sz="8" w:color="D2DCE5"/>
            </w:tcBorders>
          </w:tcPr>
          <w:p>
            <w:pPr>
              <w:jc w:val="center"/>
              <w:ind w:right="1910"/>
              <w:spacing w:after="0"/>
              <w:rPr>
                <w:sz w:val="20"/>
                <w:szCs w:val="20"/>
                <w:color w:val="auto"/>
              </w:rPr>
            </w:pPr>
            <w:r>
              <w:rPr>
                <w:rFonts w:ascii="Arial" w:cs="Arial" w:eastAsia="Arial" w:hAnsi="Arial"/>
                <w:sz w:val="18"/>
                <w:szCs w:val="18"/>
                <w:color w:val="131E29"/>
                <w:w w:val="99"/>
              </w:rPr>
              <w:t>Variable lease costs</w:t>
            </w:r>
          </w:p>
        </w:tc>
        <w:tc>
          <w:tcPr>
            <w:tcW w:w="4360" w:type="dxa"/>
            <w:vAlign w:val="bottom"/>
            <w:tcBorders>
              <w:bottom w:val="single" w:sz="8" w:color="D2DCE5"/>
            </w:tcBorders>
          </w:tcPr>
          <w:p>
            <w:pPr>
              <w:ind w:left="1160"/>
              <w:spacing w:after="0"/>
              <w:rPr>
                <w:sz w:val="20"/>
                <w:szCs w:val="20"/>
                <w:color w:val="auto"/>
              </w:rPr>
            </w:pPr>
            <w:r>
              <w:rPr>
                <w:rFonts w:ascii="Arial" w:cs="Arial" w:eastAsia="Arial" w:hAnsi="Arial"/>
                <w:sz w:val="18"/>
                <w:szCs w:val="18"/>
                <w:color w:val="131E29"/>
              </w:rPr>
              <w:t>Cost of sales</w:t>
            </w:r>
          </w:p>
        </w:tc>
        <w:tc>
          <w:tcPr>
            <w:tcW w:w="5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2,115</w:t>
            </w:r>
          </w:p>
        </w:tc>
        <w:tc>
          <w:tcPr>
            <w:tcW w:w="100" w:type="dxa"/>
            <w:vAlign w:val="bottom"/>
            <w:tcBorders>
              <w:bottom w:val="single" w:sz="8" w:color="D2DCE5"/>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1,559</w:t>
            </w:r>
          </w:p>
        </w:tc>
      </w:tr>
      <w:tr>
        <w:trPr>
          <w:trHeight w:val="284"/>
        </w:trPr>
        <w:tc>
          <w:tcPr>
            <w:tcW w:w="364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Total lease costs</w:t>
            </w:r>
          </w:p>
        </w:tc>
        <w:tc>
          <w:tcPr>
            <w:tcW w:w="4880" w:type="dxa"/>
            <w:vAlign w:val="bottom"/>
            <w:gridSpan w:val="2"/>
            <w:shd w:val="clear" w:color="auto" w:fill="D2DCE5"/>
          </w:tcPr>
          <w:p>
            <w:pPr>
              <w:jc w:val="right"/>
              <w:ind w:right="400"/>
              <w:spacing w:after="0"/>
              <w:rPr>
                <w:sz w:val="20"/>
                <w:szCs w:val="20"/>
                <w:color w:val="auto"/>
              </w:rPr>
            </w:pPr>
            <w:r>
              <w:rPr>
                <w:rFonts w:ascii="Arial" w:cs="Arial" w:eastAsia="Arial" w:hAnsi="Arial"/>
                <w:sz w:val="18"/>
                <w:szCs w:val="18"/>
                <w:b w:val="1"/>
                <w:bCs w:val="1"/>
                <w:color w:val="006098"/>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23,662</w:t>
            </w:r>
          </w:p>
        </w:tc>
        <w:tc>
          <w:tcPr>
            <w:tcW w:w="100" w:type="dxa"/>
            <w:vAlign w:val="bottom"/>
            <w:shd w:val="clear" w:color="auto" w:fill="D2DCE5"/>
          </w:tcPr>
          <w:p>
            <w:pPr>
              <w:spacing w:after="0"/>
              <w:rPr>
                <w:sz w:val="24"/>
                <w:szCs w:val="24"/>
                <w:color w:val="auto"/>
              </w:rPr>
            </w:pPr>
          </w:p>
        </w:tc>
        <w:tc>
          <w:tcPr>
            <w:tcW w:w="540" w:type="dxa"/>
            <w:vAlign w:val="bottom"/>
            <w:shd w:val="clear" w:color="auto" w:fill="D2DCE5"/>
          </w:tcPr>
          <w:p>
            <w:pPr>
              <w:jc w:val="right"/>
              <w:ind w:right="330"/>
              <w:spacing w:after="0"/>
              <w:rPr>
                <w:sz w:val="20"/>
                <w:szCs w:val="20"/>
                <w:color w:val="auto"/>
              </w:rPr>
            </w:pPr>
            <w:r>
              <w:rPr>
                <w:rFonts w:ascii="Arial" w:cs="Arial" w:eastAsia="Arial" w:hAnsi="Arial"/>
                <w:sz w:val="18"/>
                <w:szCs w:val="18"/>
                <w:b w:val="1"/>
                <w:bCs w:val="1"/>
                <w:color w:val="131E29"/>
                <w:w w:val="9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19,289</w:t>
            </w:r>
          </w:p>
        </w:tc>
      </w:tr>
      <w:tr>
        <w:trPr>
          <w:trHeight w:val="20"/>
        </w:trPr>
        <w:tc>
          <w:tcPr>
            <w:tcW w:w="3640" w:type="dxa"/>
            <w:vAlign w:val="bottom"/>
            <w:tcBorders>
              <w:top w:val="single" w:sz="8" w:color="D2DCE5"/>
            </w:tcBorders>
          </w:tcPr>
          <w:p>
            <w:pPr>
              <w:spacing w:after="0" w:line="20" w:lineRule="exact"/>
              <w:rPr>
                <w:sz w:val="1"/>
                <w:szCs w:val="1"/>
                <w:color w:val="auto"/>
              </w:rPr>
            </w:pPr>
          </w:p>
        </w:tc>
        <w:tc>
          <w:tcPr>
            <w:tcW w:w="4360" w:type="dxa"/>
            <w:vAlign w:val="bottom"/>
            <w:tcBorders>
              <w:top w:val="single" w:sz="8" w:color="D2DCE5"/>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Supplemental cash flow information related to leases is as follows for the periods presented:</w:t>
      </w:r>
    </w:p>
    <w:p>
      <w:pPr>
        <w:spacing w:after="0" w:line="225"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34925</wp:posOffset>
            </wp:positionV>
            <wp:extent cx="20656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2024</w:t>
            </w:r>
          </w:p>
        </w:tc>
      </w:tr>
      <w:tr>
        <w:trPr>
          <w:trHeight w:val="270"/>
        </w:trPr>
        <w:tc>
          <w:tcPr>
            <w:tcW w:w="79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Cash paid for amounts included in the measurement of lease liabilities</w:t>
            </w: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r>
      <w:tr>
        <w:trPr>
          <w:trHeight w:val="270"/>
        </w:trPr>
        <w:tc>
          <w:tcPr>
            <w:tcW w:w="7980" w:type="dxa"/>
            <w:vAlign w:val="bottom"/>
            <w:gridSpan w:val="2"/>
          </w:tcPr>
          <w:p>
            <w:pPr>
              <w:ind w:left="180"/>
              <w:spacing w:after="0"/>
              <w:rPr>
                <w:sz w:val="20"/>
                <w:szCs w:val="20"/>
                <w:color w:val="auto"/>
              </w:rPr>
            </w:pPr>
            <w:r>
              <w:rPr>
                <w:rFonts w:ascii="Arial" w:cs="Arial" w:eastAsia="Arial" w:hAnsi="Arial"/>
                <w:sz w:val="18"/>
                <w:szCs w:val="18"/>
                <w:color w:val="131E29"/>
              </w:rPr>
              <w:t>Operating cash flows from finance leases</w:t>
            </w:r>
          </w:p>
        </w:tc>
        <w:tc>
          <w:tcPr>
            <w:tcW w:w="360" w:type="dxa"/>
            <w:vAlign w:val="bottom"/>
          </w:tcPr>
          <w:p>
            <w:pPr>
              <w:jc w:val="right"/>
              <w:ind w:right="150"/>
              <w:spacing w:after="0"/>
              <w:rPr>
                <w:sz w:val="20"/>
                <w:szCs w:val="20"/>
                <w:color w:val="auto"/>
              </w:rPr>
            </w:pPr>
            <w:r>
              <w:rPr>
                <w:rFonts w:ascii="Arial" w:cs="Arial" w:eastAsia="Arial" w:hAnsi="Arial"/>
                <w:sz w:val="18"/>
                <w:szCs w:val="18"/>
                <w:color w:val="006098"/>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006098"/>
              </w:rPr>
              <w:t>5,609</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131E29"/>
              </w:rPr>
              <w:t>5,452</w:t>
            </w:r>
          </w:p>
        </w:tc>
      </w:tr>
      <w:tr>
        <w:trPr>
          <w:trHeight w:val="270"/>
        </w:trPr>
        <w:tc>
          <w:tcPr>
            <w:tcW w:w="79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Operating cash flows from operating leases</w:t>
            </w: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7,330</w:t>
            </w: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5,087</w:t>
            </w:r>
          </w:p>
        </w:tc>
      </w:tr>
      <w:tr>
        <w:trPr>
          <w:trHeight w:val="270"/>
        </w:trPr>
        <w:tc>
          <w:tcPr>
            <w:tcW w:w="7980" w:type="dxa"/>
            <w:vAlign w:val="bottom"/>
            <w:gridSpan w:val="2"/>
          </w:tcPr>
          <w:p>
            <w:pPr>
              <w:ind w:left="180"/>
              <w:spacing w:after="0"/>
              <w:rPr>
                <w:sz w:val="20"/>
                <w:szCs w:val="20"/>
                <w:color w:val="auto"/>
              </w:rPr>
            </w:pPr>
            <w:r>
              <w:rPr>
                <w:rFonts w:ascii="Arial" w:cs="Arial" w:eastAsia="Arial" w:hAnsi="Arial"/>
                <w:sz w:val="18"/>
                <w:szCs w:val="18"/>
                <w:color w:val="131E29"/>
              </w:rPr>
              <w:t>Financing cash flows from finance leases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3,400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2,094</w:t>
            </w:r>
          </w:p>
        </w:tc>
      </w:tr>
      <w:tr>
        <w:trPr>
          <w:trHeight w:val="270"/>
        </w:trPr>
        <w:tc>
          <w:tcPr>
            <w:tcW w:w="79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Right-of-use assets obtained in exchange for lease obligations</w:t>
            </w: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r>
      <w:tr>
        <w:trPr>
          <w:trHeight w:val="270"/>
        </w:trPr>
        <w:tc>
          <w:tcPr>
            <w:tcW w:w="7980" w:type="dxa"/>
            <w:vAlign w:val="bottom"/>
            <w:gridSpan w:val="2"/>
          </w:tcPr>
          <w:p>
            <w:pPr>
              <w:ind w:left="180"/>
              <w:spacing w:after="0"/>
              <w:rPr>
                <w:sz w:val="20"/>
                <w:szCs w:val="20"/>
                <w:color w:val="auto"/>
              </w:rPr>
            </w:pPr>
            <w:r>
              <w:rPr>
                <w:rFonts w:ascii="Arial" w:cs="Arial" w:eastAsia="Arial" w:hAnsi="Arial"/>
                <w:sz w:val="18"/>
                <w:szCs w:val="18"/>
                <w:color w:val="131E29"/>
              </w:rPr>
              <w:t>Finance leases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9,145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3,715</w:t>
            </w:r>
          </w:p>
        </w:tc>
      </w:tr>
      <w:tr>
        <w:trPr>
          <w:trHeight w:val="270"/>
        </w:trPr>
        <w:tc>
          <w:tcPr>
            <w:tcW w:w="79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Operating leases</w:t>
            </w: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28,855</w:t>
            </w: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37,815</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9 — Debt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Credit Facility</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On August 4, 2023, we amended our senior secured credit facility, dated February 28, 2022, with JPMorgan Chase Bank, N.A. (as amended, the 2022 Credit Facility) to increase borrowing capacity by $150 million to a total of $650 million. The 2022 Credit Facility consists of a $350 million revolving credit facility, a term loan facility of up to $100 million, and a delayed draw term loan facility of up to $200 million. The 2022 Credit Facility also includes sublimits for letters of credit and swingline loans of up to $50 million and $15 million, respectively. The 2022 Credit Facility expires on February 28, 2027 (the Maturity Date).</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On February 20, 2024 and February 4, 2025, we drew $150 million and $50 million, respectively, on our delayed draw term loan facility before these portions expired on February 28, 2024 and February 4, 2025, respectively.</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Interest on borrowings under the 2022 Credit Facility is based on (a) the Alternate Base Rate plus an applicable margin, or (b) the Adjusted Term SOFR plus an applicable margin, and is payable in accordance with the selected interest rate period (at least quarterly) and upon maturity. Principal payments for the term loans are required on a quarterly basis in accordance with an amortization schedule up through and including the Maturity Date.</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are required to pay a commitment fee on a quarterly basis, at a per annum rate of between 0.20% and 0.45% (depending on our maximum net lease-adjusted total leverage ratio) based on the (i) average daily unused portion of the revolving credit facility, and (ii) the daily undrawn amount of the delayed draw term loan facility. These fees are recorded as interest expense on our condensed consolidated statements of operations.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The 2022 Credit Facility contains financial covenants that require us to not exceed a maximum net lease-adjusted total leverage ratio and maintain a minimum fixed charge coverage ratio. The 2022 Credit Facility also contains certain negative covenants that, among other things, limit our ability to incur additional debt, grant liens on assets, merge with or acquire other companies, make other investments, dispose of assets, and make restricted payments. Obligations under the 2022 Credit Facility are guaranteed by Dutch Bros OpCo and certain of its subsidiaries, and secured by a first priority perfected security interest in substantially all of the assets of the guarantors.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As of March 31, 2025, no amounts were outstanding on our revolving credit facility, and $342.3 million was available for borrowing, net of $7.7 million in letters of credit, and approximately $280.9 million of principal was outstanding on the term loan facilities. The term loans bear interest at approximately 6.17% as of March 31, 2025, excluding the impact from our interest rate swap. We were in compliance with our financial covenants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Long-Term Debt</w:t>
      </w:r>
    </w:p>
    <w:p>
      <w:pPr>
        <w:sectPr>
          <w:pgSz w:w="11900" w:h="16838" w:orient="portrait"/>
          <w:cols w:equalWidth="0" w:num="1">
            <w:col w:w="11240"/>
          </w:cols>
          <w:pgMar w:left="320" w:top="130" w:right="339" w:bottom="144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Our long-term debt consisted of the following for the periods presented:</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Term loans under credit facility</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Finance obligations</w:t>
      </w:r>
      <w:r>
        <w:rPr>
          <w:rFonts w:ascii="Arial" w:cs="Arial" w:eastAsia="Arial" w:hAnsi="Arial"/>
          <w:sz w:val="23"/>
          <w:szCs w:val="23"/>
          <w:color w:val="131E29"/>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Unsecured note payable</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Less: loan origination fees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Less: 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140" w:type="dxa"/>
            <w:vAlign w:val="bottom"/>
          </w:tcPr>
          <w:p>
            <w:pPr>
              <w:spacing w:after="0"/>
              <w:rPr>
                <w:sz w:val="22"/>
                <w:szCs w:val="22"/>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131E29"/>
              </w:rPr>
              <w:t>March 31, 2025</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131E29"/>
              </w:rPr>
              <w:t>December 31, 2024</w:t>
            </w:r>
          </w:p>
        </w:tc>
      </w:tr>
      <w:tr>
        <w:trPr>
          <w:trHeight w:val="274"/>
        </w:trPr>
        <w:tc>
          <w:tcPr>
            <w:tcW w:w="140" w:type="dxa"/>
            <w:vAlign w:val="bottom"/>
            <w:tcBorders>
              <w:top w:val="single" w:sz="8" w:color="D7282F"/>
            </w:tcBorders>
          </w:tcPr>
          <w:p>
            <w:pPr>
              <w:jc w:val="right"/>
              <w:spacing w:after="0"/>
              <w:rPr>
                <w:sz w:val="20"/>
                <w:szCs w:val="20"/>
                <w:color w:val="auto"/>
              </w:rPr>
            </w:pPr>
            <w:r>
              <w:rPr>
                <w:rFonts w:ascii="Arial" w:cs="Arial" w:eastAsia="Arial" w:hAnsi="Arial"/>
                <w:sz w:val="18"/>
                <w:szCs w:val="18"/>
                <w:color w:val="006098"/>
                <w:w w:val="99"/>
              </w:rPr>
              <w:t>$</w:t>
            </w:r>
          </w:p>
        </w:tc>
        <w:tc>
          <w:tcPr>
            <w:tcW w:w="1440" w:type="dxa"/>
            <w:vAlign w:val="bottom"/>
            <w:tcBorders>
              <w:top w:val="single" w:sz="8" w:color="D7282F"/>
            </w:tcBorders>
          </w:tcPr>
          <w:p>
            <w:pPr>
              <w:jc w:val="right"/>
              <w:spacing w:after="0"/>
              <w:rPr>
                <w:sz w:val="20"/>
                <w:szCs w:val="20"/>
                <w:color w:val="auto"/>
              </w:rPr>
            </w:pPr>
            <w:r>
              <w:rPr>
                <w:rFonts w:ascii="Arial" w:cs="Arial" w:eastAsia="Arial" w:hAnsi="Arial"/>
                <w:sz w:val="18"/>
                <w:szCs w:val="18"/>
                <w:color w:val="006098"/>
              </w:rPr>
              <w:t>280,938</w:t>
            </w:r>
          </w:p>
        </w:tc>
        <w:tc>
          <w:tcPr>
            <w:tcW w:w="100" w:type="dxa"/>
            <w:vAlign w:val="bottom"/>
          </w:tcPr>
          <w:p>
            <w:pPr>
              <w:spacing w:after="0"/>
              <w:rPr>
                <w:sz w:val="23"/>
                <w:szCs w:val="23"/>
                <w:color w:val="auto"/>
              </w:rPr>
            </w:pPr>
          </w:p>
        </w:tc>
        <w:tc>
          <w:tcPr>
            <w:tcW w:w="600" w:type="dxa"/>
            <w:vAlign w:val="bottom"/>
            <w:tcBorders>
              <w:top w:val="single" w:sz="8" w:color="D7282F"/>
            </w:tcBorders>
          </w:tcPr>
          <w:p>
            <w:pPr>
              <w:jc w:val="right"/>
              <w:ind w:right="390"/>
              <w:spacing w:after="0"/>
              <w:rPr>
                <w:sz w:val="20"/>
                <w:szCs w:val="20"/>
                <w:color w:val="auto"/>
              </w:rPr>
            </w:pPr>
            <w:r>
              <w:rPr>
                <w:rFonts w:ascii="Arial" w:cs="Arial" w:eastAsia="Arial" w:hAnsi="Arial"/>
                <w:sz w:val="18"/>
                <w:szCs w:val="18"/>
                <w:color w:val="131E29"/>
                <w:w w:val="99"/>
              </w:rPr>
              <w:t>$</w:t>
            </w:r>
          </w:p>
        </w:tc>
        <w:tc>
          <w:tcPr>
            <w:tcW w:w="1220" w:type="dxa"/>
            <w:vAlign w:val="bottom"/>
            <w:tcBorders>
              <w:top w:val="single" w:sz="8" w:color="D7282F"/>
            </w:tcBorders>
          </w:tcPr>
          <w:p>
            <w:pPr>
              <w:jc w:val="right"/>
              <w:spacing w:after="0"/>
              <w:rPr>
                <w:sz w:val="20"/>
                <w:szCs w:val="20"/>
                <w:color w:val="auto"/>
              </w:rPr>
            </w:pPr>
            <w:r>
              <w:rPr>
                <w:rFonts w:ascii="Arial" w:cs="Arial" w:eastAsia="Arial" w:hAnsi="Arial"/>
                <w:sz w:val="18"/>
                <w:szCs w:val="18"/>
                <w:color w:val="131E29"/>
              </w:rPr>
              <w:t>234,688</w:t>
            </w:r>
          </w:p>
        </w:tc>
      </w:tr>
      <w:tr>
        <w:trPr>
          <w:trHeight w:val="270"/>
        </w:trPr>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6098"/>
              </w:rPr>
              <w:t>3,022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3,022</w:t>
            </w:r>
          </w:p>
        </w:tc>
      </w:tr>
      <w:tr>
        <w:trPr>
          <w:trHeight w:val="266"/>
        </w:trPr>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269</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299</w:t>
            </w:r>
          </w:p>
        </w:tc>
      </w:tr>
      <w:tr>
        <w:trPr>
          <w:trHeight w:val="268"/>
        </w:trPr>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6098"/>
              </w:rPr>
              <w:t>284,229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238,009</w:t>
            </w:r>
          </w:p>
        </w:tc>
      </w:tr>
      <w:tr>
        <w:trPr>
          <w:trHeight w:val="270"/>
        </w:trPr>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6098"/>
              </w:rPr>
              <w:t>(830)</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(943)</w:t>
            </w:r>
          </w:p>
        </w:tc>
      </w:tr>
      <w:tr>
        <w:trPr>
          <w:trHeight w:val="266"/>
        </w:trPr>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6098"/>
              </w:rPr>
              <w:t>(22,625)</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(17,311)</w:t>
            </w:r>
          </w:p>
        </w:tc>
      </w:tr>
    </w:tbl>
    <w:p>
      <w:pPr>
        <w:spacing w:after="0" w:line="1" w:lineRule="exact"/>
        <w:rPr>
          <w:sz w:val="20"/>
          <w:szCs w:val="20"/>
          <w:color w:val="auto"/>
        </w:rPr>
      </w:pPr>
    </w:p>
    <w:p>
      <w:pPr>
        <w:sectPr>
          <w:pgSz w:w="11900" w:h="16838" w:orient="portrait"/>
          <w:cols w:equalWidth="0" w:num="2">
            <w:col w:w="7020" w:space="720"/>
            <w:col w:w="350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88"/>
        </w:trPr>
        <w:tc>
          <w:tcPr>
            <w:tcW w:w="7740" w:type="dxa"/>
            <w:vAlign w:val="bottom"/>
            <w:tcBorders>
              <w:top w:val="single" w:sz="8" w:color="D2DCE5"/>
              <w:bottom w:val="single" w:sz="8" w:color="D2DCE5"/>
            </w:tcBorders>
            <w:shd w:val="clear" w:color="auto" w:fill="D2DCE5"/>
          </w:tcPr>
          <w:p>
            <w:pPr>
              <w:ind w:left="180"/>
              <w:spacing w:after="0"/>
              <w:rPr>
                <w:sz w:val="20"/>
                <w:szCs w:val="20"/>
                <w:color w:val="auto"/>
              </w:rPr>
            </w:pPr>
            <w:r>
              <w:rPr>
                <w:rFonts w:ascii="Arial" w:cs="Arial" w:eastAsia="Arial" w:hAnsi="Arial"/>
                <w:sz w:val="18"/>
                <w:szCs w:val="18"/>
                <w:b w:val="1"/>
                <w:bCs w:val="1"/>
                <w:color w:val="131E29"/>
              </w:rPr>
              <w:t>Total long-term debt, net of current portion</w:t>
            </w:r>
          </w:p>
        </w:tc>
        <w:tc>
          <w:tcPr>
            <w:tcW w:w="480" w:type="dxa"/>
            <w:vAlign w:val="bottom"/>
            <w:tcBorders>
              <w:top w:val="single" w:sz="8" w:color="auto"/>
              <w:bottom w:val="single" w:sz="8" w:color="auto"/>
            </w:tcBorders>
            <w:shd w:val="clear" w:color="auto" w:fill="D2DCE5"/>
          </w:tcPr>
          <w:p>
            <w:pPr>
              <w:jc w:val="right"/>
              <w:ind w:right="270"/>
              <w:spacing w:after="0"/>
              <w:rPr>
                <w:sz w:val="20"/>
                <w:szCs w:val="20"/>
                <w:color w:val="auto"/>
              </w:rPr>
            </w:pPr>
            <w:r>
              <w:rPr>
                <w:rFonts w:ascii="Arial" w:cs="Arial" w:eastAsia="Arial" w:hAnsi="Arial"/>
                <w:sz w:val="18"/>
                <w:szCs w:val="18"/>
                <w:b w:val="1"/>
                <w:bCs w:val="1"/>
                <w:color w:val="006098"/>
                <w:w w:val="99"/>
              </w:rPr>
              <w:t>$</w:t>
            </w:r>
          </w:p>
        </w:tc>
        <w:tc>
          <w:tcPr>
            <w:tcW w:w="110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260,774</w:t>
            </w:r>
          </w:p>
        </w:tc>
        <w:tc>
          <w:tcPr>
            <w:tcW w:w="100" w:type="dxa"/>
            <w:vAlign w:val="bottom"/>
            <w:tcBorders>
              <w:top w:val="single" w:sz="8" w:color="D2DCE5"/>
              <w:bottom w:val="single" w:sz="8" w:color="D2DCE5"/>
            </w:tcBorders>
            <w:shd w:val="clear" w:color="auto" w:fill="D2DCE5"/>
          </w:tcPr>
          <w:p>
            <w:pPr>
              <w:spacing w:after="0"/>
              <w:rPr>
                <w:sz w:val="24"/>
                <w:szCs w:val="24"/>
                <w:color w:val="auto"/>
              </w:rPr>
            </w:pPr>
          </w:p>
        </w:tc>
        <w:tc>
          <w:tcPr>
            <w:tcW w:w="14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w w:val="99"/>
              </w:rPr>
              <w:t>$</w:t>
            </w:r>
          </w:p>
        </w:tc>
        <w:tc>
          <w:tcPr>
            <w:tcW w:w="100" w:type="dxa"/>
            <w:vAlign w:val="bottom"/>
            <w:tcBorders>
              <w:top w:val="single" w:sz="8" w:color="auto"/>
              <w:bottom w:val="single" w:sz="8" w:color="auto"/>
            </w:tcBorders>
            <w:shd w:val="clear" w:color="auto" w:fill="D2DCE5"/>
          </w:tcPr>
          <w:p>
            <w:pPr>
              <w:spacing w:after="0"/>
              <w:rPr>
                <w:sz w:val="24"/>
                <w:szCs w:val="24"/>
                <w:color w:val="auto"/>
              </w:rPr>
            </w:pPr>
          </w:p>
        </w:tc>
        <w:tc>
          <w:tcPr>
            <w:tcW w:w="480" w:type="dxa"/>
            <w:vAlign w:val="bottom"/>
            <w:tcBorders>
              <w:top w:val="single" w:sz="8" w:color="auto"/>
              <w:bottom w:val="single" w:sz="8" w:color="auto"/>
            </w:tcBorders>
            <w:shd w:val="clear" w:color="auto" w:fill="D2DCE5"/>
          </w:tcPr>
          <w:p>
            <w:pPr>
              <w:spacing w:after="0"/>
              <w:rPr>
                <w:sz w:val="24"/>
                <w:szCs w:val="24"/>
                <w:color w:val="auto"/>
              </w:rPr>
            </w:pPr>
          </w:p>
        </w:tc>
        <w:tc>
          <w:tcPr>
            <w:tcW w:w="110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219,755</w:t>
            </w:r>
          </w:p>
        </w:tc>
        <w:tc>
          <w:tcPr>
            <w:tcW w:w="0" w:type="dxa"/>
            <w:vAlign w:val="bottom"/>
          </w:tcPr>
          <w:p>
            <w:pPr>
              <w:spacing w:after="0"/>
              <w:rPr>
                <w:sz w:val="1"/>
                <w:szCs w:val="1"/>
                <w:color w:val="auto"/>
              </w:rPr>
            </w:pPr>
          </w:p>
        </w:tc>
      </w:tr>
      <w:tr>
        <w:trPr>
          <w:trHeight w:val="20"/>
        </w:trPr>
        <w:tc>
          <w:tcPr>
            <w:tcW w:w="774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8"/>
                <w:szCs w:val="18"/>
                <w:color w:val="131E29"/>
              </w:rPr>
              <w:t>_______________</w:t>
            </w:r>
          </w:p>
        </w:tc>
        <w:tc>
          <w:tcPr>
            <w:tcW w:w="480" w:type="dxa"/>
            <w:vAlign w:val="bottom"/>
            <w:tcBorders>
              <w:top w:val="single" w:sz="8" w:color="D2DCE5"/>
              <w:bottom w:val="single" w:sz="8" w:color="auto"/>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bottom w:val="single" w:sz="8" w:color="auto"/>
            </w:tcBorders>
          </w:tcPr>
          <w:p>
            <w:pPr>
              <w:spacing w:after="0" w:line="20" w:lineRule="exact"/>
              <w:rPr>
                <w:sz w:val="1"/>
                <w:szCs w:val="1"/>
                <w:color w:val="auto"/>
              </w:rPr>
            </w:pPr>
          </w:p>
        </w:tc>
        <w:tc>
          <w:tcPr>
            <w:tcW w:w="480" w:type="dxa"/>
            <w:vAlign w:val="bottom"/>
            <w:tcBorders>
              <w:top w:val="single" w:sz="8" w:color="D2DCE5"/>
              <w:bottom w:val="single" w:sz="8" w:color="auto"/>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740" w:type="dxa"/>
            <w:vAlign w:val="bottom"/>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Represents failed sale-leaseback arrangements.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740" w:type="dxa"/>
            <w:vAlign w:val="bottom"/>
          </w:tcPr>
          <w:p>
            <w:pPr>
              <w:spacing w:after="0"/>
              <w:rPr>
                <w:sz w:val="20"/>
                <w:szCs w:val="20"/>
                <w:color w:val="auto"/>
              </w:rPr>
            </w:pPr>
            <w:r>
              <w:rPr>
                <w:rFonts w:ascii="Arial" w:cs="Arial" w:eastAsia="Arial" w:hAnsi="Arial"/>
                <w:sz w:val="18"/>
                <w:szCs w:val="18"/>
                <w:color w:val="131E29"/>
              </w:rPr>
              <w:t>Future annual maturities of long-term debt as of March 31, 2025 are as follows: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740" w:type="dxa"/>
            <w:vAlign w:val="bottom"/>
          </w:tcPr>
          <w:p>
            <w:pPr>
              <w:ind w:left="20"/>
              <w:spacing w:after="0"/>
              <w:rPr>
                <w:sz w:val="20"/>
                <w:szCs w:val="20"/>
                <w:color w:val="auto"/>
              </w:rPr>
            </w:pPr>
            <w:r>
              <w:rPr>
                <w:rFonts w:ascii="Arial" w:cs="Arial" w:eastAsia="Arial" w:hAnsi="Arial"/>
                <w:sz w:val="14"/>
                <w:szCs w:val="14"/>
                <w:color w:val="131E29"/>
              </w:rPr>
              <w:t>(in thousands)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7740" w:type="dxa"/>
            <w:vAlign w:val="bottom"/>
            <w:tcBorders>
              <w:bottom w:val="single" w:sz="8" w:color="D7282F"/>
            </w:tcBorders>
          </w:tcPr>
          <w:p>
            <w:pPr>
              <w:spacing w:after="0" w:line="20" w:lineRule="exact"/>
              <w:rPr>
                <w:sz w:val="1"/>
                <w:szCs w:val="1"/>
                <w:color w:val="auto"/>
              </w:rPr>
            </w:pPr>
          </w:p>
        </w:tc>
        <w:tc>
          <w:tcPr>
            <w:tcW w:w="480" w:type="dxa"/>
            <w:vAlign w:val="bottom"/>
            <w:tcBorders>
              <w:bottom w:val="single" w:sz="8" w:color="D7282F"/>
            </w:tcBorders>
          </w:tcPr>
          <w:p>
            <w:pPr>
              <w:spacing w:after="0" w:line="20" w:lineRule="exact"/>
              <w:rPr>
                <w:sz w:val="1"/>
                <w:szCs w:val="1"/>
                <w:color w:val="auto"/>
              </w:rPr>
            </w:pPr>
          </w:p>
        </w:tc>
        <w:tc>
          <w:tcPr>
            <w:tcW w:w="1100" w:type="dxa"/>
            <w:vAlign w:val="bottom"/>
            <w:tcBorders>
              <w:bottom w:val="single" w:sz="8" w:color="D7282F"/>
            </w:tcBorders>
          </w:tcPr>
          <w:p>
            <w:pPr>
              <w:spacing w:after="0" w:line="20" w:lineRule="exact"/>
              <w:rPr>
                <w:sz w:val="1"/>
                <w:szCs w:val="1"/>
                <w:color w:val="auto"/>
              </w:rPr>
            </w:pPr>
          </w:p>
        </w:tc>
        <w:tc>
          <w:tcPr>
            <w:tcW w:w="100" w:type="dxa"/>
            <w:vAlign w:val="bottom"/>
            <w:tcBorders>
              <w:bottom w:val="single" w:sz="8" w:color="D7282F"/>
            </w:tcBorders>
          </w:tcPr>
          <w:p>
            <w:pPr>
              <w:spacing w:after="0" w:line="20" w:lineRule="exact"/>
              <w:rPr>
                <w:sz w:val="1"/>
                <w:szCs w:val="1"/>
                <w:color w:val="auto"/>
              </w:rPr>
            </w:pPr>
          </w:p>
        </w:tc>
        <w:tc>
          <w:tcPr>
            <w:tcW w:w="140" w:type="dxa"/>
            <w:vAlign w:val="bottom"/>
            <w:tcBorders>
              <w:bottom w:val="single" w:sz="8" w:color="D7282F"/>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480" w:type="dxa"/>
            <w:vAlign w:val="bottom"/>
            <w:tcBorders>
              <w:bottom w:val="single" w:sz="8" w:color="D7282F"/>
            </w:tcBorders>
          </w:tcPr>
          <w:p>
            <w:pPr>
              <w:spacing w:after="0" w:line="20" w:lineRule="exact"/>
              <w:rPr>
                <w:sz w:val="1"/>
                <w:szCs w:val="1"/>
                <w:color w:val="auto"/>
              </w:rPr>
            </w:pPr>
          </w:p>
        </w:tc>
        <w:tc>
          <w:tcPr>
            <w:tcW w:w="1100" w:type="dxa"/>
            <w:vAlign w:val="bottom"/>
            <w:tcBorders>
              <w:bottom w:val="single" w:sz="8" w:color="D7282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7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Remainder of 2025</w:t>
            </w:r>
          </w:p>
        </w:tc>
        <w:tc>
          <w:tcPr>
            <w:tcW w:w="480" w:type="dxa"/>
            <w:vAlign w:val="bottom"/>
            <w:shd w:val="clear" w:color="auto" w:fill="D2DCE5"/>
          </w:tcPr>
          <w:p>
            <w:pPr>
              <w:spacing w:after="0"/>
              <w:rPr>
                <w:sz w:val="22"/>
                <w:szCs w:val="22"/>
                <w:color w:val="auto"/>
              </w:rPr>
            </w:pPr>
          </w:p>
        </w:tc>
        <w:tc>
          <w:tcPr>
            <w:tcW w:w="110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720" w:type="dxa"/>
            <w:vAlign w:val="bottom"/>
            <w:gridSpan w:val="3"/>
            <w:shd w:val="clear" w:color="auto" w:fill="D2DCE5"/>
          </w:tcPr>
          <w:p>
            <w:pPr>
              <w:jc w:val="right"/>
              <w:ind w:right="270"/>
              <w:spacing w:after="0"/>
              <w:rPr>
                <w:sz w:val="20"/>
                <w:szCs w:val="20"/>
                <w:color w:val="auto"/>
              </w:rPr>
            </w:pPr>
            <w:r>
              <w:rPr>
                <w:rFonts w:ascii="Arial" w:cs="Arial" w:eastAsia="Arial" w:hAnsi="Arial"/>
                <w:sz w:val="18"/>
                <w:szCs w:val="18"/>
                <w:color w:val="006098"/>
              </w:rPr>
              <w:t>$</w:t>
            </w: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16,968</w:t>
            </w:r>
          </w:p>
        </w:tc>
        <w:tc>
          <w:tcPr>
            <w:tcW w:w="0" w:type="dxa"/>
            <w:vAlign w:val="bottom"/>
          </w:tcPr>
          <w:p>
            <w:pPr>
              <w:spacing w:after="0"/>
              <w:rPr>
                <w:sz w:val="1"/>
                <w:szCs w:val="1"/>
                <w:color w:val="auto"/>
              </w:rPr>
            </w:pPr>
          </w:p>
        </w:tc>
      </w:tr>
      <w:tr>
        <w:trPr>
          <w:trHeight w:val="270"/>
        </w:trPr>
        <w:tc>
          <w:tcPr>
            <w:tcW w:w="7740" w:type="dxa"/>
            <w:vAlign w:val="bottom"/>
          </w:tcPr>
          <w:p>
            <w:pPr>
              <w:ind w:left="20"/>
              <w:spacing w:after="0"/>
              <w:rPr>
                <w:sz w:val="20"/>
                <w:szCs w:val="20"/>
                <w:color w:val="auto"/>
              </w:rPr>
            </w:pPr>
            <w:r>
              <w:rPr>
                <w:rFonts w:ascii="Arial" w:cs="Arial" w:eastAsia="Arial" w:hAnsi="Arial"/>
                <w:sz w:val="18"/>
                <w:szCs w:val="18"/>
                <w:color w:val="131E29"/>
              </w:rPr>
              <w:t>2026</w:t>
            </w: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6098"/>
              </w:rPr>
              <w:t>43,256</w:t>
            </w:r>
          </w:p>
        </w:tc>
        <w:tc>
          <w:tcPr>
            <w:tcW w:w="0" w:type="dxa"/>
            <w:vAlign w:val="bottom"/>
          </w:tcPr>
          <w:p>
            <w:pPr>
              <w:spacing w:after="0"/>
              <w:rPr>
                <w:sz w:val="1"/>
                <w:szCs w:val="1"/>
                <w:color w:val="auto"/>
              </w:rPr>
            </w:pPr>
          </w:p>
        </w:tc>
      </w:tr>
      <w:tr>
        <w:trPr>
          <w:trHeight w:val="270"/>
        </w:trPr>
        <w:tc>
          <w:tcPr>
            <w:tcW w:w="77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2027</w:t>
            </w:r>
          </w:p>
        </w:tc>
        <w:tc>
          <w:tcPr>
            <w:tcW w:w="480" w:type="dxa"/>
            <w:vAlign w:val="bottom"/>
            <w:shd w:val="clear" w:color="auto" w:fill="D2DCE5"/>
          </w:tcPr>
          <w:p>
            <w:pPr>
              <w:spacing w:after="0"/>
              <w:rPr>
                <w:sz w:val="23"/>
                <w:szCs w:val="23"/>
                <w:color w:val="auto"/>
              </w:rPr>
            </w:pPr>
          </w:p>
        </w:tc>
        <w:tc>
          <w:tcPr>
            <w:tcW w:w="11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80" w:type="dxa"/>
            <w:vAlign w:val="bottom"/>
            <w:shd w:val="clear" w:color="auto" w:fill="D2DCE5"/>
          </w:tcPr>
          <w:p>
            <w:pPr>
              <w:spacing w:after="0"/>
              <w:rPr>
                <w:sz w:val="23"/>
                <w:szCs w:val="23"/>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220,983</w:t>
            </w:r>
          </w:p>
        </w:tc>
        <w:tc>
          <w:tcPr>
            <w:tcW w:w="0" w:type="dxa"/>
            <w:vAlign w:val="bottom"/>
          </w:tcPr>
          <w:p>
            <w:pPr>
              <w:spacing w:after="0"/>
              <w:rPr>
                <w:sz w:val="1"/>
                <w:szCs w:val="1"/>
                <w:color w:val="auto"/>
              </w:rPr>
            </w:pPr>
          </w:p>
        </w:tc>
      </w:tr>
      <w:tr>
        <w:trPr>
          <w:trHeight w:val="270"/>
        </w:trPr>
        <w:tc>
          <w:tcPr>
            <w:tcW w:w="7740" w:type="dxa"/>
            <w:vAlign w:val="bottom"/>
          </w:tcPr>
          <w:p>
            <w:pPr>
              <w:ind w:left="20"/>
              <w:spacing w:after="0"/>
              <w:rPr>
                <w:sz w:val="20"/>
                <w:szCs w:val="20"/>
                <w:color w:val="auto"/>
              </w:rPr>
            </w:pPr>
            <w:r>
              <w:rPr>
                <w:rFonts w:ascii="Arial" w:cs="Arial" w:eastAsia="Arial" w:hAnsi="Arial"/>
                <w:sz w:val="18"/>
                <w:szCs w:val="18"/>
                <w:color w:val="131E29"/>
              </w:rPr>
              <w:t>2028</w:t>
            </w: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6098"/>
              </w:rPr>
              <w:t>—</w:t>
            </w:r>
          </w:p>
        </w:tc>
        <w:tc>
          <w:tcPr>
            <w:tcW w:w="0" w:type="dxa"/>
            <w:vAlign w:val="bottom"/>
          </w:tcPr>
          <w:p>
            <w:pPr>
              <w:spacing w:after="0"/>
              <w:rPr>
                <w:sz w:val="1"/>
                <w:szCs w:val="1"/>
                <w:color w:val="auto"/>
              </w:rPr>
            </w:pPr>
          </w:p>
        </w:tc>
      </w:tr>
      <w:tr>
        <w:trPr>
          <w:trHeight w:val="270"/>
        </w:trPr>
        <w:tc>
          <w:tcPr>
            <w:tcW w:w="77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2029</w:t>
            </w:r>
          </w:p>
        </w:tc>
        <w:tc>
          <w:tcPr>
            <w:tcW w:w="480" w:type="dxa"/>
            <w:vAlign w:val="bottom"/>
            <w:shd w:val="clear" w:color="auto" w:fill="D2DCE5"/>
          </w:tcPr>
          <w:p>
            <w:pPr>
              <w:spacing w:after="0"/>
              <w:rPr>
                <w:sz w:val="23"/>
                <w:szCs w:val="23"/>
                <w:color w:val="auto"/>
              </w:rPr>
            </w:pPr>
          </w:p>
        </w:tc>
        <w:tc>
          <w:tcPr>
            <w:tcW w:w="11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80" w:type="dxa"/>
            <w:vAlign w:val="bottom"/>
            <w:shd w:val="clear" w:color="auto" w:fill="D2DCE5"/>
          </w:tcPr>
          <w:p>
            <w:pPr>
              <w:spacing w:after="0"/>
              <w:rPr>
                <w:sz w:val="23"/>
                <w:szCs w:val="23"/>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w:t>
            </w:r>
          </w:p>
        </w:tc>
        <w:tc>
          <w:tcPr>
            <w:tcW w:w="0" w:type="dxa"/>
            <w:vAlign w:val="bottom"/>
          </w:tcPr>
          <w:p>
            <w:pPr>
              <w:spacing w:after="0"/>
              <w:rPr>
                <w:sz w:val="1"/>
                <w:szCs w:val="1"/>
                <w:color w:val="auto"/>
              </w:rPr>
            </w:pPr>
          </w:p>
        </w:tc>
      </w:tr>
      <w:tr>
        <w:trPr>
          <w:trHeight w:val="270"/>
        </w:trPr>
        <w:tc>
          <w:tcPr>
            <w:tcW w:w="7740" w:type="dxa"/>
            <w:vAlign w:val="bottom"/>
            <w:tcBorders>
              <w:bottom w:val="single" w:sz="8" w:color="D2DCE5"/>
            </w:tcBorders>
          </w:tcPr>
          <w:p>
            <w:pPr>
              <w:ind w:left="20"/>
              <w:spacing w:after="0"/>
              <w:rPr>
                <w:sz w:val="20"/>
                <w:szCs w:val="20"/>
                <w:color w:val="auto"/>
              </w:rPr>
            </w:pPr>
            <w:r>
              <w:rPr>
                <w:rFonts w:ascii="Arial" w:cs="Arial" w:eastAsia="Arial" w:hAnsi="Arial"/>
                <w:sz w:val="18"/>
                <w:szCs w:val="18"/>
                <w:color w:val="131E29"/>
              </w:rPr>
              <w:t>Thereafter</w:t>
            </w:r>
          </w:p>
        </w:tc>
        <w:tc>
          <w:tcPr>
            <w:tcW w:w="480" w:type="dxa"/>
            <w:vAlign w:val="bottom"/>
            <w:tcBorders>
              <w:bottom w:val="single" w:sz="8" w:color="D2DCE5"/>
            </w:tcBorders>
          </w:tcPr>
          <w:p>
            <w:pPr>
              <w:spacing w:after="0"/>
              <w:rPr>
                <w:sz w:val="23"/>
                <w:szCs w:val="23"/>
                <w:color w:val="auto"/>
              </w:rPr>
            </w:pPr>
          </w:p>
        </w:tc>
        <w:tc>
          <w:tcPr>
            <w:tcW w:w="1100" w:type="dxa"/>
            <w:vAlign w:val="bottom"/>
            <w:tcBorders>
              <w:bottom w:val="single" w:sz="8" w:color="D2DCE5"/>
            </w:tcBorders>
          </w:tcPr>
          <w:p>
            <w:pPr>
              <w:spacing w:after="0"/>
              <w:rPr>
                <w:sz w:val="23"/>
                <w:szCs w:val="23"/>
                <w:color w:val="auto"/>
              </w:rPr>
            </w:pPr>
          </w:p>
        </w:tc>
        <w:tc>
          <w:tcPr>
            <w:tcW w:w="100" w:type="dxa"/>
            <w:vAlign w:val="bottom"/>
            <w:tcBorders>
              <w:bottom w:val="single" w:sz="8" w:color="D2DCE5"/>
            </w:tcBorders>
          </w:tcPr>
          <w:p>
            <w:pPr>
              <w:spacing w:after="0"/>
              <w:rPr>
                <w:sz w:val="23"/>
                <w:szCs w:val="23"/>
                <w:color w:val="auto"/>
              </w:rPr>
            </w:pPr>
          </w:p>
        </w:tc>
        <w:tc>
          <w:tcPr>
            <w:tcW w:w="140" w:type="dxa"/>
            <w:vAlign w:val="bottom"/>
            <w:tcBorders>
              <w:bottom w:val="single" w:sz="8" w:color="D2DCE5"/>
            </w:tcBorders>
          </w:tcPr>
          <w:p>
            <w:pPr>
              <w:spacing w:after="0"/>
              <w:rPr>
                <w:sz w:val="23"/>
                <w:szCs w:val="23"/>
                <w:color w:val="auto"/>
              </w:rPr>
            </w:pPr>
          </w:p>
        </w:tc>
        <w:tc>
          <w:tcPr>
            <w:tcW w:w="100" w:type="dxa"/>
            <w:vAlign w:val="bottom"/>
            <w:tcBorders>
              <w:bottom w:val="single" w:sz="8" w:color="D2DCE5"/>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3,022</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b w:val="1"/>
                <w:bCs w:val="1"/>
                <w:color w:val="131E29"/>
              </w:rPr>
              <w:t>Total</w:t>
            </w:r>
          </w:p>
        </w:tc>
        <w:tc>
          <w:tcPr>
            <w:tcW w:w="48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480" w:type="dxa"/>
            <w:vAlign w:val="bottom"/>
            <w:tcBorders>
              <w:bottom w:val="single" w:sz="8" w:color="auto"/>
            </w:tcBorders>
            <w:shd w:val="clear" w:color="auto" w:fill="D2DCE5"/>
          </w:tcPr>
          <w:p>
            <w:pPr>
              <w:jc w:val="right"/>
              <w:ind w:right="270"/>
              <w:spacing w:after="0"/>
              <w:rPr>
                <w:sz w:val="20"/>
                <w:szCs w:val="20"/>
                <w:color w:val="auto"/>
              </w:rPr>
            </w:pPr>
            <w:r>
              <w:rPr>
                <w:rFonts w:ascii="Arial" w:cs="Arial" w:eastAsia="Arial" w:hAnsi="Arial"/>
                <w:sz w:val="18"/>
                <w:szCs w:val="18"/>
                <w:b w:val="1"/>
                <w:bCs w:val="1"/>
                <w:color w:val="006098"/>
                <w:w w:val="99"/>
              </w:rPr>
              <w:t>$</w:t>
            </w: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284,229</w:t>
            </w:r>
          </w:p>
        </w:tc>
        <w:tc>
          <w:tcPr>
            <w:tcW w:w="0" w:type="dxa"/>
            <w:vAlign w:val="bottom"/>
          </w:tcPr>
          <w:p>
            <w:pPr>
              <w:spacing w:after="0"/>
              <w:rPr>
                <w:sz w:val="1"/>
                <w:szCs w:val="1"/>
                <w:color w:val="auto"/>
              </w:rPr>
            </w:pPr>
          </w:p>
        </w:tc>
      </w:tr>
      <w:tr>
        <w:trPr>
          <w:trHeight w:val="20"/>
        </w:trPr>
        <w:tc>
          <w:tcPr>
            <w:tcW w:w="7740" w:type="dxa"/>
            <w:vAlign w:val="bottom"/>
            <w:tcBorders>
              <w:top w:val="single" w:sz="8" w:color="D2DCE5"/>
            </w:tcBorders>
          </w:tcPr>
          <w:p>
            <w:pPr>
              <w:spacing w:after="0" w:line="20" w:lineRule="exact"/>
              <w:rPr>
                <w:sz w:val="1"/>
                <w:szCs w:val="1"/>
                <w:color w:val="auto"/>
              </w:rPr>
            </w:pPr>
          </w:p>
        </w:tc>
        <w:tc>
          <w:tcPr>
            <w:tcW w:w="480" w:type="dxa"/>
            <w:vAlign w:val="bottom"/>
            <w:tcBorders>
              <w:top w:val="single" w:sz="8" w:color="D2DCE5"/>
            </w:tcBorders>
          </w:tcPr>
          <w:p>
            <w:pPr>
              <w:spacing w:after="0" w:line="20" w:lineRule="exact"/>
              <w:rPr>
                <w:sz w:val="1"/>
                <w:szCs w:val="1"/>
                <w:color w:val="auto"/>
              </w:rPr>
            </w:pPr>
          </w:p>
        </w:tc>
        <w:tc>
          <w:tcPr>
            <w:tcW w:w="11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80" w:type="dxa"/>
            <w:vAlign w:val="bottom"/>
            <w:tcBorders>
              <w:top w:val="single" w:sz="8" w:color="D2DCE5"/>
              <w:bottom w:val="single" w:sz="8" w:color="auto"/>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10 — Derivative Financial Instruments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We have a receive-variable (Receive Leg), pay-fixed (Pay Leg) interest rate swap with JPMorgan Chase Bank, N.A. As of March 31, 2025, the interest rate swap had a notional amount of approximately $63.0 million and hedges interest rate risk on the term loan under the 2022 Credit Facility. The interest rate swap matures on February 28, 2027, and has a fixed rate of 2.67% per annum for the Pay Leg. The variable rate on the Receive Leg of the interest rate swap is the one-month adjusted term SOFR plus an applicable margin. As of March 31, 2025, the one-month adjusted term SOFR was 4.32%.</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Our interest rate swap has been designated as a cash flow hedge, and as such, we record the change in fair value for the effective portion of the interest rate swap in AOCI rather than in current period earnings until the underlying hedged transaction affects earnings. As of March 31, 2025, we expect to reclassify a gain of approximately $0.8 million from AOCI to earnings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Designated as a Level 2 instrument within the fair value hierarchy, the fair value and effect of the derivative instrument included in our condensed consolidated financial statements was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3580" w:type="dxa"/>
            <w:vAlign w:val="bottom"/>
            <w:tcBorders>
              <w:bottom w:val="single" w:sz="8" w:color="D7282F"/>
            </w:tcBorders>
            <w:gridSpan w:val="4"/>
          </w:tcPr>
          <w:p>
            <w:pPr>
              <w:ind w:left="520"/>
              <w:spacing w:after="0"/>
              <w:rPr>
                <w:sz w:val="20"/>
                <w:szCs w:val="20"/>
                <w:color w:val="auto"/>
              </w:rPr>
            </w:pPr>
            <w:r>
              <w:rPr>
                <w:rFonts w:ascii="Arial" w:cs="Arial" w:eastAsia="Arial" w:hAnsi="Arial"/>
                <w:sz w:val="18"/>
                <w:szCs w:val="18"/>
                <w:b w:val="1"/>
                <w:bCs w:val="1"/>
                <w:color w:val="131E29"/>
              </w:rPr>
              <w:t>Balance Sheets Classification</w:t>
            </w:r>
          </w:p>
        </w:tc>
        <w:tc>
          <w:tcPr>
            <w:tcW w:w="100" w:type="dxa"/>
            <w:vAlign w:val="bottom"/>
            <w:tcBorders>
              <w:bottom w:val="single" w:sz="8" w:color="D2DCE5"/>
            </w:tcBorders>
            <w:gridSpan w:val="2"/>
          </w:tcPr>
          <w:p>
            <w:pPr>
              <w:spacing w:after="0"/>
              <w:rPr>
                <w:sz w:val="22"/>
                <w:szCs w:val="22"/>
                <w:color w:val="auto"/>
              </w:rPr>
            </w:pPr>
          </w:p>
        </w:tc>
        <w:tc>
          <w:tcPr>
            <w:tcW w:w="120" w:type="dxa"/>
            <w:vAlign w:val="bottom"/>
            <w:tcBorders>
              <w:bottom w:val="single" w:sz="8" w:color="D7282F"/>
            </w:tcBorders>
          </w:tcPr>
          <w:p>
            <w:pPr>
              <w:spacing w:after="0"/>
              <w:rPr>
                <w:sz w:val="22"/>
                <w:szCs w:val="22"/>
                <w:color w:val="auto"/>
              </w:rPr>
            </w:pPr>
          </w:p>
        </w:tc>
        <w:tc>
          <w:tcPr>
            <w:tcW w:w="1400" w:type="dxa"/>
            <w:vAlign w:val="bottom"/>
            <w:tcBorders>
              <w:bottom w:val="single" w:sz="8" w:color="D7282F"/>
            </w:tcBorders>
            <w:gridSpan w:val="4"/>
          </w:tcPr>
          <w:p>
            <w:pPr>
              <w:jc w:val="right"/>
              <w:ind w:right="10"/>
              <w:spacing w:after="0"/>
              <w:rPr>
                <w:sz w:val="20"/>
                <w:szCs w:val="20"/>
                <w:color w:val="auto"/>
              </w:rPr>
            </w:pPr>
            <w:r>
              <w:rPr>
                <w:rFonts w:ascii="Arial" w:cs="Arial" w:eastAsia="Arial" w:hAnsi="Arial"/>
                <w:sz w:val="18"/>
                <w:szCs w:val="18"/>
                <w:b w:val="1"/>
                <w:bCs w:val="1"/>
                <w:color w:val="131E29"/>
                <w:w w:val="99"/>
              </w:rPr>
              <w:t>March 31, 2025</w:t>
            </w:r>
          </w:p>
        </w:tc>
        <w:tc>
          <w:tcPr>
            <w:tcW w:w="40" w:type="dxa"/>
            <w:vAlign w:val="bottom"/>
            <w:tcBorders>
              <w:bottom w:val="single" w:sz="8" w:color="D7282F"/>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1800" w:type="dxa"/>
            <w:vAlign w:val="bottom"/>
            <w:tcBorders>
              <w:bottom w:val="single" w:sz="8" w:color="D7282F"/>
            </w:tcBorders>
            <w:gridSpan w:val="6"/>
          </w:tcPr>
          <w:p>
            <w:pPr>
              <w:jc w:val="right"/>
              <w:ind w:right="10"/>
              <w:spacing w:after="0"/>
              <w:rPr>
                <w:sz w:val="20"/>
                <w:szCs w:val="20"/>
                <w:color w:val="auto"/>
              </w:rPr>
            </w:pPr>
            <w:r>
              <w:rPr>
                <w:rFonts w:ascii="Arial" w:cs="Arial" w:eastAsia="Arial" w:hAnsi="Arial"/>
                <w:sz w:val="18"/>
                <w:szCs w:val="18"/>
                <w:b w:val="1"/>
                <w:bCs w:val="1"/>
                <w:color w:val="131E29"/>
              </w:rPr>
              <w:t>December 31, 2024</w:t>
            </w:r>
          </w:p>
        </w:tc>
        <w:tc>
          <w:tcPr>
            <w:tcW w:w="0" w:type="dxa"/>
            <w:vAlign w:val="bottom"/>
          </w:tcPr>
          <w:p>
            <w:pPr>
              <w:spacing w:after="0"/>
              <w:rPr>
                <w:sz w:val="1"/>
                <w:szCs w:val="1"/>
                <w:color w:val="auto"/>
              </w:rPr>
            </w:pPr>
          </w:p>
        </w:tc>
      </w:tr>
      <w:tr>
        <w:trPr>
          <w:trHeight w:val="224"/>
        </w:trPr>
        <w:tc>
          <w:tcPr>
            <w:tcW w:w="40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Derivative instrument designated as cash</w:t>
            </w:r>
          </w:p>
        </w:tc>
        <w:tc>
          <w:tcPr>
            <w:tcW w:w="8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66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114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24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0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flow hedge</w:t>
            </w:r>
          </w:p>
        </w:tc>
        <w:tc>
          <w:tcPr>
            <w:tcW w:w="82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2660" w:type="dxa"/>
            <w:vAlign w:val="bottom"/>
            <w:shd w:val="clear" w:color="auto" w:fill="D2DCE5"/>
          </w:tcPr>
          <w:p>
            <w:pPr>
              <w:spacing w:after="0"/>
              <w:rPr>
                <w:sz w:val="22"/>
                <w:szCs w:val="22"/>
                <w:color w:val="auto"/>
              </w:rPr>
            </w:pPr>
          </w:p>
        </w:tc>
        <w:tc>
          <w:tcPr>
            <w:tcW w:w="2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20" w:type="dxa"/>
            <w:vAlign w:val="bottom"/>
            <w:shd w:val="clear" w:color="auto" w:fill="D2DCE5"/>
          </w:tcPr>
          <w:p>
            <w:pPr>
              <w:spacing w:after="0"/>
              <w:rPr>
                <w:sz w:val="22"/>
                <w:szCs w:val="22"/>
                <w:color w:val="auto"/>
              </w:rPr>
            </w:pPr>
          </w:p>
        </w:tc>
        <w:tc>
          <w:tcPr>
            <w:tcW w:w="120" w:type="dxa"/>
            <w:vAlign w:val="bottom"/>
            <w:shd w:val="clear" w:color="auto" w:fill="D2DCE5"/>
          </w:tcPr>
          <w:p>
            <w:pPr>
              <w:spacing w:after="0"/>
              <w:rPr>
                <w:sz w:val="22"/>
                <w:szCs w:val="22"/>
                <w:color w:val="auto"/>
              </w:rPr>
            </w:pPr>
          </w:p>
        </w:tc>
        <w:tc>
          <w:tcPr>
            <w:tcW w:w="4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20" w:type="dxa"/>
            <w:vAlign w:val="bottom"/>
            <w:shd w:val="clear" w:color="auto" w:fill="D2DCE5"/>
          </w:tcPr>
          <w:p>
            <w:pPr>
              <w:spacing w:after="0"/>
              <w:rPr>
                <w:sz w:val="22"/>
                <w:szCs w:val="22"/>
                <w:color w:val="auto"/>
              </w:rPr>
            </w:pPr>
          </w:p>
        </w:tc>
        <w:tc>
          <w:tcPr>
            <w:tcW w:w="1140" w:type="dxa"/>
            <w:vAlign w:val="bottom"/>
            <w:shd w:val="clear" w:color="auto" w:fill="D2DCE5"/>
          </w:tcPr>
          <w:p>
            <w:pPr>
              <w:spacing w:after="0"/>
              <w:rPr>
                <w:sz w:val="22"/>
                <w:szCs w:val="22"/>
                <w:color w:val="auto"/>
              </w:rPr>
            </w:pPr>
          </w:p>
        </w:tc>
        <w:tc>
          <w:tcPr>
            <w:tcW w:w="4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0" w:type="dxa"/>
            <w:vAlign w:val="bottom"/>
            <w:shd w:val="clear" w:color="auto" w:fill="D2DCE5"/>
          </w:tcPr>
          <w:p>
            <w:pPr>
              <w:spacing w:after="0"/>
              <w:rPr>
                <w:sz w:val="22"/>
                <w:szCs w:val="22"/>
                <w:color w:val="auto"/>
              </w:rPr>
            </w:pPr>
          </w:p>
        </w:tc>
        <w:tc>
          <w:tcPr>
            <w:tcW w:w="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320" w:type="dxa"/>
            <w:vAlign w:val="bottom"/>
            <w:shd w:val="clear" w:color="auto" w:fill="D2DCE5"/>
          </w:tcPr>
          <w:p>
            <w:pPr>
              <w:spacing w:after="0"/>
              <w:rPr>
                <w:sz w:val="22"/>
                <w:szCs w:val="22"/>
                <w:color w:val="auto"/>
              </w:rPr>
            </w:pPr>
          </w:p>
        </w:tc>
        <w:tc>
          <w:tcPr>
            <w:tcW w:w="1240" w:type="dxa"/>
            <w:vAlign w:val="bottom"/>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80" w:type="dxa"/>
            <w:vAlign w:val="bottom"/>
            <w:gridSpan w:val="2"/>
          </w:tcPr>
          <w:p>
            <w:pPr>
              <w:ind w:left="140"/>
              <w:spacing w:after="0"/>
              <w:rPr>
                <w:sz w:val="20"/>
                <w:szCs w:val="20"/>
                <w:color w:val="auto"/>
              </w:rPr>
            </w:pPr>
            <w:r>
              <w:rPr>
                <w:rFonts w:ascii="Arial" w:cs="Arial" w:eastAsia="Arial" w:hAnsi="Arial"/>
                <w:sz w:val="18"/>
                <w:szCs w:val="18"/>
                <w:color w:val="131E29"/>
              </w:rPr>
              <w:t>Interest rate swap contract</w:t>
            </w:r>
          </w:p>
        </w:tc>
        <w:tc>
          <w:tcPr>
            <w:tcW w:w="3800" w:type="dxa"/>
            <w:vAlign w:val="bottom"/>
            <w:gridSpan w:val="7"/>
          </w:tcPr>
          <w:p>
            <w:pPr>
              <w:ind w:left="20"/>
              <w:spacing w:after="0"/>
              <w:rPr>
                <w:sz w:val="20"/>
                <w:szCs w:val="20"/>
                <w:color w:val="auto"/>
              </w:rPr>
            </w:pPr>
            <w:r>
              <w:rPr>
                <w:rFonts w:ascii="Arial" w:cs="Arial" w:eastAsia="Arial" w:hAnsi="Arial"/>
                <w:sz w:val="18"/>
                <w:szCs w:val="18"/>
                <w:color w:val="131E29"/>
              </w:rPr>
              <w:t xml:space="preserve">Prepaid expenses and other current assets  </w:t>
            </w:r>
            <w:r>
              <w:rPr>
                <w:rFonts w:ascii="Arial" w:cs="Arial" w:eastAsia="Arial" w:hAnsi="Arial"/>
                <w:sz w:val="18"/>
                <w:szCs w:val="18"/>
                <w:color w:val="006098"/>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06098"/>
              </w:rPr>
              <w:t>827</w:t>
            </w:r>
          </w:p>
        </w:tc>
        <w:tc>
          <w:tcPr>
            <w:tcW w:w="260" w:type="dxa"/>
            <w:vAlign w:val="bottom"/>
            <w:gridSpan w:val="4"/>
          </w:tcPr>
          <w:p>
            <w:pPr>
              <w:jc w:val="right"/>
              <w:spacing w:after="0"/>
              <w:rPr>
                <w:sz w:val="20"/>
                <w:szCs w:val="20"/>
                <w:color w:val="auto"/>
              </w:rPr>
            </w:pPr>
            <w:r>
              <w:rPr>
                <w:rFonts w:ascii="Arial" w:cs="Arial" w:eastAsia="Arial" w:hAnsi="Arial"/>
                <w:sz w:val="18"/>
                <w:szCs w:val="18"/>
                <w:color w:val="131E29"/>
              </w:rPr>
              <w: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131E29"/>
              </w:rPr>
              <w:t>953</w:t>
            </w:r>
          </w:p>
        </w:tc>
        <w:tc>
          <w:tcPr>
            <w:tcW w:w="0" w:type="dxa"/>
            <w:vAlign w:val="bottom"/>
          </w:tcPr>
          <w:p>
            <w:pPr>
              <w:spacing w:after="0"/>
              <w:rPr>
                <w:sz w:val="1"/>
                <w:szCs w:val="1"/>
                <w:color w:val="auto"/>
              </w:rPr>
            </w:pPr>
          </w:p>
        </w:tc>
      </w:tr>
      <w:tr>
        <w:trPr>
          <w:trHeight w:val="270"/>
        </w:trPr>
        <w:tc>
          <w:tcPr>
            <w:tcW w:w="408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Interest rate swap contract</w:t>
            </w:r>
          </w:p>
        </w:tc>
        <w:tc>
          <w:tcPr>
            <w:tcW w:w="3680" w:type="dxa"/>
            <w:vAlign w:val="bottom"/>
            <w:gridSpan w:val="6"/>
            <w:shd w:val="clear" w:color="auto" w:fill="D2DCE5"/>
          </w:tcPr>
          <w:p>
            <w:pPr>
              <w:ind w:left="20"/>
              <w:spacing w:after="0"/>
              <w:rPr>
                <w:sz w:val="20"/>
                <w:szCs w:val="20"/>
                <w:color w:val="auto"/>
              </w:rPr>
            </w:pPr>
            <w:r>
              <w:rPr>
                <w:rFonts w:ascii="Arial" w:cs="Arial" w:eastAsia="Arial" w:hAnsi="Arial"/>
                <w:sz w:val="18"/>
                <w:szCs w:val="18"/>
                <w:color w:val="131E29"/>
              </w:rPr>
              <w:t>Other long-term assets</w:t>
            </w:r>
          </w:p>
        </w:tc>
        <w:tc>
          <w:tcPr>
            <w:tcW w:w="120" w:type="dxa"/>
            <w:vAlign w:val="bottom"/>
            <w:tcBorders>
              <w:bottom w:val="single" w:sz="8" w:color="auto"/>
            </w:tcBorders>
            <w:shd w:val="clear" w:color="auto" w:fill="D2DCE5"/>
          </w:tcPr>
          <w:p>
            <w:pPr>
              <w:spacing w:after="0"/>
              <w:rPr>
                <w:sz w:val="23"/>
                <w:szCs w:val="23"/>
                <w:color w:val="auto"/>
              </w:rPr>
            </w:pPr>
          </w:p>
        </w:tc>
        <w:tc>
          <w:tcPr>
            <w:tcW w:w="40" w:type="dxa"/>
            <w:vAlign w:val="bottom"/>
            <w:tcBorders>
              <w:bottom w:val="single" w:sz="8" w:color="auto"/>
            </w:tcBorders>
            <w:shd w:val="clear" w:color="auto" w:fill="D2DCE5"/>
          </w:tcPr>
          <w:p>
            <w:pPr>
              <w:spacing w:after="0"/>
              <w:rPr>
                <w:sz w:val="23"/>
                <w:szCs w:val="23"/>
                <w:color w:val="auto"/>
              </w:rPr>
            </w:pPr>
          </w:p>
        </w:tc>
        <w:tc>
          <w:tcPr>
            <w:tcW w:w="100" w:type="dxa"/>
            <w:vAlign w:val="bottom"/>
            <w:tcBorders>
              <w:bottom w:val="single" w:sz="8" w:color="auto"/>
            </w:tcBorders>
            <w:shd w:val="clear" w:color="auto" w:fill="D2DCE5"/>
          </w:tcPr>
          <w:p>
            <w:pPr>
              <w:spacing w:after="0"/>
              <w:rPr>
                <w:sz w:val="23"/>
                <w:szCs w:val="23"/>
                <w:color w:val="auto"/>
              </w:rPr>
            </w:pPr>
          </w:p>
        </w:tc>
        <w:tc>
          <w:tcPr>
            <w:tcW w:w="120" w:type="dxa"/>
            <w:vAlign w:val="bottom"/>
            <w:tcBorders>
              <w:bottom w:val="single" w:sz="8" w:color="auto"/>
            </w:tcBorders>
            <w:shd w:val="clear" w:color="auto" w:fill="D2DCE5"/>
          </w:tcPr>
          <w:p>
            <w:pPr>
              <w:spacing w:after="0"/>
              <w:rPr>
                <w:sz w:val="23"/>
                <w:szCs w:val="23"/>
                <w:color w:val="auto"/>
              </w:rPr>
            </w:pP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419</w:t>
            </w:r>
          </w:p>
        </w:tc>
        <w:tc>
          <w:tcPr>
            <w:tcW w:w="40" w:type="dxa"/>
            <w:vAlign w:val="bottom"/>
            <w:tcBorders>
              <w:bottom w:val="single" w:sz="8" w:color="auto"/>
            </w:tcBorders>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0" w:type="dxa"/>
            <w:vAlign w:val="bottom"/>
            <w:tcBorders>
              <w:bottom w:val="single" w:sz="8" w:color="auto"/>
            </w:tcBorders>
            <w:shd w:val="clear" w:color="auto" w:fill="D2DCE5"/>
          </w:tcPr>
          <w:p>
            <w:pPr>
              <w:spacing w:after="0"/>
              <w:rPr>
                <w:sz w:val="23"/>
                <w:szCs w:val="23"/>
                <w:color w:val="auto"/>
              </w:rPr>
            </w:pPr>
          </w:p>
        </w:tc>
        <w:tc>
          <w:tcPr>
            <w:tcW w:w="100" w:type="dxa"/>
            <w:vAlign w:val="bottom"/>
            <w:tcBorders>
              <w:bottom w:val="single" w:sz="8" w:color="auto"/>
            </w:tcBorders>
            <w:shd w:val="clear" w:color="auto" w:fill="D2DCE5"/>
          </w:tcPr>
          <w:p>
            <w:pPr>
              <w:spacing w:after="0"/>
              <w:rPr>
                <w:sz w:val="23"/>
                <w:szCs w:val="23"/>
                <w:color w:val="auto"/>
              </w:rPr>
            </w:pPr>
          </w:p>
        </w:tc>
        <w:tc>
          <w:tcPr>
            <w:tcW w:w="20" w:type="dxa"/>
            <w:vAlign w:val="bottom"/>
            <w:tcBorders>
              <w:bottom w:val="single" w:sz="8" w:color="auto"/>
            </w:tcBorders>
            <w:shd w:val="clear" w:color="auto" w:fill="D2DCE5"/>
          </w:tcPr>
          <w:p>
            <w:pPr>
              <w:spacing w:after="0"/>
              <w:rPr>
                <w:sz w:val="23"/>
                <w:szCs w:val="23"/>
                <w:color w:val="auto"/>
              </w:rPr>
            </w:pPr>
          </w:p>
        </w:tc>
        <w:tc>
          <w:tcPr>
            <w:tcW w:w="20" w:type="dxa"/>
            <w:vAlign w:val="bottom"/>
            <w:tcBorders>
              <w:bottom w:val="single" w:sz="8" w:color="auto"/>
            </w:tcBorders>
            <w:shd w:val="clear" w:color="auto" w:fill="D2DCE5"/>
          </w:tcPr>
          <w:p>
            <w:pPr>
              <w:spacing w:after="0"/>
              <w:rPr>
                <w:sz w:val="23"/>
                <w:szCs w:val="23"/>
                <w:color w:val="auto"/>
              </w:rPr>
            </w:pPr>
          </w:p>
        </w:tc>
        <w:tc>
          <w:tcPr>
            <w:tcW w:w="100" w:type="dxa"/>
            <w:vAlign w:val="bottom"/>
            <w:tcBorders>
              <w:bottom w:val="single" w:sz="8" w:color="auto"/>
            </w:tcBorders>
            <w:shd w:val="clear" w:color="auto" w:fill="D2DCE5"/>
          </w:tcPr>
          <w:p>
            <w:pPr>
              <w:spacing w:after="0"/>
              <w:rPr>
                <w:sz w:val="23"/>
                <w:szCs w:val="23"/>
                <w:color w:val="auto"/>
              </w:rPr>
            </w:pPr>
          </w:p>
        </w:tc>
        <w:tc>
          <w:tcPr>
            <w:tcW w:w="320" w:type="dxa"/>
            <w:vAlign w:val="bottom"/>
            <w:tcBorders>
              <w:bottom w:val="single" w:sz="8" w:color="auto"/>
            </w:tcBorders>
            <w:shd w:val="clear" w:color="auto" w:fill="D2DCE5"/>
          </w:tcPr>
          <w:p>
            <w:pPr>
              <w:spacing w:after="0"/>
              <w:rPr>
                <w:sz w:val="23"/>
                <w:szCs w:val="23"/>
                <w:color w:val="auto"/>
              </w:rPr>
            </w:pPr>
          </w:p>
        </w:tc>
        <w:tc>
          <w:tcPr>
            <w:tcW w:w="12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832</w:t>
            </w:r>
          </w:p>
        </w:tc>
        <w:tc>
          <w:tcPr>
            <w:tcW w:w="0" w:type="dxa"/>
            <w:vAlign w:val="bottom"/>
          </w:tcPr>
          <w:p>
            <w:pPr>
              <w:spacing w:after="0"/>
              <w:rPr>
                <w:sz w:val="1"/>
                <w:szCs w:val="1"/>
                <w:color w:val="auto"/>
              </w:rPr>
            </w:pPr>
          </w:p>
        </w:tc>
      </w:tr>
      <w:tr>
        <w:trPr>
          <w:trHeight w:val="204"/>
        </w:trPr>
        <w:tc>
          <w:tcPr>
            <w:tcW w:w="4080" w:type="dxa"/>
            <w:vAlign w:val="bottom"/>
            <w:gridSpan w:val="2"/>
          </w:tcPr>
          <w:p>
            <w:pPr>
              <w:ind w:left="20"/>
              <w:spacing w:after="0" w:line="204" w:lineRule="exact"/>
              <w:rPr>
                <w:sz w:val="20"/>
                <w:szCs w:val="20"/>
                <w:color w:val="auto"/>
              </w:rPr>
            </w:pPr>
            <w:r>
              <w:rPr>
                <w:rFonts w:ascii="Arial" w:cs="Arial" w:eastAsia="Arial" w:hAnsi="Arial"/>
                <w:sz w:val="18"/>
                <w:szCs w:val="18"/>
                <w:b w:val="1"/>
                <w:bCs w:val="1"/>
                <w:color w:val="131E29"/>
              </w:rPr>
              <w:t>Total derivative instrument designated as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131E29"/>
                <w:w w:val="99"/>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131E29"/>
              </w:rPr>
              <w:t>1,785</w:t>
            </w:r>
          </w:p>
        </w:tc>
        <w:tc>
          <w:tcPr>
            <w:tcW w:w="0" w:type="dxa"/>
            <w:vAlign w:val="bottom"/>
          </w:tcPr>
          <w:p>
            <w:pPr>
              <w:spacing w:after="0"/>
              <w:rPr>
                <w:sz w:val="1"/>
                <w:szCs w:val="1"/>
                <w:color w:val="auto"/>
              </w:rPr>
            </w:pPr>
          </w:p>
        </w:tc>
      </w:tr>
      <w:tr>
        <w:trPr>
          <w:trHeight w:val="235"/>
        </w:trPr>
        <w:tc>
          <w:tcPr>
            <w:tcW w:w="4080" w:type="dxa"/>
            <w:vAlign w:val="bottom"/>
            <w:gridSpan w:val="2"/>
          </w:tcPr>
          <w:p>
            <w:pPr>
              <w:ind w:left="20"/>
              <w:spacing w:after="0"/>
              <w:rPr>
                <w:sz w:val="20"/>
                <w:szCs w:val="20"/>
                <w:color w:val="auto"/>
              </w:rPr>
            </w:pPr>
            <w:r>
              <w:rPr>
                <w:rFonts w:ascii="Arial" w:cs="Arial" w:eastAsia="Arial" w:hAnsi="Arial"/>
                <w:sz w:val="18"/>
                <w:szCs w:val="18"/>
                <w:b w:val="1"/>
                <w:bCs w:val="1"/>
                <w:color w:val="131E29"/>
              </w:rPr>
              <w:t>cash flow hedge</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80" w:type="dxa"/>
            <w:vAlign w:val="bottom"/>
            <w:gridSpan w:val="4"/>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6098"/>
                <w:w w:val="79"/>
              </w:rPr>
              <w:t>$</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1,246</w:t>
            </w:r>
          </w:p>
        </w:tc>
        <w:tc>
          <w:tcPr>
            <w:tcW w:w="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3"/>
        </w:trPr>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D7282F"/>
            </w:tcBorders>
          </w:tcPr>
          <w:p>
            <w:pPr>
              <w:spacing w:after="0"/>
              <w:rPr>
                <w:sz w:val="24"/>
                <w:szCs w:val="24"/>
                <w:color w:val="auto"/>
              </w:rPr>
            </w:pPr>
          </w:p>
        </w:tc>
        <w:tc>
          <w:tcPr>
            <w:tcW w:w="3100" w:type="dxa"/>
            <w:vAlign w:val="bottom"/>
            <w:tcBorders>
              <w:bottom w:val="single" w:sz="8" w:color="D7282F"/>
            </w:tcBorders>
            <w:gridSpan w:val="10"/>
          </w:tcPr>
          <w:p>
            <w:pPr>
              <w:jc w:val="center"/>
              <w:ind w:right="30"/>
              <w:spacing w:after="0"/>
              <w:rPr>
                <w:sz w:val="20"/>
                <w:szCs w:val="20"/>
                <w:color w:val="auto"/>
              </w:rPr>
            </w:pPr>
            <w:r>
              <w:rPr>
                <w:rFonts w:ascii="Arial" w:cs="Arial" w:eastAsia="Arial" w:hAnsi="Arial"/>
                <w:sz w:val="18"/>
                <w:szCs w:val="18"/>
                <w:b w:val="1"/>
                <w:bCs w:val="1"/>
                <w:color w:val="131E29"/>
                <w:w w:val="99"/>
              </w:rPr>
              <w:t>Three Months Ended March 31,</w:t>
            </w:r>
          </w:p>
        </w:tc>
        <w:tc>
          <w:tcPr>
            <w:tcW w:w="0" w:type="dxa"/>
            <w:vAlign w:val="bottom"/>
          </w:tcPr>
          <w:p>
            <w:pPr>
              <w:spacing w:after="0"/>
              <w:rPr>
                <w:sz w:val="1"/>
                <w:szCs w:val="1"/>
                <w:color w:val="auto"/>
              </w:rPr>
            </w:pPr>
          </w:p>
        </w:tc>
      </w:tr>
      <w:tr>
        <w:trPr>
          <w:trHeight w:val="211"/>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5"/>
          </w:tcPr>
          <w:p>
            <w:pPr>
              <w:ind w:left="580"/>
              <w:spacing w:after="0"/>
              <w:rPr>
                <w:sz w:val="20"/>
                <w:szCs w:val="20"/>
                <w:color w:val="auto"/>
              </w:rPr>
            </w:pPr>
            <w:r>
              <w:rPr>
                <w:rFonts w:ascii="Arial" w:cs="Arial" w:eastAsia="Arial" w:hAnsi="Arial"/>
                <w:sz w:val="18"/>
                <w:szCs w:val="18"/>
                <w:b w:val="1"/>
                <w:bCs w:val="1"/>
                <w:color w:val="131E29"/>
              </w:rPr>
              <w:t>Financial Statements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08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color w:val="131E29"/>
              </w:rPr>
              <w:t>(in thousands)</w:t>
            </w:r>
          </w:p>
        </w:tc>
        <w:tc>
          <w:tcPr>
            <w:tcW w:w="820" w:type="dxa"/>
            <w:vAlign w:val="bottom"/>
            <w:tcBorders>
              <w:bottom w:val="single" w:sz="8" w:color="D7282F"/>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2900" w:type="dxa"/>
            <w:vAlign w:val="bottom"/>
            <w:tcBorders>
              <w:bottom w:val="single" w:sz="8" w:color="D7282F"/>
            </w:tcBorders>
            <w:gridSpan w:val="5"/>
          </w:tcPr>
          <w:p>
            <w:pPr>
              <w:ind w:left="880"/>
              <w:spacing w:after="0"/>
              <w:rPr>
                <w:sz w:val="20"/>
                <w:szCs w:val="20"/>
                <w:color w:val="auto"/>
              </w:rPr>
            </w:pPr>
            <w:r>
              <w:rPr>
                <w:rFonts w:ascii="Arial" w:cs="Arial" w:eastAsia="Arial" w:hAnsi="Arial"/>
                <w:sz w:val="18"/>
                <w:szCs w:val="18"/>
                <w:b w:val="1"/>
                <w:bCs w:val="1"/>
                <w:color w:val="131E29"/>
              </w:rPr>
              <w:t>Classification</w:t>
            </w:r>
          </w:p>
        </w:tc>
        <w:tc>
          <w:tcPr>
            <w:tcW w:w="40" w:type="dxa"/>
            <w:vAlign w:val="bottom"/>
            <w:tcBorders>
              <w:bottom w:val="single" w:sz="8" w:color="D7282F"/>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120" w:type="dxa"/>
            <w:vAlign w:val="bottom"/>
            <w:tcBorders>
              <w:bottom w:val="single" w:sz="8" w:color="D7282F"/>
            </w:tcBorders>
          </w:tcPr>
          <w:p>
            <w:pPr>
              <w:spacing w:after="0"/>
              <w:rPr>
                <w:sz w:val="22"/>
                <w:szCs w:val="22"/>
                <w:color w:val="auto"/>
              </w:rPr>
            </w:pPr>
          </w:p>
        </w:tc>
        <w:tc>
          <w:tcPr>
            <w:tcW w:w="114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2025</w:t>
            </w:r>
          </w:p>
        </w:tc>
        <w:tc>
          <w:tcPr>
            <w:tcW w:w="40" w:type="dxa"/>
            <w:vAlign w:val="bottom"/>
            <w:tcBorders>
              <w:bottom w:val="single" w:sz="8" w:color="D7282F"/>
            </w:tcBorders>
          </w:tcPr>
          <w:p>
            <w:pPr>
              <w:spacing w:after="0"/>
              <w:rPr>
                <w:sz w:val="22"/>
                <w:szCs w:val="22"/>
                <w:color w:val="auto"/>
              </w:rPr>
            </w:pPr>
          </w:p>
        </w:tc>
        <w:tc>
          <w:tcPr>
            <w:tcW w:w="100" w:type="dxa"/>
            <w:vAlign w:val="bottom"/>
            <w:tcBorders>
              <w:bottom w:val="single" w:sz="8" w:color="D7282F"/>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100" w:type="dxa"/>
            <w:vAlign w:val="bottom"/>
            <w:tcBorders>
              <w:bottom w:val="single" w:sz="8" w:color="D7282F"/>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320" w:type="dxa"/>
            <w:vAlign w:val="bottom"/>
            <w:tcBorders>
              <w:bottom w:val="single" w:sz="8" w:color="D7282F"/>
            </w:tcBorders>
          </w:tcPr>
          <w:p>
            <w:pPr>
              <w:spacing w:after="0"/>
              <w:rPr>
                <w:sz w:val="22"/>
                <w:szCs w:val="22"/>
                <w:color w:val="auto"/>
              </w:rPr>
            </w:pPr>
          </w:p>
        </w:tc>
        <w:tc>
          <w:tcPr>
            <w:tcW w:w="124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2024</w:t>
            </w:r>
          </w:p>
        </w:tc>
        <w:tc>
          <w:tcPr>
            <w:tcW w:w="0" w:type="dxa"/>
            <w:vAlign w:val="bottom"/>
          </w:tcPr>
          <w:p>
            <w:pPr>
              <w:spacing w:after="0"/>
              <w:rPr>
                <w:sz w:val="1"/>
                <w:szCs w:val="1"/>
                <w:color w:val="auto"/>
              </w:rPr>
            </w:pPr>
          </w:p>
        </w:tc>
      </w:tr>
      <w:tr>
        <w:trPr>
          <w:trHeight w:val="270"/>
        </w:trPr>
        <w:tc>
          <w:tcPr>
            <w:tcW w:w="4980" w:type="dxa"/>
            <w:vAlign w:val="bottom"/>
            <w:gridSpan w:val="4"/>
            <w:shd w:val="clear" w:color="auto" w:fill="D2DCE5"/>
          </w:tcPr>
          <w:p>
            <w:pPr>
              <w:ind w:left="20"/>
              <w:spacing w:after="0"/>
              <w:rPr>
                <w:sz w:val="20"/>
                <w:szCs w:val="20"/>
                <w:color w:val="auto"/>
              </w:rPr>
            </w:pPr>
            <w:r>
              <w:rPr>
                <w:rFonts w:ascii="Arial" w:cs="Arial" w:eastAsia="Arial" w:hAnsi="Arial"/>
                <w:sz w:val="18"/>
                <w:szCs w:val="18"/>
                <w:b w:val="1"/>
                <w:bCs w:val="1"/>
                <w:color w:val="131E29"/>
              </w:rPr>
              <w:t>Derivative instrument designated as cash flow hedge</w:t>
            </w:r>
          </w:p>
        </w:tc>
        <w:tc>
          <w:tcPr>
            <w:tcW w:w="266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20" w:type="dxa"/>
            <w:vAlign w:val="bottom"/>
            <w:shd w:val="clear" w:color="auto" w:fill="D2DCE5"/>
          </w:tcPr>
          <w:p>
            <w:pPr>
              <w:spacing w:after="0"/>
              <w:rPr>
                <w:sz w:val="23"/>
                <w:szCs w:val="23"/>
                <w:color w:val="auto"/>
              </w:rPr>
            </w:pPr>
          </w:p>
        </w:tc>
        <w:tc>
          <w:tcPr>
            <w:tcW w:w="1140" w:type="dxa"/>
            <w:vAlign w:val="bottom"/>
            <w:shd w:val="clear" w:color="auto" w:fill="D2DCE5"/>
          </w:tcPr>
          <w:p>
            <w:pPr>
              <w:spacing w:after="0"/>
              <w:rPr>
                <w:sz w:val="23"/>
                <w:szCs w:val="23"/>
                <w:color w:val="auto"/>
              </w:rPr>
            </w:pPr>
          </w:p>
        </w:tc>
        <w:tc>
          <w:tcPr>
            <w:tcW w:w="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240" w:type="dxa"/>
            <w:vAlign w:val="bottom"/>
            <w:shd w:val="clear" w:color="auto" w:fill="D2DCE5"/>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980" w:type="dxa"/>
            <w:vAlign w:val="bottom"/>
            <w:gridSpan w:val="4"/>
          </w:tcPr>
          <w:p>
            <w:pPr>
              <w:ind w:left="140"/>
              <w:spacing w:after="0"/>
              <w:rPr>
                <w:sz w:val="20"/>
                <w:szCs w:val="20"/>
                <w:color w:val="auto"/>
              </w:rPr>
            </w:pPr>
            <w:r>
              <w:rPr>
                <w:rFonts w:ascii="Arial" w:cs="Arial" w:eastAsia="Arial" w:hAnsi="Arial"/>
                <w:sz w:val="18"/>
                <w:szCs w:val="18"/>
                <w:color w:val="131E29"/>
              </w:rPr>
              <w:t>Income (loss) recognized in other comprehensive income</w:t>
            </w:r>
          </w:p>
        </w:tc>
        <w:tc>
          <w:tcPr>
            <w:tcW w:w="2900" w:type="dxa"/>
            <w:vAlign w:val="bottom"/>
            <w:gridSpan w:val="5"/>
          </w:tcPr>
          <w:p>
            <w:pPr>
              <w:ind w:left="20"/>
              <w:spacing w:after="0"/>
              <w:rPr>
                <w:sz w:val="20"/>
                <w:szCs w:val="20"/>
                <w:color w:val="auto"/>
              </w:rPr>
            </w:pPr>
            <w:r>
              <w:rPr>
                <w:rFonts w:ascii="Arial" w:cs="Arial" w:eastAsia="Arial" w:hAnsi="Arial"/>
                <w:sz w:val="18"/>
                <w:szCs w:val="18"/>
                <w:color w:val="131E29"/>
              </w:rPr>
              <w:t>Statements of Comprehensive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080" w:type="dxa"/>
            <w:vAlign w:val="bottom"/>
            <w:gridSpan w:val="2"/>
          </w:tcPr>
          <w:p>
            <w:pPr>
              <w:ind w:left="140"/>
              <w:spacing w:after="0"/>
              <w:rPr>
                <w:sz w:val="20"/>
                <w:szCs w:val="20"/>
                <w:color w:val="auto"/>
              </w:rPr>
            </w:pPr>
            <w:r>
              <w:rPr>
                <w:rFonts w:ascii="Arial" w:cs="Arial" w:eastAsia="Arial" w:hAnsi="Arial"/>
                <w:sz w:val="18"/>
                <w:szCs w:val="18"/>
                <w:color w:val="131E29"/>
              </w:rPr>
              <w:t>before reclassifications</w:t>
            </w: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00" w:type="dxa"/>
            <w:vAlign w:val="bottom"/>
            <w:gridSpan w:val="5"/>
          </w:tcPr>
          <w:p>
            <w:pPr>
              <w:ind w:left="20"/>
              <w:spacing w:after="0"/>
              <w:rPr>
                <w:sz w:val="20"/>
                <w:szCs w:val="20"/>
                <w:color w:val="auto"/>
              </w:rPr>
            </w:pPr>
            <w:r>
              <w:rPr>
                <w:rFonts w:ascii="Arial" w:cs="Arial" w:eastAsia="Arial" w:hAnsi="Arial"/>
                <w:sz w:val="18"/>
                <w:szCs w:val="18"/>
                <w:color w:val="131E29"/>
              </w:rPr>
              <w:t>Income</w:t>
            </w:r>
          </w:p>
        </w:tc>
        <w:tc>
          <w:tcPr>
            <w:tcW w:w="260" w:type="dxa"/>
            <w:vAlign w:val="bottom"/>
            <w:gridSpan w:val="3"/>
          </w:tcPr>
          <w:p>
            <w:pPr>
              <w:jc w:val="right"/>
              <w:spacing w:after="0"/>
              <w:rPr>
                <w:sz w:val="20"/>
                <w:szCs w:val="20"/>
                <w:color w:val="auto"/>
              </w:rPr>
            </w:pPr>
            <w:r>
              <w:rPr>
                <w:rFonts w:ascii="Arial" w:cs="Arial" w:eastAsia="Arial" w:hAnsi="Arial"/>
                <w:sz w:val="18"/>
                <w:szCs w:val="18"/>
                <w:color w:val="006098"/>
              </w:rPr>
              <w:t>$</w:t>
            </w:r>
          </w:p>
        </w:tc>
        <w:tc>
          <w:tcPr>
            <w:tcW w:w="1420" w:type="dxa"/>
            <w:vAlign w:val="bottom"/>
            <w:gridSpan w:val="6"/>
          </w:tcPr>
          <w:p>
            <w:pPr>
              <w:jc w:val="right"/>
              <w:spacing w:after="0"/>
              <w:rPr>
                <w:sz w:val="20"/>
                <w:szCs w:val="20"/>
                <w:color w:val="auto"/>
              </w:rPr>
            </w:pPr>
            <w:r>
              <w:rPr>
                <w:rFonts w:ascii="Arial" w:cs="Arial" w:eastAsia="Arial" w:hAnsi="Arial"/>
                <w:sz w:val="18"/>
                <w:szCs w:val="18"/>
                <w:color w:val="006098"/>
              </w:rPr>
              <w:t>(160)</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131E29"/>
              </w:rPr>
              <w:t>$</w:t>
            </w:r>
          </w:p>
        </w:tc>
        <w:tc>
          <w:tcPr>
            <w:tcW w:w="1240" w:type="dxa"/>
            <w:vAlign w:val="bottom"/>
          </w:tcPr>
          <w:p>
            <w:pPr>
              <w:jc w:val="right"/>
              <w:spacing w:after="0"/>
              <w:rPr>
                <w:sz w:val="20"/>
                <w:szCs w:val="20"/>
                <w:color w:val="auto"/>
              </w:rPr>
            </w:pPr>
            <w:r>
              <w:rPr>
                <w:rFonts w:ascii="Arial" w:cs="Arial" w:eastAsia="Arial" w:hAnsi="Arial"/>
                <w:sz w:val="18"/>
                <w:szCs w:val="18"/>
                <w:color w:val="131E29"/>
              </w:rPr>
              <w:t>1,222</w:t>
            </w:r>
          </w:p>
        </w:tc>
        <w:tc>
          <w:tcPr>
            <w:tcW w:w="0" w:type="dxa"/>
            <w:vAlign w:val="bottom"/>
          </w:tcPr>
          <w:p>
            <w:pPr>
              <w:spacing w:after="0"/>
              <w:rPr>
                <w:sz w:val="1"/>
                <w:szCs w:val="1"/>
                <w:color w:val="auto"/>
              </w:rPr>
            </w:pPr>
          </w:p>
        </w:tc>
      </w:tr>
      <w:tr>
        <w:trPr>
          <w:trHeight w:val="224"/>
        </w:trPr>
        <w:tc>
          <w:tcPr>
            <w:tcW w:w="4980" w:type="dxa"/>
            <w:vAlign w:val="bottom"/>
            <w:gridSpan w:val="4"/>
            <w:shd w:val="clear" w:color="auto" w:fill="D2DCE5"/>
          </w:tcPr>
          <w:p>
            <w:pPr>
              <w:ind w:left="140"/>
              <w:spacing w:after="0"/>
              <w:rPr>
                <w:sz w:val="20"/>
                <w:szCs w:val="20"/>
                <w:color w:val="auto"/>
              </w:rPr>
            </w:pPr>
            <w:r>
              <w:rPr>
                <w:rFonts w:ascii="Arial" w:cs="Arial" w:eastAsia="Arial" w:hAnsi="Arial"/>
                <w:sz w:val="18"/>
                <w:szCs w:val="18"/>
                <w:color w:val="131E29"/>
              </w:rPr>
              <w:t>Reclassification from accumulated other comprehensive</w:t>
            </w:r>
          </w:p>
        </w:tc>
        <w:tc>
          <w:tcPr>
            <w:tcW w:w="2900" w:type="dxa"/>
            <w:vAlign w:val="bottom"/>
            <w:gridSpan w:val="5"/>
            <w:shd w:val="clear" w:color="auto" w:fill="D2DCE5"/>
          </w:tcPr>
          <w:p>
            <w:pPr>
              <w:ind w:left="20"/>
              <w:spacing w:after="0"/>
              <w:rPr>
                <w:sz w:val="20"/>
                <w:szCs w:val="20"/>
                <w:color w:val="auto"/>
              </w:rPr>
            </w:pPr>
            <w:r>
              <w:rPr>
                <w:rFonts w:ascii="Arial" w:cs="Arial" w:eastAsia="Arial" w:hAnsi="Arial"/>
                <w:sz w:val="18"/>
                <w:szCs w:val="18"/>
                <w:color w:val="131E29"/>
              </w:rPr>
              <w:t>Statements of Operations - Interest</w:t>
            </w:r>
          </w:p>
        </w:tc>
        <w:tc>
          <w:tcPr>
            <w:tcW w:w="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114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24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08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income to earnings for the effective portion</w:t>
            </w:r>
          </w:p>
        </w:tc>
        <w:tc>
          <w:tcPr>
            <w:tcW w:w="82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2900" w:type="dxa"/>
            <w:vAlign w:val="bottom"/>
            <w:gridSpan w:val="5"/>
            <w:shd w:val="clear" w:color="auto" w:fill="D2DCE5"/>
          </w:tcPr>
          <w:p>
            <w:pPr>
              <w:ind w:left="20"/>
              <w:spacing w:after="0"/>
              <w:rPr>
                <w:sz w:val="20"/>
                <w:szCs w:val="20"/>
                <w:color w:val="auto"/>
              </w:rPr>
            </w:pPr>
            <w:r>
              <w:rPr>
                <w:rFonts w:ascii="Arial" w:cs="Arial" w:eastAsia="Arial" w:hAnsi="Arial"/>
                <w:sz w:val="18"/>
                <w:szCs w:val="18"/>
                <w:color w:val="131E29"/>
              </w:rPr>
              <w:t>expense, net</w:t>
            </w:r>
          </w:p>
        </w:tc>
        <w:tc>
          <w:tcPr>
            <w:tcW w:w="4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20" w:type="dxa"/>
            <w:vAlign w:val="bottom"/>
            <w:shd w:val="clear" w:color="auto" w:fill="D2DCE5"/>
          </w:tcPr>
          <w:p>
            <w:pPr>
              <w:spacing w:after="0"/>
              <w:rPr>
                <w:sz w:val="22"/>
                <w:szCs w:val="22"/>
                <w:color w:val="auto"/>
              </w:rPr>
            </w:pPr>
          </w:p>
        </w:tc>
        <w:tc>
          <w:tcPr>
            <w:tcW w:w="1420" w:type="dxa"/>
            <w:vAlign w:val="bottom"/>
            <w:gridSpan w:val="6"/>
            <w:shd w:val="clear" w:color="auto" w:fill="D2DCE5"/>
          </w:tcPr>
          <w:p>
            <w:pPr>
              <w:jc w:val="right"/>
              <w:spacing w:after="0"/>
              <w:rPr>
                <w:sz w:val="20"/>
                <w:szCs w:val="20"/>
                <w:color w:val="auto"/>
              </w:rPr>
            </w:pPr>
            <w:r>
              <w:rPr>
                <w:rFonts w:ascii="Arial" w:cs="Arial" w:eastAsia="Arial" w:hAnsi="Arial"/>
                <w:sz w:val="18"/>
                <w:szCs w:val="18"/>
                <w:color w:val="006098"/>
              </w:rPr>
              <w:t>(282)</w:t>
            </w:r>
          </w:p>
        </w:tc>
        <w:tc>
          <w:tcPr>
            <w:tcW w:w="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320" w:type="dxa"/>
            <w:vAlign w:val="bottom"/>
            <w:shd w:val="clear" w:color="auto" w:fill="D2DCE5"/>
          </w:tcPr>
          <w:p>
            <w:pPr>
              <w:spacing w:after="0"/>
              <w:rPr>
                <w:sz w:val="22"/>
                <w:szCs w:val="22"/>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(469)</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00" w:type="dxa"/>
            <w:vAlign w:val="bottom"/>
            <w:gridSpan w:val="5"/>
          </w:tcPr>
          <w:p>
            <w:pPr>
              <w:ind w:left="20"/>
              <w:spacing w:after="0"/>
              <w:rPr>
                <w:sz w:val="20"/>
                <w:szCs w:val="20"/>
                <w:color w:val="auto"/>
              </w:rPr>
            </w:pPr>
            <w:r>
              <w:rPr>
                <w:rFonts w:ascii="Arial" w:cs="Arial" w:eastAsia="Arial" w:hAnsi="Arial"/>
                <w:sz w:val="18"/>
                <w:szCs w:val="18"/>
                <w:color w:val="131E29"/>
              </w:rPr>
              <w:t>Statements of Operations - Income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080" w:type="dxa"/>
            <w:vAlign w:val="bottom"/>
            <w:gridSpan w:val="2"/>
          </w:tcPr>
          <w:p>
            <w:pPr>
              <w:ind w:left="140"/>
              <w:spacing w:after="0"/>
              <w:rPr>
                <w:sz w:val="20"/>
                <w:szCs w:val="20"/>
                <w:color w:val="auto"/>
              </w:rPr>
            </w:pPr>
            <w:r>
              <w:rPr>
                <w:rFonts w:ascii="Arial" w:cs="Arial" w:eastAsia="Arial" w:hAnsi="Arial"/>
                <w:sz w:val="18"/>
                <w:szCs w:val="18"/>
                <w:color w:val="131E29"/>
              </w:rPr>
              <w:t>Income tax benefit (expense)</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900" w:type="dxa"/>
            <w:vAlign w:val="bottom"/>
            <w:gridSpan w:val="5"/>
          </w:tcPr>
          <w:p>
            <w:pPr>
              <w:ind w:left="20"/>
              <w:spacing w:after="0"/>
              <w:rPr>
                <w:sz w:val="20"/>
                <w:szCs w:val="20"/>
                <w:color w:val="auto"/>
              </w:rPr>
            </w:pPr>
            <w:r>
              <w:rPr>
                <w:rFonts w:ascii="Arial" w:cs="Arial" w:eastAsia="Arial" w:hAnsi="Arial"/>
                <w:sz w:val="18"/>
                <w:szCs w:val="18"/>
                <w:color w:val="131E29"/>
              </w:rPr>
              <w:t>tax expense</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60" w:type="dxa"/>
            <w:vAlign w:val="bottom"/>
            <w:gridSpan w:val="4"/>
          </w:tcPr>
          <w:p>
            <w:pPr>
              <w:jc w:val="right"/>
              <w:spacing w:after="0"/>
              <w:rPr>
                <w:sz w:val="20"/>
                <w:szCs w:val="20"/>
                <w:color w:val="auto"/>
              </w:rPr>
            </w:pPr>
            <w:r>
              <w:rPr>
                <w:rFonts w:ascii="Arial" w:cs="Arial" w:eastAsia="Arial" w:hAnsi="Arial"/>
                <w:sz w:val="18"/>
                <w:szCs w:val="18"/>
                <w:color w:val="006098"/>
                <w:w w:val="99"/>
              </w:rPr>
              <w:t>93</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131E29"/>
              </w:rPr>
              <w:t>(79)</w:t>
            </w:r>
          </w:p>
        </w:tc>
        <w:tc>
          <w:tcPr>
            <w:tcW w:w="0" w:type="dxa"/>
            <w:vAlign w:val="bottom"/>
          </w:tcPr>
          <w:p>
            <w:pPr>
              <w:spacing w:after="0"/>
              <w:rPr>
                <w:sz w:val="1"/>
                <w:szCs w:val="1"/>
                <w:color w:val="auto"/>
              </w:rPr>
            </w:pPr>
          </w:p>
        </w:tc>
      </w:tr>
      <w:tr>
        <w:trPr>
          <w:trHeight w:val="522"/>
        </w:trPr>
        <w:tc>
          <w:tcPr>
            <w:tcW w:w="4080" w:type="dxa"/>
            <w:vAlign w:val="bottom"/>
            <w:gridSpan w:val="2"/>
          </w:tcPr>
          <w:p>
            <w:pPr>
              <w:spacing w:after="0"/>
              <w:rPr>
                <w:sz w:val="20"/>
                <w:szCs w:val="20"/>
                <w:color w:val="auto"/>
              </w:rPr>
            </w:pPr>
            <w:r>
              <w:rPr>
                <w:rFonts w:ascii="Arial" w:cs="Arial" w:eastAsia="Arial" w:hAnsi="Arial"/>
                <w:sz w:val="22"/>
                <w:szCs w:val="22"/>
                <w:b w:val="1"/>
                <w:bCs w:val="1"/>
                <w:color w:val="00416B"/>
              </w:rPr>
              <w:t>NOTE 11 — Income Taxes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D7282F"/>
            </w:tcBorders>
          </w:tcPr>
          <w:p>
            <w:pPr>
              <w:spacing w:after="0"/>
              <w:rPr>
                <w:sz w:val="24"/>
                <w:szCs w:val="24"/>
                <w:color w:val="auto"/>
              </w:rPr>
            </w:pPr>
          </w:p>
        </w:tc>
        <w:tc>
          <w:tcPr>
            <w:tcW w:w="120" w:type="dxa"/>
            <w:vAlign w:val="bottom"/>
            <w:tcBorders>
              <w:bottom w:val="single" w:sz="8" w:color="D7282F"/>
            </w:tcBorders>
          </w:tcPr>
          <w:p>
            <w:pPr>
              <w:spacing w:after="0"/>
              <w:rPr>
                <w:sz w:val="24"/>
                <w:szCs w:val="24"/>
                <w:color w:val="auto"/>
              </w:rPr>
            </w:pPr>
          </w:p>
        </w:tc>
        <w:tc>
          <w:tcPr>
            <w:tcW w:w="4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120" w:type="dxa"/>
            <w:vAlign w:val="bottom"/>
            <w:tcBorders>
              <w:bottom w:val="single" w:sz="8" w:color="D7282F"/>
            </w:tcBorders>
          </w:tcPr>
          <w:p>
            <w:pPr>
              <w:spacing w:after="0"/>
              <w:rPr>
                <w:sz w:val="24"/>
                <w:szCs w:val="24"/>
                <w:color w:val="auto"/>
              </w:rPr>
            </w:pPr>
          </w:p>
        </w:tc>
        <w:tc>
          <w:tcPr>
            <w:tcW w:w="3100" w:type="dxa"/>
            <w:vAlign w:val="bottom"/>
            <w:tcBorders>
              <w:bottom w:val="single" w:sz="8" w:color="D7282F"/>
            </w:tcBorders>
            <w:gridSpan w:val="10"/>
          </w:tcPr>
          <w:p>
            <w:pPr>
              <w:jc w:val="right"/>
              <w:ind w:right="330"/>
              <w:spacing w:after="0"/>
              <w:rPr>
                <w:sz w:val="20"/>
                <w:szCs w:val="20"/>
                <w:color w:val="auto"/>
              </w:rPr>
            </w:pPr>
            <w:r>
              <w:rPr>
                <w:rFonts w:ascii="Arial" w:cs="Arial" w:eastAsia="Arial" w:hAnsi="Arial"/>
                <w:sz w:val="18"/>
                <w:szCs w:val="18"/>
                <w:b w:val="1"/>
                <w:bCs w:val="1"/>
                <w:color w:val="131E29"/>
                <w:w w:val="99"/>
              </w:rPr>
              <w:t>Three Months Ended March 31,</w:t>
            </w:r>
          </w:p>
        </w:tc>
        <w:tc>
          <w:tcPr>
            <w:tcW w:w="0" w:type="dxa"/>
            <w:vAlign w:val="bottom"/>
          </w:tcPr>
          <w:p>
            <w:pPr>
              <w:spacing w:after="0"/>
              <w:rPr>
                <w:sz w:val="1"/>
                <w:szCs w:val="1"/>
                <w:color w:val="auto"/>
              </w:rPr>
            </w:pPr>
          </w:p>
        </w:tc>
      </w:tr>
      <w:tr>
        <w:trPr>
          <w:trHeight w:val="263"/>
        </w:trPr>
        <w:tc>
          <w:tcPr>
            <w:tcW w:w="408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color w:val="131E29"/>
              </w:rPr>
              <w:t>(dollars in thousands)</w:t>
            </w:r>
          </w:p>
        </w:tc>
        <w:tc>
          <w:tcPr>
            <w:tcW w:w="820" w:type="dxa"/>
            <w:vAlign w:val="bottom"/>
            <w:tcBorders>
              <w:bottom w:val="single" w:sz="8" w:color="D7282F"/>
            </w:tcBorders>
          </w:tcPr>
          <w:p>
            <w:pPr>
              <w:spacing w:after="0"/>
              <w:rPr>
                <w:sz w:val="22"/>
                <w:szCs w:val="22"/>
                <w:color w:val="auto"/>
              </w:rPr>
            </w:pPr>
          </w:p>
        </w:tc>
        <w:tc>
          <w:tcPr>
            <w:tcW w:w="80" w:type="dxa"/>
            <w:vAlign w:val="bottom"/>
            <w:tcBorders>
              <w:bottom w:val="single" w:sz="8" w:color="D7282F"/>
            </w:tcBorders>
          </w:tcPr>
          <w:p>
            <w:pPr>
              <w:spacing w:after="0"/>
              <w:rPr>
                <w:sz w:val="22"/>
                <w:szCs w:val="22"/>
                <w:color w:val="auto"/>
              </w:rPr>
            </w:pPr>
          </w:p>
        </w:tc>
        <w:tc>
          <w:tcPr>
            <w:tcW w:w="2660" w:type="dxa"/>
            <w:vAlign w:val="bottom"/>
            <w:tcBorders>
              <w:bottom w:val="single" w:sz="8" w:color="D7282F"/>
            </w:tcBorders>
          </w:tcPr>
          <w:p>
            <w:pPr>
              <w:spacing w:after="0"/>
              <w:rPr>
                <w:sz w:val="22"/>
                <w:szCs w:val="22"/>
                <w:color w:val="auto"/>
              </w:rPr>
            </w:pPr>
          </w:p>
        </w:tc>
        <w:tc>
          <w:tcPr>
            <w:tcW w:w="20" w:type="dxa"/>
            <w:vAlign w:val="bottom"/>
            <w:tcBorders>
              <w:bottom w:val="single" w:sz="8" w:color="D2DCE5"/>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120" w:type="dxa"/>
            <w:vAlign w:val="bottom"/>
            <w:tcBorders>
              <w:bottom w:val="single" w:sz="8" w:color="D7282F"/>
            </w:tcBorders>
          </w:tcPr>
          <w:p>
            <w:pPr>
              <w:spacing w:after="0"/>
              <w:rPr>
                <w:sz w:val="22"/>
                <w:szCs w:val="22"/>
                <w:color w:val="auto"/>
              </w:rPr>
            </w:pPr>
          </w:p>
        </w:tc>
        <w:tc>
          <w:tcPr>
            <w:tcW w:w="40" w:type="dxa"/>
            <w:vAlign w:val="bottom"/>
            <w:tcBorders>
              <w:bottom w:val="single" w:sz="8" w:color="D7282F"/>
            </w:tcBorders>
          </w:tcPr>
          <w:p>
            <w:pPr>
              <w:spacing w:after="0"/>
              <w:rPr>
                <w:sz w:val="22"/>
                <w:szCs w:val="22"/>
                <w:color w:val="auto"/>
              </w:rPr>
            </w:pPr>
          </w:p>
        </w:tc>
        <w:tc>
          <w:tcPr>
            <w:tcW w:w="100" w:type="dxa"/>
            <w:vAlign w:val="bottom"/>
            <w:tcBorders>
              <w:bottom w:val="single" w:sz="8" w:color="D7282F"/>
            </w:tcBorders>
          </w:tcPr>
          <w:p>
            <w:pPr>
              <w:spacing w:after="0"/>
              <w:rPr>
                <w:sz w:val="22"/>
                <w:szCs w:val="22"/>
                <w:color w:val="auto"/>
              </w:rPr>
            </w:pPr>
          </w:p>
        </w:tc>
        <w:tc>
          <w:tcPr>
            <w:tcW w:w="120" w:type="dxa"/>
            <w:vAlign w:val="bottom"/>
            <w:tcBorders>
              <w:bottom w:val="single" w:sz="8" w:color="D7282F"/>
            </w:tcBorders>
          </w:tcPr>
          <w:p>
            <w:pPr>
              <w:spacing w:after="0"/>
              <w:rPr>
                <w:sz w:val="22"/>
                <w:szCs w:val="22"/>
                <w:color w:val="auto"/>
              </w:rPr>
            </w:pPr>
          </w:p>
        </w:tc>
        <w:tc>
          <w:tcPr>
            <w:tcW w:w="1140" w:type="dxa"/>
            <w:vAlign w:val="bottom"/>
            <w:tcBorders>
              <w:bottom w:val="single" w:sz="8" w:color="D7282F"/>
            </w:tcBorders>
          </w:tcPr>
          <w:p>
            <w:pPr>
              <w:jc w:val="right"/>
              <w:ind w:right="390"/>
              <w:spacing w:after="0"/>
              <w:rPr>
                <w:sz w:val="20"/>
                <w:szCs w:val="20"/>
                <w:color w:val="auto"/>
              </w:rPr>
            </w:pPr>
            <w:r>
              <w:rPr>
                <w:rFonts w:ascii="Arial" w:cs="Arial" w:eastAsia="Arial" w:hAnsi="Arial"/>
                <w:sz w:val="18"/>
                <w:szCs w:val="18"/>
                <w:b w:val="1"/>
                <w:bCs w:val="1"/>
                <w:color w:val="131E29"/>
              </w:rPr>
              <w:t>2025</w:t>
            </w:r>
          </w:p>
        </w:tc>
        <w:tc>
          <w:tcPr>
            <w:tcW w:w="40" w:type="dxa"/>
            <w:vAlign w:val="bottom"/>
            <w:tcBorders>
              <w:bottom w:val="single" w:sz="8" w:color="D7282F"/>
            </w:tcBorders>
          </w:tcPr>
          <w:p>
            <w:pPr>
              <w:spacing w:after="0"/>
              <w:rPr>
                <w:sz w:val="22"/>
                <w:szCs w:val="22"/>
                <w:color w:val="auto"/>
              </w:rPr>
            </w:pPr>
          </w:p>
        </w:tc>
        <w:tc>
          <w:tcPr>
            <w:tcW w:w="100" w:type="dxa"/>
            <w:vAlign w:val="bottom"/>
            <w:tcBorders>
              <w:bottom w:val="single" w:sz="8" w:color="D7282F"/>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100" w:type="dxa"/>
            <w:vAlign w:val="bottom"/>
            <w:tcBorders>
              <w:bottom w:val="single" w:sz="8" w:color="D7282F"/>
            </w:tcBorders>
          </w:tcPr>
          <w:p>
            <w:pPr>
              <w:spacing w:after="0"/>
              <w:rPr>
                <w:sz w:val="22"/>
                <w:szCs w:val="22"/>
                <w:color w:val="auto"/>
              </w:rPr>
            </w:pPr>
          </w:p>
        </w:tc>
        <w:tc>
          <w:tcPr>
            <w:tcW w:w="320" w:type="dxa"/>
            <w:vAlign w:val="bottom"/>
            <w:tcBorders>
              <w:bottom w:val="single" w:sz="8" w:color="D7282F"/>
            </w:tcBorders>
          </w:tcPr>
          <w:p>
            <w:pPr>
              <w:spacing w:after="0"/>
              <w:rPr>
                <w:sz w:val="22"/>
                <w:szCs w:val="22"/>
                <w:color w:val="auto"/>
              </w:rPr>
            </w:pPr>
          </w:p>
        </w:tc>
        <w:tc>
          <w:tcPr>
            <w:tcW w:w="1240" w:type="dxa"/>
            <w:vAlign w:val="bottom"/>
            <w:tcBorders>
              <w:bottom w:val="single" w:sz="8" w:color="D7282F"/>
            </w:tcBorders>
          </w:tcPr>
          <w:p>
            <w:pPr>
              <w:jc w:val="right"/>
              <w:ind w:right="570"/>
              <w:spacing w:after="0"/>
              <w:rPr>
                <w:sz w:val="20"/>
                <w:szCs w:val="20"/>
                <w:color w:val="auto"/>
              </w:rPr>
            </w:pPr>
            <w:r>
              <w:rPr>
                <w:rFonts w:ascii="Arial" w:cs="Arial" w:eastAsia="Arial" w:hAnsi="Arial"/>
                <w:sz w:val="18"/>
                <w:szCs w:val="18"/>
                <w:b w:val="1"/>
                <w:bCs w:val="1"/>
                <w:color w:val="131E29"/>
              </w:rPr>
              <w:t>2024</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w:t>
            </w:r>
          </w:p>
        </w:tc>
        <w:tc>
          <w:tcPr>
            <w:tcW w:w="8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900" w:type="dxa"/>
            <w:vAlign w:val="bottom"/>
            <w:tcBorders>
              <w:bottom w:val="single" w:sz="8" w:color="D2DCE5"/>
            </w:tcBorders>
            <w:gridSpan w:val="5"/>
            <w:shd w:val="clear" w:color="auto" w:fill="D2DCE5"/>
          </w:tcPr>
          <w:p>
            <w:pPr>
              <w:ind w:left="2780"/>
              <w:spacing w:after="0"/>
              <w:rPr>
                <w:sz w:val="20"/>
                <w:szCs w:val="20"/>
                <w:color w:val="auto"/>
              </w:rPr>
            </w:pPr>
            <w:r>
              <w:rPr>
                <w:rFonts w:ascii="Arial" w:cs="Arial" w:eastAsia="Arial" w:hAnsi="Arial"/>
                <w:sz w:val="18"/>
                <w:szCs w:val="18"/>
                <w:color w:val="006098"/>
                <w:w w:val="99"/>
              </w:rPr>
              <w:t>$</w:t>
            </w:r>
          </w:p>
        </w:tc>
        <w:tc>
          <w:tcPr>
            <w:tcW w:w="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1,459</w:t>
            </w:r>
          </w:p>
        </w:tc>
        <w:tc>
          <w:tcPr>
            <w:tcW w:w="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gridSpan w:val="2"/>
            <w:shd w:val="clear" w:color="auto" w:fill="D2DCE5"/>
          </w:tcPr>
          <w:p>
            <w:pPr>
              <w:jc w:val="right"/>
              <w:ind w:right="20"/>
              <w:spacing w:after="0"/>
              <w:rPr>
                <w:sz w:val="20"/>
                <w:szCs w:val="20"/>
                <w:color w:val="auto"/>
              </w:rPr>
            </w:pPr>
            <w:r>
              <w:rPr>
                <w:rFonts w:ascii="Arial" w:cs="Arial" w:eastAsia="Arial" w:hAnsi="Arial"/>
                <w:sz w:val="18"/>
                <w:szCs w:val="18"/>
                <w:color w:val="131E29"/>
                <w:w w:val="79"/>
              </w:rPr>
              <w:t>$</w:t>
            </w:r>
          </w:p>
        </w:tc>
        <w:tc>
          <w:tcPr>
            <w:tcW w:w="320" w:type="dxa"/>
            <w:vAlign w:val="bottom"/>
            <w:tcBorders>
              <w:bottom w:val="single" w:sz="8" w:color="D2DCE5"/>
            </w:tcBorders>
            <w:shd w:val="clear" w:color="auto" w:fill="D2DCE5"/>
          </w:tcPr>
          <w:p>
            <w:pPr>
              <w:spacing w:after="0"/>
              <w:rPr>
                <w:sz w:val="21"/>
                <w:szCs w:val="21"/>
                <w:color w:val="auto"/>
              </w:rPr>
            </w:pPr>
          </w:p>
        </w:tc>
        <w:tc>
          <w:tcPr>
            <w:tcW w:w="124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rPr>
              <w:t>8,772</w:t>
            </w:r>
          </w:p>
        </w:tc>
        <w:tc>
          <w:tcPr>
            <w:tcW w:w="0" w:type="dxa"/>
            <w:vAlign w:val="bottom"/>
          </w:tcPr>
          <w:p>
            <w:pPr>
              <w:spacing w:after="0"/>
              <w:rPr>
                <w:sz w:val="1"/>
                <w:szCs w:val="1"/>
                <w:color w:val="auto"/>
              </w:rPr>
            </w:pPr>
          </w:p>
        </w:tc>
      </w:tr>
      <w:tr>
        <w:trPr>
          <w:trHeight w:val="247"/>
        </w:trPr>
        <w:tc>
          <w:tcPr>
            <w:tcW w:w="4080" w:type="dxa"/>
            <w:vAlign w:val="bottom"/>
            <w:gridSpan w:val="2"/>
          </w:tcPr>
          <w:p>
            <w:pPr>
              <w:ind w:left="20"/>
              <w:spacing w:after="0"/>
              <w:rPr>
                <w:sz w:val="20"/>
                <w:szCs w:val="20"/>
                <w:color w:val="auto"/>
              </w:rPr>
            </w:pPr>
            <w:r>
              <w:rPr>
                <w:rFonts w:ascii="Arial" w:cs="Arial" w:eastAsia="Arial" w:hAnsi="Arial"/>
                <w:sz w:val="18"/>
                <w:szCs w:val="18"/>
                <w:color w:val="131E29"/>
              </w:rPr>
              <w:t>Effective tax rate</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006098"/>
              </w:rPr>
              <w:t>6.1 %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131E29"/>
              </w:rPr>
              <w:t>35.1 %</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effective tax rate for the quarter ended March 31, 2025, was 6.1%, which reflects the US federal statutory rate of 21% on pre-tax income, offset with the tax benefits of federal tax credits, income attributable to non-controlling interests, and tax deductions related to stock-based compensation.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decrease in the effective tax rate from 35.1% in the same period in 2024 is due to tax deductions related to stock-based compensation, as well as a change in state earnings mix that occurred in 2024.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Tax Receivable Agreements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In connection with our IPO, we executed two TRAs which require payment to certain Dutch Bros OpCo owners of 85% of the income tax benefits, if any, that we actually realize or in some cases is deemed to realize (calculated using certain assumptions) as a result of certain tax attributes and benefits covered by the TRAs.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TRAs-related liabilities are classified on our condensed consolidated balance sheets as current or non-current based on the expected date of payment under the captions “Current portion of tax receivable agreements liability” and “Tax receivable agreements liability, net of current portion,”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 xml:space="preserve">As of March 31, 2025, our total TRAs-related liabilities were </w:t>
      </w:r>
      <w:r>
        <w:rPr>
          <w:rFonts w:ascii="Arial" w:cs="Arial" w:eastAsia="Arial" w:hAnsi="Arial"/>
          <w:sz w:val="18"/>
          <w:szCs w:val="18"/>
          <w:color w:val="000000"/>
        </w:rPr>
        <w:t>$799.5 million.</w:t>
      </w:r>
      <w:r>
        <w:rPr>
          <w:rFonts w:ascii="Arial" w:cs="Arial" w:eastAsia="Arial" w:hAnsi="Arial"/>
          <w:sz w:val="18"/>
          <w:szCs w:val="18"/>
          <w:color w:val="131E29"/>
        </w:rPr>
        <w:t xml:space="preserve"> The changes related to these liabilities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6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140" w:type="dxa"/>
            <w:vAlign w:val="bottom"/>
            <w:tcBorders>
              <w:bottom w:val="single" w:sz="8" w:color="D7282F"/>
            </w:tcBorders>
          </w:tcPr>
          <w:p>
            <w:pPr>
              <w:spacing w:after="0"/>
              <w:rPr>
                <w:sz w:val="22"/>
                <w:szCs w:val="22"/>
                <w:color w:val="auto"/>
              </w:rPr>
            </w:pPr>
          </w:p>
        </w:tc>
        <w:tc>
          <w:tcPr>
            <w:tcW w:w="1440" w:type="dxa"/>
            <w:vAlign w:val="bottom"/>
            <w:tcBorders>
              <w:bottom w:val="single" w:sz="8" w:color="D7282F"/>
            </w:tcBorders>
          </w:tcPr>
          <w:p>
            <w:pPr>
              <w:jc w:val="right"/>
              <w:ind w:right="50"/>
              <w:spacing w:after="0"/>
              <w:rPr>
                <w:sz w:val="20"/>
                <w:szCs w:val="20"/>
                <w:color w:val="auto"/>
              </w:rPr>
            </w:pPr>
            <w:r>
              <w:rPr>
                <w:rFonts w:ascii="Arial" w:cs="Arial" w:eastAsia="Arial" w:hAnsi="Arial"/>
                <w:sz w:val="18"/>
                <w:szCs w:val="18"/>
                <w:b w:val="1"/>
                <w:bCs w:val="1"/>
                <w:color w:val="131E29"/>
                <w:w w:val="99"/>
              </w:rPr>
              <w:t>March 31, 2025</w:t>
            </w:r>
          </w:p>
        </w:tc>
        <w:tc>
          <w:tcPr>
            <w:tcW w:w="100" w:type="dxa"/>
            <w:vAlign w:val="bottom"/>
            <w:tcBorders>
              <w:bottom w:val="single" w:sz="8" w:color="D2DCE5"/>
            </w:tcBorders>
          </w:tcPr>
          <w:p>
            <w:pPr>
              <w:spacing w:after="0"/>
              <w:rPr>
                <w:sz w:val="22"/>
                <w:szCs w:val="22"/>
                <w:color w:val="auto"/>
              </w:rPr>
            </w:pPr>
          </w:p>
        </w:tc>
        <w:tc>
          <w:tcPr>
            <w:tcW w:w="1820" w:type="dxa"/>
            <w:vAlign w:val="bottom"/>
            <w:tcBorders>
              <w:bottom w:val="single" w:sz="8" w:color="D7282F"/>
            </w:tcBorders>
            <w:gridSpan w:val="2"/>
          </w:tcPr>
          <w:p>
            <w:pPr>
              <w:jc w:val="right"/>
              <w:ind w:right="10"/>
              <w:spacing w:after="0"/>
              <w:rPr>
                <w:sz w:val="20"/>
                <w:szCs w:val="20"/>
                <w:color w:val="auto"/>
              </w:rPr>
            </w:pPr>
            <w:r>
              <w:rPr>
                <w:rFonts w:ascii="Arial" w:cs="Arial" w:eastAsia="Arial" w:hAnsi="Arial"/>
                <w:sz w:val="18"/>
                <w:szCs w:val="18"/>
                <w:b w:val="1"/>
                <w:bCs w:val="1"/>
                <w:color w:val="131E29"/>
              </w:rPr>
              <w:t>December 31, 2024</w:t>
            </w:r>
          </w:p>
        </w:tc>
      </w:tr>
      <w:tr>
        <w:trPr>
          <w:trHeight w:val="270"/>
        </w:trPr>
        <w:tc>
          <w:tcPr>
            <w:tcW w:w="774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Beginning balance</w:t>
            </w:r>
          </w:p>
        </w:tc>
        <w:tc>
          <w:tcPr>
            <w:tcW w:w="1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627,834</w:t>
            </w:r>
          </w:p>
        </w:tc>
        <w:tc>
          <w:tcPr>
            <w:tcW w:w="100" w:type="dxa"/>
            <w:vAlign w:val="bottom"/>
            <w:shd w:val="clear" w:color="auto" w:fill="D2DCE5"/>
          </w:tcPr>
          <w:p>
            <w:pPr>
              <w:spacing w:after="0"/>
              <w:rPr>
                <w:sz w:val="23"/>
                <w:szCs w:val="23"/>
                <w:color w:val="auto"/>
              </w:rPr>
            </w:pPr>
          </w:p>
        </w:tc>
        <w:tc>
          <w:tcPr>
            <w:tcW w:w="600" w:type="dxa"/>
            <w:vAlign w:val="bottom"/>
            <w:shd w:val="clear" w:color="auto" w:fill="D2DCE5"/>
          </w:tcPr>
          <w:p>
            <w:pPr>
              <w:jc w:val="right"/>
              <w:ind w:right="39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290,920</w:t>
            </w:r>
          </w:p>
        </w:tc>
      </w:tr>
      <w:tr>
        <w:trPr>
          <w:trHeight w:val="247"/>
        </w:trPr>
        <w:tc>
          <w:tcPr>
            <w:tcW w:w="7740" w:type="dxa"/>
            <w:vAlign w:val="bottom"/>
            <w:gridSpan w:val="2"/>
          </w:tcPr>
          <w:p>
            <w:pPr>
              <w:ind w:left="180"/>
              <w:spacing w:after="0"/>
              <w:rPr>
                <w:sz w:val="20"/>
                <w:szCs w:val="20"/>
                <w:color w:val="auto"/>
              </w:rPr>
            </w:pPr>
            <w:r>
              <w:rPr>
                <w:rFonts w:ascii="Arial" w:cs="Arial" w:eastAsia="Arial" w:hAnsi="Arial"/>
                <w:sz w:val="18"/>
                <w:szCs w:val="18"/>
                <w:color w:val="131E29"/>
              </w:rPr>
              <w:t>Additions (reductions) to TRAs:</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4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Exchange of Dutch Bros OpCo Class A common units for Class A common stock</w:t>
            </w:r>
          </w:p>
        </w:tc>
        <w:tc>
          <w:tcPr>
            <w:tcW w:w="140" w:type="dxa"/>
            <w:vAlign w:val="bottom"/>
            <w:tcBorders>
              <w:bottom w:val="single" w:sz="8" w:color="D2DCE5"/>
            </w:tcBorders>
            <w:shd w:val="clear" w:color="auto" w:fill="D2DCE5"/>
          </w:tcPr>
          <w:p>
            <w:pPr>
              <w:spacing w:after="0"/>
              <w:rPr>
                <w:sz w:val="21"/>
                <w:szCs w:val="21"/>
                <w:color w:val="auto"/>
              </w:rPr>
            </w:pP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171,695</w:t>
            </w:r>
          </w:p>
        </w:tc>
        <w:tc>
          <w:tcPr>
            <w:tcW w:w="100" w:type="dxa"/>
            <w:vAlign w:val="bottom"/>
            <w:tcBorders>
              <w:bottom w:val="single" w:sz="8" w:color="D2DCE5"/>
            </w:tcBorders>
            <w:shd w:val="clear" w:color="auto" w:fill="D2DCE5"/>
          </w:tcPr>
          <w:p>
            <w:pPr>
              <w:spacing w:after="0"/>
              <w:rPr>
                <w:sz w:val="21"/>
                <w:szCs w:val="21"/>
                <w:color w:val="auto"/>
              </w:rPr>
            </w:pPr>
          </w:p>
        </w:tc>
        <w:tc>
          <w:tcPr>
            <w:tcW w:w="60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341,161</w:t>
            </w:r>
          </w:p>
        </w:tc>
      </w:tr>
      <w:tr>
        <w:trPr>
          <w:trHeight w:val="247"/>
        </w:trPr>
        <w:tc>
          <w:tcPr>
            <w:tcW w:w="7740" w:type="dxa"/>
            <w:vAlign w:val="bottom"/>
            <w:gridSpan w:val="2"/>
          </w:tcPr>
          <w:p>
            <w:pPr>
              <w:ind w:left="360"/>
              <w:spacing w:after="0"/>
              <w:rPr>
                <w:sz w:val="20"/>
                <w:szCs w:val="20"/>
                <w:color w:val="auto"/>
              </w:rPr>
            </w:pPr>
            <w:r>
              <w:rPr>
                <w:rFonts w:ascii="Arial" w:cs="Arial" w:eastAsia="Arial" w:hAnsi="Arial"/>
                <w:sz w:val="18"/>
                <w:szCs w:val="18"/>
                <w:color w:val="131E29"/>
              </w:rPr>
              <w:t>Payments under TRA</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6098"/>
              </w:rPr>
              <w:t>(71)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w:t>
            </w:r>
          </w:p>
        </w:tc>
      </w:tr>
      <w:tr>
        <w:trPr>
          <w:trHeight w:val="2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740" w:type="dxa"/>
            <w:vAlign w:val="bottom"/>
            <w:gridSpan w:val="2"/>
            <w:shd w:val="clear" w:color="auto" w:fill="D2DCE5"/>
          </w:tcPr>
          <w:p>
            <w:pPr>
              <w:ind w:left="360"/>
              <w:spacing w:after="0"/>
              <w:rPr>
                <w:sz w:val="20"/>
                <w:szCs w:val="20"/>
                <w:color w:val="auto"/>
              </w:rPr>
            </w:pPr>
            <w:r>
              <w:rPr>
                <w:rFonts w:ascii="Arial" w:cs="Arial" w:eastAsia="Arial" w:hAnsi="Arial"/>
                <w:sz w:val="18"/>
                <w:szCs w:val="18"/>
                <w:color w:val="131E29"/>
              </w:rPr>
              <w:t xml:space="preserve">TRAs remeasurements </w:t>
            </w:r>
            <w:r>
              <w:rPr>
                <w:rFonts w:ascii="Arial" w:cs="Arial" w:eastAsia="Arial" w:hAnsi="Arial"/>
                <w:sz w:val="23"/>
                <w:szCs w:val="23"/>
                <w:color w:val="131E29"/>
                <w:vertAlign w:val="superscript"/>
              </w:rPr>
              <w:t>1</w:t>
            </w:r>
          </w:p>
        </w:tc>
        <w:tc>
          <w:tcPr>
            <w:tcW w:w="140" w:type="dxa"/>
            <w:vAlign w:val="bottom"/>
            <w:tcBorders>
              <w:bottom w:val="single" w:sz="8" w:color="auto"/>
            </w:tcBorders>
            <w:shd w:val="clear" w:color="auto" w:fill="D2DCE5"/>
          </w:tcPr>
          <w:p>
            <w:pPr>
              <w:spacing w:after="0"/>
              <w:rPr>
                <w:sz w:val="23"/>
                <w:szCs w:val="23"/>
                <w:color w:val="auto"/>
              </w:rPr>
            </w:pP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w:t>
            </w:r>
          </w:p>
        </w:tc>
        <w:tc>
          <w:tcPr>
            <w:tcW w:w="100" w:type="dxa"/>
            <w:vAlign w:val="bottom"/>
            <w:shd w:val="clear" w:color="auto" w:fill="D2DCE5"/>
          </w:tcPr>
          <w:p>
            <w:pPr>
              <w:spacing w:after="0"/>
              <w:rPr>
                <w:sz w:val="23"/>
                <w:szCs w:val="23"/>
                <w:color w:val="auto"/>
              </w:rPr>
            </w:pPr>
          </w:p>
        </w:tc>
        <w:tc>
          <w:tcPr>
            <w:tcW w:w="600" w:type="dxa"/>
            <w:vAlign w:val="bottom"/>
            <w:tcBorders>
              <w:bottom w:val="single" w:sz="8" w:color="auto"/>
            </w:tcBorders>
            <w:shd w:val="clear" w:color="auto" w:fill="D2DCE5"/>
          </w:tcPr>
          <w:p>
            <w:pPr>
              <w:spacing w:after="0"/>
              <w:rPr>
                <w:sz w:val="23"/>
                <w:szCs w:val="23"/>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(4,247)</w:t>
            </w:r>
          </w:p>
        </w:tc>
      </w:tr>
    </w:tbl>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740" w:type="dxa"/>
            <w:vAlign w:val="bottom"/>
          </w:tcPr>
          <w:p>
            <w:pPr>
              <w:ind w:left="20"/>
              <w:spacing w:after="0"/>
              <w:rPr>
                <w:sz w:val="20"/>
                <w:szCs w:val="20"/>
                <w:color w:val="auto"/>
              </w:rPr>
            </w:pPr>
            <w:r>
              <w:rPr>
                <w:rFonts w:ascii="Arial" w:cs="Arial" w:eastAsia="Arial" w:hAnsi="Arial"/>
                <w:sz w:val="18"/>
                <w:szCs w:val="18"/>
                <w:b w:val="1"/>
                <w:bCs w:val="1"/>
                <w:color w:val="131E29"/>
              </w:rPr>
              <w:t>Ending balance</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006098"/>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006098"/>
              </w:rPr>
              <w:t>799,458</w:t>
            </w:r>
          </w:p>
        </w:tc>
        <w:tc>
          <w:tcPr>
            <w:tcW w:w="100" w:type="dxa"/>
            <w:vAlign w:val="bottom"/>
          </w:tcPr>
          <w:p>
            <w:pPr>
              <w:spacing w:after="0"/>
              <w:rPr>
                <w:sz w:val="22"/>
                <w:szCs w:val="22"/>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131E29"/>
              </w:rPr>
              <w:t>627,834</w:t>
            </w:r>
          </w:p>
        </w:tc>
      </w:tr>
      <w:tr>
        <w:trPr>
          <w:trHeight w:val="278"/>
        </w:trPr>
        <w:tc>
          <w:tcPr>
            <w:tcW w:w="774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Less: current portion</w:t>
            </w:r>
          </w:p>
        </w:tc>
        <w:tc>
          <w:tcPr>
            <w:tcW w:w="480" w:type="dxa"/>
            <w:vAlign w:val="bottom"/>
            <w:tcBorders>
              <w:bottom w:val="single" w:sz="8" w:color="D2DCE5"/>
            </w:tcBorders>
            <w:shd w:val="clear" w:color="auto" w:fill="D2DCE5"/>
          </w:tcPr>
          <w:p>
            <w:pPr>
              <w:spacing w:after="0"/>
              <w:rPr>
                <w:sz w:val="24"/>
                <w:szCs w:val="24"/>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(5,212)</w:t>
            </w:r>
          </w:p>
        </w:tc>
        <w:tc>
          <w:tcPr>
            <w:tcW w:w="100" w:type="dxa"/>
            <w:vAlign w:val="bottom"/>
            <w:tcBorders>
              <w:bottom w:val="single" w:sz="8" w:color="D2DCE5"/>
            </w:tcBorders>
            <w:shd w:val="clear" w:color="auto" w:fill="D2DCE5"/>
          </w:tcPr>
          <w:p>
            <w:pPr>
              <w:spacing w:after="0"/>
              <w:rPr>
                <w:sz w:val="24"/>
                <w:szCs w:val="24"/>
                <w:color w:val="auto"/>
              </w:rPr>
            </w:pPr>
          </w:p>
        </w:tc>
        <w:tc>
          <w:tcPr>
            <w:tcW w:w="600" w:type="dxa"/>
            <w:vAlign w:val="bottom"/>
            <w:tcBorders>
              <w:bottom w:val="single" w:sz="8" w:color="D2DCE5"/>
            </w:tcBorders>
            <w:shd w:val="clear" w:color="auto" w:fill="D2DCE5"/>
          </w:tcPr>
          <w:p>
            <w:pPr>
              <w:spacing w:after="0"/>
              <w:rPr>
                <w:sz w:val="24"/>
                <w:szCs w:val="24"/>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(71)</w:t>
            </w:r>
          </w:p>
        </w:tc>
      </w:tr>
      <w:tr>
        <w:trPr>
          <w:trHeight w:val="264"/>
        </w:trPr>
        <w:tc>
          <w:tcPr>
            <w:tcW w:w="7740" w:type="dxa"/>
            <w:vAlign w:val="bottom"/>
          </w:tcPr>
          <w:p>
            <w:pPr>
              <w:ind w:left="20"/>
              <w:spacing w:after="0"/>
              <w:rPr>
                <w:sz w:val="20"/>
                <w:szCs w:val="20"/>
                <w:color w:val="auto"/>
              </w:rPr>
            </w:pPr>
            <w:r>
              <w:rPr>
                <w:rFonts w:ascii="Arial" w:cs="Arial" w:eastAsia="Arial" w:hAnsi="Arial"/>
                <w:sz w:val="18"/>
                <w:szCs w:val="18"/>
                <w:b w:val="1"/>
                <w:bCs w:val="1"/>
                <w:color w:val="131E29"/>
              </w:rPr>
              <w:t>TRAs liability, net of current portion</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006098"/>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794,246</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627,763</w:t>
            </w:r>
          </w:p>
        </w:tc>
      </w:tr>
      <w:tr>
        <w:trPr>
          <w:trHeight w:val="20"/>
        </w:trPr>
        <w:tc>
          <w:tcPr>
            <w:tcW w:w="7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44" w:lineRule="exact"/>
        <w:rPr>
          <w:sz w:val="20"/>
          <w:szCs w:val="20"/>
          <w:color w:val="auto"/>
        </w:rPr>
      </w:pPr>
    </w:p>
    <w:p>
      <w:pPr>
        <w:ind w:left="80" w:hanging="72"/>
        <w:spacing w:after="0"/>
        <w:tabs>
          <w:tab w:leader="none" w:pos="8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Impact primarily related to state tax rates and adjustments from previous estimates upon finalization of the tax attributes subject to the TRAs.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12 — Equity-Based Compensation</w:t>
      </w:r>
    </w:p>
    <w:p>
      <w:pPr>
        <w:sectPr>
          <w:pgSz w:w="11900" w:h="16838" w:orient="portrait"/>
          <w:cols w:equalWidth="0" w:num="1">
            <w:col w:w="11240"/>
          </w:cols>
          <w:pgMar w:left="320" w:top="130" w:right="3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Restricted Stock Units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RSU activity was as follows:</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except per share amounts)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December 31, 2024</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New grants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Vested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Forfeitures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March 31, 2025</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098"/>
        </w:rPr>
        <w:t>Performance-Based Stock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131E29"/>
                <w:w w:val="99"/>
              </w:rPr>
              <w:t>Restricted Stock</w:t>
            </w:r>
          </w:p>
        </w:tc>
        <w:tc>
          <w:tcPr>
            <w:tcW w:w="140" w:type="dxa"/>
            <w:vAlign w:val="bottom"/>
          </w:tcPr>
          <w:p>
            <w:pPr>
              <w:spacing w:after="0"/>
              <w:rPr>
                <w:sz w:val="18"/>
                <w:szCs w:val="18"/>
                <w:color w:val="auto"/>
              </w:rPr>
            </w:pPr>
          </w:p>
        </w:tc>
        <w:tc>
          <w:tcPr>
            <w:tcW w:w="2260" w:type="dxa"/>
            <w:vAlign w:val="bottom"/>
          </w:tcPr>
          <w:p>
            <w:pPr>
              <w:jc w:val="right"/>
              <w:ind w:right="90"/>
              <w:spacing w:after="0"/>
              <w:rPr>
                <w:sz w:val="20"/>
                <w:szCs w:val="20"/>
                <w:color w:val="auto"/>
              </w:rPr>
            </w:pPr>
            <w:r>
              <w:rPr>
                <w:rFonts w:ascii="Arial" w:cs="Arial" w:eastAsia="Arial" w:hAnsi="Arial"/>
                <w:sz w:val="18"/>
                <w:szCs w:val="18"/>
                <w:b w:val="1"/>
                <w:bCs w:val="1"/>
                <w:color w:val="131E29"/>
              </w:rPr>
              <w:t>Weighted-average grant</w:t>
            </w:r>
          </w:p>
        </w:tc>
      </w:tr>
      <w:tr>
        <w:trPr>
          <w:trHeight w:val="255"/>
        </w:trPr>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131E29"/>
                <w:w w:val="97"/>
              </w:rPr>
              <w:t>Units</w:t>
            </w:r>
          </w:p>
        </w:tc>
        <w:tc>
          <w:tcPr>
            <w:tcW w:w="140" w:type="dxa"/>
            <w:vAlign w:val="bottom"/>
          </w:tcPr>
          <w:p>
            <w:pPr>
              <w:spacing w:after="0"/>
              <w:rPr>
                <w:sz w:val="22"/>
                <w:szCs w:val="22"/>
                <w:color w:val="auto"/>
              </w:rPr>
            </w:pPr>
          </w:p>
        </w:tc>
        <w:tc>
          <w:tcPr>
            <w:tcW w:w="2260" w:type="dxa"/>
            <w:vAlign w:val="bottom"/>
          </w:tcPr>
          <w:p>
            <w:pPr>
              <w:jc w:val="right"/>
              <w:ind w:right="70"/>
              <w:spacing w:after="0"/>
              <w:rPr>
                <w:sz w:val="20"/>
                <w:szCs w:val="20"/>
                <w:color w:val="auto"/>
              </w:rPr>
            </w:pPr>
            <w:r>
              <w:rPr>
                <w:rFonts w:ascii="Arial" w:cs="Arial" w:eastAsia="Arial" w:hAnsi="Arial"/>
                <w:sz w:val="18"/>
                <w:szCs w:val="18"/>
                <w:b w:val="1"/>
                <w:bCs w:val="1"/>
                <w:color w:val="131E29"/>
              </w:rPr>
              <w:t>date fair value per share</w:t>
            </w:r>
          </w:p>
        </w:tc>
      </w:tr>
      <w:tr>
        <w:trPr>
          <w:trHeight w:val="255"/>
        </w:trPr>
        <w:tc>
          <w:tcPr>
            <w:tcW w:w="1560" w:type="dxa"/>
            <w:vAlign w:val="bottom"/>
            <w:tcBorders>
              <w:top w:val="single" w:sz="8" w:color="D7282F"/>
            </w:tcBorders>
          </w:tcPr>
          <w:p>
            <w:pPr>
              <w:jc w:val="right"/>
              <w:spacing w:after="0"/>
              <w:rPr>
                <w:sz w:val="20"/>
                <w:szCs w:val="20"/>
                <w:color w:val="auto"/>
              </w:rPr>
            </w:pPr>
            <w:r>
              <w:rPr>
                <w:rFonts w:ascii="Arial" w:cs="Arial" w:eastAsia="Arial" w:hAnsi="Arial"/>
                <w:sz w:val="18"/>
                <w:szCs w:val="18"/>
                <w:b w:val="1"/>
                <w:bCs w:val="1"/>
                <w:color w:val="131E29"/>
              </w:rPr>
              <w:t>1,211</w:t>
            </w:r>
          </w:p>
        </w:tc>
        <w:tc>
          <w:tcPr>
            <w:tcW w:w="100" w:type="dxa"/>
            <w:vAlign w:val="bottom"/>
          </w:tcPr>
          <w:p>
            <w:pPr>
              <w:spacing w:after="0"/>
              <w:rPr>
                <w:sz w:val="22"/>
                <w:szCs w:val="22"/>
                <w:color w:val="auto"/>
              </w:rPr>
            </w:pPr>
          </w:p>
        </w:tc>
        <w:tc>
          <w:tcPr>
            <w:tcW w:w="140" w:type="dxa"/>
            <w:vAlign w:val="bottom"/>
            <w:tcBorders>
              <w:top w:val="single" w:sz="8" w:color="D7282F"/>
            </w:tcBorders>
          </w:tcPr>
          <w:p>
            <w:pPr>
              <w:jc w:val="right"/>
              <w:spacing w:after="0"/>
              <w:rPr>
                <w:sz w:val="20"/>
                <w:szCs w:val="20"/>
                <w:color w:val="auto"/>
              </w:rPr>
            </w:pPr>
            <w:r>
              <w:rPr>
                <w:rFonts w:ascii="Arial" w:cs="Arial" w:eastAsia="Arial" w:hAnsi="Arial"/>
                <w:sz w:val="18"/>
                <w:szCs w:val="18"/>
                <w:b w:val="1"/>
                <w:bCs w:val="1"/>
                <w:color w:val="131E29"/>
                <w:w w:val="99"/>
              </w:rPr>
              <w:t>$</w:t>
            </w:r>
          </w:p>
        </w:tc>
        <w:tc>
          <w:tcPr>
            <w:tcW w:w="2260" w:type="dxa"/>
            <w:vAlign w:val="bottom"/>
            <w:tcBorders>
              <w:top w:val="single" w:sz="8" w:color="D7282F"/>
            </w:tcBorders>
          </w:tcPr>
          <w:p>
            <w:pPr>
              <w:jc w:val="right"/>
              <w:spacing w:after="0"/>
              <w:rPr>
                <w:sz w:val="20"/>
                <w:szCs w:val="20"/>
                <w:color w:val="auto"/>
              </w:rPr>
            </w:pPr>
            <w:r>
              <w:rPr>
                <w:rFonts w:ascii="Arial" w:cs="Arial" w:eastAsia="Arial" w:hAnsi="Arial"/>
                <w:sz w:val="18"/>
                <w:szCs w:val="18"/>
                <w:b w:val="1"/>
                <w:bCs w:val="1"/>
                <w:color w:val="131E29"/>
              </w:rPr>
              <w:t>32.38</w:t>
            </w:r>
          </w:p>
        </w:tc>
      </w:tr>
      <w:tr>
        <w:trPr>
          <w:trHeight w:val="289"/>
        </w:trPr>
        <w:tc>
          <w:tcPr>
            <w:tcW w:w="1560" w:type="dxa"/>
            <w:vAlign w:val="bottom"/>
          </w:tcPr>
          <w:p>
            <w:pPr>
              <w:jc w:val="right"/>
              <w:spacing w:after="0"/>
              <w:rPr>
                <w:sz w:val="20"/>
                <w:szCs w:val="20"/>
                <w:color w:val="auto"/>
              </w:rPr>
            </w:pPr>
            <w:r>
              <w:rPr>
                <w:rFonts w:ascii="Arial" w:cs="Arial" w:eastAsia="Arial" w:hAnsi="Arial"/>
                <w:sz w:val="18"/>
                <w:szCs w:val="18"/>
                <w:color w:val="006098"/>
              </w:rPr>
              <w:t>233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006098"/>
              </w:rPr>
              <w:t>82.03</w:t>
            </w:r>
          </w:p>
        </w:tc>
      </w:tr>
      <w:tr>
        <w:trPr>
          <w:trHeight w:val="270"/>
        </w:trPr>
        <w:tc>
          <w:tcPr>
            <w:tcW w:w="1560" w:type="dxa"/>
            <w:vAlign w:val="bottom"/>
          </w:tcPr>
          <w:p>
            <w:pPr>
              <w:jc w:val="right"/>
              <w:spacing w:after="0"/>
              <w:rPr>
                <w:sz w:val="20"/>
                <w:szCs w:val="20"/>
                <w:color w:val="auto"/>
              </w:rPr>
            </w:pPr>
            <w:r>
              <w:rPr>
                <w:rFonts w:ascii="Arial" w:cs="Arial" w:eastAsia="Arial" w:hAnsi="Arial"/>
                <w:sz w:val="18"/>
                <w:szCs w:val="18"/>
                <w:color w:val="006098"/>
              </w:rPr>
              <w:t>(434)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006098"/>
              </w:rPr>
              <w:t>33.90</w:t>
            </w:r>
          </w:p>
        </w:tc>
      </w:tr>
      <w:tr>
        <w:trPr>
          <w:trHeight w:val="266"/>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(80)</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36.31</w:t>
            </w:r>
          </w:p>
        </w:tc>
      </w:tr>
      <w:tr>
        <w:trPr>
          <w:trHeight w:val="223"/>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930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43.76</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-530860</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-187960</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-882015</wp:posOffset>
            </wp:positionV>
            <wp:extent cx="713232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48" w:lineRule="exact"/>
        <w:rPr>
          <w:sz w:val="20"/>
          <w:szCs w:val="20"/>
          <w:color w:val="auto"/>
        </w:rPr>
      </w:pPr>
    </w:p>
    <w:p>
      <w:pPr>
        <w:sectPr>
          <w:pgSz w:w="11900" w:h="16838" w:orient="portrait"/>
          <w:cols w:equalWidth="0" w:num="2">
            <w:col w:w="6460" w:space="720"/>
            <w:col w:w="4060"/>
          </w:cols>
          <w:pgMar w:left="320" w:top="130" w:right="339" w:bottom="1440" w:gutter="0" w:footer="0" w:header="0"/>
          <w:type w:val="continuous"/>
        </w:sectPr>
      </w:pPr>
    </w:p>
    <w:p>
      <w:pPr>
        <w:jc w:val="both"/>
        <w:spacing w:after="0" w:line="257" w:lineRule="auto"/>
        <w:rPr>
          <w:sz w:val="20"/>
          <w:szCs w:val="20"/>
          <w:color w:val="auto"/>
        </w:rPr>
      </w:pPr>
      <w:r>
        <w:rPr>
          <w:rFonts w:ascii="Arial" w:cs="Arial" w:eastAsia="Arial" w:hAnsi="Arial"/>
          <w:sz w:val="18"/>
          <w:szCs w:val="18"/>
          <w:color w:val="131E29"/>
        </w:rPr>
        <w:t>During the three months ended March 31, 2025, we granted PSUs for the first time to a small group of senior employees. Our PSUs are subject to a three-year plus maximum 90-day service period and a market condition. The number of shares of Dutch Bros Inc.'s Class A common stock to be received at vesting range from 0% to 200% of the target amount. The payout percentage is based on TSR performance measured during a three-year performance period that commences on the grant date of any given award and ends three years from that date. TSR performance is measured based on Dutch Bros Inc.'s stock price appreciation compared to peer companies' stock price appreciation during the performance period. Forfeitures are recognized as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We estimate the fair value of PSUs using a Monte Carlo simulation model at the grant date. The estimated grant date fair value of $132.96 was derived from inputs and assumptions utilized in the valuation model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D7282F"/>
            </w:tcBorders>
          </w:tcPr>
          <w:p>
            <w:pPr>
              <w:spacing w:after="0"/>
              <w:rPr>
                <w:sz w:val="22"/>
                <w:szCs w:val="22"/>
                <w:color w:val="auto"/>
              </w:rPr>
            </w:pPr>
          </w:p>
        </w:tc>
        <w:tc>
          <w:tcPr>
            <w:tcW w:w="3140" w:type="dxa"/>
            <w:vAlign w:val="bottom"/>
            <w:tcBorders>
              <w:bottom w:val="single" w:sz="8" w:color="D7282F"/>
            </w:tcBorders>
            <w:gridSpan w:val="3"/>
          </w:tcPr>
          <w:p>
            <w:pPr>
              <w:ind w:left="120"/>
              <w:spacing w:after="0"/>
              <w:rPr>
                <w:sz w:val="20"/>
                <w:szCs w:val="20"/>
                <w:color w:val="auto"/>
              </w:rPr>
            </w:pPr>
            <w:r>
              <w:rPr>
                <w:rFonts w:ascii="Arial" w:cs="Arial" w:eastAsia="Arial" w:hAnsi="Arial"/>
                <w:sz w:val="18"/>
                <w:szCs w:val="18"/>
                <w:b w:val="1"/>
                <w:bCs w:val="1"/>
                <w:color w:val="131E29"/>
              </w:rPr>
              <w:t>Three Months Ended March 31,</w:t>
            </w:r>
          </w:p>
        </w:tc>
      </w:tr>
      <w:tr>
        <w:trPr>
          <w:trHeight w:val="263"/>
        </w:trPr>
        <w:tc>
          <w:tcPr>
            <w:tcW w:w="7780" w:type="dxa"/>
            <w:vAlign w:val="bottom"/>
            <w:tcBorders>
              <w:bottom w:val="single" w:sz="8" w:color="D7282F"/>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240" w:type="dxa"/>
            <w:vAlign w:val="bottom"/>
            <w:tcBorders>
              <w:bottom w:val="single" w:sz="8" w:color="D7282F"/>
            </w:tcBorders>
          </w:tcPr>
          <w:p>
            <w:pPr>
              <w:spacing w:after="0"/>
              <w:rPr>
                <w:sz w:val="22"/>
                <w:szCs w:val="22"/>
                <w:color w:val="auto"/>
              </w:rPr>
            </w:pPr>
          </w:p>
        </w:tc>
        <w:tc>
          <w:tcPr>
            <w:tcW w:w="1500" w:type="dxa"/>
            <w:vAlign w:val="bottom"/>
            <w:tcBorders>
              <w:bottom w:val="single" w:sz="8" w:color="D7282F"/>
            </w:tcBorders>
          </w:tcPr>
          <w:p>
            <w:pPr>
              <w:jc w:val="right"/>
              <w:ind w:right="590"/>
              <w:spacing w:after="0"/>
              <w:rPr>
                <w:sz w:val="20"/>
                <w:szCs w:val="20"/>
                <w:color w:val="auto"/>
              </w:rPr>
            </w:pPr>
            <w:r>
              <w:rPr>
                <w:rFonts w:ascii="Arial" w:cs="Arial" w:eastAsia="Arial" w:hAnsi="Arial"/>
                <w:sz w:val="18"/>
                <w:szCs w:val="18"/>
                <w:b w:val="1"/>
                <w:bCs w:val="1"/>
                <w:color w:val="131E29"/>
              </w:rPr>
              <w:t>2025</w:t>
            </w:r>
          </w:p>
        </w:tc>
        <w:tc>
          <w:tcPr>
            <w:tcW w:w="80" w:type="dxa"/>
            <w:vAlign w:val="bottom"/>
            <w:tcBorders>
              <w:bottom w:val="single" w:sz="8" w:color="D2DCE5"/>
            </w:tcBorders>
          </w:tcPr>
          <w:p>
            <w:pPr>
              <w:spacing w:after="0"/>
              <w:rPr>
                <w:sz w:val="22"/>
                <w:szCs w:val="22"/>
                <w:color w:val="auto"/>
              </w:rPr>
            </w:pPr>
          </w:p>
        </w:tc>
        <w:tc>
          <w:tcPr>
            <w:tcW w:w="1560" w:type="dxa"/>
            <w:vAlign w:val="bottom"/>
            <w:tcBorders>
              <w:bottom w:val="single" w:sz="8" w:color="D7282F"/>
            </w:tcBorders>
          </w:tcPr>
          <w:p>
            <w:pPr>
              <w:ind w:left="580"/>
              <w:spacing w:after="0"/>
              <w:rPr>
                <w:sz w:val="20"/>
                <w:szCs w:val="20"/>
                <w:color w:val="auto"/>
              </w:rPr>
            </w:pPr>
            <w:r>
              <w:rPr>
                <w:rFonts w:ascii="Arial" w:cs="Arial" w:eastAsia="Arial" w:hAnsi="Arial"/>
                <w:sz w:val="18"/>
                <w:szCs w:val="18"/>
                <w:b w:val="1"/>
                <w:bCs w:val="1"/>
                <w:color w:val="131E29"/>
              </w:rPr>
              <w:t>2024</w:t>
            </w:r>
          </w:p>
        </w:tc>
      </w:tr>
      <w:tr>
        <w:trPr>
          <w:trHeight w:val="270"/>
        </w:trPr>
        <w:tc>
          <w:tcPr>
            <w:tcW w:w="78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Grant date stock price</w:t>
            </w:r>
          </w:p>
        </w:tc>
        <w:tc>
          <w:tcPr>
            <w:tcW w:w="24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006098"/>
                <w:w w:val="99"/>
              </w:rPr>
              <w:t>$</w:t>
            </w:r>
          </w:p>
        </w:tc>
        <w:tc>
          <w:tcPr>
            <w:tcW w:w="150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006098"/>
              </w:rPr>
              <w:t>82.03</w:t>
            </w:r>
          </w:p>
        </w:tc>
        <w:tc>
          <w:tcPr>
            <w:tcW w:w="80" w:type="dxa"/>
            <w:vAlign w:val="bottom"/>
            <w:shd w:val="clear" w:color="auto" w:fill="D2DCE5"/>
          </w:tcPr>
          <w:p>
            <w:pPr>
              <w:spacing w:after="0"/>
              <w:rPr>
                <w:sz w:val="23"/>
                <w:szCs w:val="23"/>
                <w:color w:val="auto"/>
              </w:rPr>
            </w:pPr>
          </w:p>
        </w:tc>
        <w:tc>
          <w:tcPr>
            <w:tcW w:w="1560" w:type="dxa"/>
            <w:vAlign w:val="bottom"/>
            <w:shd w:val="clear" w:color="auto" w:fill="D2DCE5"/>
          </w:tcPr>
          <w:p>
            <w:pPr>
              <w:ind w:left="1240"/>
              <w:spacing w:after="0"/>
              <w:rPr>
                <w:sz w:val="20"/>
                <w:szCs w:val="20"/>
                <w:color w:val="auto"/>
              </w:rPr>
            </w:pPr>
            <w:r>
              <w:rPr>
                <w:rFonts w:ascii="Arial" w:cs="Arial" w:eastAsia="Arial" w:hAnsi="Arial"/>
                <w:sz w:val="18"/>
                <w:szCs w:val="18"/>
                <w:color w:val="131E29"/>
                <w:w w:val="99"/>
              </w:rPr>
              <w:t>N/A</w:t>
            </w:r>
          </w:p>
        </w:tc>
      </w:tr>
      <w:tr>
        <w:trPr>
          <w:trHeight w:val="270"/>
        </w:trPr>
        <w:tc>
          <w:tcPr>
            <w:tcW w:w="7860" w:type="dxa"/>
            <w:vAlign w:val="bottom"/>
            <w:gridSpan w:val="2"/>
          </w:tcPr>
          <w:p>
            <w:pPr>
              <w:ind w:left="20"/>
              <w:spacing w:after="0"/>
              <w:rPr>
                <w:sz w:val="20"/>
                <w:szCs w:val="20"/>
                <w:color w:val="auto"/>
              </w:rPr>
            </w:pPr>
            <w:r>
              <w:rPr>
                <w:rFonts w:ascii="Arial" w:cs="Arial" w:eastAsia="Arial" w:hAnsi="Arial"/>
                <w:sz w:val="18"/>
                <w:szCs w:val="18"/>
                <w:color w:val="131E29"/>
              </w:rPr>
              <w:t>Beginning average price</w:t>
            </w:r>
            <w:r>
              <w:rPr>
                <w:rFonts w:ascii="Arial" w:cs="Arial" w:eastAsia="Arial" w:hAnsi="Arial"/>
                <w:sz w:val="23"/>
                <w:szCs w:val="23"/>
                <w:color w:val="131E29"/>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006098"/>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006098"/>
              </w:rPr>
              <w:t>67.71</w:t>
            </w:r>
          </w:p>
        </w:tc>
        <w:tc>
          <w:tcPr>
            <w:tcW w:w="80" w:type="dxa"/>
            <w:vAlign w:val="bottom"/>
          </w:tcPr>
          <w:p>
            <w:pPr>
              <w:spacing w:after="0"/>
              <w:rPr>
                <w:sz w:val="23"/>
                <w:szCs w:val="23"/>
                <w:color w:val="auto"/>
              </w:rPr>
            </w:pPr>
          </w:p>
        </w:tc>
        <w:tc>
          <w:tcPr>
            <w:tcW w:w="1560" w:type="dxa"/>
            <w:vAlign w:val="bottom"/>
          </w:tcPr>
          <w:p>
            <w:pPr>
              <w:ind w:left="1240"/>
              <w:spacing w:after="0"/>
              <w:rPr>
                <w:sz w:val="20"/>
                <w:szCs w:val="20"/>
                <w:color w:val="auto"/>
              </w:rPr>
            </w:pPr>
            <w:r>
              <w:rPr>
                <w:rFonts w:ascii="Arial" w:cs="Arial" w:eastAsia="Arial" w:hAnsi="Arial"/>
                <w:sz w:val="18"/>
                <w:szCs w:val="18"/>
                <w:color w:val="131E29"/>
                <w:w w:val="99"/>
              </w:rPr>
              <w:t>N/A</w:t>
            </w:r>
          </w:p>
        </w:tc>
      </w:tr>
      <w:tr>
        <w:trPr>
          <w:trHeight w:val="270"/>
        </w:trPr>
        <w:tc>
          <w:tcPr>
            <w:tcW w:w="78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Risk-free interest rate</w:t>
            </w:r>
          </w:p>
        </w:tc>
        <w:tc>
          <w:tcPr>
            <w:tcW w:w="240" w:type="dxa"/>
            <w:vAlign w:val="bottom"/>
            <w:shd w:val="clear" w:color="auto" w:fill="D2DCE5"/>
          </w:tcPr>
          <w:p>
            <w:pPr>
              <w:spacing w:after="0"/>
              <w:rPr>
                <w:sz w:val="23"/>
                <w:szCs w:val="23"/>
                <w:color w:val="auto"/>
              </w:rPr>
            </w:pPr>
          </w:p>
        </w:tc>
        <w:tc>
          <w:tcPr>
            <w:tcW w:w="15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4.2 %</w:t>
            </w:r>
          </w:p>
        </w:tc>
        <w:tc>
          <w:tcPr>
            <w:tcW w:w="80" w:type="dxa"/>
            <w:vAlign w:val="bottom"/>
            <w:shd w:val="clear" w:color="auto" w:fill="D2DCE5"/>
          </w:tcPr>
          <w:p>
            <w:pPr>
              <w:spacing w:after="0"/>
              <w:rPr>
                <w:sz w:val="23"/>
                <w:szCs w:val="23"/>
                <w:color w:val="auto"/>
              </w:rPr>
            </w:pPr>
          </w:p>
        </w:tc>
        <w:tc>
          <w:tcPr>
            <w:tcW w:w="1560" w:type="dxa"/>
            <w:vAlign w:val="bottom"/>
            <w:shd w:val="clear" w:color="auto" w:fill="D2DCE5"/>
          </w:tcPr>
          <w:p>
            <w:pPr>
              <w:ind w:left="1240"/>
              <w:spacing w:after="0"/>
              <w:rPr>
                <w:sz w:val="20"/>
                <w:szCs w:val="20"/>
                <w:color w:val="auto"/>
              </w:rPr>
            </w:pPr>
            <w:r>
              <w:rPr>
                <w:rFonts w:ascii="Arial" w:cs="Arial" w:eastAsia="Arial" w:hAnsi="Arial"/>
                <w:sz w:val="18"/>
                <w:szCs w:val="18"/>
                <w:color w:val="131E29"/>
                <w:w w:val="99"/>
              </w:rPr>
              <w:t>N/A</w:t>
            </w:r>
          </w:p>
        </w:tc>
      </w:tr>
      <w:tr>
        <w:trPr>
          <w:trHeight w:val="274"/>
        </w:trPr>
        <w:tc>
          <w:tcPr>
            <w:tcW w:w="7860" w:type="dxa"/>
            <w:vAlign w:val="bottom"/>
            <w:gridSpan w:val="2"/>
          </w:tcPr>
          <w:p>
            <w:pPr>
              <w:ind w:left="20"/>
              <w:spacing w:after="0"/>
              <w:rPr>
                <w:sz w:val="20"/>
                <w:szCs w:val="20"/>
                <w:color w:val="auto"/>
              </w:rPr>
            </w:pPr>
            <w:r>
              <w:rPr>
                <w:rFonts w:ascii="Arial" w:cs="Arial" w:eastAsia="Arial" w:hAnsi="Arial"/>
                <w:sz w:val="18"/>
                <w:szCs w:val="18"/>
                <w:color w:val="131E29"/>
              </w:rPr>
              <w:t>Volatility</w:t>
            </w:r>
          </w:p>
        </w:tc>
        <w:tc>
          <w:tcPr>
            <w:tcW w:w="2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006098"/>
              </w:rPr>
              <w:t>63.1 %</w:t>
            </w:r>
          </w:p>
        </w:tc>
        <w:tc>
          <w:tcPr>
            <w:tcW w:w="80" w:type="dxa"/>
            <w:vAlign w:val="bottom"/>
          </w:tcPr>
          <w:p>
            <w:pPr>
              <w:spacing w:after="0"/>
              <w:rPr>
                <w:sz w:val="23"/>
                <w:szCs w:val="23"/>
                <w:color w:val="auto"/>
              </w:rPr>
            </w:pPr>
          </w:p>
        </w:tc>
        <w:tc>
          <w:tcPr>
            <w:tcW w:w="1560" w:type="dxa"/>
            <w:vAlign w:val="bottom"/>
          </w:tcPr>
          <w:p>
            <w:pPr>
              <w:ind w:left="1240"/>
              <w:spacing w:after="0"/>
              <w:rPr>
                <w:sz w:val="20"/>
                <w:szCs w:val="20"/>
                <w:color w:val="auto"/>
              </w:rPr>
            </w:pPr>
            <w:r>
              <w:rPr>
                <w:rFonts w:ascii="Arial" w:cs="Arial" w:eastAsia="Arial" w:hAnsi="Arial"/>
                <w:sz w:val="18"/>
                <w:szCs w:val="18"/>
                <w:color w:val="131E29"/>
                <w:w w:val="99"/>
              </w:rPr>
              <w:t>N/A</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44" w:lineRule="exact"/>
        <w:rPr>
          <w:sz w:val="20"/>
          <w:szCs w:val="20"/>
          <w:color w:val="auto"/>
        </w:rPr>
      </w:pPr>
    </w:p>
    <w:p>
      <w:pPr>
        <w:ind w:left="80" w:hanging="72"/>
        <w:spacing w:after="0"/>
        <w:tabs>
          <w:tab w:leader="none" w:pos="8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Beginning average price is calculated as the volume-weighted average daily closing stock price over the 30 trading days preceding the start of the PSU performance period.</w:t>
      </w:r>
    </w:p>
    <w:p>
      <w:pPr>
        <w:sectPr>
          <w:pgSz w:w="11900" w:h="16838" w:orient="portrait"/>
          <w:cols w:equalWidth="0" w:num="1">
            <w:col w:w="11240"/>
          </w:cols>
          <w:pgMar w:left="320" w:top="130" w:right="3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131E29"/>
        </w:rPr>
        <w:t>PSU activity was as follows:</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except per share amounts)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December 31, 2024</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New grants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Forfeitures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March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00" w:type="dxa"/>
            <w:vAlign w:val="bottom"/>
            <w:gridSpan w:val="2"/>
          </w:tcPr>
          <w:p>
            <w:pPr>
              <w:ind w:left="300"/>
              <w:spacing w:after="0"/>
              <w:rPr>
                <w:sz w:val="20"/>
                <w:szCs w:val="20"/>
                <w:color w:val="auto"/>
              </w:rPr>
            </w:pPr>
            <w:r>
              <w:rPr>
                <w:rFonts w:ascii="Arial" w:cs="Arial" w:eastAsia="Arial" w:hAnsi="Arial"/>
                <w:sz w:val="18"/>
                <w:szCs w:val="18"/>
                <w:b w:val="1"/>
                <w:bCs w:val="1"/>
                <w:color w:val="131E29"/>
              </w:rPr>
              <w:t>Performance -</w:t>
            </w:r>
          </w:p>
        </w:tc>
        <w:tc>
          <w:tcPr>
            <w:tcW w:w="140" w:type="dxa"/>
            <w:vAlign w:val="bottom"/>
          </w:tcPr>
          <w:p>
            <w:pPr>
              <w:spacing w:after="0"/>
              <w:rPr>
                <w:sz w:val="18"/>
                <w:szCs w:val="18"/>
                <w:color w:val="auto"/>
              </w:rPr>
            </w:pPr>
          </w:p>
        </w:tc>
        <w:tc>
          <w:tcPr>
            <w:tcW w:w="2260" w:type="dxa"/>
            <w:vAlign w:val="bottom"/>
          </w:tcPr>
          <w:p>
            <w:pPr>
              <w:jc w:val="right"/>
              <w:ind w:right="90"/>
              <w:spacing w:after="0"/>
              <w:rPr>
                <w:sz w:val="20"/>
                <w:szCs w:val="20"/>
                <w:color w:val="auto"/>
              </w:rPr>
            </w:pPr>
            <w:r>
              <w:rPr>
                <w:rFonts w:ascii="Arial" w:cs="Arial" w:eastAsia="Arial" w:hAnsi="Arial"/>
                <w:sz w:val="18"/>
                <w:szCs w:val="18"/>
                <w:b w:val="1"/>
                <w:bCs w:val="1"/>
                <w:color w:val="131E29"/>
              </w:rPr>
              <w:t>Weighted-average grant</w:t>
            </w:r>
          </w:p>
        </w:tc>
      </w:tr>
      <w:tr>
        <w:trPr>
          <w:trHeight w:val="255"/>
        </w:trPr>
        <w:tc>
          <w:tcPr>
            <w:tcW w:w="1800" w:type="dxa"/>
            <w:vAlign w:val="bottom"/>
            <w:tcBorders>
              <w:bottom w:val="single" w:sz="8" w:color="D7282F"/>
            </w:tcBorders>
          </w:tcPr>
          <w:p>
            <w:pPr>
              <w:jc w:val="right"/>
              <w:ind w:right="30"/>
              <w:spacing w:after="0"/>
              <w:rPr>
                <w:sz w:val="20"/>
                <w:szCs w:val="20"/>
                <w:color w:val="auto"/>
              </w:rPr>
            </w:pPr>
            <w:r>
              <w:rPr>
                <w:rFonts w:ascii="Arial" w:cs="Arial" w:eastAsia="Arial" w:hAnsi="Arial"/>
                <w:sz w:val="18"/>
                <w:szCs w:val="18"/>
                <w:b w:val="1"/>
                <w:bCs w:val="1"/>
                <w:color w:val="131E29"/>
              </w:rPr>
              <w:t>Based Stock Units</w:t>
            </w:r>
          </w:p>
        </w:tc>
        <w:tc>
          <w:tcPr>
            <w:tcW w:w="100" w:type="dxa"/>
            <w:vAlign w:val="bottom"/>
          </w:tcPr>
          <w:p>
            <w:pPr>
              <w:spacing w:after="0"/>
              <w:rPr>
                <w:sz w:val="22"/>
                <w:szCs w:val="22"/>
                <w:color w:val="auto"/>
              </w:rPr>
            </w:pPr>
          </w:p>
        </w:tc>
        <w:tc>
          <w:tcPr>
            <w:tcW w:w="140" w:type="dxa"/>
            <w:vAlign w:val="bottom"/>
            <w:tcBorders>
              <w:bottom w:val="single" w:sz="8" w:color="D7282F"/>
            </w:tcBorders>
          </w:tcPr>
          <w:p>
            <w:pPr>
              <w:spacing w:after="0"/>
              <w:rPr>
                <w:sz w:val="22"/>
                <w:szCs w:val="22"/>
                <w:color w:val="auto"/>
              </w:rPr>
            </w:pPr>
          </w:p>
        </w:tc>
        <w:tc>
          <w:tcPr>
            <w:tcW w:w="2260" w:type="dxa"/>
            <w:vAlign w:val="bottom"/>
            <w:tcBorders>
              <w:bottom w:val="single" w:sz="8" w:color="D7282F"/>
            </w:tcBorders>
          </w:tcPr>
          <w:p>
            <w:pPr>
              <w:jc w:val="right"/>
              <w:ind w:right="70"/>
              <w:spacing w:after="0"/>
              <w:rPr>
                <w:sz w:val="20"/>
                <w:szCs w:val="20"/>
                <w:color w:val="auto"/>
              </w:rPr>
            </w:pPr>
            <w:r>
              <w:rPr>
                <w:rFonts w:ascii="Arial" w:cs="Arial" w:eastAsia="Arial" w:hAnsi="Arial"/>
                <w:sz w:val="18"/>
                <w:szCs w:val="18"/>
                <w:b w:val="1"/>
                <w:bCs w:val="1"/>
                <w:color w:val="131E29"/>
              </w:rPr>
              <w:t>date fair value per share</w:t>
            </w:r>
          </w:p>
        </w:tc>
      </w:tr>
      <w:tr>
        <w:trPr>
          <w:trHeight w:val="282"/>
        </w:trPr>
        <w:tc>
          <w:tcPr>
            <w:tcW w:w="1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131E29"/>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131E29"/>
                <w:w w:val="99"/>
              </w:rPr>
              <w:t>$</w:t>
            </w:r>
          </w:p>
        </w:tc>
        <w:tc>
          <w:tcPr>
            <w:tcW w:w="2260" w:type="dxa"/>
            <w:vAlign w:val="bottom"/>
          </w:tcPr>
          <w:p>
            <w:pPr>
              <w:jc w:val="right"/>
              <w:spacing w:after="0"/>
              <w:rPr>
                <w:sz w:val="20"/>
                <w:szCs w:val="20"/>
                <w:color w:val="auto"/>
              </w:rPr>
            </w:pPr>
            <w:r>
              <w:rPr>
                <w:rFonts w:ascii="Arial" w:cs="Arial" w:eastAsia="Arial" w:hAnsi="Arial"/>
                <w:sz w:val="18"/>
                <w:szCs w:val="18"/>
                <w:b w:val="1"/>
                <w:bCs w:val="1"/>
                <w:color w:val="131E29"/>
              </w:rPr>
              <w:t>—</w:t>
            </w:r>
          </w:p>
        </w:tc>
      </w:tr>
      <w:tr>
        <w:trPr>
          <w:trHeight w:val="262"/>
        </w:trPr>
        <w:tc>
          <w:tcPr>
            <w:tcW w:w="1800" w:type="dxa"/>
            <w:vAlign w:val="bottom"/>
          </w:tcPr>
          <w:p>
            <w:pPr>
              <w:jc w:val="right"/>
              <w:spacing w:after="0"/>
              <w:rPr>
                <w:sz w:val="20"/>
                <w:szCs w:val="20"/>
                <w:color w:val="auto"/>
              </w:rPr>
            </w:pPr>
            <w:r>
              <w:rPr>
                <w:rFonts w:ascii="Arial" w:cs="Arial" w:eastAsia="Arial" w:hAnsi="Arial"/>
                <w:sz w:val="18"/>
                <w:szCs w:val="18"/>
                <w:color w:val="006098"/>
              </w:rPr>
              <w:t>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006098"/>
              </w:rPr>
              <w:t>132.96</w:t>
            </w:r>
          </w:p>
        </w:tc>
      </w:tr>
      <w:tr>
        <w:trPr>
          <w:trHeight w:val="266"/>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132.96</w:t>
            </w:r>
          </w:p>
        </w:tc>
      </w:tr>
      <w:tr>
        <w:trPr>
          <w:trHeight w:val="223"/>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61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132.96</w:t>
            </w: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-359410</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-711200</wp:posOffset>
            </wp:positionV>
            <wp:extent cx="713232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20" w:space="720"/>
            <w:col w:w="4300"/>
          </w:cols>
          <w:pgMar w:left="320" w:top="130"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131E29"/>
        </w:rPr>
        <w:t>Total release date fair value of vested equity awards for the three months ended March 31, 2025 and 2024 are presented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bottom w:val="single" w:sz="8" w:color="D7282F"/>
            </w:tcBorders>
          </w:tcPr>
          <w:p>
            <w:pPr>
              <w:spacing w:after="0"/>
              <w:rPr>
                <w:sz w:val="22"/>
                <w:szCs w:val="22"/>
                <w:color w:val="auto"/>
              </w:rPr>
            </w:pPr>
          </w:p>
        </w:tc>
        <w:tc>
          <w:tcPr>
            <w:tcW w:w="100" w:type="dxa"/>
            <w:vAlign w:val="bottom"/>
            <w:tcBorders>
              <w:bottom w:val="single" w:sz="8" w:color="D7282F"/>
            </w:tcBorders>
          </w:tcPr>
          <w:p>
            <w:pPr>
              <w:spacing w:after="0"/>
              <w:rPr>
                <w:sz w:val="22"/>
                <w:szCs w:val="22"/>
                <w:color w:val="auto"/>
              </w:rPr>
            </w:pPr>
          </w:p>
        </w:tc>
        <w:tc>
          <w:tcPr>
            <w:tcW w:w="300" w:type="dxa"/>
            <w:vAlign w:val="bottom"/>
            <w:tcBorders>
              <w:bottom w:val="single" w:sz="8" w:color="D7282F"/>
            </w:tcBorders>
          </w:tcPr>
          <w:p>
            <w:pPr>
              <w:spacing w:after="0"/>
              <w:rPr>
                <w:sz w:val="22"/>
                <w:szCs w:val="22"/>
                <w:color w:val="auto"/>
              </w:rPr>
            </w:pPr>
          </w:p>
        </w:tc>
        <w:tc>
          <w:tcPr>
            <w:tcW w:w="3120" w:type="dxa"/>
            <w:vAlign w:val="bottom"/>
            <w:tcBorders>
              <w:bottom w:val="single" w:sz="8" w:color="D7282F"/>
            </w:tcBorders>
            <w:gridSpan w:val="4"/>
          </w:tcPr>
          <w:p>
            <w:pPr>
              <w:ind w:left="80"/>
              <w:spacing w:after="0"/>
              <w:rPr>
                <w:sz w:val="20"/>
                <w:szCs w:val="20"/>
                <w:color w:val="auto"/>
              </w:rPr>
            </w:pPr>
            <w:r>
              <w:rPr>
                <w:rFonts w:ascii="Arial" w:cs="Arial" w:eastAsia="Arial" w:hAnsi="Arial"/>
                <w:sz w:val="18"/>
                <w:szCs w:val="18"/>
                <w:b w:val="1"/>
                <w:bCs w:val="1"/>
                <w:color w:val="131E29"/>
              </w:rPr>
              <w:t>Three Months Ended March 31,</w:t>
            </w:r>
          </w:p>
        </w:tc>
        <w:tc>
          <w:tcPr>
            <w:tcW w:w="420" w:type="dxa"/>
            <w:vAlign w:val="bottom"/>
            <w:tcBorders>
              <w:bottom w:val="single" w:sz="8" w:color="D7282F"/>
            </w:tcBorders>
          </w:tcPr>
          <w:p>
            <w:pPr>
              <w:spacing w:after="0"/>
              <w:rPr>
                <w:sz w:val="22"/>
                <w:szCs w:val="22"/>
                <w:color w:val="auto"/>
              </w:rPr>
            </w:pPr>
          </w:p>
        </w:tc>
        <w:tc>
          <w:tcPr>
            <w:tcW w:w="1260" w:type="dxa"/>
            <w:vAlign w:val="bottom"/>
            <w:tcBorders>
              <w:bottom w:val="single" w:sz="8" w:color="D7282F"/>
            </w:tcBorders>
          </w:tcPr>
          <w:p>
            <w:pPr>
              <w:spacing w:after="0"/>
              <w:rPr>
                <w:sz w:val="22"/>
                <w:szCs w:val="22"/>
                <w:color w:val="auto"/>
              </w:rPr>
            </w:pPr>
          </w:p>
        </w:tc>
      </w:tr>
      <w:tr>
        <w:trPr>
          <w:trHeight w:val="263"/>
        </w:trPr>
        <w:tc>
          <w:tcPr>
            <w:tcW w:w="43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100" w:type="dxa"/>
            <w:vAlign w:val="bottom"/>
          </w:tcPr>
          <w:p>
            <w:pPr>
              <w:spacing w:after="0"/>
              <w:rPr>
                <w:sz w:val="22"/>
                <w:szCs w:val="22"/>
                <w:color w:val="auto"/>
              </w:rPr>
            </w:pPr>
          </w:p>
        </w:tc>
        <w:tc>
          <w:tcPr>
            <w:tcW w:w="1960" w:type="dxa"/>
            <w:vAlign w:val="bottom"/>
            <w:tcBorders>
              <w:bottom w:val="single" w:sz="8" w:color="D7282F"/>
            </w:tcBorders>
            <w:gridSpan w:val="3"/>
          </w:tcPr>
          <w:p>
            <w:pPr>
              <w:jc w:val="right"/>
              <w:ind w:right="10"/>
              <w:spacing w:after="0"/>
              <w:rPr>
                <w:sz w:val="20"/>
                <w:szCs w:val="20"/>
                <w:color w:val="auto"/>
              </w:rPr>
            </w:pPr>
            <w:r>
              <w:rPr>
                <w:rFonts w:ascii="Arial" w:cs="Arial" w:eastAsia="Arial" w:hAnsi="Arial"/>
                <w:sz w:val="18"/>
                <w:szCs w:val="18"/>
                <w:b w:val="1"/>
                <w:bCs w:val="1"/>
                <w:color w:val="131E29"/>
              </w:rPr>
              <w:t>2025</w:t>
            </w:r>
          </w:p>
        </w:tc>
        <w:tc>
          <w:tcPr>
            <w:tcW w:w="1380" w:type="dxa"/>
            <w:vAlign w:val="bottom"/>
            <w:tcBorders>
              <w:bottom w:val="single" w:sz="8" w:color="D7282F"/>
            </w:tcBorders>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Borders>
              <w:bottom w:val="single" w:sz="8" w:color="D7282F"/>
            </w:tcBorders>
            <w:gridSpan w:val="3"/>
          </w:tcPr>
          <w:p>
            <w:pPr>
              <w:jc w:val="right"/>
              <w:ind w:right="110"/>
              <w:spacing w:after="0"/>
              <w:rPr>
                <w:sz w:val="20"/>
                <w:szCs w:val="20"/>
                <w:color w:val="auto"/>
              </w:rPr>
            </w:pPr>
            <w:r>
              <w:rPr>
                <w:rFonts w:ascii="Arial" w:cs="Arial" w:eastAsia="Arial" w:hAnsi="Arial"/>
                <w:sz w:val="18"/>
                <w:szCs w:val="18"/>
                <w:b w:val="1"/>
                <w:bCs w:val="1"/>
                <w:color w:val="131E29"/>
              </w:rPr>
              <w:t>2024</w:t>
            </w:r>
          </w:p>
        </w:tc>
        <w:tc>
          <w:tcPr>
            <w:tcW w:w="1260" w:type="dxa"/>
            <w:vAlign w:val="bottom"/>
            <w:tcBorders>
              <w:bottom w:val="single" w:sz="8" w:color="D7282F"/>
            </w:tcBorders>
          </w:tcPr>
          <w:p>
            <w:pPr>
              <w:spacing w:after="0"/>
              <w:rPr>
                <w:sz w:val="22"/>
                <w:szCs w:val="22"/>
                <w:color w:val="auto"/>
              </w:rPr>
            </w:pPr>
          </w:p>
        </w:tc>
      </w:tr>
      <w:tr>
        <w:trPr>
          <w:trHeight w:val="224"/>
        </w:trPr>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131E29"/>
              </w:rPr>
              <w:t>WA vest date fair</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131E29"/>
              </w:rPr>
              <w:t>WA vest date fair</w:t>
            </w:r>
          </w:p>
        </w:tc>
      </w:tr>
      <w:tr>
        <w:trPr>
          <w:trHeight w:val="255"/>
        </w:trPr>
        <w:tc>
          <w:tcPr>
            <w:tcW w:w="4380" w:type="dxa"/>
            <w:vAlign w:val="bottom"/>
            <w:tcBorders>
              <w:bottom w:val="single" w:sz="8" w:color="D2DCE5"/>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1560" w:type="dxa"/>
            <w:vAlign w:val="bottom"/>
            <w:tcBorders>
              <w:bottom w:val="single" w:sz="8" w:color="D7282F"/>
            </w:tcBorders>
          </w:tcPr>
          <w:p>
            <w:pPr>
              <w:jc w:val="right"/>
              <w:ind w:right="130"/>
              <w:spacing w:after="0"/>
              <w:rPr>
                <w:sz w:val="20"/>
                <w:szCs w:val="20"/>
                <w:color w:val="auto"/>
              </w:rPr>
            </w:pPr>
            <w:r>
              <w:rPr>
                <w:rFonts w:ascii="Arial" w:cs="Arial" w:eastAsia="Arial" w:hAnsi="Arial"/>
                <w:sz w:val="18"/>
                <w:szCs w:val="18"/>
                <w:b w:val="1"/>
                <w:bCs w:val="1"/>
                <w:color w:val="131E29"/>
              </w:rPr>
              <w:t>Awards/units</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D7282F"/>
            </w:tcBorders>
          </w:tcPr>
          <w:p>
            <w:pPr>
              <w:spacing w:after="0"/>
              <w:rPr>
                <w:sz w:val="22"/>
                <w:szCs w:val="22"/>
                <w:color w:val="auto"/>
              </w:rPr>
            </w:pPr>
          </w:p>
        </w:tc>
        <w:tc>
          <w:tcPr>
            <w:tcW w:w="1380" w:type="dxa"/>
            <w:vAlign w:val="bottom"/>
            <w:tcBorders>
              <w:bottom w:val="single" w:sz="8" w:color="D7282F"/>
            </w:tcBorders>
          </w:tcPr>
          <w:p>
            <w:pPr>
              <w:jc w:val="right"/>
              <w:ind w:right="530"/>
              <w:spacing w:after="0"/>
              <w:rPr>
                <w:sz w:val="20"/>
                <w:szCs w:val="20"/>
                <w:color w:val="auto"/>
              </w:rPr>
            </w:pPr>
            <w:r>
              <w:rPr>
                <w:rFonts w:ascii="Arial" w:cs="Arial" w:eastAsia="Arial" w:hAnsi="Arial"/>
                <w:sz w:val="18"/>
                <w:szCs w:val="18"/>
                <w:b w:val="1"/>
                <w:bCs w:val="1"/>
                <w:color w:val="131E29"/>
              </w:rPr>
              <w:t>value</w:t>
            </w:r>
          </w:p>
        </w:tc>
        <w:tc>
          <w:tcPr>
            <w:tcW w:w="80" w:type="dxa"/>
            <w:vAlign w:val="bottom"/>
            <w:tcBorders>
              <w:bottom w:val="single" w:sz="8" w:color="D2DCE5"/>
            </w:tcBorders>
          </w:tcPr>
          <w:p>
            <w:pPr>
              <w:spacing w:after="0"/>
              <w:rPr>
                <w:sz w:val="22"/>
                <w:szCs w:val="22"/>
                <w:color w:val="auto"/>
              </w:rPr>
            </w:pPr>
          </w:p>
        </w:tc>
        <w:tc>
          <w:tcPr>
            <w:tcW w:w="1580" w:type="dxa"/>
            <w:vAlign w:val="bottom"/>
            <w:tcBorders>
              <w:bottom w:val="single" w:sz="8" w:color="D7282F"/>
            </w:tcBorders>
          </w:tcPr>
          <w:p>
            <w:pPr>
              <w:jc w:val="right"/>
              <w:ind w:right="130"/>
              <w:spacing w:after="0"/>
              <w:rPr>
                <w:sz w:val="20"/>
                <w:szCs w:val="20"/>
                <w:color w:val="auto"/>
              </w:rPr>
            </w:pPr>
            <w:r>
              <w:rPr>
                <w:rFonts w:ascii="Arial" w:cs="Arial" w:eastAsia="Arial" w:hAnsi="Arial"/>
                <w:sz w:val="18"/>
                <w:szCs w:val="18"/>
                <w:b w:val="1"/>
                <w:bCs w:val="1"/>
                <w:color w:val="131E29"/>
              </w:rPr>
              <w:t>Awards/units</w:t>
            </w:r>
          </w:p>
        </w:tc>
        <w:tc>
          <w:tcPr>
            <w:tcW w:w="80" w:type="dxa"/>
            <w:vAlign w:val="bottom"/>
            <w:tcBorders>
              <w:bottom w:val="single" w:sz="8" w:color="D2DCE5"/>
            </w:tcBorders>
          </w:tcPr>
          <w:p>
            <w:pPr>
              <w:spacing w:after="0"/>
              <w:rPr>
                <w:sz w:val="22"/>
                <w:szCs w:val="22"/>
                <w:color w:val="auto"/>
              </w:rPr>
            </w:pPr>
          </w:p>
        </w:tc>
        <w:tc>
          <w:tcPr>
            <w:tcW w:w="420" w:type="dxa"/>
            <w:vAlign w:val="bottom"/>
            <w:tcBorders>
              <w:bottom w:val="single" w:sz="8" w:color="D7282F"/>
            </w:tcBorders>
          </w:tcPr>
          <w:p>
            <w:pPr>
              <w:spacing w:after="0"/>
              <w:rPr>
                <w:sz w:val="22"/>
                <w:szCs w:val="22"/>
                <w:color w:val="auto"/>
              </w:rPr>
            </w:pPr>
          </w:p>
        </w:tc>
        <w:tc>
          <w:tcPr>
            <w:tcW w:w="1260" w:type="dxa"/>
            <w:vAlign w:val="bottom"/>
            <w:tcBorders>
              <w:bottom w:val="single" w:sz="8" w:color="D7282F"/>
            </w:tcBorders>
          </w:tcPr>
          <w:p>
            <w:pPr>
              <w:jc w:val="right"/>
              <w:ind w:right="510"/>
              <w:spacing w:after="0"/>
              <w:rPr>
                <w:sz w:val="20"/>
                <w:szCs w:val="20"/>
                <w:color w:val="auto"/>
              </w:rPr>
            </w:pPr>
            <w:r>
              <w:rPr>
                <w:rFonts w:ascii="Arial" w:cs="Arial" w:eastAsia="Arial" w:hAnsi="Arial"/>
                <w:sz w:val="18"/>
                <w:szCs w:val="18"/>
                <w:b w:val="1"/>
                <w:bCs w:val="1"/>
                <w:color w:val="131E29"/>
              </w:rPr>
              <w:t>value</w:t>
            </w:r>
          </w:p>
        </w:tc>
      </w:tr>
      <w:tr>
        <w:trPr>
          <w:trHeight w:val="270"/>
        </w:trPr>
        <w:tc>
          <w:tcPr>
            <w:tcW w:w="44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RSAs</w:t>
            </w:r>
          </w:p>
        </w:tc>
        <w:tc>
          <w:tcPr>
            <w:tcW w:w="1960" w:type="dxa"/>
            <w:vAlign w:val="bottom"/>
            <w:gridSpan w:val="3"/>
            <w:shd w:val="clear" w:color="auto" w:fill="D2DCE5"/>
          </w:tcPr>
          <w:p>
            <w:pPr>
              <w:jc w:val="right"/>
              <w:ind w:right="90"/>
              <w:spacing w:after="0"/>
              <w:rPr>
                <w:sz w:val="20"/>
                <w:szCs w:val="20"/>
                <w:color w:val="auto"/>
              </w:rPr>
            </w:pPr>
            <w:r>
              <w:rPr>
                <w:rFonts w:ascii="Arial" w:cs="Arial" w:eastAsia="Arial" w:hAnsi="Arial"/>
                <w:sz w:val="18"/>
                <w:szCs w:val="18"/>
                <w:color w:val="006098"/>
              </w:rPr>
              <w:t>—  $</w:t>
            </w:r>
          </w:p>
        </w:tc>
        <w:tc>
          <w:tcPr>
            <w:tcW w:w="1460" w:type="dxa"/>
            <w:vAlign w:val="bottom"/>
            <w:gridSpan w:val="2"/>
            <w:shd w:val="clear" w:color="auto" w:fill="D2DCE5"/>
          </w:tcPr>
          <w:p>
            <w:pPr>
              <w:jc w:val="right"/>
              <w:ind w:right="160"/>
              <w:spacing w:after="0"/>
              <w:rPr>
                <w:sz w:val="20"/>
                <w:szCs w:val="20"/>
                <w:color w:val="auto"/>
              </w:rPr>
            </w:pPr>
            <w:r>
              <w:rPr>
                <w:rFonts w:ascii="Arial" w:cs="Arial" w:eastAsia="Arial" w:hAnsi="Arial"/>
                <w:sz w:val="18"/>
                <w:szCs w:val="18"/>
                <w:color w:val="006098"/>
              </w:rPr>
              <w:t>—</w:t>
            </w:r>
          </w:p>
        </w:tc>
        <w:tc>
          <w:tcPr>
            <w:tcW w:w="15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38,665</w:t>
            </w:r>
          </w:p>
        </w:tc>
        <w:tc>
          <w:tcPr>
            <w:tcW w:w="80" w:type="dxa"/>
            <w:vAlign w:val="bottom"/>
            <w:shd w:val="clear" w:color="auto" w:fill="D2DCE5"/>
          </w:tcPr>
          <w:p>
            <w:pPr>
              <w:spacing w:after="0"/>
              <w:rPr>
                <w:sz w:val="23"/>
                <w:szCs w:val="23"/>
                <w:color w:val="auto"/>
              </w:rPr>
            </w:pPr>
          </w:p>
        </w:tc>
        <w:tc>
          <w:tcPr>
            <w:tcW w:w="420" w:type="dxa"/>
            <w:vAlign w:val="bottom"/>
            <w:shd w:val="clear" w:color="auto" w:fill="D2DCE5"/>
          </w:tcPr>
          <w:p>
            <w:pPr>
              <w:jc w:val="right"/>
              <w:ind w:right="210"/>
              <w:spacing w:after="0"/>
              <w:rPr>
                <w:sz w:val="20"/>
                <w:szCs w:val="20"/>
                <w:color w:val="auto"/>
              </w:rPr>
            </w:pPr>
            <w:r>
              <w:rPr>
                <w:rFonts w:ascii="Arial" w:cs="Arial" w:eastAsia="Arial" w:hAnsi="Arial"/>
                <w:sz w:val="18"/>
                <w:szCs w:val="18"/>
                <w:color w:val="131E29"/>
                <w:w w:val="99"/>
              </w:rPr>
              <w:t>$</w:t>
            </w:r>
          </w:p>
        </w:tc>
        <w:tc>
          <w:tcPr>
            <w:tcW w:w="12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31.06</w:t>
            </w:r>
          </w:p>
        </w:tc>
      </w:tr>
      <w:tr>
        <w:trPr>
          <w:trHeight w:val="274"/>
        </w:trPr>
        <w:tc>
          <w:tcPr>
            <w:tcW w:w="4480" w:type="dxa"/>
            <w:vAlign w:val="bottom"/>
            <w:gridSpan w:val="2"/>
          </w:tcPr>
          <w:p>
            <w:pPr>
              <w:ind w:left="20"/>
              <w:spacing w:after="0"/>
              <w:rPr>
                <w:sz w:val="20"/>
                <w:szCs w:val="20"/>
                <w:color w:val="auto"/>
              </w:rPr>
            </w:pPr>
            <w:r>
              <w:rPr>
                <w:rFonts w:ascii="Arial" w:cs="Arial" w:eastAsia="Arial" w:hAnsi="Arial"/>
                <w:sz w:val="18"/>
                <w:szCs w:val="18"/>
                <w:color w:val="131E29"/>
              </w:rPr>
              <w:t>RSUs</w:t>
            </w:r>
          </w:p>
        </w:tc>
        <w:tc>
          <w:tcPr>
            <w:tcW w:w="1560" w:type="dxa"/>
            <w:vAlign w:val="bottom"/>
          </w:tcPr>
          <w:p>
            <w:pPr>
              <w:jc w:val="right"/>
              <w:spacing w:after="0"/>
              <w:rPr>
                <w:sz w:val="20"/>
                <w:szCs w:val="20"/>
                <w:color w:val="auto"/>
              </w:rPr>
            </w:pPr>
            <w:r>
              <w:rPr>
                <w:rFonts w:ascii="Arial" w:cs="Arial" w:eastAsia="Arial" w:hAnsi="Arial"/>
                <w:sz w:val="18"/>
                <w:szCs w:val="18"/>
                <w:color w:val="006098"/>
              </w:rPr>
              <w:t>34,297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06098"/>
              </w:rPr>
              <w:t>79.01</w:t>
            </w:r>
          </w:p>
        </w:tc>
        <w:tc>
          <w:tcPr>
            <w:tcW w:w="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131E29"/>
              </w:rPr>
              <w:t>2,664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131E29"/>
              </w:rPr>
              <w:t>30.49</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Equity-Based Compensation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Equity-based compensation expense is recognized on a straight-line basis and is included in our condensed consolidated statements of operations as follows:</w:t>
      </w:r>
    </w:p>
    <w:p>
      <w:pPr>
        <w:spacing w:after="0" w:line="15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34925</wp:posOffset>
            </wp:positionV>
            <wp:extent cx="20656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2024</w:t>
            </w:r>
          </w:p>
        </w:tc>
      </w:tr>
      <w:tr>
        <w:trPr>
          <w:trHeight w:val="270"/>
        </w:trPr>
        <w:tc>
          <w:tcPr>
            <w:tcW w:w="79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36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006098"/>
                <w:w w:val="9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400</w:t>
            </w: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94</w:t>
            </w:r>
          </w:p>
        </w:tc>
      </w:tr>
      <w:tr>
        <w:trPr>
          <w:trHeight w:val="270"/>
        </w:trPr>
        <w:tc>
          <w:tcPr>
            <w:tcW w:w="798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Selling, general, and administrative expenses</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3,794</w:t>
            </w:r>
          </w:p>
        </w:tc>
        <w:tc>
          <w:tcPr>
            <w:tcW w:w="100" w:type="dxa"/>
            <w:vAlign w:val="bottom"/>
            <w:tcBorders>
              <w:bottom w:val="single" w:sz="8" w:color="D2DCE5"/>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1,839</w:t>
            </w:r>
          </w:p>
        </w:tc>
      </w:tr>
      <w:tr>
        <w:trPr>
          <w:trHeight w:val="288"/>
        </w:trPr>
        <w:tc>
          <w:tcPr>
            <w:tcW w:w="79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stock-based compensation expense</w:t>
            </w: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4,194</w:t>
            </w:r>
          </w:p>
        </w:tc>
        <w:tc>
          <w:tcPr>
            <w:tcW w:w="100" w:type="dxa"/>
            <w:vAlign w:val="bottom"/>
            <w:tcBorders>
              <w:bottom w:val="single" w:sz="8" w:color="D2DCE5"/>
            </w:tcBorders>
            <w:shd w:val="clear" w:color="auto" w:fill="D2DCE5"/>
          </w:tcPr>
          <w:p>
            <w:pPr>
              <w:spacing w:after="0"/>
              <w:rPr>
                <w:sz w:val="24"/>
                <w:szCs w:val="24"/>
                <w:color w:val="auto"/>
              </w:rPr>
            </w:pP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1,933</w:t>
            </w:r>
          </w:p>
        </w:tc>
      </w:tr>
      <w:tr>
        <w:trPr>
          <w:trHeight w:val="20"/>
        </w:trPr>
        <w:tc>
          <w:tcPr>
            <w:tcW w:w="79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As of March 31, 2025, total unrecognized stock-based compensation related to unvested RSUs and PSUs was $43.3 million, which will be recognized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
        </w:trPr>
        <w:tc>
          <w:tcPr>
            <w:tcW w:w="9560" w:type="dxa"/>
            <w:vAlign w:val="bottom"/>
            <w:tcBorders>
              <w:bottom w:val="single" w:sz="8" w:color="D7282F"/>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540" w:type="dxa"/>
            <w:vAlign w:val="bottom"/>
            <w:tcBorders>
              <w:bottom w:val="single" w:sz="8" w:color="D7282F"/>
            </w:tcBorders>
          </w:tcPr>
          <w:p>
            <w:pPr>
              <w:spacing w:after="0" w:line="20" w:lineRule="exact"/>
              <w:rPr>
                <w:sz w:val="1"/>
                <w:szCs w:val="1"/>
                <w:color w:val="auto"/>
              </w:rPr>
            </w:pPr>
          </w:p>
        </w:tc>
        <w:tc>
          <w:tcPr>
            <w:tcW w:w="1040" w:type="dxa"/>
            <w:vAlign w:val="bottom"/>
            <w:tcBorders>
              <w:bottom w:val="single" w:sz="8" w:color="D7282F"/>
            </w:tcBorders>
          </w:tcPr>
          <w:p>
            <w:pPr>
              <w:spacing w:after="0" w:line="20" w:lineRule="exact"/>
              <w:rPr>
                <w:sz w:val="1"/>
                <w:szCs w:val="1"/>
                <w:color w:val="auto"/>
              </w:rPr>
            </w:pPr>
          </w:p>
        </w:tc>
      </w:tr>
      <w:tr>
        <w:trPr>
          <w:trHeight w:val="243"/>
        </w:trPr>
        <w:tc>
          <w:tcPr>
            <w:tcW w:w="9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2025</w:t>
            </w:r>
          </w:p>
        </w:tc>
        <w:tc>
          <w:tcPr>
            <w:tcW w:w="540" w:type="dxa"/>
            <w:vAlign w:val="bottom"/>
            <w:tcBorders>
              <w:bottom w:val="single" w:sz="8" w:color="D2DCE5"/>
            </w:tcBorders>
            <w:shd w:val="clear" w:color="auto" w:fill="D2DCE5"/>
          </w:tcPr>
          <w:p>
            <w:pPr>
              <w:jc w:val="right"/>
              <w:ind w:right="330"/>
              <w:spacing w:after="0"/>
              <w:rPr>
                <w:sz w:val="20"/>
                <w:szCs w:val="20"/>
                <w:color w:val="auto"/>
              </w:rPr>
            </w:pPr>
            <w:r>
              <w:rPr>
                <w:rFonts w:ascii="Arial" w:cs="Arial" w:eastAsia="Arial" w:hAnsi="Arial"/>
                <w:sz w:val="18"/>
                <w:szCs w:val="18"/>
                <w:color w:val="006098"/>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14,335</w:t>
            </w:r>
          </w:p>
        </w:tc>
      </w:tr>
      <w:tr>
        <w:trPr>
          <w:trHeight w:val="247"/>
        </w:trPr>
        <w:tc>
          <w:tcPr>
            <w:tcW w:w="9560" w:type="dxa"/>
            <w:vAlign w:val="bottom"/>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6098"/>
              </w:rPr>
              <w:t>16,624</w:t>
            </w:r>
          </w:p>
        </w:tc>
      </w:tr>
      <w:tr>
        <w:trPr>
          <w:trHeight w:val="23"/>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2027</w:t>
            </w:r>
          </w:p>
        </w:tc>
        <w:tc>
          <w:tcPr>
            <w:tcW w:w="10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10,556</w:t>
            </w:r>
          </w:p>
        </w:tc>
      </w:tr>
      <w:tr>
        <w:trPr>
          <w:trHeight w:val="247"/>
        </w:trPr>
        <w:tc>
          <w:tcPr>
            <w:tcW w:w="9560" w:type="dxa"/>
            <w:vAlign w:val="bottom"/>
          </w:tcPr>
          <w:p>
            <w:pPr>
              <w:ind w:left="20"/>
              <w:spacing w:after="0"/>
              <w:rPr>
                <w:sz w:val="20"/>
                <w:szCs w:val="20"/>
                <w:color w:val="auto"/>
              </w:rPr>
            </w:pPr>
            <w:r>
              <w:rPr>
                <w:rFonts w:ascii="Arial" w:cs="Arial" w:eastAsia="Arial" w:hAnsi="Arial"/>
                <w:sz w:val="18"/>
                <w:szCs w:val="18"/>
                <w:color w:val="131E29"/>
              </w:rPr>
              <w:t>2028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6098"/>
              </w:rPr>
              <w:t>1,832</w:t>
            </w:r>
          </w:p>
        </w:tc>
      </w:tr>
      <w:tr>
        <w:trPr>
          <w:trHeight w:val="23"/>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2029</w:t>
            </w:r>
          </w:p>
        </w:tc>
        <w:tc>
          <w:tcPr>
            <w:tcW w:w="10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w:t>
            </w:r>
          </w:p>
        </w:tc>
      </w:tr>
      <w:tr>
        <w:trPr>
          <w:trHeight w:val="247"/>
        </w:trPr>
        <w:tc>
          <w:tcPr>
            <w:tcW w:w="9660" w:type="dxa"/>
            <w:vAlign w:val="bottom"/>
            <w:gridSpan w:val="2"/>
          </w:tcPr>
          <w:p>
            <w:pPr>
              <w:ind w:left="20"/>
              <w:spacing w:after="0"/>
              <w:rPr>
                <w:sz w:val="20"/>
                <w:szCs w:val="20"/>
                <w:color w:val="auto"/>
              </w:rPr>
            </w:pPr>
            <w:r>
              <w:rPr>
                <w:rFonts w:ascii="Arial" w:cs="Arial" w:eastAsia="Arial" w:hAnsi="Arial"/>
                <w:sz w:val="18"/>
                <w:szCs w:val="18"/>
                <w:color w:val="131E29"/>
              </w:rPr>
              <w:t>Thereafter</w:t>
            </w: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6098"/>
              </w:rPr>
              <w:t>—</w:t>
            </w:r>
          </w:p>
        </w:tc>
      </w:tr>
      <w:tr>
        <w:trPr>
          <w:trHeight w:val="23"/>
        </w:trPr>
        <w:tc>
          <w:tcPr>
            <w:tcW w:w="9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96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unrecognized stock-based compensation</w:t>
            </w:r>
          </w:p>
        </w:tc>
        <w:tc>
          <w:tcPr>
            <w:tcW w:w="540" w:type="dxa"/>
            <w:vAlign w:val="bottom"/>
            <w:tcBorders>
              <w:bottom w:val="single" w:sz="8" w:color="auto"/>
            </w:tcBorders>
            <w:shd w:val="clear" w:color="auto" w:fill="D2DCE5"/>
          </w:tcPr>
          <w:p>
            <w:pPr>
              <w:jc w:val="right"/>
              <w:ind w:right="330"/>
              <w:spacing w:after="0"/>
              <w:rPr>
                <w:sz w:val="20"/>
                <w:szCs w:val="20"/>
                <w:color w:val="auto"/>
              </w:rPr>
            </w:pPr>
            <w:r>
              <w:rPr>
                <w:rFonts w:ascii="Arial" w:cs="Arial" w:eastAsia="Arial" w:hAnsi="Arial"/>
                <w:sz w:val="18"/>
                <w:szCs w:val="18"/>
                <w:b w:val="1"/>
                <w:bCs w:val="1"/>
                <w:color w:val="006098"/>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43,347</w:t>
            </w:r>
          </w:p>
        </w:tc>
      </w:tr>
      <w:tr>
        <w:trPr>
          <w:trHeight w:val="20"/>
        </w:trPr>
        <w:tc>
          <w:tcPr>
            <w:tcW w:w="9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13 — Non-Controlling Interests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Dutch Bros Inc. is the sole managing member of Dutch Bros OpCo, and, as a result, consolidates the financial results of Dutch Bros OpCo. We report a non-controlling interest representing the economic interest in the Dutch Bros OpCo held by the other members of Dutch Bros OpCo. The OpCo LLC Agreement provides that holders of Dutch Bros OpCo Class A common units may, from time to time, require Dutch Bros OpCo to redeem all or a portion of their Dutch Bros OpCo Class A common units for newly issued shares of Class A common stock on a one-for-one basis. In connection with any redemption or exchange, Dutch Bros Inc. will receive a corresponding number of Dutch Bros OpCo Class A common units, increasing Dutch Bros Inc.’s total ownership in Dutch Bros OpCo. Changes in Dutch Bros Inc.’s ownership in Dutch Bros OpCo, while Dutch Bros Inc. retains its controlling interest in Dutch Bros OpCo, will be accounted for as equity transactions. As such, future redemptions or direct exchanges of Dutch Bros OpCo Class A common units by the other members of Dutch Bros OpCo will result in a change in ownership and reduce the amount recorded as non-controlling interest and increase additional paid-in-capital.</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80" w:type="dxa"/>
            <w:vAlign w:val="bottom"/>
            <w:gridSpan w:val="2"/>
          </w:tcPr>
          <w:p>
            <w:pPr>
              <w:spacing w:after="0"/>
              <w:rPr>
                <w:sz w:val="20"/>
                <w:szCs w:val="20"/>
                <w:color w:val="auto"/>
              </w:rPr>
            </w:pPr>
            <w:r>
              <w:rPr>
                <w:rFonts w:ascii="Arial" w:cs="Arial" w:eastAsia="Arial" w:hAnsi="Arial"/>
                <w:sz w:val="18"/>
                <w:szCs w:val="18"/>
                <w:color w:val="131E29"/>
              </w:rPr>
              <w:t>The following table summarizes the ownership interest in Dutch Bros OpCo¹:</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5"/>
        </w:trPr>
        <w:tc>
          <w:tcPr>
            <w:tcW w:w="7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Borders>
              <w:bottom w:val="single" w:sz="8" w:color="D7282F"/>
            </w:tcBorders>
            <w:gridSpan w:val="3"/>
          </w:tcPr>
          <w:p>
            <w:pPr>
              <w:jc w:val="right"/>
              <w:ind w:right="1010"/>
              <w:spacing w:after="0"/>
              <w:rPr>
                <w:sz w:val="20"/>
                <w:szCs w:val="20"/>
                <w:color w:val="auto"/>
              </w:rPr>
            </w:pPr>
            <w:r>
              <w:rPr>
                <w:rFonts w:ascii="Arial" w:cs="Arial" w:eastAsia="Arial" w:hAnsi="Arial"/>
                <w:sz w:val="18"/>
                <w:szCs w:val="18"/>
                <w:b w:val="1"/>
                <w:bCs w:val="1"/>
                <w:color w:val="131E29"/>
              </w:rPr>
              <w:t>March 31, 2025</w:t>
            </w:r>
          </w:p>
        </w:tc>
      </w:tr>
      <w:tr>
        <w:trPr>
          <w:trHeight w:val="264"/>
        </w:trPr>
        <w:tc>
          <w:tcPr>
            <w:tcW w:w="7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154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OpCo Units</w:t>
            </w:r>
          </w:p>
        </w:tc>
        <w:tc>
          <w:tcPr>
            <w:tcW w:w="100" w:type="dxa"/>
            <w:vAlign w:val="bottom"/>
            <w:tcBorders>
              <w:bottom w:val="single" w:sz="8" w:color="D2DCE5"/>
            </w:tcBorders>
          </w:tcPr>
          <w:p>
            <w:pPr>
              <w:spacing w:after="0"/>
              <w:rPr>
                <w:sz w:val="22"/>
                <w:szCs w:val="22"/>
                <w:color w:val="auto"/>
              </w:rPr>
            </w:pPr>
          </w:p>
        </w:tc>
        <w:tc>
          <w:tcPr>
            <w:tcW w:w="1820" w:type="dxa"/>
            <w:vAlign w:val="bottom"/>
            <w:tcBorders>
              <w:bottom w:val="single" w:sz="8" w:color="D7282F"/>
            </w:tcBorders>
          </w:tcPr>
          <w:p>
            <w:pPr>
              <w:jc w:val="right"/>
              <w:ind w:right="250"/>
              <w:spacing w:after="0"/>
              <w:rPr>
                <w:sz w:val="20"/>
                <w:szCs w:val="20"/>
                <w:color w:val="auto"/>
              </w:rPr>
            </w:pPr>
            <w:r>
              <w:rPr>
                <w:rFonts w:ascii="Arial" w:cs="Arial" w:eastAsia="Arial" w:hAnsi="Arial"/>
                <w:sz w:val="18"/>
                <w:szCs w:val="18"/>
                <w:b w:val="1"/>
                <w:bCs w:val="1"/>
                <w:color w:val="131E29"/>
              </w:rPr>
              <w:t>Ownership %</w:t>
            </w:r>
          </w:p>
        </w:tc>
      </w:tr>
      <w:tr>
        <w:trPr>
          <w:trHeight w:val="270"/>
        </w:trPr>
        <w:tc>
          <w:tcPr>
            <w:tcW w:w="77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Dutch Bros OpCo Class A common units held by Dutch Bros Inc.</w:t>
            </w:r>
          </w:p>
        </w:tc>
        <w:tc>
          <w:tcPr>
            <w:tcW w:w="15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125,174</w:t>
            </w:r>
          </w:p>
        </w:tc>
        <w:tc>
          <w:tcPr>
            <w:tcW w:w="100" w:type="dxa"/>
            <w:vAlign w:val="bottom"/>
            <w:shd w:val="clear" w:color="auto" w:fill="D2DCE5"/>
          </w:tcPr>
          <w:p>
            <w:pPr>
              <w:spacing w:after="0"/>
              <w:rPr>
                <w:sz w:val="23"/>
                <w:szCs w:val="23"/>
                <w:color w:val="auto"/>
              </w:rPr>
            </w:pPr>
          </w:p>
        </w:tc>
        <w:tc>
          <w:tcPr>
            <w:tcW w:w="18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70.5 %</w:t>
            </w:r>
          </w:p>
        </w:tc>
      </w:tr>
      <w:tr>
        <w:trPr>
          <w:trHeight w:val="270"/>
        </w:trPr>
        <w:tc>
          <w:tcPr>
            <w:tcW w:w="778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Dutch Bros OpCo Class A common units held by non-controlling interest holders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52,298</w:t>
            </w:r>
          </w:p>
        </w:tc>
        <w:tc>
          <w:tcPr>
            <w:tcW w:w="100" w:type="dxa"/>
            <w:vAlign w:val="bottom"/>
            <w:tcBorders>
              <w:bottom w:val="single" w:sz="8" w:color="D2DCE5"/>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29.5 %</w:t>
            </w:r>
          </w:p>
        </w:tc>
      </w:tr>
      <w:tr>
        <w:trPr>
          <w:trHeight w:val="248"/>
        </w:trPr>
        <w:tc>
          <w:tcPr>
            <w:tcW w:w="77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b w:val="1"/>
                <w:bCs w:val="1"/>
                <w:color w:val="131E29"/>
              </w:rPr>
              <w:t>Total Dutch Bros OpCo Class A common units outstanding</w:t>
            </w:r>
          </w:p>
        </w:tc>
        <w:tc>
          <w:tcPr>
            <w:tcW w:w="15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177,472</w:t>
            </w:r>
          </w:p>
        </w:tc>
        <w:tc>
          <w:tcPr>
            <w:tcW w:w="100" w:type="dxa"/>
            <w:vAlign w:val="bottom"/>
            <w:tcBorders>
              <w:bottom w:val="single" w:sz="8" w:color="D2DCE5"/>
            </w:tcBorders>
            <w:shd w:val="clear" w:color="auto" w:fill="D2DCE5"/>
          </w:tcPr>
          <w:p>
            <w:pPr>
              <w:spacing w:after="0"/>
              <w:rPr>
                <w:sz w:val="21"/>
                <w:szCs w:val="21"/>
                <w:color w:val="auto"/>
              </w:rPr>
            </w:pPr>
          </w:p>
        </w:tc>
        <w:tc>
          <w:tcPr>
            <w:tcW w:w="18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100.0 %</w:t>
            </w:r>
          </w:p>
        </w:tc>
      </w:tr>
      <w:tr>
        <w:trPr>
          <w:trHeight w:val="20"/>
        </w:trPr>
        <w:tc>
          <w:tcPr>
            <w:tcW w:w="76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5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820" w:type="dxa"/>
            <w:vAlign w:val="bottom"/>
            <w:tcBorders>
              <w:top w:val="single" w:sz="8" w:color="D2DCE5"/>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spacing w:after="0" w:line="44" w:lineRule="exact"/>
        <w:rPr>
          <w:sz w:val="20"/>
          <w:szCs w:val="20"/>
          <w:color w:val="auto"/>
        </w:rPr>
      </w:pPr>
    </w:p>
    <w:p>
      <w:pPr>
        <w:ind w:left="80" w:hanging="72"/>
        <w:spacing w:after="0"/>
        <w:tabs>
          <w:tab w:leader="none" w:pos="80" w:val="left"/>
        </w:tabs>
        <w:numPr>
          <w:ilvl w:val="0"/>
          <w:numId w:val="9"/>
        </w:numPr>
        <w:rPr>
          <w:rFonts w:ascii="Arial" w:cs="Arial" w:eastAsia="Arial" w:hAnsi="Arial"/>
          <w:sz w:val="19"/>
          <w:szCs w:val="19"/>
          <w:color w:val="131E29"/>
          <w:vertAlign w:val="superscript"/>
        </w:rPr>
      </w:pPr>
      <w:r>
        <w:rPr>
          <w:rFonts w:ascii="Arial" w:cs="Arial" w:eastAsia="Arial" w:hAnsi="Arial"/>
          <w:sz w:val="14"/>
          <w:szCs w:val="14"/>
          <w:color w:val="131E29"/>
        </w:rPr>
        <w:t>Dutch Bros OpCo effected a recapitalization on February 7, 2025. For additional information, refer to NOTE 1 — Organization and Background.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the effect of changes in ownership of Dutch Bros OpCo on our equity for the periods presented:</w:t>
      </w:r>
    </w:p>
    <w:p>
      <w:pPr>
        <w:spacing w:after="0" w:line="171"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34925</wp:posOffset>
            </wp:positionV>
            <wp:extent cx="20656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2024</w:t>
            </w:r>
          </w:p>
        </w:tc>
      </w:tr>
      <w:tr>
        <w:trPr>
          <w:trHeight w:val="270"/>
        </w:trPr>
        <w:tc>
          <w:tcPr>
            <w:tcW w:w="79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Net income attributable to Dutch Bros Inc.</w:t>
            </w:r>
          </w:p>
        </w:tc>
        <w:tc>
          <w:tcPr>
            <w:tcW w:w="360" w:type="dxa"/>
            <w:vAlign w:val="bottom"/>
            <w:shd w:val="clear" w:color="auto" w:fill="D2DCE5"/>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15,353</w:t>
            </w: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7,062</w:t>
            </w:r>
          </w:p>
        </w:tc>
      </w:tr>
      <w:tr>
        <w:trPr>
          <w:trHeight w:val="247"/>
        </w:trPr>
        <w:tc>
          <w:tcPr>
            <w:tcW w:w="7980" w:type="dxa"/>
            <w:vAlign w:val="bottom"/>
            <w:gridSpan w:val="2"/>
          </w:tcPr>
          <w:p>
            <w:pPr>
              <w:ind w:left="20"/>
              <w:spacing w:after="0"/>
              <w:rPr>
                <w:sz w:val="20"/>
                <w:szCs w:val="20"/>
                <w:color w:val="auto"/>
              </w:rPr>
            </w:pPr>
            <w:r>
              <w:rPr>
                <w:rFonts w:ascii="Arial" w:cs="Arial" w:eastAsia="Arial" w:hAnsi="Arial"/>
                <w:sz w:val="18"/>
                <w:szCs w:val="18"/>
                <w:color w:val="131E29"/>
              </w:rPr>
              <w:t>Other comprehensive income (loss):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Unrealized gain (loss) on derivative securities, effective portion, net of income tax impacts</w:t>
            </w: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(190)</w:t>
            </w: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381</w:t>
            </w:r>
          </w:p>
        </w:tc>
      </w:tr>
      <w:tr>
        <w:trPr>
          <w:trHeight w:val="247"/>
        </w:trPr>
        <w:tc>
          <w:tcPr>
            <w:tcW w:w="7980" w:type="dxa"/>
            <w:vAlign w:val="bottom"/>
            <w:gridSpan w:val="2"/>
          </w:tcPr>
          <w:p>
            <w:pPr>
              <w:ind w:left="20"/>
              <w:spacing w:after="0"/>
              <w:rPr>
                <w:sz w:val="20"/>
                <w:szCs w:val="20"/>
                <w:color w:val="auto"/>
              </w:rPr>
            </w:pPr>
            <w:r>
              <w:rPr>
                <w:rFonts w:ascii="Arial" w:cs="Arial" w:eastAsia="Arial" w:hAnsi="Arial"/>
                <w:sz w:val="18"/>
                <w:szCs w:val="18"/>
                <w:color w:val="131E29"/>
              </w:rPr>
              <w:t>Transfers from (to) non-controlling interests: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Increase in additional paid-in capital as a result of equity-based compensation</w:t>
      </w:r>
    </w:p>
    <w:p>
      <w:pPr>
        <w:spacing w:after="0" w:line="63" w:lineRule="exact"/>
        <w:rPr>
          <w:sz w:val="20"/>
          <w:szCs w:val="20"/>
          <w:color w:val="auto"/>
        </w:rPr>
      </w:pPr>
    </w:p>
    <w:p>
      <w:pPr>
        <w:ind w:left="180" w:right="380"/>
        <w:spacing w:after="0" w:line="281" w:lineRule="auto"/>
        <w:rPr>
          <w:sz w:val="20"/>
          <w:szCs w:val="20"/>
          <w:color w:val="auto"/>
        </w:rPr>
      </w:pPr>
      <w:r>
        <w:rPr>
          <w:rFonts w:ascii="Arial" w:cs="Arial" w:eastAsia="Arial" w:hAnsi="Arial"/>
          <w:sz w:val="18"/>
          <w:szCs w:val="18"/>
          <w:color w:val="131E29"/>
        </w:rPr>
        <w:t>Increase (decrease) in additional paid-in capital as a result of common stock issuances pursuant to vesting of equity awards, net of stock withheld for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086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180" w:right="560"/>
        <w:spacing w:after="0" w:line="287" w:lineRule="auto"/>
        <w:rPr>
          <w:sz w:val="20"/>
          <w:szCs w:val="20"/>
          <w:color w:val="auto"/>
        </w:rPr>
      </w:pPr>
      <w:r>
        <w:rPr>
          <w:rFonts w:ascii="Arial" w:cs="Arial" w:eastAsia="Arial" w:hAnsi="Arial"/>
          <w:sz w:val="18"/>
          <w:szCs w:val="18"/>
          <w:color w:val="131E29"/>
        </w:rPr>
        <w:t>Increase in additional paid-in capital as a result of the acquisition of Dutch Bros OpCo Class A common units</w:t>
      </w:r>
    </w:p>
    <w:p>
      <w:pPr>
        <w:spacing w:after="0" w:line="31" w:lineRule="exact"/>
        <w:rPr>
          <w:sz w:val="20"/>
          <w:szCs w:val="20"/>
          <w:color w:val="auto"/>
        </w:rPr>
      </w:pPr>
    </w:p>
    <w:p>
      <w:pPr>
        <w:ind w:left="20"/>
        <w:spacing w:after="0"/>
        <w:tabs>
          <w:tab w:leader="none" w:pos="7980" w:val="left"/>
        </w:tabs>
        <w:rPr>
          <w:sz w:val="20"/>
          <w:szCs w:val="20"/>
          <w:color w:val="auto"/>
        </w:rPr>
      </w:pPr>
      <w:r>
        <w:rPr>
          <w:rFonts w:ascii="Arial" w:cs="Arial" w:eastAsia="Arial" w:hAnsi="Arial"/>
          <w:sz w:val="18"/>
          <w:szCs w:val="18"/>
          <w:b w:val="1"/>
          <w:bCs w:val="1"/>
          <w:color w:val="131E29"/>
        </w:rPr>
        <w:t>Total effect of changes in ownership interest on equity attributable to Dutch Bros Inc.</w:t>
      </w:r>
      <w:r>
        <w:rPr>
          <w:sz w:val="20"/>
          <w:szCs w:val="20"/>
          <w:color w:val="auto"/>
        </w:rPr>
        <w:tab/>
      </w:r>
      <w:r>
        <w:rPr>
          <w:rFonts w:ascii="Arial" w:cs="Arial" w:eastAsia="Arial" w:hAnsi="Arial"/>
          <w:sz w:val="17"/>
          <w:szCs w:val="17"/>
          <w:b w:val="1"/>
          <w:bCs w:val="1"/>
          <w:color w:val="006098"/>
        </w:rPr>
        <w: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7"/>
          <w:szCs w:val="17"/>
          <w:color w:val="006098"/>
        </w:rPr>
        <w:t>2,900</w:t>
      </w:r>
      <w:r>
        <w:rPr>
          <w:sz w:val="20"/>
          <w:szCs w:val="20"/>
          <w:color w:val="auto"/>
        </w:rPr>
        <w:tab/>
      </w:r>
      <w:r>
        <w:rPr>
          <w:rFonts w:ascii="Arial" w:cs="Arial" w:eastAsia="Arial" w:hAnsi="Arial"/>
          <w:sz w:val="17"/>
          <w:szCs w:val="17"/>
          <w:color w:val="131E29"/>
        </w:rPr>
        <w:t>991</w:t>
      </w:r>
    </w:p>
    <w:p>
      <w:pPr>
        <w:spacing w:after="0" w:line="291"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7"/>
          <w:szCs w:val="17"/>
          <w:color w:val="006098"/>
        </w:rPr>
        <w:t>(7,771)</w:t>
      </w:r>
      <w:r>
        <w:rPr>
          <w:sz w:val="20"/>
          <w:szCs w:val="20"/>
          <w:color w:val="auto"/>
        </w:rPr>
        <w:tab/>
      </w:r>
      <w:r>
        <w:rPr>
          <w:rFonts w:ascii="Arial" w:cs="Arial" w:eastAsia="Arial" w:hAnsi="Arial"/>
          <w:sz w:val="17"/>
          <w:szCs w:val="17"/>
          <w:color w:val="131E29"/>
        </w:rPr>
        <w:t>1,867</w:t>
      </w:r>
    </w:p>
    <w:p>
      <w:pPr>
        <w:spacing w:after="0" w:line="291" w:lineRule="exact"/>
        <w:rPr>
          <w:sz w:val="20"/>
          <w:szCs w:val="20"/>
          <w:color w:val="auto"/>
        </w:rPr>
      </w:pPr>
    </w:p>
    <w:p>
      <w:pPr>
        <w:spacing w:after="0"/>
        <w:tabs>
          <w:tab w:leader="none" w:pos="1660" w:val="left"/>
        </w:tabs>
        <w:rPr>
          <w:sz w:val="20"/>
          <w:szCs w:val="20"/>
          <w:color w:val="auto"/>
        </w:rPr>
      </w:pPr>
      <w:r>
        <w:rPr>
          <w:rFonts w:ascii="Arial" w:cs="Arial" w:eastAsia="Arial" w:hAnsi="Arial"/>
          <w:sz w:val="17"/>
          <w:szCs w:val="17"/>
          <w:color w:val="006098"/>
        </w:rPr>
        <w:t>34,267</w:t>
      </w:r>
      <w:r>
        <w:rPr>
          <w:sz w:val="20"/>
          <w:szCs w:val="20"/>
          <w:color w:val="auto"/>
        </w:rPr>
        <w:tab/>
      </w:r>
      <w:r>
        <w:rPr>
          <w:rFonts w:ascii="Arial" w:cs="Arial" w:eastAsia="Arial" w:hAnsi="Arial"/>
          <w:sz w:val="17"/>
          <w:szCs w:val="17"/>
          <w:color w:val="131E29"/>
        </w:rPr>
        <w:t>40,377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41910</wp:posOffset>
            </wp:positionV>
            <wp:extent cx="20656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68" w:lineRule="exact"/>
        <w:rPr>
          <w:sz w:val="20"/>
          <w:szCs w:val="20"/>
          <w:color w:val="auto"/>
        </w:rPr>
      </w:pPr>
    </w:p>
    <w:p>
      <w:pPr>
        <w:spacing w:after="0"/>
        <w:tabs>
          <w:tab w:leader="none" w:pos="720" w:val="left"/>
          <w:tab w:leader="none" w:pos="1660" w:val="left"/>
        </w:tabs>
        <w:rPr>
          <w:sz w:val="20"/>
          <w:szCs w:val="20"/>
          <w:color w:val="auto"/>
        </w:rPr>
      </w:pPr>
      <w:r>
        <w:rPr>
          <w:rFonts w:ascii="Arial" w:cs="Arial" w:eastAsia="Arial" w:hAnsi="Arial"/>
          <w:sz w:val="18"/>
          <w:szCs w:val="18"/>
          <w:b w:val="1"/>
          <w:bCs w:val="1"/>
          <w:color w:val="006098"/>
        </w:rPr>
        <w:t>44,559</w:t>
      </w:r>
      <w:r>
        <w:rPr>
          <w:rFonts w:ascii="Arial" w:cs="Arial" w:eastAsia="Arial" w:hAnsi="Arial"/>
          <w:sz w:val="18"/>
          <w:szCs w:val="18"/>
          <w:b w:val="1"/>
          <w:bCs w:val="1"/>
          <w:color w:val="131E29"/>
        </w:rPr>
        <w:tab/>
        <w:t>$</w:t>
      </w:r>
      <w:r>
        <w:rPr>
          <w:sz w:val="20"/>
          <w:szCs w:val="20"/>
          <w:color w:val="auto"/>
        </w:rPr>
        <w:tab/>
      </w:r>
      <w:r>
        <w:rPr>
          <w:rFonts w:ascii="Arial" w:cs="Arial" w:eastAsia="Arial" w:hAnsi="Arial"/>
          <w:sz w:val="17"/>
          <w:szCs w:val="17"/>
          <w:b w:val="1"/>
          <w:bCs w:val="1"/>
          <w:color w:val="131E29"/>
        </w:rPr>
        <w:t>50,678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34925</wp:posOffset>
            </wp:positionV>
            <wp:extent cx="2065655"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65655" cy="342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220" w:space="720"/>
            <w:col w:w="2300"/>
          </w:cols>
          <w:pgMar w:left="320" w:top="130" w:right="339" w:bottom="1440" w:gutter="0" w:footer="0" w:header="0"/>
          <w:type w:val="continuous"/>
        </w:sectPr>
      </w:pP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weighted-average ownership percentage for the applicable reporting period is used to attribute net income to Dutch Bros Inc. and the non-controlling interest holders. The non-controlling interest holders’ weighted-average ownership percentage were as follows for the periods presented:</w:t>
      </w:r>
    </w:p>
    <w:p>
      <w:pPr>
        <w:spacing w:after="0" w:line="171"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34925</wp:posOffset>
            </wp:positionV>
            <wp:extent cx="22028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680" w:type="dxa"/>
            <w:vAlign w:val="bottom"/>
            <w:tcBorders>
              <w:bottom w:val="single" w:sz="8" w:color="D7282F"/>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8"/>
                <w:szCs w:val="18"/>
                <w:b w:val="1"/>
                <w:bCs w:val="1"/>
                <w:color w:val="131E29"/>
              </w:rPr>
              <w:t>2025</w:t>
            </w:r>
          </w:p>
        </w:tc>
        <w:tc>
          <w:tcPr>
            <w:tcW w:w="620" w:type="dxa"/>
            <w:vAlign w:val="bottom"/>
            <w:tcBorders>
              <w:bottom w:val="single" w:sz="8" w:color="D7282F"/>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1680" w:type="dxa"/>
            <w:vAlign w:val="bottom"/>
            <w:tcBorders>
              <w:bottom w:val="single" w:sz="8" w:color="D7282F"/>
            </w:tcBorders>
          </w:tcPr>
          <w:p>
            <w:pPr>
              <w:jc w:val="right"/>
              <w:ind w:right="550"/>
              <w:spacing w:after="0"/>
              <w:rPr>
                <w:sz w:val="20"/>
                <w:szCs w:val="20"/>
                <w:color w:val="auto"/>
              </w:rPr>
            </w:pPr>
            <w:r>
              <w:rPr>
                <w:rFonts w:ascii="Arial" w:cs="Arial" w:eastAsia="Arial" w:hAnsi="Arial"/>
                <w:sz w:val="18"/>
                <w:szCs w:val="18"/>
                <w:b w:val="1"/>
                <w:bCs w:val="1"/>
                <w:color w:val="131E29"/>
              </w:rPr>
              <w:t>2024</w:t>
            </w:r>
          </w:p>
        </w:tc>
      </w:tr>
      <w:tr>
        <w:trPr>
          <w:trHeight w:val="270"/>
        </w:trPr>
        <w:tc>
          <w:tcPr>
            <w:tcW w:w="8840" w:type="dxa"/>
            <w:vAlign w:val="bottom"/>
            <w:gridSpan w:val="3"/>
            <w:shd w:val="clear" w:color="auto" w:fill="D2DCE5"/>
          </w:tcPr>
          <w:p>
            <w:pPr>
              <w:jc w:val="right"/>
              <w:ind w:right="2730"/>
              <w:spacing w:after="0"/>
              <w:rPr>
                <w:sz w:val="20"/>
                <w:szCs w:val="20"/>
                <w:color w:val="auto"/>
              </w:rPr>
            </w:pPr>
            <w:r>
              <w:rPr>
                <w:rFonts w:ascii="Arial" w:cs="Arial" w:eastAsia="Arial" w:hAnsi="Arial"/>
                <w:sz w:val="18"/>
                <w:szCs w:val="18"/>
                <w:color w:val="131E29"/>
                <w:w w:val="99"/>
              </w:rPr>
              <w:t>Weighted-average ownership percentage of non-controlling interest holders</w:t>
            </w:r>
          </w:p>
        </w:tc>
        <w:tc>
          <w:tcPr>
            <w:tcW w:w="6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31.9 %</w:t>
            </w:r>
          </w:p>
        </w:tc>
        <w:tc>
          <w:tcPr>
            <w:tcW w:w="100" w:type="dxa"/>
            <w:vAlign w:val="bottom"/>
            <w:shd w:val="clear" w:color="auto" w:fill="D2DCE5"/>
          </w:tcPr>
          <w:p>
            <w:pPr>
              <w:spacing w:after="0"/>
              <w:rPr>
                <w:sz w:val="23"/>
                <w:szCs w:val="23"/>
                <w:color w:val="auto"/>
              </w:rPr>
            </w:pPr>
          </w:p>
        </w:tc>
        <w:tc>
          <w:tcPr>
            <w:tcW w:w="16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53.0 %</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14 — Income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tables set forth the numerators and denominators used to compute basic and diluted net income per share of Class A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31E29"/>
        </w:rPr>
        <w:t>Class D common stock for the periods presented:</w:t>
      </w:r>
    </w:p>
    <w:p>
      <w:pPr>
        <w:spacing w:after="0" w:line="15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34925</wp:posOffset>
            </wp:positionV>
            <wp:extent cx="20656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2024</w:t>
            </w:r>
          </w:p>
        </w:tc>
      </w:tr>
      <w:tr>
        <w:trPr>
          <w:trHeight w:val="270"/>
        </w:trPr>
        <w:tc>
          <w:tcPr>
            <w:tcW w:w="79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Numerator:</w:t>
            </w: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r>
      <w:tr>
        <w:trPr>
          <w:trHeight w:val="270"/>
        </w:trPr>
        <w:tc>
          <w:tcPr>
            <w:tcW w:w="7980" w:type="dxa"/>
            <w:vAlign w:val="bottom"/>
            <w:gridSpan w:val="2"/>
          </w:tcPr>
          <w:p>
            <w:pPr>
              <w:ind w:left="180"/>
              <w:spacing w:after="0"/>
              <w:rPr>
                <w:sz w:val="20"/>
                <w:szCs w:val="20"/>
                <w:color w:val="auto"/>
              </w:rPr>
            </w:pPr>
            <w:r>
              <w:rPr>
                <w:rFonts w:ascii="Arial" w:cs="Arial" w:eastAsia="Arial" w:hAnsi="Arial"/>
                <w:sz w:val="18"/>
                <w:szCs w:val="18"/>
                <w:color w:val="131E29"/>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006098"/>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006098"/>
              </w:rPr>
              <w:t>22,480</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131E29"/>
              </w:rPr>
              <w:t>16,215</w:t>
            </w:r>
          </w:p>
        </w:tc>
      </w:tr>
      <w:tr>
        <w:trPr>
          <w:trHeight w:val="270"/>
        </w:trPr>
        <w:tc>
          <w:tcPr>
            <w:tcW w:w="79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Less: Net income attributable to non-controlling interests</w:t>
            </w:r>
          </w:p>
        </w:tc>
        <w:tc>
          <w:tcPr>
            <w:tcW w:w="360" w:type="dxa"/>
            <w:vAlign w:val="bottom"/>
            <w:tcBorders>
              <w:bottom w:val="single" w:sz="8" w:color="auto"/>
            </w:tcBorders>
            <w:shd w:val="clear" w:color="auto" w:fill="D2DCE5"/>
          </w:tcPr>
          <w:p>
            <w:pPr>
              <w:spacing w:after="0"/>
              <w:rPr>
                <w:sz w:val="23"/>
                <w:szCs w:val="23"/>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7,127</w:t>
            </w:r>
          </w:p>
        </w:tc>
        <w:tc>
          <w:tcPr>
            <w:tcW w:w="100" w:type="dxa"/>
            <w:vAlign w:val="bottom"/>
            <w:shd w:val="clear" w:color="auto" w:fill="D2DCE5"/>
          </w:tcPr>
          <w:p>
            <w:pPr>
              <w:spacing w:after="0"/>
              <w:rPr>
                <w:sz w:val="23"/>
                <w:szCs w:val="23"/>
                <w:color w:val="auto"/>
              </w:rPr>
            </w:pPr>
          </w:p>
        </w:tc>
        <w:tc>
          <w:tcPr>
            <w:tcW w:w="360" w:type="dxa"/>
            <w:vAlign w:val="bottom"/>
            <w:tcBorders>
              <w:bottom w:val="single" w:sz="8" w:color="auto"/>
            </w:tcBorders>
            <w:shd w:val="clear" w:color="auto" w:fill="D2DCE5"/>
          </w:tcPr>
          <w:p>
            <w:pPr>
              <w:spacing w:after="0"/>
              <w:rPr>
                <w:sz w:val="23"/>
                <w:szCs w:val="23"/>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9,153</w:t>
            </w:r>
          </w:p>
        </w:tc>
      </w:tr>
      <w:tr>
        <w:trPr>
          <w:trHeight w:val="263"/>
        </w:trPr>
        <w:tc>
          <w:tcPr>
            <w:tcW w:w="7980" w:type="dxa"/>
            <w:vAlign w:val="bottom"/>
            <w:gridSpan w:val="2"/>
          </w:tcPr>
          <w:p>
            <w:pPr>
              <w:ind w:left="20"/>
              <w:spacing w:after="0"/>
              <w:rPr>
                <w:sz w:val="20"/>
                <w:szCs w:val="20"/>
                <w:color w:val="auto"/>
              </w:rPr>
            </w:pPr>
            <w:r>
              <w:rPr>
                <w:rFonts w:ascii="Arial" w:cs="Arial" w:eastAsia="Arial" w:hAnsi="Arial"/>
                <w:sz w:val="18"/>
                <w:szCs w:val="18"/>
                <w:b w:val="1"/>
                <w:bCs w:val="1"/>
                <w:color w:val="131E29"/>
              </w:rPr>
              <w:t>Net income attributable to Dutch Bros Inc.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15,353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7,062</w:t>
            </w:r>
          </w:p>
        </w:tc>
      </w:tr>
      <w:tr>
        <w:trPr>
          <w:trHeight w:val="21"/>
        </w:trPr>
        <w:tc>
          <w:tcPr>
            <w:tcW w:w="7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34925</wp:posOffset>
            </wp:positionV>
            <wp:extent cx="20656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8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510"/>
              <w:spacing w:after="0"/>
              <w:rPr>
                <w:sz w:val="20"/>
                <w:szCs w:val="20"/>
                <w:color w:val="auto"/>
              </w:rPr>
            </w:pPr>
            <w:r>
              <w:rPr>
                <w:rFonts w:ascii="Arial" w:cs="Arial" w:eastAsia="Arial" w:hAnsi="Arial"/>
                <w:sz w:val="18"/>
                <w:szCs w:val="18"/>
                <w:b w:val="1"/>
                <w:bCs w:val="1"/>
                <w:color w:val="131E29"/>
              </w:rPr>
              <w:t>2024</w:t>
            </w:r>
          </w:p>
        </w:tc>
      </w:tr>
      <w:tr>
        <w:trPr>
          <w:trHeight w:val="270"/>
        </w:trPr>
        <w:tc>
          <w:tcPr>
            <w:tcW w:w="794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Basic net income per share attributable to common stockholders</w:t>
            </w: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r>
      <w:tr>
        <w:trPr>
          <w:trHeight w:val="263"/>
        </w:trPr>
        <w:tc>
          <w:tcPr>
            <w:tcW w:w="7940" w:type="dxa"/>
            <w:vAlign w:val="bottom"/>
            <w:gridSpan w:val="2"/>
          </w:tcPr>
          <w:p>
            <w:pPr>
              <w:ind w:left="140"/>
              <w:spacing w:after="0"/>
              <w:rPr>
                <w:sz w:val="20"/>
                <w:szCs w:val="20"/>
                <w:color w:val="auto"/>
              </w:rPr>
            </w:pPr>
            <w:r>
              <w:rPr>
                <w:rFonts w:ascii="Arial" w:cs="Arial" w:eastAsia="Arial" w:hAnsi="Arial"/>
                <w:sz w:val="18"/>
                <w:szCs w:val="18"/>
                <w:b w:val="1"/>
                <w:bCs w:val="1"/>
                <w:color w:val="131E29"/>
              </w:rPr>
              <w:t>Numerator:</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8"/>
        </w:trPr>
        <w:tc>
          <w:tcPr>
            <w:tcW w:w="7940" w:type="dxa"/>
            <w:vAlign w:val="bottom"/>
            <w:tcBorders>
              <w:bottom w:val="single" w:sz="8" w:color="D2DCE5"/>
            </w:tcBorders>
            <w:gridSpan w:val="2"/>
            <w:shd w:val="clear" w:color="auto" w:fill="D2DCE5"/>
          </w:tcPr>
          <w:p>
            <w:pPr>
              <w:ind w:left="300"/>
              <w:spacing w:after="0"/>
              <w:rPr>
                <w:sz w:val="20"/>
                <w:szCs w:val="20"/>
                <w:color w:val="auto"/>
              </w:rPr>
            </w:pPr>
            <w:r>
              <w:rPr>
                <w:rFonts w:ascii="Arial" w:cs="Arial" w:eastAsia="Arial" w:hAnsi="Arial"/>
                <w:sz w:val="18"/>
                <w:szCs w:val="18"/>
                <w:color w:val="131E29"/>
              </w:rPr>
              <w:t>Net income attributable to Dutch Bros Inc.</w:t>
            </w:r>
          </w:p>
        </w:tc>
        <w:tc>
          <w:tcPr>
            <w:tcW w:w="36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006098"/>
                <w:w w:val="9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15,353</w:t>
            </w:r>
          </w:p>
        </w:tc>
        <w:tc>
          <w:tcPr>
            <w:tcW w:w="100" w:type="dxa"/>
            <w:vAlign w:val="bottom"/>
            <w:tcBorders>
              <w:bottom w:val="single" w:sz="8" w:color="D2DCE5"/>
            </w:tcBorders>
            <w:shd w:val="clear" w:color="auto" w:fill="D2DCE5"/>
          </w:tcPr>
          <w:p>
            <w:pPr>
              <w:spacing w:after="0"/>
              <w:rPr>
                <w:sz w:val="22"/>
                <w:szCs w:val="22"/>
                <w:color w:val="auto"/>
              </w:rPr>
            </w:pPr>
          </w:p>
        </w:tc>
        <w:tc>
          <w:tcPr>
            <w:tcW w:w="36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7,062</w:t>
            </w:r>
          </w:p>
        </w:tc>
      </w:tr>
      <w:tr>
        <w:trPr>
          <w:trHeight w:val="257"/>
        </w:trPr>
        <w:tc>
          <w:tcPr>
            <w:tcW w:w="7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7940" w:type="dxa"/>
            <w:vAlign w:val="bottom"/>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Denominator:</w:t>
            </w: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r>
      <w:tr>
        <w:trPr>
          <w:trHeight w:val="224"/>
        </w:trPr>
        <w:tc>
          <w:tcPr>
            <w:tcW w:w="7940" w:type="dxa"/>
            <w:vAlign w:val="bottom"/>
            <w:gridSpan w:val="2"/>
          </w:tcPr>
          <w:p>
            <w:pPr>
              <w:ind w:left="300"/>
              <w:spacing w:after="0"/>
              <w:rPr>
                <w:sz w:val="20"/>
                <w:szCs w:val="20"/>
                <w:color w:val="auto"/>
              </w:rPr>
            </w:pPr>
            <w:r>
              <w:rPr>
                <w:rFonts w:ascii="Arial" w:cs="Arial" w:eastAsia="Arial" w:hAnsi="Arial"/>
                <w:sz w:val="18"/>
                <w:szCs w:val="18"/>
                <w:color w:val="131E29"/>
              </w:rPr>
              <w:t>Weighted-average number of shares of Class A and Class D common stock outstanding -</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9"/>
        </w:trPr>
        <w:tc>
          <w:tcPr>
            <w:tcW w:w="7940" w:type="dxa"/>
            <w:vAlign w:val="bottom"/>
            <w:gridSpan w:val="2"/>
          </w:tcPr>
          <w:p>
            <w:pPr>
              <w:ind w:left="300"/>
              <w:spacing w:after="0"/>
              <w:rPr>
                <w:sz w:val="20"/>
                <w:szCs w:val="20"/>
                <w:color w:val="auto"/>
              </w:rPr>
            </w:pPr>
            <w:r>
              <w:rPr>
                <w:rFonts w:ascii="Arial" w:cs="Arial" w:eastAsia="Arial" w:hAnsi="Arial"/>
                <w:sz w:val="18"/>
                <w:szCs w:val="18"/>
                <w:color w:val="131E29"/>
              </w:rPr>
              <w:t>basic ¹</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120,810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83,328</w:t>
            </w:r>
          </w:p>
        </w:tc>
      </w:tr>
      <w:tr>
        <w:trPr>
          <w:trHeight w:val="23"/>
        </w:trPr>
        <w:tc>
          <w:tcPr>
            <w:tcW w:w="786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79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Basic net income per share attributable to common stockholders ¹</w:t>
            </w: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0.13</w:t>
            </w:r>
          </w:p>
        </w:tc>
        <w:tc>
          <w:tcPr>
            <w:tcW w:w="100" w:type="dxa"/>
            <w:vAlign w:val="bottom"/>
            <w:tcBorders>
              <w:bottom w:val="single" w:sz="8" w:color="D2DCE5"/>
            </w:tcBorders>
            <w:shd w:val="clear" w:color="auto" w:fill="D2DCE5"/>
          </w:tcPr>
          <w:p>
            <w:pPr>
              <w:spacing w:after="0"/>
              <w:rPr>
                <w:sz w:val="24"/>
                <w:szCs w:val="24"/>
                <w:color w:val="auto"/>
              </w:rPr>
            </w:pP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0.08</w:t>
            </w:r>
          </w:p>
        </w:tc>
      </w:tr>
      <w:tr>
        <w:trPr>
          <w:trHeight w:val="20"/>
        </w:trPr>
        <w:tc>
          <w:tcPr>
            <w:tcW w:w="78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spacing w:after="0" w:line="73" w:lineRule="exact"/>
        <w:rPr>
          <w:sz w:val="20"/>
          <w:szCs w:val="20"/>
          <w:color w:val="auto"/>
        </w:rPr>
      </w:pPr>
    </w:p>
    <w:p>
      <w:pPr>
        <w:ind w:left="180" w:hanging="172"/>
        <w:spacing w:after="0" w:line="222" w:lineRule="auto"/>
        <w:tabs>
          <w:tab w:leader="none" w:pos="96" w:val="left"/>
        </w:tabs>
        <w:numPr>
          <w:ilvl w:val="0"/>
          <w:numId w:val="10"/>
        </w:numPr>
        <w:rPr>
          <w:rFonts w:ascii="Arial" w:cs="Arial" w:eastAsia="Arial" w:hAnsi="Arial"/>
          <w:sz w:val="19"/>
          <w:szCs w:val="19"/>
          <w:color w:val="131E29"/>
          <w:vertAlign w:val="superscript"/>
        </w:rPr>
      </w:pPr>
      <w:r>
        <w:rPr>
          <w:rFonts w:ascii="Arial" w:cs="Arial" w:eastAsia="Arial" w:hAnsi="Arial"/>
          <w:sz w:val="14"/>
          <w:szCs w:val="14"/>
          <w:color w:val="131E29"/>
        </w:rPr>
        <w:t>Class D common shares were included in net income per share and weighted-average number of shares calculations in periods prior to June 2024. As of June 2024, all Class D common shares were converted to Class A common shares.</w:t>
      </w:r>
    </w:p>
    <w:p>
      <w:pPr>
        <w:spacing w:after="0" w:line="85"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34925</wp:posOffset>
            </wp:positionV>
            <wp:extent cx="20656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8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2024</w:t>
            </w:r>
          </w:p>
        </w:tc>
      </w:tr>
      <w:tr>
        <w:trPr>
          <w:trHeight w:val="270"/>
        </w:trPr>
        <w:tc>
          <w:tcPr>
            <w:tcW w:w="79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Diluted net income per share attributable to common stockholders</w:t>
            </w: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r>
      <w:tr>
        <w:trPr>
          <w:trHeight w:val="263"/>
        </w:trPr>
        <w:tc>
          <w:tcPr>
            <w:tcW w:w="7980" w:type="dxa"/>
            <w:vAlign w:val="bottom"/>
            <w:gridSpan w:val="2"/>
          </w:tcPr>
          <w:p>
            <w:pPr>
              <w:ind w:left="180"/>
              <w:spacing w:after="0"/>
              <w:rPr>
                <w:sz w:val="20"/>
                <w:szCs w:val="20"/>
                <w:color w:val="auto"/>
              </w:rPr>
            </w:pPr>
            <w:r>
              <w:rPr>
                <w:rFonts w:ascii="Arial" w:cs="Arial" w:eastAsia="Arial" w:hAnsi="Arial"/>
                <w:sz w:val="18"/>
                <w:szCs w:val="18"/>
                <w:b w:val="1"/>
                <w:bCs w:val="1"/>
                <w:color w:val="131E29"/>
              </w:rPr>
              <w:t>Numerator:</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8"/>
        </w:trPr>
        <w:tc>
          <w:tcPr>
            <w:tcW w:w="798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Undistributed net income for basic computation</w:t>
            </w:r>
          </w:p>
        </w:tc>
        <w:tc>
          <w:tcPr>
            <w:tcW w:w="36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006098"/>
                <w:w w:val="9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15,353</w:t>
            </w:r>
          </w:p>
        </w:tc>
        <w:tc>
          <w:tcPr>
            <w:tcW w:w="100" w:type="dxa"/>
            <w:vAlign w:val="bottom"/>
            <w:tcBorders>
              <w:bottom w:val="single" w:sz="8" w:color="D2DCE5"/>
            </w:tcBorders>
            <w:shd w:val="clear" w:color="auto" w:fill="D2DCE5"/>
          </w:tcPr>
          <w:p>
            <w:pPr>
              <w:spacing w:after="0"/>
              <w:rPr>
                <w:sz w:val="22"/>
                <w:szCs w:val="22"/>
                <w:color w:val="auto"/>
              </w:rPr>
            </w:pPr>
          </w:p>
        </w:tc>
        <w:tc>
          <w:tcPr>
            <w:tcW w:w="36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7,062</w:t>
            </w:r>
          </w:p>
        </w:tc>
      </w:tr>
      <w:tr>
        <w:trPr>
          <w:trHeight w:val="224"/>
        </w:trPr>
        <w:tc>
          <w:tcPr>
            <w:tcW w:w="7980" w:type="dxa"/>
            <w:vAlign w:val="bottom"/>
            <w:gridSpan w:val="2"/>
          </w:tcPr>
          <w:p>
            <w:pPr>
              <w:ind w:left="360"/>
              <w:spacing w:after="0"/>
              <w:rPr>
                <w:sz w:val="20"/>
                <w:szCs w:val="20"/>
                <w:color w:val="auto"/>
              </w:rPr>
            </w:pPr>
            <w:r>
              <w:rPr>
                <w:rFonts w:ascii="Arial" w:cs="Arial" w:eastAsia="Arial" w:hAnsi="Arial"/>
                <w:sz w:val="18"/>
                <w:szCs w:val="18"/>
                <w:color w:val="131E29"/>
              </w:rPr>
              <w:t>Increase in net income attributable to common stockholders upon conversion of potentially</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9"/>
        </w:trPr>
        <w:tc>
          <w:tcPr>
            <w:tcW w:w="7980" w:type="dxa"/>
            <w:vAlign w:val="bottom"/>
            <w:gridSpan w:val="2"/>
          </w:tcPr>
          <w:p>
            <w:pPr>
              <w:ind w:left="360"/>
              <w:spacing w:after="0"/>
              <w:rPr>
                <w:sz w:val="20"/>
                <w:szCs w:val="20"/>
                <w:color w:val="auto"/>
              </w:rPr>
            </w:pPr>
            <w:r>
              <w:rPr>
                <w:rFonts w:ascii="Arial" w:cs="Arial" w:eastAsia="Arial" w:hAnsi="Arial"/>
                <w:sz w:val="18"/>
                <w:szCs w:val="18"/>
                <w:color w:val="131E29"/>
              </w:rPr>
              <w:t>dilutive instruments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4</w:t>
            </w:r>
          </w:p>
        </w:tc>
      </w:tr>
      <w:tr>
        <w:trPr>
          <w:trHeight w:val="23"/>
        </w:trPr>
        <w:tc>
          <w:tcPr>
            <w:tcW w:w="790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D2DCE5"/>
            </w:tcBorders>
            <w:gridSpan w:val="2"/>
            <w:shd w:val="clear" w:color="auto" w:fill="D2DCE5"/>
          </w:tcPr>
          <w:p>
            <w:pPr>
              <w:ind w:left="240"/>
              <w:spacing w:after="0"/>
              <w:rPr>
                <w:sz w:val="20"/>
                <w:szCs w:val="20"/>
                <w:color w:val="auto"/>
              </w:rPr>
            </w:pPr>
            <w:r>
              <w:rPr>
                <w:rFonts w:ascii="Arial" w:cs="Arial" w:eastAsia="Arial" w:hAnsi="Arial"/>
                <w:sz w:val="18"/>
                <w:szCs w:val="18"/>
                <w:b w:val="1"/>
                <w:bCs w:val="1"/>
                <w:color w:val="131E29"/>
              </w:rPr>
              <w:t>Allocation of undistributed net income</w:t>
            </w: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15,381</w:t>
            </w:r>
          </w:p>
        </w:tc>
        <w:tc>
          <w:tcPr>
            <w:tcW w:w="100" w:type="dxa"/>
            <w:vAlign w:val="bottom"/>
            <w:tcBorders>
              <w:bottom w:val="single" w:sz="8" w:color="D2DCE5"/>
            </w:tcBorders>
            <w:shd w:val="clear" w:color="auto" w:fill="D2DCE5"/>
          </w:tcPr>
          <w:p>
            <w:pPr>
              <w:spacing w:after="0"/>
              <w:rPr>
                <w:sz w:val="24"/>
                <w:szCs w:val="24"/>
                <w:color w:val="auto"/>
              </w:rPr>
            </w:pP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7,066</w:t>
            </w:r>
          </w:p>
        </w:tc>
      </w:tr>
      <w:tr>
        <w:trPr>
          <w:trHeight w:val="20"/>
        </w:trPr>
        <w:tc>
          <w:tcPr>
            <w:tcW w:w="79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r>
      <w:tr>
        <w:trPr>
          <w:trHeight w:val="217"/>
        </w:trPr>
        <w:tc>
          <w:tcPr>
            <w:tcW w:w="7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7980" w:type="dxa"/>
            <w:vAlign w:val="bottom"/>
            <w:gridSpan w:val="2"/>
            <w:shd w:val="clear" w:color="auto" w:fill="D2DCE5"/>
          </w:tcPr>
          <w:p>
            <w:pPr>
              <w:ind w:left="180"/>
              <w:spacing w:after="0"/>
              <w:rPr>
                <w:sz w:val="20"/>
                <w:szCs w:val="20"/>
                <w:color w:val="auto"/>
              </w:rPr>
            </w:pPr>
            <w:r>
              <w:rPr>
                <w:rFonts w:ascii="Arial" w:cs="Arial" w:eastAsia="Arial" w:hAnsi="Arial"/>
                <w:sz w:val="18"/>
                <w:szCs w:val="18"/>
                <w:b w:val="1"/>
                <w:bCs w:val="1"/>
                <w:color w:val="131E29"/>
              </w:rPr>
              <w:t>Denominator:</w:t>
            </w: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r>
      <w:tr>
        <w:trPr>
          <w:trHeight w:val="247"/>
        </w:trPr>
        <w:tc>
          <w:tcPr>
            <w:tcW w:w="7980" w:type="dxa"/>
            <w:vAlign w:val="bottom"/>
            <w:gridSpan w:val="2"/>
          </w:tcPr>
          <w:p>
            <w:pPr>
              <w:ind w:left="360"/>
              <w:spacing w:after="0"/>
              <w:rPr>
                <w:sz w:val="20"/>
                <w:szCs w:val="20"/>
                <w:color w:val="auto"/>
              </w:rPr>
            </w:pPr>
            <w:r>
              <w:rPr>
                <w:rFonts w:ascii="Arial" w:cs="Arial" w:eastAsia="Arial" w:hAnsi="Arial"/>
                <w:sz w:val="18"/>
                <w:szCs w:val="18"/>
                <w:color w:val="131E29"/>
              </w:rPr>
              <w:t>Number of shares used in basic computation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120,810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83,328</w:t>
            </w: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Add: weighted-average effect of dilutive securities</w:t>
            </w:r>
          </w:p>
        </w:tc>
        <w:tc>
          <w:tcPr>
            <w:tcW w:w="36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r>
      <w:tr>
        <w:trPr>
          <w:trHeight w:val="247"/>
        </w:trPr>
        <w:tc>
          <w:tcPr>
            <w:tcW w:w="7980" w:type="dxa"/>
            <w:vAlign w:val="bottom"/>
            <w:gridSpan w:val="2"/>
          </w:tcPr>
          <w:p>
            <w:pPr>
              <w:ind w:left="520"/>
              <w:spacing w:after="0"/>
              <w:rPr>
                <w:sz w:val="20"/>
                <w:szCs w:val="20"/>
                <w:color w:val="auto"/>
              </w:rPr>
            </w:pPr>
            <w:r>
              <w:rPr>
                <w:rFonts w:ascii="Arial" w:cs="Arial" w:eastAsia="Arial" w:hAnsi="Arial"/>
                <w:sz w:val="18"/>
                <w:szCs w:val="18"/>
                <w:color w:val="131E29"/>
              </w:rPr>
              <w:t>RSAs</w:t>
            </w:r>
          </w:p>
        </w:tc>
        <w:tc>
          <w:tcPr>
            <w:tcW w:w="3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006098"/>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44</w:t>
            </w: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D2DCE5"/>
            </w:tcBorders>
            <w:gridSpan w:val="2"/>
            <w:shd w:val="clear" w:color="auto" w:fill="D2DCE5"/>
          </w:tcPr>
          <w:p>
            <w:pPr>
              <w:ind w:left="520"/>
              <w:spacing w:after="0"/>
              <w:rPr>
                <w:sz w:val="20"/>
                <w:szCs w:val="20"/>
                <w:color w:val="auto"/>
              </w:rPr>
            </w:pPr>
            <w:r>
              <w:rPr>
                <w:rFonts w:ascii="Arial" w:cs="Arial" w:eastAsia="Arial" w:hAnsi="Arial"/>
                <w:sz w:val="18"/>
                <w:szCs w:val="18"/>
                <w:color w:val="131E29"/>
              </w:rPr>
              <w:t>RSUs</w:t>
            </w:r>
          </w:p>
        </w:tc>
        <w:tc>
          <w:tcPr>
            <w:tcW w:w="36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698</w:t>
            </w:r>
          </w:p>
        </w:tc>
        <w:tc>
          <w:tcPr>
            <w:tcW w:w="100" w:type="dxa"/>
            <w:vAlign w:val="bottom"/>
            <w:tcBorders>
              <w:bottom w:val="single" w:sz="8" w:color="D2DCE5"/>
            </w:tcBorders>
            <w:shd w:val="clear" w:color="auto" w:fill="D2DCE5"/>
          </w:tcPr>
          <w:p>
            <w:pPr>
              <w:spacing w:after="0"/>
              <w:rPr>
                <w:sz w:val="23"/>
                <w:szCs w:val="23"/>
                <w:color w:val="auto"/>
              </w:rPr>
            </w:pPr>
          </w:p>
        </w:tc>
        <w:tc>
          <w:tcPr>
            <w:tcW w:w="36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38</w:t>
            </w:r>
          </w:p>
        </w:tc>
      </w:tr>
      <w:tr>
        <w:trPr>
          <w:trHeight w:val="204"/>
        </w:trPr>
        <w:tc>
          <w:tcPr>
            <w:tcW w:w="7980" w:type="dxa"/>
            <w:vAlign w:val="bottom"/>
            <w:gridSpan w:val="2"/>
          </w:tcPr>
          <w:p>
            <w:pPr>
              <w:ind w:left="360"/>
              <w:spacing w:after="0" w:line="204" w:lineRule="exact"/>
              <w:rPr>
                <w:sz w:val="20"/>
                <w:szCs w:val="20"/>
                <w:color w:val="auto"/>
              </w:rPr>
            </w:pPr>
            <w:r>
              <w:rPr>
                <w:rFonts w:ascii="Arial" w:cs="Arial" w:eastAsia="Arial" w:hAnsi="Arial"/>
                <w:sz w:val="18"/>
                <w:szCs w:val="18"/>
                <w:color w:val="131E29"/>
              </w:rPr>
              <w:t>Weighted-average number of shares of Class A and Class D common stock outstanding used</w:t>
            </w: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39"/>
        </w:trPr>
        <w:tc>
          <w:tcPr>
            <w:tcW w:w="7980" w:type="dxa"/>
            <w:vAlign w:val="bottom"/>
            <w:gridSpan w:val="2"/>
          </w:tcPr>
          <w:p>
            <w:pPr>
              <w:ind w:left="360"/>
              <w:spacing w:after="0"/>
              <w:rPr>
                <w:sz w:val="20"/>
                <w:szCs w:val="20"/>
                <w:color w:val="auto"/>
              </w:rPr>
            </w:pPr>
            <w:r>
              <w:rPr>
                <w:rFonts w:ascii="Arial" w:cs="Arial" w:eastAsia="Arial" w:hAnsi="Arial"/>
                <w:sz w:val="18"/>
                <w:szCs w:val="18"/>
                <w:color w:val="131E29"/>
              </w:rPr>
              <w:t>to calculate diluted net income per share ¹</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121,508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83,410</w:t>
            </w:r>
          </w:p>
        </w:tc>
      </w:tr>
      <w:tr>
        <w:trPr>
          <w:trHeight w:val="23"/>
        </w:trPr>
        <w:tc>
          <w:tcPr>
            <w:tcW w:w="790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Diluted net income per share attributable to common stockholders ¹</w:t>
            </w: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0.13</w:t>
            </w:r>
          </w:p>
        </w:tc>
        <w:tc>
          <w:tcPr>
            <w:tcW w:w="100" w:type="dxa"/>
            <w:vAlign w:val="bottom"/>
            <w:tcBorders>
              <w:bottom w:val="single" w:sz="8" w:color="D2DCE5"/>
            </w:tcBorders>
            <w:shd w:val="clear" w:color="auto" w:fill="D2DCE5"/>
          </w:tcPr>
          <w:p>
            <w:pPr>
              <w:spacing w:after="0"/>
              <w:rPr>
                <w:sz w:val="24"/>
                <w:szCs w:val="24"/>
                <w:color w:val="auto"/>
              </w:rPr>
            </w:pP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0.08</w:t>
            </w:r>
          </w:p>
        </w:tc>
      </w:tr>
      <w:tr>
        <w:trPr>
          <w:trHeight w:val="20"/>
        </w:trPr>
        <w:tc>
          <w:tcPr>
            <w:tcW w:w="79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spacing w:after="0" w:line="73" w:lineRule="exact"/>
        <w:rPr>
          <w:sz w:val="20"/>
          <w:szCs w:val="20"/>
          <w:color w:val="auto"/>
        </w:rPr>
      </w:pPr>
    </w:p>
    <w:p>
      <w:pPr>
        <w:ind w:left="180" w:hanging="172"/>
        <w:spacing w:after="0" w:line="231" w:lineRule="auto"/>
        <w:tabs>
          <w:tab w:leader="none" w:pos="96" w:val="left"/>
        </w:tabs>
        <w:numPr>
          <w:ilvl w:val="0"/>
          <w:numId w:val="11"/>
        </w:numPr>
        <w:rPr>
          <w:rFonts w:ascii="Arial" w:cs="Arial" w:eastAsia="Arial" w:hAnsi="Arial"/>
          <w:sz w:val="19"/>
          <w:szCs w:val="19"/>
          <w:color w:val="131E29"/>
          <w:vertAlign w:val="superscript"/>
        </w:rPr>
      </w:pPr>
      <w:r>
        <w:rPr>
          <w:rFonts w:ascii="Arial" w:cs="Arial" w:eastAsia="Arial" w:hAnsi="Arial"/>
          <w:sz w:val="14"/>
          <w:szCs w:val="14"/>
          <w:color w:val="131E29"/>
        </w:rPr>
        <w:t>Class D common shares were included in net income per share and weighted-average number of shares calculations in periods prior to June 2024. As of June 2024, all Class D common shares were converted to Class A common shares.</w:t>
      </w:r>
    </w:p>
    <w:p>
      <w:pPr>
        <w:spacing w:after="0" w:line="138"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The following Class A common stock equivalents were excluded from diluted net income per share in the periods presented because they were anti-dilutive:</w:t>
      </w:r>
    </w:p>
    <w:p>
      <w:pPr>
        <w:spacing w:after="0" w:line="153"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34925</wp:posOffset>
            </wp:positionV>
            <wp:extent cx="20485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156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156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2024</w:t>
            </w:r>
          </w:p>
        </w:tc>
      </w:tr>
      <w:tr>
        <w:trPr>
          <w:trHeight w:val="250"/>
        </w:trPr>
        <w:tc>
          <w:tcPr>
            <w:tcW w:w="80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PSUs</w:t>
            </w: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43</w:t>
            </w:r>
          </w:p>
        </w:tc>
        <w:tc>
          <w:tcPr>
            <w:tcW w:w="10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47"/>
        </w:trPr>
        <w:tc>
          <w:tcPr>
            <w:tcW w:w="8020" w:type="dxa"/>
            <w:vAlign w:val="bottom"/>
            <w:gridSpan w:val="2"/>
          </w:tcPr>
          <w:p>
            <w:pPr>
              <w:ind w:left="20"/>
              <w:spacing w:after="0"/>
              <w:rPr>
                <w:sz w:val="20"/>
                <w:szCs w:val="20"/>
                <w:color w:val="auto"/>
              </w:rPr>
            </w:pPr>
            <w:r>
              <w:rPr>
                <w:rFonts w:ascii="Arial" w:cs="Arial" w:eastAsia="Arial" w:hAnsi="Arial"/>
                <w:sz w:val="18"/>
                <w:szCs w:val="18"/>
                <w:color w:val="131E29"/>
              </w:rPr>
              <w:t>RSUs</w:t>
            </w:r>
          </w:p>
        </w:tc>
        <w:tc>
          <w:tcPr>
            <w:tcW w:w="1560" w:type="dxa"/>
            <w:vAlign w:val="bottom"/>
          </w:tcPr>
          <w:p>
            <w:pPr>
              <w:jc w:val="right"/>
              <w:spacing w:after="0"/>
              <w:rPr>
                <w:sz w:val="20"/>
                <w:szCs w:val="20"/>
                <w:color w:val="auto"/>
              </w:rPr>
            </w:pPr>
            <w:r>
              <w:rPr>
                <w:rFonts w:ascii="Arial" w:cs="Arial" w:eastAsia="Arial" w:hAnsi="Arial"/>
                <w:sz w:val="18"/>
                <w:szCs w:val="18"/>
                <w:color w:val="006098"/>
              </w:rPr>
              <w:t>100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146</w:t>
            </w:r>
          </w:p>
        </w:tc>
      </w:tr>
      <w:tr>
        <w:trPr>
          <w:trHeight w:val="23"/>
        </w:trPr>
        <w:tc>
          <w:tcPr>
            <w:tcW w:w="79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b w:val="1"/>
                <w:bCs w:val="1"/>
                <w:color w:val="131E29"/>
              </w:rPr>
              <w:t>Total anti-dilutive securities</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143</w:t>
            </w:r>
          </w:p>
        </w:tc>
        <w:tc>
          <w:tcPr>
            <w:tcW w:w="100" w:type="dxa"/>
            <w:vAlign w:val="bottom"/>
            <w:tcBorders>
              <w:bottom w:val="single" w:sz="8" w:color="D2DCE5"/>
            </w:tcBorders>
            <w:shd w:val="clear" w:color="auto" w:fill="D2DCE5"/>
          </w:tcPr>
          <w:p>
            <w:pPr>
              <w:spacing w:after="0"/>
              <w:rPr>
                <w:sz w:val="24"/>
                <w:szCs w:val="24"/>
                <w:color w:val="auto"/>
              </w:rPr>
            </w:pP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146</w:t>
            </w:r>
          </w:p>
        </w:tc>
      </w:tr>
      <w:tr>
        <w:trPr>
          <w:trHeight w:val="20"/>
        </w:trPr>
        <w:tc>
          <w:tcPr>
            <w:tcW w:w="79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15 — Commitments and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Purchase Obligations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enter into fixed-price and price-to-be fixed green coffee purchase commitments. For both fixed-price and price-to-be fixed purchase commitments, we expect to take delivery of green coffee and to utilize the coffee in a reasonable period of time in the ordinary course of business. Such contracts are used for the normal purchases of green coffee and not for speculative purposes. We do not enter into futures contracts or other derivative instruments related to its green coffee purchase commitments.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Guarantees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periodically provide guarantees to franchise partners for lease payments. Annually, we determine if a liability needs to be recorded related to these guarantees. As of March 31, 2025 and December 31, 2024, we had guaranteed approximately $8.1 million and $8.2 million, respectively, in franchise partners’ lease payments and have not established a liability for these guarantees as any liability arising from the guarantees is not material to the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Legal Proceedings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Company is a party to routine legal actions arising in the ordinary course of and incidental to its business. These claims, legal proceedings, and litigation principally arise from alleged casualty, employment, and other disputes.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Any claim, proceeding or litigation has an element of uncertainty, and an unfavorable outcome may have a material adverse effect on the Company’s financial condition, results of operations, or cash flows.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Liabilities Under Tax Receivable Agreements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Under the TRAs, Dutch Bros Inc. is contractually committed to pay the non-controlling interest holders 85% of the amount of any tax benefits that Dutch Bros Inc. actually realizes, or in some cases is deemed to realize, as a result of certain transactions. As of March 31, 2025, Dutch Bros Inc. recognized $799.5 million of liabilities related to its obligations under the TRAs. Refer to NOTE 11 — Income Taxes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16 — Segment Reporting</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Segment information is prepared on the same basis that our CEO, who is the CODM, manages the segments, evaluates financial results and makes key operating decisions. Our CEO evaluates financial performance based on two operating segments, which offer distinct products and services to different customers: Company-operated shops and Franchising and other. The Company-operated shops segment includes retail coffee shop sales to end consumers. The Franchising and other segment includes bean and product sales to franchise partners, initial franchise fees, royalties, and marketing fees related to the franchise partners, as well as sales of products through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131E29"/>
        </w:rPr>
        <w:t>The CODM reviews segment performance and allocates resources based upon segment contribution, which is defined as segment gross profit before depreciation and amortization. Segment contribution is used to monitor and assess segment results compared to prior periods, forecasted results, and our annual operating plan.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All segment revenue is earned in the United States. All intercompany sales amongst the Dutch Bros entities are fully eliminated in consolidation. Further, there are no intersegment revenues. The CODM does not evaluate operating segments using discrete asset information.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Selling, general and administrative expenses primarily consist of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No changes have been made to our segments during the three months ended March 31, 2025. In addition, no customer represented 10% or more of total revenue for the three months ended March 31, 2025 and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131E29"/>
        </w:rPr>
        <w:t>Financial information for our reportable segments was as follows for the periods presented:</w:t>
      </w:r>
    </w:p>
    <w:p>
      <w:pPr>
        <w:spacing w:after="0" w:line="225"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34925</wp:posOffset>
            </wp:positionV>
            <wp:extent cx="20656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2024</w:t>
            </w:r>
          </w:p>
        </w:tc>
      </w:tr>
      <w:tr>
        <w:trPr>
          <w:trHeight w:val="270"/>
        </w:trPr>
        <w:tc>
          <w:tcPr>
            <w:tcW w:w="79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Revenues</w:t>
            </w: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r>
      <w:tr>
        <w:trPr>
          <w:trHeight w:val="247"/>
        </w:trPr>
        <w:tc>
          <w:tcPr>
            <w:tcW w:w="798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60" w:type="dxa"/>
            <w:vAlign w:val="bottom"/>
          </w:tcPr>
          <w:p>
            <w:pPr>
              <w:jc w:val="right"/>
              <w:ind w:right="150"/>
              <w:spacing w:after="0"/>
              <w:rPr>
                <w:sz w:val="20"/>
                <w:szCs w:val="20"/>
                <w:color w:val="auto"/>
              </w:rPr>
            </w:pPr>
            <w:r>
              <w:rPr>
                <w:rFonts w:ascii="Arial" w:cs="Arial" w:eastAsia="Arial" w:hAnsi="Arial"/>
                <w:sz w:val="18"/>
                <w:szCs w:val="18"/>
                <w:color w:val="006098"/>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006098"/>
              </w:rPr>
              <w:t>326,421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131E29"/>
              </w:rPr>
              <w:t>248,085</w:t>
            </w: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6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28,731</w:t>
            </w:r>
          </w:p>
        </w:tc>
        <w:tc>
          <w:tcPr>
            <w:tcW w:w="100" w:type="dxa"/>
            <w:vAlign w:val="bottom"/>
            <w:tcBorders>
              <w:bottom w:val="single" w:sz="8" w:color="D2DCE5"/>
            </w:tcBorders>
            <w:shd w:val="clear" w:color="auto" w:fill="D2DCE5"/>
          </w:tcPr>
          <w:p>
            <w:pPr>
              <w:spacing w:after="0"/>
              <w:rPr>
                <w:sz w:val="23"/>
                <w:szCs w:val="23"/>
                <w:color w:val="auto"/>
              </w:rPr>
            </w:pPr>
          </w:p>
        </w:tc>
        <w:tc>
          <w:tcPr>
            <w:tcW w:w="36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27,014</w:t>
            </w:r>
          </w:p>
        </w:tc>
      </w:tr>
      <w:tr>
        <w:trPr>
          <w:trHeight w:val="240"/>
        </w:trPr>
        <w:tc>
          <w:tcPr>
            <w:tcW w:w="7980" w:type="dxa"/>
            <w:vAlign w:val="bottom"/>
            <w:gridSpan w:val="2"/>
          </w:tcPr>
          <w:p>
            <w:pPr>
              <w:ind w:left="360"/>
              <w:spacing w:after="0"/>
              <w:rPr>
                <w:sz w:val="20"/>
                <w:szCs w:val="20"/>
                <w:color w:val="auto"/>
              </w:rPr>
            </w:pPr>
            <w:r>
              <w:rPr>
                <w:rFonts w:ascii="Arial" w:cs="Arial" w:eastAsia="Arial" w:hAnsi="Arial"/>
                <w:sz w:val="18"/>
                <w:szCs w:val="18"/>
                <w:color w:val="131E29"/>
              </w:rPr>
              <w:t>Total revenues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06098"/>
              </w:rPr>
              <w:t>355,152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275,099</w:t>
            </w:r>
          </w:p>
        </w:tc>
      </w:tr>
      <w:tr>
        <w:trPr>
          <w:trHeight w:val="23"/>
        </w:trPr>
        <w:tc>
          <w:tcPr>
            <w:tcW w:w="790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Cost of sales</w:t>
            </w:r>
          </w:p>
        </w:tc>
        <w:tc>
          <w:tcPr>
            <w:tcW w:w="36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6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r>
      <w:tr>
        <w:trPr>
          <w:trHeight w:val="247"/>
        </w:trPr>
        <w:tc>
          <w:tcPr>
            <w:tcW w:w="798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D2DCE5"/>
            </w:tcBorders>
            <w:gridSpan w:val="2"/>
            <w:shd w:val="clear" w:color="auto" w:fill="D2DCE5"/>
          </w:tcPr>
          <w:p>
            <w:pPr>
              <w:ind w:left="300"/>
              <w:spacing w:after="0"/>
              <w:rPr>
                <w:sz w:val="20"/>
                <w:szCs w:val="20"/>
                <w:color w:val="auto"/>
              </w:rPr>
            </w:pPr>
            <w:r>
              <w:rPr>
                <w:rFonts w:ascii="Arial" w:cs="Arial" w:eastAsia="Arial" w:hAnsi="Arial"/>
                <w:sz w:val="18"/>
                <w:szCs w:val="18"/>
                <w:color w:val="131E29"/>
              </w:rPr>
              <w:t>Beverage, food &amp; packaging</w:t>
            </w:r>
          </w:p>
        </w:tc>
        <w:tc>
          <w:tcPr>
            <w:tcW w:w="36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81,379</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63,716</w:t>
            </w:r>
          </w:p>
        </w:tc>
      </w:tr>
      <w:tr>
        <w:trPr>
          <w:trHeight w:val="247"/>
        </w:trPr>
        <w:tc>
          <w:tcPr>
            <w:tcW w:w="7980" w:type="dxa"/>
            <w:vAlign w:val="bottom"/>
            <w:gridSpan w:val="2"/>
          </w:tcPr>
          <w:p>
            <w:pPr>
              <w:ind w:left="300"/>
              <w:spacing w:after="0"/>
              <w:rPr>
                <w:sz w:val="20"/>
                <w:szCs w:val="20"/>
                <w:color w:val="auto"/>
              </w:rPr>
            </w:pPr>
            <w:r>
              <w:rPr>
                <w:rFonts w:ascii="Arial" w:cs="Arial" w:eastAsia="Arial" w:hAnsi="Arial"/>
                <w:sz w:val="18"/>
                <w:szCs w:val="18"/>
                <w:color w:val="131E29"/>
              </w:rPr>
              <w:t>Labor costs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89,439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65,427</w:t>
            </w: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D2DCE5"/>
            </w:tcBorders>
            <w:gridSpan w:val="2"/>
            <w:shd w:val="clear" w:color="auto" w:fill="D2DCE5"/>
          </w:tcPr>
          <w:p>
            <w:pPr>
              <w:ind w:left="300"/>
              <w:spacing w:after="0"/>
              <w:rPr>
                <w:sz w:val="20"/>
                <w:szCs w:val="20"/>
                <w:color w:val="auto"/>
              </w:rPr>
            </w:pPr>
            <w:r>
              <w:rPr>
                <w:rFonts w:ascii="Arial" w:cs="Arial" w:eastAsia="Arial" w:hAnsi="Arial"/>
                <w:sz w:val="18"/>
                <w:szCs w:val="18"/>
                <w:color w:val="131E29"/>
              </w:rPr>
              <w:t>Occupancy &amp; other costs</w:t>
            </w:r>
          </w:p>
        </w:tc>
        <w:tc>
          <w:tcPr>
            <w:tcW w:w="36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53,927</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41,496</w:t>
            </w:r>
          </w:p>
        </w:tc>
      </w:tr>
      <w:tr>
        <w:trPr>
          <w:trHeight w:val="247"/>
        </w:trPr>
        <w:tc>
          <w:tcPr>
            <w:tcW w:w="7980" w:type="dxa"/>
            <w:vAlign w:val="bottom"/>
            <w:gridSpan w:val="2"/>
          </w:tcPr>
          <w:p>
            <w:pPr>
              <w:ind w:left="300"/>
              <w:spacing w:after="0"/>
              <w:rPr>
                <w:sz w:val="20"/>
                <w:szCs w:val="20"/>
                <w:color w:val="auto"/>
              </w:rPr>
            </w:pPr>
            <w:r>
              <w:rPr>
                <w:rFonts w:ascii="Arial" w:cs="Arial" w:eastAsia="Arial" w:hAnsi="Arial"/>
                <w:sz w:val="18"/>
                <w:szCs w:val="18"/>
                <w:color w:val="131E29"/>
              </w:rPr>
              <w:t>Pre-opening costs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5,611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3,447</w:t>
            </w: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6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8,775</w:t>
            </w:r>
          </w:p>
        </w:tc>
        <w:tc>
          <w:tcPr>
            <w:tcW w:w="100" w:type="dxa"/>
            <w:vAlign w:val="bottom"/>
            <w:tcBorders>
              <w:bottom w:val="single" w:sz="8" w:color="D2DCE5"/>
            </w:tcBorders>
            <w:shd w:val="clear" w:color="auto" w:fill="D2DCE5"/>
          </w:tcPr>
          <w:p>
            <w:pPr>
              <w:spacing w:after="0"/>
              <w:rPr>
                <w:sz w:val="23"/>
                <w:szCs w:val="23"/>
                <w:color w:val="auto"/>
              </w:rPr>
            </w:pPr>
          </w:p>
        </w:tc>
        <w:tc>
          <w:tcPr>
            <w:tcW w:w="36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8,251</w:t>
            </w:r>
          </w:p>
        </w:tc>
      </w:tr>
      <w:tr>
        <w:trPr>
          <w:trHeight w:val="264"/>
        </w:trPr>
        <w:tc>
          <w:tcPr>
            <w:tcW w:w="7980" w:type="dxa"/>
            <w:vAlign w:val="bottom"/>
            <w:tcBorders>
              <w:bottom w:val="single" w:sz="8" w:color="D2DCE5"/>
            </w:tcBorders>
            <w:gridSpan w:val="2"/>
          </w:tcPr>
          <w:p>
            <w:pPr>
              <w:ind w:left="360"/>
              <w:spacing w:after="0"/>
              <w:rPr>
                <w:sz w:val="20"/>
                <w:szCs w:val="20"/>
                <w:color w:val="auto"/>
              </w:rPr>
            </w:pPr>
            <w:r>
              <w:rPr>
                <w:rFonts w:ascii="Arial" w:cs="Arial" w:eastAsia="Arial" w:hAnsi="Arial"/>
                <w:sz w:val="18"/>
                <w:szCs w:val="18"/>
                <w:color w:val="131E29"/>
              </w:rPr>
              <w:t>Segment cost of sales</w:t>
            </w:r>
            <w:r>
              <w:rPr>
                <w:rFonts w:ascii="Arial" w:cs="Arial" w:eastAsia="Arial" w:hAnsi="Arial"/>
                <w:sz w:val="23"/>
                <w:szCs w:val="23"/>
                <w:color w:val="131E29"/>
                <w:vertAlign w:val="superscript"/>
              </w:rPr>
              <w:t>1</w:t>
            </w: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06098"/>
              </w:rPr>
              <w:t>239,131</w:t>
            </w:r>
          </w:p>
        </w:tc>
        <w:tc>
          <w:tcPr>
            <w:tcW w:w="100" w:type="dxa"/>
            <w:vAlign w:val="bottom"/>
            <w:tcBorders>
              <w:bottom w:val="single" w:sz="8" w:color="D2DCE5"/>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182,337</w:t>
            </w:r>
          </w:p>
        </w:tc>
      </w:tr>
      <w:tr>
        <w:trPr>
          <w:trHeight w:val="250"/>
        </w:trPr>
        <w:tc>
          <w:tcPr>
            <w:tcW w:w="79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Segment contribution</w:t>
            </w:r>
          </w:p>
        </w:tc>
        <w:tc>
          <w:tcPr>
            <w:tcW w:w="36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6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r>
      <w:tr>
        <w:trPr>
          <w:trHeight w:val="247"/>
        </w:trPr>
        <w:tc>
          <w:tcPr>
            <w:tcW w:w="798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96,065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73,999</w:t>
            </w: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6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19,956</w:t>
            </w:r>
          </w:p>
        </w:tc>
        <w:tc>
          <w:tcPr>
            <w:tcW w:w="100" w:type="dxa"/>
            <w:vAlign w:val="bottom"/>
            <w:tcBorders>
              <w:bottom w:val="single" w:sz="8" w:color="D2DCE5"/>
            </w:tcBorders>
            <w:shd w:val="clear" w:color="auto" w:fill="D2DCE5"/>
          </w:tcPr>
          <w:p>
            <w:pPr>
              <w:spacing w:after="0"/>
              <w:rPr>
                <w:sz w:val="23"/>
                <w:szCs w:val="23"/>
                <w:color w:val="auto"/>
              </w:rPr>
            </w:pPr>
          </w:p>
        </w:tc>
        <w:tc>
          <w:tcPr>
            <w:tcW w:w="36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18,763</w:t>
            </w:r>
          </w:p>
        </w:tc>
      </w:tr>
      <w:tr>
        <w:trPr>
          <w:trHeight w:val="263"/>
        </w:trPr>
        <w:tc>
          <w:tcPr>
            <w:tcW w:w="7980" w:type="dxa"/>
            <w:vAlign w:val="bottom"/>
            <w:gridSpan w:val="2"/>
          </w:tcPr>
          <w:p>
            <w:pPr>
              <w:ind w:left="360"/>
              <w:spacing w:after="0"/>
              <w:rPr>
                <w:sz w:val="20"/>
                <w:szCs w:val="20"/>
                <w:color w:val="auto"/>
              </w:rPr>
            </w:pPr>
            <w:r>
              <w:rPr>
                <w:rFonts w:ascii="Arial" w:cs="Arial" w:eastAsia="Arial" w:hAnsi="Arial"/>
                <w:sz w:val="18"/>
                <w:szCs w:val="18"/>
                <w:b w:val="1"/>
                <w:bCs w:val="1"/>
                <w:color w:val="131E29"/>
              </w:rPr>
              <w:t>Total segment contribution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116,021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92,762</w:t>
            </w:r>
          </w:p>
        </w:tc>
      </w:tr>
      <w:tr>
        <w:trPr>
          <w:trHeight w:val="20"/>
        </w:trPr>
        <w:tc>
          <w:tcPr>
            <w:tcW w:w="790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790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360" w:type="dxa"/>
            <w:vAlign w:val="bottom"/>
            <w:shd w:val="clear" w:color="auto" w:fill="D2DCE5"/>
          </w:tcPr>
          <w:p>
            <w:pPr>
              <w:spacing w:after="0"/>
              <w:rPr>
                <w:sz w:val="20"/>
                <w:szCs w:val="20"/>
                <w:color w:val="auto"/>
              </w:rPr>
            </w:pPr>
          </w:p>
        </w:tc>
        <w:tc>
          <w:tcPr>
            <w:tcW w:w="12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60" w:type="dxa"/>
            <w:vAlign w:val="bottom"/>
            <w:shd w:val="clear" w:color="auto" w:fill="D2DCE5"/>
          </w:tcPr>
          <w:p>
            <w:pPr>
              <w:spacing w:after="0"/>
              <w:rPr>
                <w:sz w:val="20"/>
                <w:szCs w:val="20"/>
                <w:color w:val="auto"/>
              </w:rPr>
            </w:pPr>
          </w:p>
        </w:tc>
        <w:tc>
          <w:tcPr>
            <w:tcW w:w="1220" w:type="dxa"/>
            <w:vAlign w:val="bottom"/>
            <w:shd w:val="clear" w:color="auto" w:fill="D2DCE5"/>
          </w:tcPr>
          <w:p>
            <w:pPr>
              <w:spacing w:after="0"/>
              <w:rPr>
                <w:sz w:val="20"/>
                <w:szCs w:val="20"/>
                <w:color w:val="auto"/>
              </w:rPr>
            </w:pPr>
          </w:p>
        </w:tc>
      </w:tr>
      <w:tr>
        <w:trPr>
          <w:trHeight w:val="247"/>
        </w:trPr>
        <w:tc>
          <w:tcPr>
            <w:tcW w:w="7980" w:type="dxa"/>
            <w:vAlign w:val="bottom"/>
            <w:gridSpan w:val="2"/>
          </w:tcPr>
          <w:p>
            <w:pPr>
              <w:ind w:left="20"/>
              <w:spacing w:after="0"/>
              <w:rPr>
                <w:sz w:val="20"/>
                <w:szCs w:val="20"/>
                <w:color w:val="auto"/>
              </w:rPr>
            </w:pPr>
            <w:r>
              <w:rPr>
                <w:rFonts w:ascii="Arial" w:cs="Arial" w:eastAsia="Arial" w:hAnsi="Arial"/>
                <w:sz w:val="18"/>
                <w:szCs w:val="18"/>
                <w:color w:val="131E29"/>
              </w:rPr>
              <w:t>Segment depreciation and amortization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(26,028)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(20,989)</w:t>
            </w: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0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r>
      <w:tr>
        <w:trPr>
          <w:trHeight w:val="247"/>
        </w:trPr>
        <w:tc>
          <w:tcPr>
            <w:tcW w:w="7980" w:type="dxa"/>
            <w:vAlign w:val="bottom"/>
            <w:gridSpan w:val="2"/>
          </w:tcPr>
          <w:p>
            <w:pPr>
              <w:ind w:left="20"/>
              <w:spacing w:after="0"/>
              <w:rPr>
                <w:sz w:val="20"/>
                <w:szCs w:val="20"/>
                <w:color w:val="auto"/>
              </w:rPr>
            </w:pPr>
            <w:r>
              <w:rPr>
                <w:rFonts w:ascii="Arial" w:cs="Arial" w:eastAsia="Arial" w:hAnsi="Arial"/>
                <w:sz w:val="18"/>
                <w:szCs w:val="18"/>
                <w:color w:val="131E29"/>
              </w:rPr>
              <w:t>Selling, general and administrative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(58,921)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(46,194)</w:t>
            </w: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Interest expense, net</w:t>
            </w:r>
          </w:p>
        </w:tc>
        <w:tc>
          <w:tcPr>
            <w:tcW w:w="36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(7,115)</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(6,393)</w:t>
            </w:r>
          </w:p>
        </w:tc>
      </w:tr>
      <w:tr>
        <w:trPr>
          <w:trHeight w:val="247"/>
        </w:trPr>
        <w:tc>
          <w:tcPr>
            <w:tcW w:w="7980" w:type="dxa"/>
            <w:vAlign w:val="bottom"/>
            <w:gridSpan w:val="2"/>
          </w:tcPr>
          <w:p>
            <w:pPr>
              <w:ind w:left="20"/>
              <w:spacing w:after="0"/>
              <w:rPr>
                <w:sz w:val="20"/>
                <w:szCs w:val="20"/>
                <w:color w:val="auto"/>
              </w:rPr>
            </w:pPr>
            <w:r>
              <w:rPr>
                <w:rFonts w:ascii="Arial" w:cs="Arial" w:eastAsia="Arial" w:hAnsi="Arial"/>
                <w:sz w:val="18"/>
                <w:szCs w:val="18"/>
                <w:color w:val="131E29"/>
              </w:rPr>
              <w:t>Other income (expense), net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5,801</w:t>
            </w:r>
          </w:p>
        </w:tc>
      </w:tr>
      <w:tr>
        <w:trPr>
          <w:trHeight w:val="23"/>
        </w:trPr>
        <w:tc>
          <w:tcPr>
            <w:tcW w:w="790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b w:val="1"/>
                <w:bCs w:val="1"/>
                <w:color w:val="131E29"/>
              </w:rPr>
              <w:t>Income before income taxes</w:t>
            </w: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006098"/>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23,939</w:t>
            </w:r>
          </w:p>
        </w:tc>
        <w:tc>
          <w:tcPr>
            <w:tcW w:w="100" w:type="dxa"/>
            <w:vAlign w:val="bottom"/>
            <w:tcBorders>
              <w:bottom w:val="single" w:sz="8" w:color="D2DCE5"/>
            </w:tcBorders>
            <w:shd w:val="clear" w:color="auto" w:fill="D2DCE5"/>
          </w:tcPr>
          <w:p>
            <w:pPr>
              <w:spacing w:after="0"/>
              <w:rPr>
                <w:sz w:val="24"/>
                <w:szCs w:val="24"/>
                <w:color w:val="auto"/>
              </w:rPr>
            </w:pP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24,987</w:t>
            </w:r>
          </w:p>
        </w:tc>
      </w:tr>
      <w:tr>
        <w:trPr>
          <w:trHeight w:val="20"/>
        </w:trPr>
        <w:tc>
          <w:tcPr>
            <w:tcW w:w="79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__________________</w:t>
      </w:r>
    </w:p>
    <w:p>
      <w:pPr>
        <w:spacing w:after="0" w:line="44" w:lineRule="exact"/>
        <w:rPr>
          <w:sz w:val="20"/>
          <w:szCs w:val="20"/>
          <w:color w:val="auto"/>
        </w:rPr>
      </w:pPr>
    </w:p>
    <w:p>
      <w:pPr>
        <w:ind w:left="80" w:hanging="72"/>
        <w:spacing w:after="0"/>
        <w:tabs>
          <w:tab w:leader="none" w:pos="8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Segment cost of sales for this presentation excludes impact of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700"/>
        <w:spacing w:after="0" w:line="298" w:lineRule="auto"/>
        <w:rPr>
          <w:sz w:val="20"/>
          <w:szCs w:val="20"/>
          <w:color w:val="auto"/>
        </w:rPr>
      </w:pPr>
      <w:r>
        <w:rPr>
          <w:rFonts w:ascii="Arial" w:cs="Arial" w:eastAsia="Arial" w:hAnsi="Arial"/>
          <w:sz w:val="25"/>
          <w:szCs w:val="25"/>
          <w:b w:val="1"/>
          <w:bCs w:val="1"/>
          <w:color w:val="D7282F"/>
        </w:rPr>
        <w:t>ITEM 2. MANAGEMENT’S DISCUSSION AND ANALYSIS OF FINANCIAL CONDITION AND RESULTS OF OPERATIONS</w:t>
      </w:r>
    </w:p>
    <w:p>
      <w:pPr>
        <w:spacing w:after="0" w:line="56" w:lineRule="exact"/>
        <w:rPr>
          <w:sz w:val="20"/>
          <w:szCs w:val="20"/>
          <w:color w:val="auto"/>
        </w:rPr>
      </w:pPr>
    </w:p>
    <w:p>
      <w:pPr>
        <w:jc w:val="center"/>
        <w:ind w:left="340" w:right="440"/>
        <w:spacing w:after="0" w:line="298" w:lineRule="auto"/>
        <w:rPr>
          <w:sz w:val="20"/>
          <w:szCs w:val="20"/>
          <w:color w:val="auto"/>
        </w:rPr>
      </w:pPr>
      <w:r>
        <w:rPr>
          <w:rFonts w:ascii="Arial" w:cs="Arial" w:eastAsia="Arial" w:hAnsi="Arial"/>
          <w:sz w:val="25"/>
          <w:szCs w:val="25"/>
          <w:b w:val="1"/>
          <w:bCs w:val="1"/>
          <w:color w:val="00416B"/>
        </w:rPr>
        <w:t>Index to Management’s Discussion and Analysis of Financial Condition and Results of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060" w:type="dxa"/>
            <w:vAlign w:val="bottom"/>
            <w:tcBorders>
              <w:bottom w:val="single" w:sz="8" w:color="D7282F"/>
            </w:tcBorders>
          </w:tcPr>
          <w:p>
            <w:pPr>
              <w:ind w:left="20"/>
              <w:spacing w:after="0"/>
              <w:rPr>
                <w:sz w:val="20"/>
                <w:szCs w:val="20"/>
                <w:color w:val="auto"/>
              </w:rPr>
            </w:pPr>
            <w:r>
              <w:rPr>
                <w:rFonts w:ascii="Arial" w:cs="Arial" w:eastAsia="Arial" w:hAnsi="Arial"/>
                <w:sz w:val="18"/>
                <w:szCs w:val="18"/>
                <w:b w:val="1"/>
                <w:bCs w:val="1"/>
                <w:color w:val="006098"/>
              </w:rPr>
              <w:t>Section</w:t>
            </w:r>
          </w:p>
        </w:tc>
        <w:tc>
          <w:tcPr>
            <w:tcW w:w="100" w:type="dxa"/>
            <w:vAlign w:val="bottom"/>
            <w:tcBorders>
              <w:bottom w:val="single" w:sz="8" w:color="D2DCE5"/>
            </w:tcBorders>
          </w:tcPr>
          <w:p>
            <w:pPr>
              <w:spacing w:after="0"/>
              <w:rPr>
                <w:sz w:val="22"/>
                <w:szCs w:val="22"/>
                <w:color w:val="auto"/>
              </w:rPr>
            </w:pPr>
          </w:p>
        </w:tc>
        <w:tc>
          <w:tcPr>
            <w:tcW w:w="108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006098"/>
              </w:rPr>
              <w:t>Page</w:t>
            </w:r>
          </w:p>
        </w:tc>
      </w:tr>
      <w:tr>
        <w:trPr>
          <w:trHeight w:val="250"/>
        </w:trPr>
        <w:tc>
          <w:tcPr>
            <w:tcW w:w="10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auto"/>
              </w:rPr>
              <w:t>Overview and Highlights</w:t>
            </w:r>
          </w:p>
        </w:tc>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auto"/>
                <w:w w:val="99"/>
              </w:rPr>
              <w:t>29</w:t>
            </w:r>
          </w:p>
        </w:tc>
      </w:tr>
      <w:tr>
        <w:trPr>
          <w:trHeight w:val="247"/>
        </w:trPr>
        <w:tc>
          <w:tcPr>
            <w:tcW w:w="10160" w:type="dxa"/>
            <w:vAlign w:val="bottom"/>
            <w:gridSpan w:val="2"/>
          </w:tcPr>
          <w:p>
            <w:pPr>
              <w:ind w:left="20"/>
              <w:spacing w:after="0"/>
              <w:rPr>
                <w:sz w:val="20"/>
                <w:szCs w:val="20"/>
                <w:color w:val="auto"/>
              </w:rPr>
            </w:pPr>
            <w:r>
              <w:rPr>
                <w:rFonts w:ascii="Arial" w:cs="Arial" w:eastAsia="Arial" w:hAnsi="Arial"/>
                <w:sz w:val="18"/>
                <w:szCs w:val="18"/>
                <w:color w:val="auto"/>
              </w:rPr>
              <w:t>Impact of Global Events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29</w:t>
            </w:r>
          </w:p>
        </w:tc>
      </w:tr>
      <w:tr>
        <w:trPr>
          <w:trHeight w:val="23"/>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auto"/>
              </w:rPr>
              <w:t>Results of Operations</w:t>
            </w:r>
          </w:p>
        </w:tc>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auto"/>
                <w:w w:val="99"/>
              </w:rPr>
              <w:t>30</w:t>
            </w:r>
          </w:p>
        </w:tc>
      </w:tr>
      <w:tr>
        <w:trPr>
          <w:trHeight w:val="247"/>
        </w:trPr>
        <w:tc>
          <w:tcPr>
            <w:tcW w:w="10160" w:type="dxa"/>
            <w:vAlign w:val="bottom"/>
            <w:gridSpan w:val="2"/>
          </w:tcPr>
          <w:p>
            <w:pPr>
              <w:ind w:left="20"/>
              <w:spacing w:after="0"/>
              <w:rPr>
                <w:sz w:val="20"/>
                <w:szCs w:val="20"/>
                <w:color w:val="auto"/>
              </w:rPr>
            </w:pPr>
            <w:r>
              <w:rPr>
                <w:rFonts w:ascii="Arial" w:cs="Arial" w:eastAsia="Arial" w:hAnsi="Arial"/>
                <w:sz w:val="18"/>
                <w:szCs w:val="18"/>
                <w:color w:val="auto"/>
              </w:rPr>
              <w:t>Key Performance Indicators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31</w:t>
            </w:r>
          </w:p>
        </w:tc>
      </w:tr>
      <w:tr>
        <w:trPr>
          <w:trHeight w:val="23"/>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auto"/>
              </w:rPr>
              <w:t>Company-operated Shops Results</w:t>
            </w:r>
          </w:p>
        </w:tc>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auto"/>
                <w:w w:val="99"/>
              </w:rPr>
              <w:t>33</w:t>
            </w:r>
          </w:p>
        </w:tc>
      </w:tr>
      <w:tr>
        <w:trPr>
          <w:trHeight w:val="247"/>
        </w:trPr>
        <w:tc>
          <w:tcPr>
            <w:tcW w:w="10160" w:type="dxa"/>
            <w:vAlign w:val="bottom"/>
            <w:gridSpan w:val="2"/>
          </w:tcPr>
          <w:p>
            <w:pPr>
              <w:ind w:left="20"/>
              <w:spacing w:after="0"/>
              <w:rPr>
                <w:sz w:val="20"/>
                <w:szCs w:val="20"/>
                <w:color w:val="auto"/>
              </w:rPr>
            </w:pPr>
            <w:r>
              <w:rPr>
                <w:rFonts w:ascii="Arial" w:cs="Arial" w:eastAsia="Arial" w:hAnsi="Arial"/>
                <w:sz w:val="18"/>
                <w:szCs w:val="18"/>
                <w:color w:val="auto"/>
              </w:rPr>
              <w:t>Franchising and Other Segment Performance</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35</w:t>
            </w:r>
          </w:p>
        </w:tc>
      </w:tr>
      <w:tr>
        <w:trPr>
          <w:trHeight w:val="23"/>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auto"/>
                <w:w w:val="99"/>
              </w:rPr>
              <w:t>35</w:t>
            </w:r>
          </w:p>
        </w:tc>
      </w:tr>
      <w:tr>
        <w:trPr>
          <w:trHeight w:val="247"/>
        </w:trPr>
        <w:tc>
          <w:tcPr>
            <w:tcW w:w="10160" w:type="dxa"/>
            <w:vAlign w:val="bottom"/>
            <w:gridSpan w:val="2"/>
          </w:tcPr>
          <w:p>
            <w:pPr>
              <w:ind w:left="20"/>
              <w:spacing w:after="0"/>
              <w:rPr>
                <w:sz w:val="20"/>
                <w:szCs w:val="20"/>
                <w:color w:val="auto"/>
              </w:rPr>
            </w:pPr>
            <w:r>
              <w:rPr>
                <w:rFonts w:ascii="Arial" w:cs="Arial" w:eastAsia="Arial" w:hAnsi="Arial"/>
                <w:sz w:val="18"/>
                <w:szCs w:val="18"/>
                <w:color w:val="auto"/>
              </w:rPr>
              <w:t>Other Expense</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3"/>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auto"/>
              </w:rPr>
              <w:t>Income Tax Expense</w:t>
            </w:r>
          </w:p>
        </w:tc>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auto"/>
                <w:w w:val="99"/>
              </w:rPr>
              <w:t>36</w:t>
            </w:r>
          </w:p>
        </w:tc>
      </w:tr>
      <w:tr>
        <w:trPr>
          <w:trHeight w:val="247"/>
        </w:trPr>
        <w:tc>
          <w:tcPr>
            <w:tcW w:w="10160" w:type="dxa"/>
            <w:vAlign w:val="bottom"/>
            <w:gridSpan w:val="2"/>
          </w:tcPr>
          <w:p>
            <w:pPr>
              <w:ind w:left="20"/>
              <w:spacing w:after="0"/>
              <w:rPr>
                <w:sz w:val="20"/>
                <w:szCs w:val="20"/>
                <w:color w:val="auto"/>
              </w:rPr>
            </w:pPr>
            <w:r>
              <w:rPr>
                <w:rFonts w:ascii="Arial" w:cs="Arial" w:eastAsia="Arial" w:hAnsi="Arial"/>
                <w:sz w:val="18"/>
                <w:szCs w:val="18"/>
                <w:color w:val="auto"/>
              </w:rPr>
              <w:t>Liquidity and Capital Resources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3"/>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7"/>
        </w:trPr>
        <w:tc>
          <w:tcPr>
            <w:tcW w:w="101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auto"/>
              </w:rPr>
              <w:t>Non-GAAP Financial Measures</w:t>
            </w:r>
          </w:p>
        </w:tc>
        <w:tc>
          <w:tcPr>
            <w:tcW w:w="1080" w:type="dxa"/>
            <w:vAlign w:val="bottom"/>
            <w:shd w:val="clear" w:color="auto" w:fill="D2DCE5"/>
          </w:tcPr>
          <w:p>
            <w:pPr>
              <w:jc w:val="center"/>
              <w:spacing w:after="0"/>
              <w:rPr>
                <w:sz w:val="20"/>
                <w:szCs w:val="20"/>
                <w:color w:val="auto"/>
              </w:rPr>
            </w:pPr>
            <w:r>
              <w:rPr>
                <w:rFonts w:ascii="Arial" w:cs="Arial" w:eastAsia="Arial" w:hAnsi="Arial"/>
                <w:sz w:val="18"/>
                <w:szCs w:val="18"/>
                <w:color w:val="auto"/>
                <w:w w:val="99"/>
              </w:rPr>
              <w:t>39</w:t>
            </w:r>
          </w:p>
        </w:tc>
      </w:tr>
      <w:tr>
        <w:trPr>
          <w:trHeight w:val="23"/>
        </w:trPr>
        <w:tc>
          <w:tcPr>
            <w:tcW w:w="1006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080" w:type="dxa"/>
            <w:vAlign w:val="bottom"/>
            <w:shd w:val="clear" w:color="auto" w:fill="D2DCE5"/>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Overview</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quick service beverage industry in the United States.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Impact of Global Events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General Macroeconomic Uncertainties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As a retailer that is dependent upon consumer discretionary spending, our results of operations are sensitive to changes in macroeconomic conditions. Inflation may have a material adverse effect on our business, financial condition or results of operations. Our customers may have or in the future may have less money available for discretionary purchases and may reduce or stop their purchases of our products.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On a macro level, conditions, including changes in tariffs, interest rates, inflation, bank failures and other events affecting financial institutions, geopolitical conflicts, and significant weather events (such as the recent wildfires in California), have created significant uncertainty in the global economy. While we are not able to fully predict the potential impacts of these conditions, we do not currently believe any potential impacts of these macroeconomic conditions would be material to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Minimum Wage Increases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We continued to experience the effects of legislated minimum wage increases that took effect in 2024 in certain states. We expect these pressures to continue to affect our operating results in the foreseeable future. For example, California’s minimum wage increased to $20 per hour effective April 2024 for covered employees in our industry. Additionally, several other states that we operate in have increased their minimum wage requirements in 2025. While these pressures have impacted our operating results, we have taken measures to gradually increase our menu prices, adjust our Dutch Rewards loyalty program, and make operating adjustments that increase productivity to help offset them. Menu price increases may lead to decreases in consumer demand. We will continue to evaluate further pricing actions to protect our operating results, however, if there is a time lag between increasing costs and our ability to increase menu prices or take other action in response, or if we choose not to pass on the cost increases by increasing menu prices, our operating results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Results of Operations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As of March 31, 2025, we had 1,012 company-operated and franchised shops in 18 states, an increase of approximately 15.5% from the same period in the prior year. For the three months ended March 31, 2025, we generated $355.2 million of revenue, $22.5 million net income, and $0.13 income per diluted share. We have two reportable operating segments: Company-operated shops and Franchising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55245</wp:posOffset>
            </wp:positionV>
            <wp:extent cx="5143500" cy="48260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482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73" w:lineRule="exact"/>
        <w:rPr>
          <w:sz w:val="20"/>
          <w:szCs w:val="20"/>
          <w:color w:val="auto"/>
        </w:rPr>
      </w:pPr>
    </w:p>
    <w:p>
      <w:pPr>
        <w:ind w:left="180" w:hanging="172"/>
        <w:spacing w:after="0" w:line="222" w:lineRule="auto"/>
        <w:tabs>
          <w:tab w:leader="none" w:pos="23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860" w:type="dxa"/>
            <w:vAlign w:val="bottom"/>
            <w:tcBorders>
              <w:bottom w:val="single" w:sz="8" w:color="D7282F"/>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2300" w:type="dxa"/>
            <w:vAlign w:val="bottom"/>
            <w:tcBorders>
              <w:bottom w:val="single" w:sz="8" w:color="D7282F"/>
            </w:tcBorders>
          </w:tcPr>
          <w:p>
            <w:pPr>
              <w:jc w:val="right"/>
              <w:ind w:right="510"/>
              <w:spacing w:after="0"/>
              <w:rPr>
                <w:sz w:val="20"/>
                <w:szCs w:val="20"/>
                <w:color w:val="auto"/>
              </w:rPr>
            </w:pPr>
            <w:r>
              <w:rPr>
                <w:rFonts w:ascii="Arial" w:cs="Arial" w:eastAsia="Arial" w:hAnsi="Arial"/>
                <w:sz w:val="18"/>
                <w:szCs w:val="18"/>
                <w:b w:val="1"/>
                <w:bCs w:val="1"/>
                <w:color w:val="131E29"/>
              </w:rPr>
              <w:t>2025 vs 2024</w:t>
            </w:r>
          </w:p>
        </w:tc>
      </w:tr>
      <w:tr>
        <w:trPr>
          <w:trHeight w:val="270"/>
        </w:trPr>
        <w:tc>
          <w:tcPr>
            <w:tcW w:w="89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Increase in total shops</w:t>
            </w:r>
          </w:p>
        </w:tc>
        <w:tc>
          <w:tcPr>
            <w:tcW w:w="23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15.5 %</w:t>
            </w:r>
          </w:p>
        </w:tc>
      </w:tr>
      <w:tr>
        <w:trPr>
          <w:trHeight w:val="274"/>
        </w:trPr>
        <w:tc>
          <w:tcPr>
            <w:tcW w:w="8940" w:type="dxa"/>
            <w:vAlign w:val="bottom"/>
            <w:gridSpan w:val="2"/>
          </w:tcPr>
          <w:p>
            <w:pPr>
              <w:ind w:left="20"/>
              <w:spacing w:after="0"/>
              <w:rPr>
                <w:sz w:val="20"/>
                <w:szCs w:val="20"/>
                <w:color w:val="auto"/>
              </w:rPr>
            </w:pPr>
            <w:r>
              <w:rPr>
                <w:rFonts w:ascii="Arial" w:cs="Arial" w:eastAsia="Arial" w:hAnsi="Arial"/>
                <w:sz w:val="18"/>
                <w:szCs w:val="18"/>
                <w:color w:val="131E29"/>
              </w:rPr>
              <w:t>Increase in total revenue</w:t>
            </w:r>
          </w:p>
        </w:tc>
        <w:tc>
          <w:tcPr>
            <w:tcW w:w="2300" w:type="dxa"/>
            <w:vAlign w:val="bottom"/>
          </w:tcPr>
          <w:p>
            <w:pPr>
              <w:jc w:val="right"/>
              <w:spacing w:after="0"/>
              <w:rPr>
                <w:sz w:val="20"/>
                <w:szCs w:val="20"/>
                <w:color w:val="auto"/>
              </w:rPr>
            </w:pPr>
            <w:r>
              <w:rPr>
                <w:rFonts w:ascii="Arial" w:cs="Arial" w:eastAsia="Arial" w:hAnsi="Arial"/>
                <w:sz w:val="18"/>
                <w:szCs w:val="18"/>
                <w:color w:val="131E29"/>
              </w:rPr>
              <w:t>29.1 %</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Key Performance Indicators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The key performance indicators that we use to effectively manage and evaluate our business are as follows:</w:t>
      </w:r>
    </w:p>
    <w:p>
      <w:pPr>
        <w:spacing w:after="0" w:line="6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34925</wp:posOffset>
            </wp:positionV>
            <wp:extent cx="22371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6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380" w:type="dxa"/>
            <w:vAlign w:val="bottom"/>
            <w:tcBorders>
              <w:bottom w:val="single" w:sz="8" w:color="D7282F"/>
            </w:tcBorders>
          </w:tcPr>
          <w:p>
            <w:pPr>
              <w:spacing w:after="0"/>
              <w:rPr>
                <w:sz w:val="22"/>
                <w:szCs w:val="22"/>
                <w:color w:val="auto"/>
              </w:rPr>
            </w:pPr>
          </w:p>
        </w:tc>
        <w:tc>
          <w:tcPr>
            <w:tcW w:w="1340" w:type="dxa"/>
            <w:vAlign w:val="bottom"/>
            <w:tcBorders>
              <w:bottom w:val="single" w:sz="8" w:color="D7282F"/>
            </w:tcBorders>
          </w:tcPr>
          <w:p>
            <w:pPr>
              <w:jc w:val="right"/>
              <w:ind w:right="570"/>
              <w:spacing w:after="0"/>
              <w:rPr>
                <w:sz w:val="20"/>
                <w:szCs w:val="20"/>
                <w:color w:val="auto"/>
              </w:rPr>
            </w:pPr>
            <w:r>
              <w:rPr>
                <w:rFonts w:ascii="Arial" w:cs="Arial" w:eastAsia="Arial" w:hAnsi="Arial"/>
                <w:sz w:val="18"/>
                <w:szCs w:val="18"/>
                <w:b w:val="1"/>
                <w:bCs w:val="1"/>
                <w:color w:val="131E29"/>
              </w:rPr>
              <w:t>2025</w:t>
            </w:r>
          </w:p>
        </w:tc>
        <w:tc>
          <w:tcPr>
            <w:tcW w:w="80" w:type="dxa"/>
            <w:vAlign w:val="bottom"/>
            <w:tcBorders>
              <w:bottom w:val="single" w:sz="8" w:color="D2DCE5"/>
            </w:tcBorders>
          </w:tcPr>
          <w:p>
            <w:pPr>
              <w:spacing w:after="0"/>
              <w:rPr>
                <w:sz w:val="22"/>
                <w:szCs w:val="22"/>
                <w:color w:val="auto"/>
              </w:rPr>
            </w:pPr>
          </w:p>
        </w:tc>
        <w:tc>
          <w:tcPr>
            <w:tcW w:w="400" w:type="dxa"/>
            <w:vAlign w:val="bottom"/>
            <w:tcBorders>
              <w:bottom w:val="single" w:sz="8" w:color="D7282F"/>
            </w:tcBorders>
          </w:tcPr>
          <w:p>
            <w:pPr>
              <w:spacing w:after="0"/>
              <w:rPr>
                <w:sz w:val="22"/>
                <w:szCs w:val="22"/>
                <w:color w:val="auto"/>
              </w:rPr>
            </w:pPr>
          </w:p>
        </w:tc>
        <w:tc>
          <w:tcPr>
            <w:tcW w:w="1320" w:type="dxa"/>
            <w:vAlign w:val="bottom"/>
            <w:tcBorders>
              <w:bottom w:val="single" w:sz="8" w:color="D7282F"/>
            </w:tcBorders>
          </w:tcPr>
          <w:p>
            <w:pPr>
              <w:jc w:val="right"/>
              <w:ind w:right="570"/>
              <w:spacing w:after="0"/>
              <w:rPr>
                <w:sz w:val="20"/>
                <w:szCs w:val="20"/>
                <w:color w:val="auto"/>
              </w:rPr>
            </w:pPr>
            <w:r>
              <w:rPr>
                <w:rFonts w:ascii="Arial" w:cs="Arial" w:eastAsia="Arial" w:hAnsi="Arial"/>
                <w:sz w:val="18"/>
                <w:szCs w:val="18"/>
                <w:b w:val="1"/>
                <w:bCs w:val="1"/>
                <w:color w:val="131E29"/>
              </w:rPr>
              <w:t>2024</w:t>
            </w:r>
          </w:p>
        </w:tc>
      </w:tr>
      <w:tr>
        <w:trPr>
          <w:trHeight w:val="270"/>
        </w:trPr>
        <w:tc>
          <w:tcPr>
            <w:tcW w:w="77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Shop count, beginning of period</w:t>
            </w:r>
          </w:p>
        </w:tc>
        <w:tc>
          <w:tcPr>
            <w:tcW w:w="380" w:type="dxa"/>
            <w:vAlign w:val="bottom"/>
            <w:shd w:val="clear" w:color="auto" w:fill="D2DCE5"/>
          </w:tcPr>
          <w:p>
            <w:pPr>
              <w:spacing w:after="0"/>
              <w:rPr>
                <w:sz w:val="23"/>
                <w:szCs w:val="23"/>
                <w:color w:val="auto"/>
              </w:rPr>
            </w:pPr>
          </w:p>
        </w:tc>
        <w:tc>
          <w:tcPr>
            <w:tcW w:w="134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400" w:type="dxa"/>
            <w:vAlign w:val="bottom"/>
            <w:shd w:val="clear" w:color="auto" w:fill="D2DCE5"/>
          </w:tcPr>
          <w:p>
            <w:pPr>
              <w:spacing w:after="0"/>
              <w:rPr>
                <w:sz w:val="23"/>
                <w:szCs w:val="23"/>
                <w:color w:val="auto"/>
              </w:rPr>
            </w:pPr>
          </w:p>
        </w:tc>
        <w:tc>
          <w:tcPr>
            <w:tcW w:w="1320" w:type="dxa"/>
            <w:vAlign w:val="bottom"/>
            <w:shd w:val="clear" w:color="auto" w:fill="D2DCE5"/>
          </w:tcPr>
          <w:p>
            <w:pPr>
              <w:spacing w:after="0"/>
              <w:rPr>
                <w:sz w:val="23"/>
                <w:szCs w:val="23"/>
                <w:color w:val="auto"/>
              </w:rPr>
            </w:pPr>
          </w:p>
        </w:tc>
      </w:tr>
      <w:tr>
        <w:trPr>
          <w:trHeight w:val="247"/>
        </w:trPr>
        <w:tc>
          <w:tcPr>
            <w:tcW w:w="7720" w:type="dxa"/>
            <w:vAlign w:val="bottom"/>
            <w:gridSpan w:val="2"/>
          </w:tcPr>
          <w:p>
            <w:pPr>
              <w:ind w:left="180"/>
              <w:spacing w:after="0"/>
              <w:rPr>
                <w:sz w:val="20"/>
                <w:szCs w:val="20"/>
                <w:color w:val="auto"/>
              </w:rPr>
            </w:pPr>
            <w:r>
              <w:rPr>
                <w:rFonts w:ascii="Arial" w:cs="Arial" w:eastAsia="Arial" w:hAnsi="Arial"/>
                <w:sz w:val="18"/>
                <w:szCs w:val="18"/>
                <w:color w:val="131E29"/>
              </w:rPr>
              <w:t>Company-operated</w:t>
            </w:r>
          </w:p>
        </w:tc>
        <w:tc>
          <w:tcPr>
            <w:tcW w:w="3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006098"/>
              </w:rPr>
              <w:t>670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131E29"/>
              </w:rPr>
              <w:t>542</w:t>
            </w:r>
          </w:p>
        </w:tc>
      </w:tr>
      <w:tr>
        <w:trPr>
          <w:trHeight w:val="23"/>
        </w:trPr>
        <w:tc>
          <w:tcPr>
            <w:tcW w:w="7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7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Franchised</w:t>
            </w:r>
          </w:p>
        </w:tc>
        <w:tc>
          <w:tcPr>
            <w:tcW w:w="380" w:type="dxa"/>
            <w:vAlign w:val="bottom"/>
            <w:tcBorders>
              <w:bottom w:val="single" w:sz="8" w:color="D2DCE5"/>
            </w:tcBorders>
            <w:shd w:val="clear" w:color="auto" w:fill="D2DCE5"/>
          </w:tcPr>
          <w:p>
            <w:pPr>
              <w:spacing w:after="0"/>
              <w:rPr>
                <w:sz w:val="23"/>
                <w:szCs w:val="23"/>
                <w:color w:val="auto"/>
              </w:rPr>
            </w:pPr>
          </w:p>
        </w:tc>
        <w:tc>
          <w:tcPr>
            <w:tcW w:w="134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006098"/>
              </w:rPr>
              <w:t>312</w:t>
            </w:r>
          </w:p>
        </w:tc>
        <w:tc>
          <w:tcPr>
            <w:tcW w:w="80" w:type="dxa"/>
            <w:vAlign w:val="bottom"/>
            <w:tcBorders>
              <w:bottom w:val="single" w:sz="8" w:color="D2DCE5"/>
            </w:tcBorders>
            <w:shd w:val="clear" w:color="auto" w:fill="D2DCE5"/>
          </w:tcPr>
          <w:p>
            <w:pPr>
              <w:spacing w:after="0"/>
              <w:rPr>
                <w:sz w:val="23"/>
                <w:szCs w:val="23"/>
                <w:color w:val="auto"/>
              </w:rPr>
            </w:pPr>
          </w:p>
        </w:tc>
        <w:tc>
          <w:tcPr>
            <w:tcW w:w="400" w:type="dxa"/>
            <w:vAlign w:val="bottom"/>
            <w:tcBorders>
              <w:bottom w:val="single" w:sz="8" w:color="D2DCE5"/>
            </w:tcBorders>
            <w:shd w:val="clear" w:color="auto" w:fill="D2DCE5"/>
          </w:tcPr>
          <w:p>
            <w:pPr>
              <w:spacing w:after="0"/>
              <w:rPr>
                <w:sz w:val="23"/>
                <w:szCs w:val="23"/>
                <w:color w:val="auto"/>
              </w:rPr>
            </w:pPr>
          </w:p>
        </w:tc>
        <w:tc>
          <w:tcPr>
            <w:tcW w:w="13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289</w:t>
            </w:r>
          </w:p>
        </w:tc>
      </w:tr>
      <w:tr>
        <w:trPr>
          <w:trHeight w:val="263"/>
        </w:trPr>
        <w:tc>
          <w:tcPr>
            <w:tcW w:w="7720" w:type="dxa"/>
            <w:vAlign w:val="bottom"/>
            <w:gridSpan w:val="2"/>
          </w:tcPr>
          <w:p>
            <w:pPr>
              <w:ind w:left="520"/>
              <w:spacing w:after="0"/>
              <w:rPr>
                <w:sz w:val="20"/>
                <w:szCs w:val="20"/>
                <w:color w:val="auto"/>
              </w:rPr>
            </w:pPr>
            <w:r>
              <w:rPr>
                <w:rFonts w:ascii="Arial" w:cs="Arial" w:eastAsia="Arial" w:hAnsi="Arial"/>
                <w:sz w:val="18"/>
                <w:szCs w:val="18"/>
                <w:b w:val="1"/>
                <w:bCs w:val="1"/>
                <w:color w:val="131E29"/>
              </w:rPr>
              <w:t>Total shop count</w:t>
            </w:r>
          </w:p>
        </w:tc>
        <w:tc>
          <w:tcPr>
            <w:tcW w:w="38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006098"/>
              </w:rPr>
              <w:t>982</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131E29"/>
              </w:rPr>
              <w:t>831</w:t>
            </w:r>
          </w:p>
        </w:tc>
      </w:tr>
      <w:tr>
        <w:trPr>
          <w:trHeight w:val="20"/>
        </w:trPr>
        <w:tc>
          <w:tcPr>
            <w:tcW w:w="762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76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80" w:type="dxa"/>
            <w:vAlign w:val="bottom"/>
            <w:shd w:val="clear" w:color="auto" w:fill="D2DCE5"/>
          </w:tcPr>
          <w:p>
            <w:pPr>
              <w:spacing w:after="0"/>
              <w:rPr>
                <w:sz w:val="20"/>
                <w:szCs w:val="20"/>
                <w:color w:val="auto"/>
              </w:rPr>
            </w:pPr>
          </w:p>
        </w:tc>
        <w:tc>
          <w:tcPr>
            <w:tcW w:w="134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400" w:type="dxa"/>
            <w:vAlign w:val="bottom"/>
            <w:shd w:val="clear" w:color="auto" w:fill="D2DCE5"/>
          </w:tcPr>
          <w:p>
            <w:pPr>
              <w:spacing w:after="0"/>
              <w:rPr>
                <w:sz w:val="20"/>
                <w:szCs w:val="20"/>
                <w:color w:val="auto"/>
              </w:rPr>
            </w:pPr>
          </w:p>
        </w:tc>
        <w:tc>
          <w:tcPr>
            <w:tcW w:w="1320" w:type="dxa"/>
            <w:vAlign w:val="bottom"/>
            <w:shd w:val="clear" w:color="auto" w:fill="D2DCE5"/>
          </w:tcPr>
          <w:p>
            <w:pPr>
              <w:spacing w:after="0"/>
              <w:rPr>
                <w:sz w:val="20"/>
                <w:szCs w:val="20"/>
                <w:color w:val="auto"/>
              </w:rPr>
            </w:pPr>
          </w:p>
        </w:tc>
      </w:tr>
      <w:tr>
        <w:trPr>
          <w:trHeight w:val="247"/>
        </w:trPr>
        <w:tc>
          <w:tcPr>
            <w:tcW w:w="7720" w:type="dxa"/>
            <w:vAlign w:val="bottom"/>
            <w:gridSpan w:val="2"/>
          </w:tcPr>
          <w:p>
            <w:pPr>
              <w:ind w:left="20"/>
              <w:spacing w:after="0"/>
              <w:rPr>
                <w:sz w:val="20"/>
                <w:szCs w:val="20"/>
                <w:color w:val="auto"/>
              </w:rPr>
            </w:pPr>
            <w:r>
              <w:rPr>
                <w:rFonts w:ascii="Arial" w:cs="Arial" w:eastAsia="Arial" w:hAnsi="Arial"/>
                <w:sz w:val="18"/>
                <w:szCs w:val="18"/>
                <w:color w:val="131E29"/>
              </w:rPr>
              <w:t>Company-operated new openings</w:t>
            </w:r>
          </w:p>
        </w:tc>
        <w:tc>
          <w:tcPr>
            <w:tcW w:w="3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006098"/>
              </w:rPr>
              <w:t>25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131E29"/>
              </w:rPr>
              <w:t>40</w:t>
            </w:r>
          </w:p>
        </w:tc>
      </w:tr>
      <w:tr>
        <w:trPr>
          <w:trHeight w:val="23"/>
        </w:trPr>
        <w:tc>
          <w:tcPr>
            <w:tcW w:w="7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Franchised new openings</w:t>
            </w:r>
          </w:p>
        </w:tc>
        <w:tc>
          <w:tcPr>
            <w:tcW w:w="380" w:type="dxa"/>
            <w:vAlign w:val="bottom"/>
            <w:tcBorders>
              <w:bottom w:val="single" w:sz="8" w:color="D2DCE5"/>
            </w:tcBorders>
            <w:shd w:val="clear" w:color="auto" w:fill="D2DCE5"/>
          </w:tcPr>
          <w:p>
            <w:pPr>
              <w:spacing w:after="0"/>
              <w:rPr>
                <w:sz w:val="21"/>
                <w:szCs w:val="21"/>
                <w:color w:val="auto"/>
              </w:rPr>
            </w:pPr>
          </w:p>
        </w:tc>
        <w:tc>
          <w:tcPr>
            <w:tcW w:w="134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006098"/>
              </w:rPr>
              <w:t>5</w:t>
            </w:r>
          </w:p>
        </w:tc>
        <w:tc>
          <w:tcPr>
            <w:tcW w:w="80" w:type="dxa"/>
            <w:vAlign w:val="bottom"/>
            <w:tcBorders>
              <w:bottom w:val="single" w:sz="8" w:color="D2DCE5"/>
            </w:tcBorders>
            <w:shd w:val="clear" w:color="auto" w:fill="D2DCE5"/>
          </w:tcPr>
          <w:p>
            <w:pPr>
              <w:spacing w:after="0"/>
              <w:rPr>
                <w:sz w:val="21"/>
                <w:szCs w:val="21"/>
                <w:color w:val="auto"/>
              </w:rPr>
            </w:pPr>
          </w:p>
        </w:tc>
        <w:tc>
          <w:tcPr>
            <w:tcW w:w="400" w:type="dxa"/>
            <w:vAlign w:val="bottom"/>
            <w:tcBorders>
              <w:bottom w:val="single" w:sz="8" w:color="D2DCE5"/>
            </w:tcBorders>
            <w:shd w:val="clear" w:color="auto" w:fill="D2DCE5"/>
          </w:tcPr>
          <w:p>
            <w:pPr>
              <w:spacing w:after="0"/>
              <w:rPr>
                <w:sz w:val="21"/>
                <w:szCs w:val="21"/>
                <w:color w:val="auto"/>
              </w:rPr>
            </w:pPr>
          </w:p>
        </w:tc>
        <w:tc>
          <w:tcPr>
            <w:tcW w:w="13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5</w:t>
            </w:r>
          </w:p>
        </w:tc>
      </w:tr>
      <w:tr>
        <w:trPr>
          <w:trHeight w:val="270"/>
        </w:trPr>
        <w:tc>
          <w:tcPr>
            <w:tcW w:w="7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77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Shop count, end of period</w:t>
            </w:r>
          </w:p>
        </w:tc>
        <w:tc>
          <w:tcPr>
            <w:tcW w:w="380" w:type="dxa"/>
            <w:vAlign w:val="bottom"/>
            <w:shd w:val="clear" w:color="auto" w:fill="D2DCE5"/>
          </w:tcPr>
          <w:p>
            <w:pPr>
              <w:spacing w:after="0"/>
              <w:rPr>
                <w:sz w:val="23"/>
                <w:szCs w:val="23"/>
                <w:color w:val="auto"/>
              </w:rPr>
            </w:pPr>
          </w:p>
        </w:tc>
        <w:tc>
          <w:tcPr>
            <w:tcW w:w="134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400" w:type="dxa"/>
            <w:vAlign w:val="bottom"/>
            <w:shd w:val="clear" w:color="auto" w:fill="D2DCE5"/>
          </w:tcPr>
          <w:p>
            <w:pPr>
              <w:spacing w:after="0"/>
              <w:rPr>
                <w:sz w:val="23"/>
                <w:szCs w:val="23"/>
                <w:color w:val="auto"/>
              </w:rPr>
            </w:pPr>
          </w:p>
        </w:tc>
        <w:tc>
          <w:tcPr>
            <w:tcW w:w="1320" w:type="dxa"/>
            <w:vAlign w:val="bottom"/>
            <w:shd w:val="clear" w:color="auto" w:fill="D2DCE5"/>
          </w:tcPr>
          <w:p>
            <w:pPr>
              <w:spacing w:after="0"/>
              <w:rPr>
                <w:sz w:val="23"/>
                <w:szCs w:val="23"/>
                <w:color w:val="auto"/>
              </w:rPr>
            </w:pPr>
          </w:p>
        </w:tc>
      </w:tr>
      <w:tr>
        <w:trPr>
          <w:trHeight w:val="247"/>
        </w:trPr>
        <w:tc>
          <w:tcPr>
            <w:tcW w:w="7720" w:type="dxa"/>
            <w:vAlign w:val="bottom"/>
            <w:gridSpan w:val="2"/>
          </w:tcPr>
          <w:p>
            <w:pPr>
              <w:ind w:left="180"/>
              <w:spacing w:after="0"/>
              <w:rPr>
                <w:sz w:val="20"/>
                <w:szCs w:val="20"/>
                <w:color w:val="auto"/>
              </w:rPr>
            </w:pPr>
            <w:r>
              <w:rPr>
                <w:rFonts w:ascii="Arial" w:cs="Arial" w:eastAsia="Arial" w:hAnsi="Arial"/>
                <w:sz w:val="18"/>
                <w:szCs w:val="18"/>
                <w:color w:val="131E29"/>
              </w:rPr>
              <w:t>Company-operated</w:t>
            </w:r>
          </w:p>
        </w:tc>
        <w:tc>
          <w:tcPr>
            <w:tcW w:w="3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006098"/>
              </w:rPr>
              <w:t>695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131E29"/>
              </w:rPr>
              <w:t>582</w:t>
            </w:r>
          </w:p>
        </w:tc>
      </w:tr>
      <w:tr>
        <w:trPr>
          <w:trHeight w:val="23"/>
        </w:trPr>
        <w:tc>
          <w:tcPr>
            <w:tcW w:w="7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7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Franchised</w:t>
            </w:r>
          </w:p>
        </w:tc>
        <w:tc>
          <w:tcPr>
            <w:tcW w:w="380" w:type="dxa"/>
            <w:vAlign w:val="bottom"/>
            <w:tcBorders>
              <w:bottom w:val="single" w:sz="8" w:color="D2DCE5"/>
            </w:tcBorders>
            <w:shd w:val="clear" w:color="auto" w:fill="D2DCE5"/>
          </w:tcPr>
          <w:p>
            <w:pPr>
              <w:spacing w:after="0"/>
              <w:rPr>
                <w:sz w:val="23"/>
                <w:szCs w:val="23"/>
                <w:color w:val="auto"/>
              </w:rPr>
            </w:pPr>
          </w:p>
        </w:tc>
        <w:tc>
          <w:tcPr>
            <w:tcW w:w="134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006098"/>
              </w:rPr>
              <w:t>317</w:t>
            </w:r>
          </w:p>
        </w:tc>
        <w:tc>
          <w:tcPr>
            <w:tcW w:w="80" w:type="dxa"/>
            <w:vAlign w:val="bottom"/>
            <w:tcBorders>
              <w:bottom w:val="single" w:sz="8" w:color="D2DCE5"/>
            </w:tcBorders>
            <w:shd w:val="clear" w:color="auto" w:fill="D2DCE5"/>
          </w:tcPr>
          <w:p>
            <w:pPr>
              <w:spacing w:after="0"/>
              <w:rPr>
                <w:sz w:val="23"/>
                <w:szCs w:val="23"/>
                <w:color w:val="auto"/>
              </w:rPr>
            </w:pPr>
          </w:p>
        </w:tc>
        <w:tc>
          <w:tcPr>
            <w:tcW w:w="400" w:type="dxa"/>
            <w:vAlign w:val="bottom"/>
            <w:tcBorders>
              <w:bottom w:val="single" w:sz="8" w:color="D2DCE5"/>
            </w:tcBorders>
            <w:shd w:val="clear" w:color="auto" w:fill="D2DCE5"/>
          </w:tcPr>
          <w:p>
            <w:pPr>
              <w:spacing w:after="0"/>
              <w:rPr>
                <w:sz w:val="23"/>
                <w:szCs w:val="23"/>
                <w:color w:val="auto"/>
              </w:rPr>
            </w:pPr>
          </w:p>
        </w:tc>
        <w:tc>
          <w:tcPr>
            <w:tcW w:w="13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294</w:t>
            </w:r>
          </w:p>
        </w:tc>
      </w:tr>
      <w:tr>
        <w:trPr>
          <w:trHeight w:val="263"/>
        </w:trPr>
        <w:tc>
          <w:tcPr>
            <w:tcW w:w="7720" w:type="dxa"/>
            <w:vAlign w:val="bottom"/>
            <w:gridSpan w:val="2"/>
          </w:tcPr>
          <w:p>
            <w:pPr>
              <w:ind w:left="520"/>
              <w:spacing w:after="0"/>
              <w:rPr>
                <w:sz w:val="20"/>
                <w:szCs w:val="20"/>
                <w:color w:val="auto"/>
              </w:rPr>
            </w:pPr>
            <w:r>
              <w:rPr>
                <w:rFonts w:ascii="Arial" w:cs="Arial" w:eastAsia="Arial" w:hAnsi="Arial"/>
                <w:sz w:val="18"/>
                <w:szCs w:val="18"/>
                <w:b w:val="1"/>
                <w:bCs w:val="1"/>
                <w:color w:val="131E29"/>
              </w:rPr>
              <w:t>Total shop count</w:t>
            </w:r>
          </w:p>
        </w:tc>
        <w:tc>
          <w:tcPr>
            <w:tcW w:w="38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006098"/>
              </w:rPr>
              <w:t>1,012</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131E29"/>
              </w:rPr>
              <w:t>876</w:t>
            </w:r>
          </w:p>
        </w:tc>
      </w:tr>
      <w:tr>
        <w:trPr>
          <w:trHeight w:val="20"/>
        </w:trPr>
        <w:tc>
          <w:tcPr>
            <w:tcW w:w="762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76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80" w:type="dxa"/>
            <w:vAlign w:val="bottom"/>
            <w:shd w:val="clear" w:color="auto" w:fill="D2DCE5"/>
          </w:tcPr>
          <w:p>
            <w:pPr>
              <w:spacing w:after="0"/>
              <w:rPr>
                <w:sz w:val="20"/>
                <w:szCs w:val="20"/>
                <w:color w:val="auto"/>
              </w:rPr>
            </w:pPr>
          </w:p>
        </w:tc>
        <w:tc>
          <w:tcPr>
            <w:tcW w:w="134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400" w:type="dxa"/>
            <w:vAlign w:val="bottom"/>
            <w:shd w:val="clear" w:color="auto" w:fill="D2DCE5"/>
          </w:tcPr>
          <w:p>
            <w:pPr>
              <w:spacing w:after="0"/>
              <w:rPr>
                <w:sz w:val="20"/>
                <w:szCs w:val="20"/>
                <w:color w:val="auto"/>
              </w:rPr>
            </w:pPr>
          </w:p>
        </w:tc>
        <w:tc>
          <w:tcPr>
            <w:tcW w:w="1320" w:type="dxa"/>
            <w:vAlign w:val="bottom"/>
            <w:shd w:val="clear" w:color="auto" w:fill="D2DCE5"/>
          </w:tcPr>
          <w:p>
            <w:pPr>
              <w:spacing w:after="0"/>
              <w:rPr>
                <w:sz w:val="20"/>
                <w:szCs w:val="20"/>
                <w:color w:val="auto"/>
              </w:rPr>
            </w:pPr>
          </w:p>
        </w:tc>
      </w:tr>
      <w:tr>
        <w:trPr>
          <w:trHeight w:val="270"/>
        </w:trPr>
        <w:tc>
          <w:tcPr>
            <w:tcW w:w="7720" w:type="dxa"/>
            <w:vAlign w:val="bottom"/>
            <w:gridSpan w:val="2"/>
          </w:tcPr>
          <w:p>
            <w:pPr>
              <w:ind w:left="20"/>
              <w:spacing w:after="0"/>
              <w:rPr>
                <w:sz w:val="20"/>
                <w:szCs w:val="20"/>
                <w:color w:val="auto"/>
              </w:rPr>
            </w:pPr>
            <w:r>
              <w:rPr>
                <w:rFonts w:ascii="Arial" w:cs="Arial" w:eastAsia="Arial" w:hAnsi="Arial"/>
                <w:sz w:val="18"/>
                <w:szCs w:val="18"/>
                <w:color w:val="131E29"/>
              </w:rPr>
              <w:t xml:space="preserve">Systemwide AUV </w:t>
            </w:r>
            <w:r>
              <w:rPr>
                <w:rFonts w:ascii="Arial" w:cs="Arial" w:eastAsia="Arial" w:hAnsi="Arial"/>
                <w:sz w:val="23"/>
                <w:szCs w:val="23"/>
                <w:color w:val="131E29"/>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006098"/>
                <w:w w:val="9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006098"/>
              </w:rPr>
              <w:t>2,026</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131E29"/>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131E29"/>
              </w:rPr>
              <w:t>1,995</w:t>
            </w:r>
          </w:p>
        </w:tc>
      </w:tr>
      <w:tr>
        <w:trPr>
          <w:trHeight w:val="270"/>
        </w:trPr>
        <w:tc>
          <w:tcPr>
            <w:tcW w:w="772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 xml:space="preserve">Company-operated shops AUV </w:t>
            </w:r>
            <w:r>
              <w:rPr>
                <w:rFonts w:ascii="Arial" w:cs="Arial" w:eastAsia="Arial" w:hAnsi="Arial"/>
                <w:sz w:val="23"/>
                <w:szCs w:val="23"/>
                <w:color w:val="131E29"/>
                <w:vertAlign w:val="superscript"/>
              </w:rPr>
              <w:t>1</w:t>
            </w:r>
          </w:p>
        </w:tc>
        <w:tc>
          <w:tcPr>
            <w:tcW w:w="380" w:type="dxa"/>
            <w:vAlign w:val="bottom"/>
            <w:shd w:val="clear" w:color="auto" w:fill="D2DCE5"/>
          </w:tcPr>
          <w:p>
            <w:pPr>
              <w:jc w:val="right"/>
              <w:ind w:right="170"/>
              <w:spacing w:after="0"/>
              <w:rPr>
                <w:sz w:val="20"/>
                <w:szCs w:val="20"/>
                <w:color w:val="auto"/>
              </w:rPr>
            </w:pPr>
            <w:r>
              <w:rPr>
                <w:rFonts w:ascii="Arial" w:cs="Arial" w:eastAsia="Arial" w:hAnsi="Arial"/>
                <w:sz w:val="18"/>
                <w:szCs w:val="18"/>
                <w:color w:val="006098"/>
                <w:w w:val="99"/>
              </w:rPr>
              <w:t>$</w:t>
            </w:r>
          </w:p>
        </w:tc>
        <w:tc>
          <w:tcPr>
            <w:tcW w:w="1340" w:type="dxa"/>
            <w:vAlign w:val="bottom"/>
            <w:shd w:val="clear" w:color="auto" w:fill="D2DCE5"/>
          </w:tcPr>
          <w:p>
            <w:pPr>
              <w:jc w:val="right"/>
              <w:ind w:right="50"/>
              <w:spacing w:after="0"/>
              <w:rPr>
                <w:sz w:val="20"/>
                <w:szCs w:val="20"/>
                <w:color w:val="auto"/>
              </w:rPr>
            </w:pPr>
            <w:r>
              <w:rPr>
                <w:rFonts w:ascii="Arial" w:cs="Arial" w:eastAsia="Arial" w:hAnsi="Arial"/>
                <w:sz w:val="18"/>
                <w:szCs w:val="18"/>
                <w:color w:val="006098"/>
              </w:rPr>
              <w:t>1,950</w:t>
            </w:r>
          </w:p>
        </w:tc>
        <w:tc>
          <w:tcPr>
            <w:tcW w:w="80" w:type="dxa"/>
            <w:vAlign w:val="bottom"/>
            <w:shd w:val="clear" w:color="auto" w:fill="D2DCE5"/>
          </w:tcPr>
          <w:p>
            <w:pPr>
              <w:spacing w:after="0"/>
              <w:rPr>
                <w:sz w:val="23"/>
                <w:szCs w:val="23"/>
                <w:color w:val="auto"/>
              </w:rPr>
            </w:pPr>
          </w:p>
        </w:tc>
        <w:tc>
          <w:tcPr>
            <w:tcW w:w="400" w:type="dxa"/>
            <w:vAlign w:val="bottom"/>
            <w:shd w:val="clear" w:color="auto" w:fill="D2DCE5"/>
          </w:tcPr>
          <w:p>
            <w:pPr>
              <w:jc w:val="right"/>
              <w:ind w:right="190"/>
              <w:spacing w:after="0"/>
              <w:rPr>
                <w:sz w:val="20"/>
                <w:szCs w:val="20"/>
                <w:color w:val="auto"/>
              </w:rPr>
            </w:pPr>
            <w:r>
              <w:rPr>
                <w:rFonts w:ascii="Arial" w:cs="Arial" w:eastAsia="Arial" w:hAnsi="Arial"/>
                <w:sz w:val="18"/>
                <w:szCs w:val="18"/>
                <w:color w:val="131E29"/>
                <w:w w:val="99"/>
              </w:rPr>
              <w:t>$</w:t>
            </w:r>
          </w:p>
        </w:tc>
        <w:tc>
          <w:tcPr>
            <w:tcW w:w="132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rPr>
              <w:t>1,915</w:t>
            </w:r>
          </w:p>
        </w:tc>
      </w:tr>
      <w:tr>
        <w:trPr>
          <w:trHeight w:val="270"/>
        </w:trPr>
        <w:tc>
          <w:tcPr>
            <w:tcW w:w="7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77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Systemwide same shop sales </w:t>
            </w:r>
            <w:r>
              <w:rPr>
                <w:rFonts w:ascii="Arial" w:cs="Arial" w:eastAsia="Arial" w:hAnsi="Arial"/>
                <w:sz w:val="23"/>
                <w:szCs w:val="23"/>
                <w:color w:val="131E29"/>
                <w:vertAlign w:val="superscript"/>
              </w:rPr>
              <w:t>2, 3</w:t>
            </w:r>
          </w:p>
        </w:tc>
        <w:tc>
          <w:tcPr>
            <w:tcW w:w="380" w:type="dxa"/>
            <w:vAlign w:val="bottom"/>
            <w:shd w:val="clear" w:color="auto" w:fill="D2DCE5"/>
          </w:tcPr>
          <w:p>
            <w:pPr>
              <w:spacing w:after="0"/>
              <w:rPr>
                <w:sz w:val="23"/>
                <w:szCs w:val="23"/>
                <w:color w:val="auto"/>
              </w:rPr>
            </w:pPr>
          </w:p>
        </w:tc>
        <w:tc>
          <w:tcPr>
            <w:tcW w:w="13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4.7 %</w:t>
            </w:r>
          </w:p>
        </w:tc>
        <w:tc>
          <w:tcPr>
            <w:tcW w:w="80" w:type="dxa"/>
            <w:vAlign w:val="bottom"/>
            <w:shd w:val="clear" w:color="auto" w:fill="D2DCE5"/>
          </w:tcPr>
          <w:p>
            <w:pPr>
              <w:spacing w:after="0"/>
              <w:rPr>
                <w:sz w:val="23"/>
                <w:szCs w:val="23"/>
                <w:color w:val="auto"/>
              </w:rPr>
            </w:pPr>
          </w:p>
        </w:tc>
        <w:tc>
          <w:tcPr>
            <w:tcW w:w="400" w:type="dxa"/>
            <w:vAlign w:val="bottom"/>
            <w:shd w:val="clear" w:color="auto" w:fill="D2DCE5"/>
          </w:tcPr>
          <w:p>
            <w:pPr>
              <w:spacing w:after="0"/>
              <w:rPr>
                <w:sz w:val="23"/>
                <w:szCs w:val="23"/>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10.0 %</w:t>
            </w:r>
          </w:p>
        </w:tc>
      </w:tr>
      <w:tr>
        <w:trPr>
          <w:trHeight w:val="247"/>
        </w:trPr>
        <w:tc>
          <w:tcPr>
            <w:tcW w:w="7720" w:type="dxa"/>
            <w:vAlign w:val="bottom"/>
            <w:gridSpan w:val="2"/>
          </w:tcPr>
          <w:p>
            <w:pPr>
              <w:ind w:left="180"/>
              <w:spacing w:after="0"/>
              <w:rPr>
                <w:sz w:val="20"/>
                <w:szCs w:val="20"/>
                <w:color w:val="auto"/>
              </w:rPr>
            </w:pPr>
            <w:r>
              <w:rPr>
                <w:rFonts w:ascii="Arial" w:cs="Arial" w:eastAsia="Arial" w:hAnsi="Arial"/>
                <w:sz w:val="18"/>
                <w:szCs w:val="18"/>
                <w:color w:val="131E29"/>
              </w:rPr>
              <w:t>Ticket</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006098"/>
              </w:rPr>
              <w:t>3.4 %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131E29"/>
              </w:rPr>
              <w:t>8.8 %</w:t>
            </w:r>
          </w:p>
        </w:tc>
      </w:tr>
      <w:tr>
        <w:trPr>
          <w:trHeight w:val="23"/>
        </w:trPr>
        <w:tc>
          <w:tcPr>
            <w:tcW w:w="7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Transactions</w:t>
            </w:r>
          </w:p>
        </w:tc>
        <w:tc>
          <w:tcPr>
            <w:tcW w:w="380" w:type="dxa"/>
            <w:vAlign w:val="bottom"/>
            <w:tcBorders>
              <w:bottom w:val="single" w:sz="8" w:color="D2DCE5"/>
            </w:tcBorders>
            <w:shd w:val="clear" w:color="auto" w:fill="D2DCE5"/>
          </w:tcPr>
          <w:p>
            <w:pPr>
              <w:spacing w:after="0"/>
              <w:rPr>
                <w:sz w:val="21"/>
                <w:szCs w:val="21"/>
                <w:color w:val="auto"/>
              </w:rPr>
            </w:pPr>
          </w:p>
        </w:tc>
        <w:tc>
          <w:tcPr>
            <w:tcW w:w="13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1.3 %</w:t>
            </w:r>
          </w:p>
        </w:tc>
        <w:tc>
          <w:tcPr>
            <w:tcW w:w="80" w:type="dxa"/>
            <w:vAlign w:val="bottom"/>
            <w:tcBorders>
              <w:bottom w:val="single" w:sz="8" w:color="D2DCE5"/>
            </w:tcBorders>
            <w:shd w:val="clear" w:color="auto" w:fill="D2DCE5"/>
          </w:tcPr>
          <w:p>
            <w:pPr>
              <w:spacing w:after="0"/>
              <w:rPr>
                <w:sz w:val="21"/>
                <w:szCs w:val="21"/>
                <w:color w:val="auto"/>
              </w:rPr>
            </w:pPr>
          </w:p>
        </w:tc>
        <w:tc>
          <w:tcPr>
            <w:tcW w:w="400" w:type="dxa"/>
            <w:vAlign w:val="bottom"/>
            <w:tcBorders>
              <w:bottom w:val="single" w:sz="8" w:color="D2DCE5"/>
            </w:tcBorders>
            <w:shd w:val="clear" w:color="auto" w:fill="D2DCE5"/>
          </w:tcPr>
          <w:p>
            <w:pPr>
              <w:spacing w:after="0"/>
              <w:rPr>
                <w:sz w:val="21"/>
                <w:szCs w:val="21"/>
                <w:color w:val="auto"/>
              </w:rPr>
            </w:pP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1.2 %</w:t>
            </w:r>
          </w:p>
        </w:tc>
      </w:tr>
      <w:tr>
        <w:trPr>
          <w:trHeight w:val="270"/>
        </w:trPr>
        <w:tc>
          <w:tcPr>
            <w:tcW w:w="7720" w:type="dxa"/>
            <w:vAlign w:val="bottom"/>
            <w:gridSpan w:val="2"/>
          </w:tcPr>
          <w:p>
            <w:pPr>
              <w:ind w:left="20"/>
              <w:spacing w:after="0"/>
              <w:rPr>
                <w:sz w:val="20"/>
                <w:szCs w:val="20"/>
                <w:color w:val="auto"/>
              </w:rPr>
            </w:pPr>
            <w:r>
              <w:rPr>
                <w:rFonts w:ascii="Arial" w:cs="Arial" w:eastAsia="Arial" w:hAnsi="Arial"/>
                <w:sz w:val="18"/>
                <w:szCs w:val="18"/>
                <w:color w:val="131E29"/>
              </w:rPr>
              <w:t xml:space="preserve">Company-operated same shop sales </w:t>
            </w:r>
            <w:r>
              <w:rPr>
                <w:rFonts w:ascii="Arial" w:cs="Arial" w:eastAsia="Arial" w:hAnsi="Arial"/>
                <w:sz w:val="23"/>
                <w:szCs w:val="23"/>
                <w:color w:val="131E29"/>
                <w:vertAlign w:val="superscript"/>
              </w:rPr>
              <w:t>2</w:t>
            </w:r>
          </w:p>
        </w:tc>
        <w:tc>
          <w:tcPr>
            <w:tcW w:w="3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006098"/>
              </w:rPr>
              <w:t>6.9 %</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131E29"/>
              </w:rPr>
              <w:t>10.9 %</w:t>
            </w:r>
          </w:p>
        </w:tc>
      </w:tr>
      <w:tr>
        <w:trPr>
          <w:trHeight w:val="250"/>
        </w:trPr>
        <w:tc>
          <w:tcPr>
            <w:tcW w:w="77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Ticket</w:t>
            </w:r>
          </w:p>
        </w:tc>
        <w:tc>
          <w:tcPr>
            <w:tcW w:w="380" w:type="dxa"/>
            <w:vAlign w:val="bottom"/>
            <w:tcBorders>
              <w:bottom w:val="single" w:sz="8" w:color="D2DCE5"/>
            </w:tcBorders>
            <w:shd w:val="clear" w:color="auto" w:fill="D2DCE5"/>
          </w:tcPr>
          <w:p>
            <w:pPr>
              <w:spacing w:after="0"/>
              <w:rPr>
                <w:sz w:val="21"/>
                <w:szCs w:val="21"/>
                <w:color w:val="auto"/>
              </w:rPr>
            </w:pPr>
          </w:p>
        </w:tc>
        <w:tc>
          <w:tcPr>
            <w:tcW w:w="13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3.2 %</w:t>
            </w:r>
          </w:p>
        </w:tc>
        <w:tc>
          <w:tcPr>
            <w:tcW w:w="80" w:type="dxa"/>
            <w:vAlign w:val="bottom"/>
            <w:tcBorders>
              <w:bottom w:val="single" w:sz="8" w:color="D2DCE5"/>
            </w:tcBorders>
            <w:shd w:val="clear" w:color="auto" w:fill="D2DCE5"/>
          </w:tcPr>
          <w:p>
            <w:pPr>
              <w:spacing w:after="0"/>
              <w:rPr>
                <w:sz w:val="21"/>
                <w:szCs w:val="21"/>
                <w:color w:val="auto"/>
              </w:rPr>
            </w:pPr>
          </w:p>
        </w:tc>
        <w:tc>
          <w:tcPr>
            <w:tcW w:w="400" w:type="dxa"/>
            <w:vAlign w:val="bottom"/>
            <w:tcBorders>
              <w:bottom w:val="single" w:sz="8" w:color="D2DCE5"/>
            </w:tcBorders>
            <w:shd w:val="clear" w:color="auto" w:fill="D2DCE5"/>
          </w:tcPr>
          <w:p>
            <w:pPr>
              <w:spacing w:after="0"/>
              <w:rPr>
                <w:sz w:val="21"/>
                <w:szCs w:val="21"/>
                <w:color w:val="auto"/>
              </w:rPr>
            </w:pP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8.2 %</w:t>
            </w:r>
          </w:p>
        </w:tc>
      </w:tr>
      <w:tr>
        <w:trPr>
          <w:trHeight w:val="247"/>
        </w:trPr>
        <w:tc>
          <w:tcPr>
            <w:tcW w:w="7720" w:type="dxa"/>
            <w:vAlign w:val="bottom"/>
            <w:gridSpan w:val="2"/>
          </w:tcPr>
          <w:p>
            <w:pPr>
              <w:ind w:left="180"/>
              <w:spacing w:after="0"/>
              <w:rPr>
                <w:sz w:val="20"/>
                <w:szCs w:val="20"/>
                <w:color w:val="auto"/>
              </w:rPr>
            </w:pPr>
            <w:r>
              <w:rPr>
                <w:rFonts w:ascii="Arial" w:cs="Arial" w:eastAsia="Arial" w:hAnsi="Arial"/>
                <w:sz w:val="18"/>
                <w:szCs w:val="18"/>
                <w:color w:val="131E29"/>
              </w:rPr>
              <w:t>Transactions</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006098"/>
              </w:rPr>
              <w:t>3.7 %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131E29"/>
              </w:rPr>
              <w:t>2.7 %</w:t>
            </w:r>
          </w:p>
        </w:tc>
      </w:tr>
      <w:tr>
        <w:trPr>
          <w:trHeight w:val="23"/>
        </w:trPr>
        <w:tc>
          <w:tcPr>
            <w:tcW w:w="7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6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80" w:type="dxa"/>
            <w:vAlign w:val="bottom"/>
            <w:shd w:val="clear" w:color="auto" w:fill="D2DCE5"/>
          </w:tcPr>
          <w:p>
            <w:pPr>
              <w:spacing w:after="0"/>
              <w:rPr>
                <w:sz w:val="23"/>
                <w:szCs w:val="23"/>
                <w:color w:val="auto"/>
              </w:rPr>
            </w:pPr>
          </w:p>
        </w:tc>
        <w:tc>
          <w:tcPr>
            <w:tcW w:w="134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400" w:type="dxa"/>
            <w:vAlign w:val="bottom"/>
            <w:shd w:val="clear" w:color="auto" w:fill="D2DCE5"/>
          </w:tcPr>
          <w:p>
            <w:pPr>
              <w:spacing w:after="0"/>
              <w:rPr>
                <w:sz w:val="23"/>
                <w:szCs w:val="23"/>
                <w:color w:val="auto"/>
              </w:rPr>
            </w:pPr>
          </w:p>
        </w:tc>
        <w:tc>
          <w:tcPr>
            <w:tcW w:w="1320" w:type="dxa"/>
            <w:vAlign w:val="bottom"/>
            <w:shd w:val="clear" w:color="auto" w:fill="D2DCE5"/>
          </w:tcPr>
          <w:p>
            <w:pPr>
              <w:spacing w:after="0"/>
              <w:rPr>
                <w:sz w:val="23"/>
                <w:szCs w:val="23"/>
                <w:color w:val="auto"/>
              </w:rPr>
            </w:pPr>
          </w:p>
        </w:tc>
      </w:tr>
      <w:tr>
        <w:trPr>
          <w:trHeight w:val="270"/>
        </w:trPr>
        <w:tc>
          <w:tcPr>
            <w:tcW w:w="7720" w:type="dxa"/>
            <w:vAlign w:val="bottom"/>
            <w:gridSpan w:val="2"/>
          </w:tcPr>
          <w:p>
            <w:pPr>
              <w:ind w:left="20"/>
              <w:spacing w:after="0"/>
              <w:rPr>
                <w:sz w:val="20"/>
                <w:szCs w:val="20"/>
                <w:color w:val="auto"/>
              </w:rPr>
            </w:pPr>
            <w:r>
              <w:rPr>
                <w:rFonts w:ascii="Arial" w:cs="Arial" w:eastAsia="Arial" w:hAnsi="Arial"/>
                <w:sz w:val="18"/>
                <w:szCs w:val="18"/>
                <w:color w:val="131E29"/>
              </w:rPr>
              <w:t xml:space="preserve">Systemwide sales </w:t>
            </w:r>
            <w:r>
              <w:rPr>
                <w:rFonts w:ascii="Arial" w:cs="Arial" w:eastAsia="Arial" w:hAnsi="Arial"/>
                <w:sz w:val="23"/>
                <w:szCs w:val="23"/>
                <w:color w:val="131E29"/>
                <w:vertAlign w:val="superscript"/>
              </w:rPr>
              <w:t>3</w:t>
            </w:r>
          </w:p>
        </w:tc>
        <w:tc>
          <w:tcPr>
            <w:tcW w:w="380" w:type="dxa"/>
            <w:vAlign w:val="bottom"/>
          </w:tcPr>
          <w:p>
            <w:pPr>
              <w:jc w:val="right"/>
              <w:ind w:right="170"/>
              <w:spacing w:after="0"/>
              <w:rPr>
                <w:sz w:val="20"/>
                <w:szCs w:val="20"/>
                <w:color w:val="auto"/>
              </w:rPr>
            </w:pPr>
            <w:r>
              <w:rPr>
                <w:rFonts w:ascii="Arial" w:cs="Arial" w:eastAsia="Arial" w:hAnsi="Arial"/>
                <w:sz w:val="18"/>
                <w:szCs w:val="18"/>
                <w:color w:val="006098"/>
                <w:w w:val="9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006098"/>
              </w:rPr>
              <w:t>489,672</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131E29"/>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131E29"/>
              </w:rPr>
              <w:t>397,553</w:t>
            </w:r>
          </w:p>
        </w:tc>
      </w:tr>
      <w:tr>
        <w:trPr>
          <w:trHeight w:val="270"/>
        </w:trPr>
        <w:tc>
          <w:tcPr>
            <w:tcW w:w="77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Company-operated shops operating weeks </w:t>
            </w:r>
            <w:r>
              <w:rPr>
                <w:rFonts w:ascii="Arial" w:cs="Arial" w:eastAsia="Arial" w:hAnsi="Arial"/>
                <w:sz w:val="23"/>
                <w:szCs w:val="23"/>
                <w:color w:val="131E29"/>
                <w:vertAlign w:val="superscript"/>
              </w:rPr>
              <w:t>4</w:t>
            </w:r>
          </w:p>
        </w:tc>
        <w:tc>
          <w:tcPr>
            <w:tcW w:w="380" w:type="dxa"/>
            <w:vAlign w:val="bottom"/>
            <w:shd w:val="clear" w:color="auto" w:fill="D2DCE5"/>
          </w:tcPr>
          <w:p>
            <w:pPr>
              <w:spacing w:after="0"/>
              <w:rPr>
                <w:sz w:val="23"/>
                <w:szCs w:val="23"/>
                <w:color w:val="auto"/>
              </w:rPr>
            </w:pPr>
          </w:p>
        </w:tc>
        <w:tc>
          <w:tcPr>
            <w:tcW w:w="1340" w:type="dxa"/>
            <w:vAlign w:val="bottom"/>
            <w:shd w:val="clear" w:color="auto" w:fill="D2DCE5"/>
          </w:tcPr>
          <w:p>
            <w:pPr>
              <w:jc w:val="right"/>
              <w:ind w:right="50"/>
              <w:spacing w:after="0"/>
              <w:rPr>
                <w:sz w:val="20"/>
                <w:szCs w:val="20"/>
                <w:color w:val="auto"/>
              </w:rPr>
            </w:pPr>
            <w:r>
              <w:rPr>
                <w:rFonts w:ascii="Arial" w:cs="Arial" w:eastAsia="Arial" w:hAnsi="Arial"/>
                <w:sz w:val="18"/>
                <w:szCs w:val="18"/>
                <w:color w:val="006098"/>
              </w:rPr>
              <w:t>8,737</w:t>
            </w:r>
          </w:p>
        </w:tc>
        <w:tc>
          <w:tcPr>
            <w:tcW w:w="80" w:type="dxa"/>
            <w:vAlign w:val="bottom"/>
            <w:shd w:val="clear" w:color="auto" w:fill="D2DCE5"/>
          </w:tcPr>
          <w:p>
            <w:pPr>
              <w:spacing w:after="0"/>
              <w:rPr>
                <w:sz w:val="23"/>
                <w:szCs w:val="23"/>
                <w:color w:val="auto"/>
              </w:rPr>
            </w:pPr>
          </w:p>
        </w:tc>
        <w:tc>
          <w:tcPr>
            <w:tcW w:w="400" w:type="dxa"/>
            <w:vAlign w:val="bottom"/>
            <w:shd w:val="clear" w:color="auto" w:fill="D2DCE5"/>
          </w:tcPr>
          <w:p>
            <w:pPr>
              <w:spacing w:after="0"/>
              <w:rPr>
                <w:sz w:val="23"/>
                <w:szCs w:val="23"/>
                <w:color w:val="auto"/>
              </w:rPr>
            </w:pPr>
          </w:p>
        </w:tc>
        <w:tc>
          <w:tcPr>
            <w:tcW w:w="132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rPr>
              <w:t>7,274</w:t>
            </w:r>
          </w:p>
        </w:tc>
      </w:tr>
      <w:tr>
        <w:trPr>
          <w:trHeight w:val="270"/>
        </w:trPr>
        <w:tc>
          <w:tcPr>
            <w:tcW w:w="7720" w:type="dxa"/>
            <w:vAlign w:val="bottom"/>
            <w:gridSpan w:val="2"/>
          </w:tcPr>
          <w:p>
            <w:pPr>
              <w:ind w:left="20"/>
              <w:spacing w:after="0"/>
              <w:rPr>
                <w:sz w:val="20"/>
                <w:szCs w:val="20"/>
                <w:color w:val="auto"/>
              </w:rPr>
            </w:pPr>
            <w:r>
              <w:rPr>
                <w:rFonts w:ascii="Arial" w:cs="Arial" w:eastAsia="Arial" w:hAnsi="Arial"/>
                <w:sz w:val="18"/>
                <w:szCs w:val="18"/>
                <w:color w:val="131E29"/>
              </w:rPr>
              <w:t xml:space="preserve">Franchising shops operating weeks </w:t>
            </w:r>
            <w:r>
              <w:rPr>
                <w:rFonts w:ascii="Arial" w:cs="Arial" w:eastAsia="Arial" w:hAnsi="Arial"/>
                <w:sz w:val="23"/>
                <w:szCs w:val="23"/>
                <w:color w:val="131E29"/>
                <w:vertAlign w:val="superscript"/>
              </w:rPr>
              <w:t>4</w:t>
            </w:r>
          </w:p>
        </w:tc>
        <w:tc>
          <w:tcPr>
            <w:tcW w:w="38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006098"/>
              </w:rPr>
              <w:t>4,011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131E29"/>
              </w:rPr>
              <w:t>3,779</w:t>
            </w:r>
          </w:p>
        </w:tc>
      </w:tr>
      <w:tr>
        <w:trPr>
          <w:trHeight w:val="270"/>
        </w:trPr>
        <w:tc>
          <w:tcPr>
            <w:tcW w:w="76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80" w:type="dxa"/>
            <w:vAlign w:val="bottom"/>
            <w:shd w:val="clear" w:color="auto" w:fill="D2DCE5"/>
          </w:tcPr>
          <w:p>
            <w:pPr>
              <w:spacing w:after="0"/>
              <w:rPr>
                <w:sz w:val="23"/>
                <w:szCs w:val="23"/>
                <w:color w:val="auto"/>
              </w:rPr>
            </w:pPr>
          </w:p>
        </w:tc>
        <w:tc>
          <w:tcPr>
            <w:tcW w:w="134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400" w:type="dxa"/>
            <w:vAlign w:val="bottom"/>
            <w:shd w:val="clear" w:color="auto" w:fill="D2DCE5"/>
          </w:tcPr>
          <w:p>
            <w:pPr>
              <w:spacing w:after="0"/>
              <w:rPr>
                <w:sz w:val="23"/>
                <w:szCs w:val="23"/>
                <w:color w:val="auto"/>
              </w:rPr>
            </w:pPr>
          </w:p>
        </w:tc>
        <w:tc>
          <w:tcPr>
            <w:tcW w:w="1320" w:type="dxa"/>
            <w:vAlign w:val="bottom"/>
            <w:shd w:val="clear" w:color="auto" w:fill="D2DCE5"/>
          </w:tcPr>
          <w:p>
            <w:pPr>
              <w:spacing w:after="0"/>
              <w:rPr>
                <w:sz w:val="23"/>
                <w:szCs w:val="23"/>
                <w:color w:val="auto"/>
              </w:rPr>
            </w:pPr>
          </w:p>
        </w:tc>
      </w:tr>
      <w:tr>
        <w:trPr>
          <w:trHeight w:val="330"/>
        </w:trPr>
        <w:tc>
          <w:tcPr>
            <w:tcW w:w="7720" w:type="dxa"/>
            <w:vAlign w:val="bottom"/>
            <w:gridSpan w:val="2"/>
          </w:tcPr>
          <w:p>
            <w:pPr>
              <w:ind w:left="20"/>
              <w:spacing w:after="0"/>
              <w:rPr>
                <w:sz w:val="20"/>
                <w:szCs w:val="20"/>
                <w:color w:val="auto"/>
              </w:rPr>
            </w:pPr>
            <w:r>
              <w:rPr>
                <w:rFonts w:ascii="Arial" w:cs="Arial" w:eastAsia="Arial" w:hAnsi="Arial"/>
                <w:sz w:val="18"/>
                <w:szCs w:val="18"/>
                <w:color w:val="131E29"/>
              </w:rPr>
              <w:t xml:space="preserve">Dutch Rewards transactions as a percentage of total transactions </w:t>
            </w:r>
            <w:r>
              <w:rPr>
                <w:rFonts w:ascii="Arial" w:cs="Arial" w:eastAsia="Arial" w:hAnsi="Arial"/>
                <w:sz w:val="23"/>
                <w:szCs w:val="23"/>
                <w:color w:val="131E29"/>
                <w:vertAlign w:val="superscript"/>
              </w:rPr>
              <w:t>5</w:t>
            </w:r>
          </w:p>
        </w:tc>
        <w:tc>
          <w:tcPr>
            <w:tcW w:w="3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006098"/>
              </w:rPr>
              <w:t>71.8 %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131E29"/>
              </w:rPr>
              <w:t>66.5 %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140" w:type="dxa"/>
            <w:vAlign w:val="bottom"/>
            <w:tcBorders>
              <w:bottom w:val="single" w:sz="8" w:color="D7282F"/>
            </w:tcBorders>
            <w:gridSpan w:val="7"/>
          </w:tcPr>
          <w:p>
            <w:pPr>
              <w:ind w:left="1100"/>
              <w:spacing w:after="0"/>
              <w:rPr>
                <w:sz w:val="20"/>
                <w:szCs w:val="20"/>
                <w:color w:val="auto"/>
              </w:rPr>
            </w:pPr>
            <w:r>
              <w:rPr>
                <w:rFonts w:ascii="Arial" w:cs="Arial" w:eastAsia="Arial" w:hAnsi="Arial"/>
                <w:sz w:val="18"/>
                <w:szCs w:val="18"/>
                <w:b w:val="1"/>
                <w:bCs w:val="1"/>
                <w:color w:val="131E29"/>
              </w:rPr>
              <w:t>Three Months Ended March 31,</w:t>
            </w:r>
          </w:p>
        </w:tc>
        <w:tc>
          <w:tcPr>
            <w:tcW w:w="720" w:type="dxa"/>
            <w:vAlign w:val="bottom"/>
            <w:tcBorders>
              <w:bottom w:val="single" w:sz="8" w:color="D7282F"/>
            </w:tcBorders>
          </w:tcPr>
          <w:p>
            <w:pPr>
              <w:spacing w:after="0"/>
              <w:rPr>
                <w:sz w:val="22"/>
                <w:szCs w:val="22"/>
                <w:color w:val="auto"/>
              </w:rPr>
            </w:pPr>
          </w:p>
        </w:tc>
      </w:tr>
      <w:tr>
        <w:trPr>
          <w:trHeight w:val="263"/>
        </w:trPr>
        <w:tc>
          <w:tcPr>
            <w:tcW w:w="6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bottom w:val="single" w:sz="8" w:color="D7282F"/>
            </w:tcBorders>
          </w:tcPr>
          <w:p>
            <w:pPr>
              <w:jc w:val="right"/>
              <w:ind w:right="90"/>
              <w:spacing w:after="0"/>
              <w:rPr>
                <w:sz w:val="20"/>
                <w:szCs w:val="20"/>
                <w:color w:val="auto"/>
              </w:rPr>
            </w:pPr>
            <w:r>
              <w:rPr>
                <w:rFonts w:ascii="Arial" w:cs="Arial" w:eastAsia="Arial" w:hAnsi="Arial"/>
                <w:sz w:val="18"/>
                <w:szCs w:val="18"/>
                <w:b w:val="1"/>
                <w:bCs w:val="1"/>
                <w:color w:val="131E29"/>
              </w:rPr>
              <w:t>2025</w:t>
            </w:r>
          </w:p>
        </w:tc>
        <w:tc>
          <w:tcPr>
            <w:tcW w:w="80" w:type="dxa"/>
            <w:vAlign w:val="bottom"/>
            <w:tcBorders>
              <w:bottom w:val="single" w:sz="8" w:color="D7282F"/>
            </w:tcBorders>
          </w:tcPr>
          <w:p>
            <w:pPr>
              <w:spacing w:after="0"/>
              <w:rPr>
                <w:sz w:val="22"/>
                <w:szCs w:val="22"/>
                <w:color w:val="auto"/>
              </w:rPr>
            </w:pPr>
          </w:p>
        </w:tc>
        <w:tc>
          <w:tcPr>
            <w:tcW w:w="740" w:type="dxa"/>
            <w:vAlign w:val="bottom"/>
            <w:tcBorders>
              <w:bottom w:val="single" w:sz="8" w:color="D7282F"/>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bottom w:val="single" w:sz="8" w:color="D7282F"/>
            </w:tcBorders>
          </w:tcPr>
          <w:p>
            <w:pPr>
              <w:spacing w:after="0"/>
              <w:rPr>
                <w:sz w:val="22"/>
                <w:szCs w:val="22"/>
                <w:color w:val="auto"/>
              </w:rPr>
            </w:pPr>
          </w:p>
        </w:tc>
        <w:tc>
          <w:tcPr>
            <w:tcW w:w="740" w:type="dxa"/>
            <w:vAlign w:val="bottom"/>
            <w:tcBorders>
              <w:bottom w:val="single" w:sz="8" w:color="D7282F"/>
            </w:tcBorders>
          </w:tcPr>
          <w:p>
            <w:pPr>
              <w:jc w:val="right"/>
              <w:ind w:right="9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7282F"/>
            </w:tcBorders>
          </w:tcPr>
          <w:p>
            <w:pPr>
              <w:spacing w:after="0"/>
              <w:rPr>
                <w:sz w:val="22"/>
                <w:szCs w:val="22"/>
                <w:color w:val="auto"/>
              </w:rPr>
            </w:pPr>
          </w:p>
        </w:tc>
        <w:tc>
          <w:tcPr>
            <w:tcW w:w="720" w:type="dxa"/>
            <w:vAlign w:val="bottom"/>
            <w:tcBorders>
              <w:bottom w:val="single" w:sz="8" w:color="D7282F"/>
            </w:tcBorders>
          </w:tcPr>
          <w:p>
            <w:pPr>
              <w:spacing w:after="0"/>
              <w:rPr>
                <w:sz w:val="22"/>
                <w:szCs w:val="22"/>
                <w:color w:val="auto"/>
              </w:rPr>
            </w:pPr>
          </w:p>
        </w:tc>
      </w:tr>
      <w:tr>
        <w:trPr>
          <w:trHeight w:val="264"/>
        </w:trPr>
        <w:tc>
          <w:tcPr>
            <w:tcW w:w="6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560" w:type="dxa"/>
            <w:vAlign w:val="bottom"/>
            <w:tcBorders>
              <w:bottom w:val="single" w:sz="8" w:color="D7282F"/>
            </w:tcBorders>
          </w:tcPr>
          <w:p>
            <w:pPr>
              <w:jc w:val="right"/>
              <w:ind w:right="65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74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8"/>
                <w:szCs w:val="18"/>
                <w:b w:val="1"/>
                <w:bCs w:val="1"/>
                <w:color w:val="131E29"/>
              </w:rPr>
              <w:t>$</w:t>
            </w:r>
          </w:p>
        </w:tc>
        <w:tc>
          <w:tcPr>
            <w:tcW w:w="740" w:type="dxa"/>
            <w:vAlign w:val="bottom"/>
            <w:tcBorders>
              <w:bottom w:val="single" w:sz="8" w:color="D7282F"/>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72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r>
      <w:tr>
        <w:trPr>
          <w:trHeight w:val="250"/>
        </w:trPr>
        <w:tc>
          <w:tcPr>
            <w:tcW w:w="63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shops revenues</w:t>
            </w: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326,421</w:t>
            </w:r>
          </w:p>
        </w:tc>
        <w:tc>
          <w:tcPr>
            <w:tcW w:w="80" w:type="dxa"/>
            <w:vAlign w:val="bottom"/>
            <w:tcBorders>
              <w:bottom w:val="single" w:sz="8" w:color="D2DCE5"/>
            </w:tcBorders>
            <w:shd w:val="clear" w:color="auto" w:fill="D2DCE5"/>
          </w:tcPr>
          <w:p>
            <w:pPr>
              <w:spacing w:after="0"/>
              <w:rPr>
                <w:sz w:val="21"/>
                <w:szCs w:val="21"/>
                <w:color w:val="auto"/>
              </w:rPr>
            </w:pP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100.0</w:t>
            </w:r>
          </w:p>
        </w:tc>
        <w:tc>
          <w:tcPr>
            <w:tcW w:w="100" w:type="dxa"/>
            <w:vAlign w:val="bottom"/>
            <w:tcBorders>
              <w:bottom w:val="single" w:sz="8" w:color="D2DCE5"/>
            </w:tcBorders>
            <w:shd w:val="clear" w:color="auto" w:fill="D2DCE5"/>
          </w:tcPr>
          <w:p>
            <w:pPr>
              <w:spacing w:after="0"/>
              <w:rPr>
                <w:sz w:val="21"/>
                <w:szCs w:val="21"/>
                <w:color w:val="auto"/>
              </w:rPr>
            </w:pPr>
          </w:p>
        </w:tc>
        <w:tc>
          <w:tcPr>
            <w:tcW w:w="820" w:type="dxa"/>
            <w:vAlign w:val="bottom"/>
            <w:tcBorders>
              <w:bottom w:val="single" w:sz="8" w:color="D2DCE5"/>
            </w:tcBorders>
            <w:shd w:val="clear" w:color="auto" w:fill="D2DCE5"/>
          </w:tcPr>
          <w:p>
            <w:pPr>
              <w:spacing w:after="0"/>
              <w:rPr>
                <w:sz w:val="21"/>
                <w:szCs w:val="21"/>
                <w:color w:val="auto"/>
              </w:rPr>
            </w:pP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8"/>
              </w:rPr>
              <w:t>248,085</w:t>
            </w:r>
          </w:p>
        </w:tc>
        <w:tc>
          <w:tcPr>
            <w:tcW w:w="100" w:type="dxa"/>
            <w:vAlign w:val="bottom"/>
            <w:tcBorders>
              <w:bottom w:val="single" w:sz="8" w:color="D2DCE5"/>
            </w:tcBorders>
            <w:shd w:val="clear" w:color="auto" w:fill="D2DCE5"/>
          </w:tcPr>
          <w:p>
            <w:pPr>
              <w:spacing w:after="0"/>
              <w:rPr>
                <w:sz w:val="21"/>
                <w:szCs w:val="21"/>
                <w:color w:val="auto"/>
              </w:rPr>
            </w:pP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100.0</w:t>
            </w:r>
          </w:p>
        </w:tc>
      </w:tr>
      <w:tr>
        <w:trPr>
          <w:trHeight w:val="247"/>
        </w:trPr>
        <w:tc>
          <w:tcPr>
            <w:tcW w:w="6380" w:type="dxa"/>
            <w:vAlign w:val="bottom"/>
            <w:gridSpan w:val="2"/>
          </w:tcPr>
          <w:p>
            <w:pPr>
              <w:ind w:left="20"/>
              <w:spacing w:after="0"/>
              <w:rPr>
                <w:sz w:val="20"/>
                <w:szCs w:val="20"/>
                <w:color w:val="auto"/>
              </w:rPr>
            </w:pPr>
            <w:r>
              <w:rPr>
                <w:rFonts w:ascii="Arial" w:cs="Arial" w:eastAsia="Arial" w:hAnsi="Arial"/>
                <w:sz w:val="18"/>
                <w:szCs w:val="18"/>
                <w:color w:val="131E29"/>
              </w:rPr>
              <w:t>Company-operated shops gross profit</w:t>
            </w:r>
          </w:p>
        </w:tc>
        <w:tc>
          <w:tcPr>
            <w:tcW w:w="1560" w:type="dxa"/>
            <w:vAlign w:val="bottom"/>
          </w:tcPr>
          <w:p>
            <w:pPr>
              <w:jc w:val="right"/>
              <w:spacing w:after="0"/>
              <w:rPr>
                <w:sz w:val="20"/>
                <w:szCs w:val="20"/>
                <w:color w:val="auto"/>
              </w:rPr>
            </w:pPr>
            <w:r>
              <w:rPr>
                <w:rFonts w:ascii="Arial" w:cs="Arial" w:eastAsia="Arial" w:hAnsi="Arial"/>
                <w:sz w:val="18"/>
                <w:szCs w:val="18"/>
                <w:color w:val="006098"/>
              </w:rPr>
              <w:t>71,498</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006098"/>
              </w:rPr>
              <w:t>21.9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131E29"/>
              </w:rPr>
              <w:t>54,305</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21.9</w:t>
            </w:r>
          </w:p>
        </w:tc>
      </w:tr>
      <w:tr>
        <w:trPr>
          <w:trHeight w:val="2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3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Company-operated shops contribution </w:t>
            </w:r>
            <w:r>
              <w:rPr>
                <w:rFonts w:ascii="Arial" w:cs="Arial" w:eastAsia="Arial" w:hAnsi="Arial"/>
                <w:sz w:val="23"/>
                <w:szCs w:val="23"/>
                <w:color w:val="131E29"/>
                <w:vertAlign w:val="superscript"/>
              </w:rPr>
              <w:t>6</w:t>
            </w:r>
          </w:p>
        </w:tc>
        <w:tc>
          <w:tcPr>
            <w:tcW w:w="15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96,065</w:t>
            </w:r>
          </w:p>
        </w:tc>
        <w:tc>
          <w:tcPr>
            <w:tcW w:w="80" w:type="dxa"/>
            <w:vAlign w:val="bottom"/>
            <w:shd w:val="clear" w:color="auto" w:fill="D2DCE5"/>
          </w:tcPr>
          <w:p>
            <w:pPr>
              <w:spacing w:after="0"/>
              <w:rPr>
                <w:sz w:val="23"/>
                <w:szCs w:val="23"/>
                <w:color w:val="auto"/>
              </w:rPr>
            </w:pPr>
          </w:p>
        </w:tc>
        <w:tc>
          <w:tcPr>
            <w:tcW w:w="7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29.4</w:t>
            </w:r>
          </w:p>
        </w:tc>
        <w:tc>
          <w:tcPr>
            <w:tcW w:w="100" w:type="dxa"/>
            <w:vAlign w:val="bottom"/>
            <w:shd w:val="clear" w:color="auto" w:fill="D2DCE5"/>
          </w:tcPr>
          <w:p>
            <w:pPr>
              <w:spacing w:after="0"/>
              <w:rPr>
                <w:sz w:val="23"/>
                <w:szCs w:val="23"/>
                <w:color w:val="auto"/>
              </w:rPr>
            </w:pPr>
          </w:p>
        </w:tc>
        <w:tc>
          <w:tcPr>
            <w:tcW w:w="820" w:type="dxa"/>
            <w:vAlign w:val="bottom"/>
            <w:shd w:val="clear" w:color="auto" w:fill="D2DCE5"/>
          </w:tcPr>
          <w:p>
            <w:pPr>
              <w:spacing w:after="0"/>
              <w:rPr>
                <w:sz w:val="23"/>
                <w:szCs w:val="23"/>
                <w:color w:val="auto"/>
              </w:rPr>
            </w:pPr>
          </w:p>
        </w:tc>
        <w:tc>
          <w:tcPr>
            <w:tcW w:w="7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73,999</w:t>
            </w:r>
          </w:p>
        </w:tc>
        <w:tc>
          <w:tcPr>
            <w:tcW w:w="100" w:type="dxa"/>
            <w:vAlign w:val="bottom"/>
            <w:shd w:val="clear" w:color="auto" w:fill="D2DCE5"/>
          </w:tcPr>
          <w:p>
            <w:pPr>
              <w:spacing w:after="0"/>
              <w:rPr>
                <w:sz w:val="23"/>
                <w:szCs w:val="23"/>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29.8</w:t>
            </w:r>
          </w:p>
        </w:tc>
      </w:tr>
      <w:tr>
        <w:trPr>
          <w:trHeight w:val="247"/>
        </w:trPr>
        <w:tc>
          <w:tcPr>
            <w:tcW w:w="6380" w:type="dxa"/>
            <w:vAlign w:val="bottom"/>
            <w:gridSpan w:val="2"/>
          </w:tcPr>
          <w:p>
            <w:pPr>
              <w:ind w:left="20"/>
              <w:spacing w:after="0"/>
              <w:rPr>
                <w:sz w:val="20"/>
                <w:szCs w:val="20"/>
                <w:color w:val="auto"/>
              </w:rPr>
            </w:pPr>
            <w:r>
              <w:rPr>
                <w:rFonts w:ascii="Arial" w:cs="Arial" w:eastAsia="Arial" w:hAnsi="Arial"/>
                <w:sz w:val="18"/>
                <w:szCs w:val="18"/>
                <w:color w:val="131E29"/>
              </w:rPr>
              <w:t>Selling, general, and administrative expenses</w:t>
            </w:r>
          </w:p>
        </w:tc>
        <w:tc>
          <w:tcPr>
            <w:tcW w:w="1560" w:type="dxa"/>
            <w:vAlign w:val="bottom"/>
          </w:tcPr>
          <w:p>
            <w:pPr>
              <w:jc w:val="right"/>
              <w:spacing w:after="0"/>
              <w:rPr>
                <w:sz w:val="20"/>
                <w:szCs w:val="20"/>
                <w:color w:val="auto"/>
              </w:rPr>
            </w:pPr>
            <w:r>
              <w:rPr>
                <w:rFonts w:ascii="Arial" w:cs="Arial" w:eastAsia="Arial" w:hAnsi="Arial"/>
                <w:sz w:val="18"/>
                <w:szCs w:val="18"/>
                <w:color w:val="006098"/>
              </w:rPr>
              <w:t>58,921</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006098"/>
              </w:rPr>
              <w:t>16.6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131E29"/>
              </w:rPr>
              <w:t>46,194</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16.8</w:t>
            </w:r>
          </w:p>
        </w:tc>
      </w:tr>
      <w:tr>
        <w:trPr>
          <w:trHeight w:val="2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3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Adjusted selling, general, and administrative expenses </w:t>
            </w:r>
            <w:r>
              <w:rPr>
                <w:rFonts w:ascii="Arial" w:cs="Arial" w:eastAsia="Arial" w:hAnsi="Arial"/>
                <w:sz w:val="23"/>
                <w:szCs w:val="23"/>
                <w:color w:val="131E29"/>
                <w:vertAlign w:val="superscript"/>
              </w:rPr>
              <w:t>6</w:t>
            </w:r>
          </w:p>
        </w:tc>
        <w:tc>
          <w:tcPr>
            <w:tcW w:w="15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53,497</w:t>
            </w:r>
          </w:p>
        </w:tc>
        <w:tc>
          <w:tcPr>
            <w:tcW w:w="80" w:type="dxa"/>
            <w:vAlign w:val="bottom"/>
            <w:shd w:val="clear" w:color="auto" w:fill="D2DCE5"/>
          </w:tcPr>
          <w:p>
            <w:pPr>
              <w:spacing w:after="0"/>
              <w:rPr>
                <w:sz w:val="23"/>
                <w:szCs w:val="23"/>
                <w:color w:val="auto"/>
              </w:rPr>
            </w:pPr>
          </w:p>
        </w:tc>
        <w:tc>
          <w:tcPr>
            <w:tcW w:w="7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15.1</w:t>
            </w:r>
          </w:p>
        </w:tc>
        <w:tc>
          <w:tcPr>
            <w:tcW w:w="100" w:type="dxa"/>
            <w:vAlign w:val="bottom"/>
            <w:shd w:val="clear" w:color="auto" w:fill="D2DCE5"/>
          </w:tcPr>
          <w:p>
            <w:pPr>
              <w:spacing w:after="0"/>
              <w:rPr>
                <w:sz w:val="23"/>
                <w:szCs w:val="23"/>
                <w:color w:val="auto"/>
              </w:rPr>
            </w:pPr>
          </w:p>
        </w:tc>
        <w:tc>
          <w:tcPr>
            <w:tcW w:w="820" w:type="dxa"/>
            <w:vAlign w:val="bottom"/>
            <w:shd w:val="clear" w:color="auto" w:fill="D2DCE5"/>
          </w:tcPr>
          <w:p>
            <w:pPr>
              <w:spacing w:after="0"/>
              <w:rPr>
                <w:sz w:val="23"/>
                <w:szCs w:val="23"/>
                <w:color w:val="auto"/>
              </w:rPr>
            </w:pPr>
          </w:p>
        </w:tc>
        <w:tc>
          <w:tcPr>
            <w:tcW w:w="7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40,430</w:t>
            </w:r>
          </w:p>
        </w:tc>
        <w:tc>
          <w:tcPr>
            <w:tcW w:w="100" w:type="dxa"/>
            <w:vAlign w:val="bottom"/>
            <w:shd w:val="clear" w:color="auto" w:fill="D2DCE5"/>
          </w:tcPr>
          <w:p>
            <w:pPr>
              <w:spacing w:after="0"/>
              <w:rPr>
                <w:sz w:val="23"/>
                <w:szCs w:val="23"/>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14.7</w:t>
            </w:r>
          </w:p>
        </w:tc>
      </w:tr>
      <w:tr>
        <w:trPr>
          <w:trHeight w:val="247"/>
        </w:trPr>
        <w:tc>
          <w:tcPr>
            <w:tcW w:w="6380" w:type="dxa"/>
            <w:vAlign w:val="bottom"/>
            <w:gridSpan w:val="2"/>
          </w:tcPr>
          <w:p>
            <w:pPr>
              <w:ind w:left="20"/>
              <w:spacing w:after="0"/>
              <w:rPr>
                <w:sz w:val="20"/>
                <w:szCs w:val="20"/>
                <w:color w:val="auto"/>
              </w:rPr>
            </w:pPr>
            <w:r>
              <w:rPr>
                <w:rFonts w:ascii="Arial" w:cs="Arial" w:eastAsia="Arial" w:hAnsi="Arial"/>
                <w:sz w:val="18"/>
                <w:szCs w:val="18"/>
                <w:color w:val="131E29"/>
              </w:rPr>
              <w:t>Net income</w:t>
            </w:r>
          </w:p>
        </w:tc>
        <w:tc>
          <w:tcPr>
            <w:tcW w:w="1560" w:type="dxa"/>
            <w:vAlign w:val="bottom"/>
          </w:tcPr>
          <w:p>
            <w:pPr>
              <w:jc w:val="right"/>
              <w:spacing w:after="0"/>
              <w:rPr>
                <w:sz w:val="20"/>
                <w:szCs w:val="20"/>
                <w:color w:val="auto"/>
              </w:rPr>
            </w:pPr>
            <w:r>
              <w:rPr>
                <w:rFonts w:ascii="Arial" w:cs="Arial" w:eastAsia="Arial" w:hAnsi="Arial"/>
                <w:sz w:val="18"/>
                <w:szCs w:val="18"/>
                <w:color w:val="006098"/>
              </w:rPr>
              <w:t>22,480</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006098"/>
              </w:rPr>
              <w:t>6.3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131E29"/>
              </w:rPr>
              <w:t>16,215</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5.9</w:t>
            </w:r>
          </w:p>
        </w:tc>
      </w:tr>
      <w:tr>
        <w:trPr>
          <w:trHeight w:val="2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3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Adjusted EBITDA </w:t>
            </w:r>
            <w:r>
              <w:rPr>
                <w:rFonts w:ascii="Arial" w:cs="Arial" w:eastAsia="Arial" w:hAnsi="Arial"/>
                <w:sz w:val="23"/>
                <w:szCs w:val="23"/>
                <w:color w:val="131E29"/>
                <w:vertAlign w:val="superscript"/>
              </w:rPr>
              <w:t>6</w:t>
            </w:r>
          </w:p>
        </w:tc>
        <w:tc>
          <w:tcPr>
            <w:tcW w:w="15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62,906</w:t>
            </w:r>
          </w:p>
        </w:tc>
        <w:tc>
          <w:tcPr>
            <w:tcW w:w="80" w:type="dxa"/>
            <w:vAlign w:val="bottom"/>
            <w:shd w:val="clear" w:color="auto" w:fill="D2DCE5"/>
          </w:tcPr>
          <w:p>
            <w:pPr>
              <w:spacing w:after="0"/>
              <w:rPr>
                <w:sz w:val="23"/>
                <w:szCs w:val="23"/>
                <w:color w:val="auto"/>
              </w:rPr>
            </w:pPr>
          </w:p>
        </w:tc>
        <w:tc>
          <w:tcPr>
            <w:tcW w:w="7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17.7</w:t>
            </w:r>
          </w:p>
        </w:tc>
        <w:tc>
          <w:tcPr>
            <w:tcW w:w="100" w:type="dxa"/>
            <w:vAlign w:val="bottom"/>
            <w:shd w:val="clear" w:color="auto" w:fill="D2DCE5"/>
          </w:tcPr>
          <w:p>
            <w:pPr>
              <w:spacing w:after="0"/>
              <w:rPr>
                <w:sz w:val="23"/>
                <w:szCs w:val="23"/>
                <w:color w:val="auto"/>
              </w:rPr>
            </w:pPr>
          </w:p>
        </w:tc>
        <w:tc>
          <w:tcPr>
            <w:tcW w:w="820" w:type="dxa"/>
            <w:vAlign w:val="bottom"/>
            <w:shd w:val="clear" w:color="auto" w:fill="D2DCE5"/>
          </w:tcPr>
          <w:p>
            <w:pPr>
              <w:spacing w:after="0"/>
              <w:rPr>
                <w:sz w:val="23"/>
                <w:szCs w:val="23"/>
                <w:color w:val="auto"/>
              </w:rPr>
            </w:pPr>
          </w:p>
        </w:tc>
        <w:tc>
          <w:tcPr>
            <w:tcW w:w="7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52,540</w:t>
            </w:r>
          </w:p>
        </w:tc>
        <w:tc>
          <w:tcPr>
            <w:tcW w:w="100" w:type="dxa"/>
            <w:vAlign w:val="bottom"/>
            <w:shd w:val="clear" w:color="auto" w:fill="D2DCE5"/>
          </w:tcPr>
          <w:p>
            <w:pPr>
              <w:spacing w:after="0"/>
              <w:rPr>
                <w:sz w:val="23"/>
                <w:szCs w:val="23"/>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19.1</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73" w:lineRule="exact"/>
        <w:rPr>
          <w:sz w:val="20"/>
          <w:szCs w:val="20"/>
          <w:color w:val="auto"/>
        </w:rPr>
      </w:pPr>
    </w:p>
    <w:p>
      <w:pPr>
        <w:jc w:val="both"/>
        <w:ind w:left="180" w:hanging="172"/>
        <w:spacing w:after="0" w:line="234" w:lineRule="auto"/>
        <w:tabs>
          <w:tab w:leader="none" w:pos="241" w:val="left"/>
        </w:tabs>
        <w:numPr>
          <w:ilvl w:val="0"/>
          <w:numId w:val="14"/>
        </w:numPr>
        <w:rPr>
          <w:rFonts w:ascii="Arial" w:cs="Arial" w:eastAsia="Arial" w:hAnsi="Arial"/>
          <w:sz w:val="19"/>
          <w:szCs w:val="19"/>
          <w:color w:val="131E29"/>
          <w:vertAlign w:val="superscript"/>
        </w:rPr>
      </w:pPr>
      <w:r>
        <w:rPr>
          <w:rFonts w:ascii="Arial" w:cs="Arial" w:eastAsia="Arial" w:hAnsi="Arial"/>
          <w:sz w:val="14"/>
          <w:szCs w:val="14"/>
          <w:color w:val="131E29"/>
        </w:rPr>
        <w:t>AUVs are determined based on the net sales for any trailing twelve-month period for systemwide and company-operated shops that have been open a minimum of 15 months. AUVs are calculated by dividing the systemwide and company-operated shops net sales by the total number of systemwide and company-operated shops, respectively. Management uses these metrics as an indicator of shop growth and future expectations of mature locations.</w:t>
      </w:r>
    </w:p>
    <w:p>
      <w:pPr>
        <w:spacing w:after="0" w:line="40" w:lineRule="exact"/>
        <w:rPr>
          <w:sz w:val="20"/>
          <w:szCs w:val="20"/>
          <w:color w:val="auto"/>
        </w:rPr>
      </w:pPr>
    </w:p>
    <w:p>
      <w:pPr>
        <w:jc w:val="both"/>
        <w:ind w:left="180" w:hanging="172"/>
        <w:spacing w:after="0"/>
        <w:tabs>
          <w:tab w:leader="none" w:pos="241" w:val="left"/>
        </w:tabs>
        <w:numPr>
          <w:ilvl w:val="0"/>
          <w:numId w:val="15"/>
        </w:numPr>
        <w:rPr>
          <w:rFonts w:ascii="Arial" w:cs="Arial" w:eastAsia="Arial" w:hAnsi="Arial"/>
          <w:sz w:val="19"/>
          <w:szCs w:val="19"/>
          <w:color w:val="131E29"/>
          <w:vertAlign w:val="superscript"/>
        </w:rPr>
      </w:pPr>
      <w:r>
        <w:rPr>
          <w:rFonts w:ascii="Arial" w:cs="Arial" w:eastAsia="Arial" w:hAnsi="Arial"/>
          <w:sz w:val="14"/>
          <w:szCs w:val="14"/>
          <w:color w:val="131E29"/>
        </w:rPr>
        <w:t>Same shop sales represents the estimated percentage change in year-over-year sales, for the comparable shop base, which we define as shops open for 15 complete months or longer as of the first day of the reporting period. Same shop sales can be impacted by changes in customer transaction counts and by changes in the per-ticket amounts. Management uses these metrics as an indicator of shop growth and future expansion strategy. The number of shops included in the systemwide and company-operated comparable bases for the respective periods are presented in the following table.</w:t>
      </w:r>
    </w:p>
    <w:p>
      <w:pPr>
        <w:spacing w:after="0" w:line="41"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131E29"/>
              </w:rPr>
              <w:t>Three Months Ended March 31,</w:t>
            </w:r>
          </w:p>
        </w:tc>
      </w:tr>
      <w:tr>
        <w:trPr>
          <w:trHeight w:val="223"/>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(unaudited)</w:t>
            </w:r>
          </w:p>
        </w:tc>
        <w:tc>
          <w:tcPr>
            <w:tcW w:w="100" w:type="dxa"/>
            <w:vAlign w:val="bottom"/>
            <w:tcBorders>
              <w:bottom w:val="single" w:sz="8" w:color="D2DCE5"/>
            </w:tcBorders>
          </w:tcPr>
          <w:p>
            <w:pPr>
              <w:spacing w:after="0"/>
              <w:rPr>
                <w:sz w:val="19"/>
                <w:szCs w:val="19"/>
                <w:color w:val="auto"/>
              </w:rPr>
            </w:pPr>
          </w:p>
        </w:tc>
        <w:tc>
          <w:tcPr>
            <w:tcW w:w="106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131E29"/>
              </w:rPr>
              <w:t>2025</w:t>
            </w:r>
          </w:p>
        </w:tc>
        <w:tc>
          <w:tcPr>
            <w:tcW w:w="80" w:type="dxa"/>
            <w:vAlign w:val="bottom"/>
            <w:tcBorders>
              <w:bottom w:val="single" w:sz="8" w:color="D2DCE5"/>
            </w:tcBorders>
          </w:tcPr>
          <w:p>
            <w:pPr>
              <w:spacing w:after="0"/>
              <w:rPr>
                <w:sz w:val="19"/>
                <w:szCs w:val="19"/>
                <w:color w:val="auto"/>
              </w:rPr>
            </w:pPr>
          </w:p>
        </w:tc>
        <w:tc>
          <w:tcPr>
            <w:tcW w:w="106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131E29"/>
              </w:rPr>
              <w:t>2024</w:t>
            </w:r>
          </w:p>
        </w:tc>
      </w:tr>
      <w:tr>
        <w:trPr>
          <w:trHeight w:val="229"/>
        </w:trPr>
        <w:tc>
          <w:tcPr>
            <w:tcW w:w="8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Systemwide shop base</w:t>
            </w:r>
          </w:p>
        </w:tc>
        <w:tc>
          <w:tcPr>
            <w:tcW w:w="106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794</w:t>
            </w:r>
          </w:p>
        </w:tc>
        <w:tc>
          <w:tcPr>
            <w:tcW w:w="80" w:type="dxa"/>
            <w:vAlign w:val="bottom"/>
            <w:shd w:val="clear" w:color="auto" w:fill="D2DCE5"/>
          </w:tcPr>
          <w:p>
            <w:pPr>
              <w:spacing w:after="0"/>
              <w:rPr>
                <w:sz w:val="19"/>
                <w:szCs w:val="19"/>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641</w:t>
            </w:r>
          </w:p>
        </w:tc>
      </w:tr>
      <w:tr>
        <w:trPr>
          <w:trHeight w:val="222"/>
        </w:trPr>
        <w:tc>
          <w:tcPr>
            <w:tcW w:w="8580" w:type="dxa"/>
            <w:vAlign w:val="bottom"/>
            <w:gridSpan w:val="2"/>
          </w:tcPr>
          <w:p>
            <w:pPr>
              <w:ind w:left="20"/>
              <w:spacing w:after="0"/>
              <w:rPr>
                <w:sz w:val="20"/>
                <w:szCs w:val="20"/>
                <w:color w:val="auto"/>
              </w:rPr>
            </w:pPr>
            <w:r>
              <w:rPr>
                <w:rFonts w:ascii="Arial" w:cs="Arial" w:eastAsia="Arial" w:hAnsi="Arial"/>
                <w:sz w:val="14"/>
                <w:szCs w:val="14"/>
                <w:color w:val="131E29"/>
              </w:rPr>
              <w:t>Company-operated shops base</w:t>
            </w:r>
          </w:p>
        </w:tc>
        <w:tc>
          <w:tcPr>
            <w:tcW w:w="1060" w:type="dxa"/>
            <w:vAlign w:val="bottom"/>
          </w:tcPr>
          <w:p>
            <w:pPr>
              <w:jc w:val="right"/>
              <w:spacing w:after="0"/>
              <w:rPr>
                <w:sz w:val="20"/>
                <w:szCs w:val="20"/>
                <w:color w:val="auto"/>
              </w:rPr>
            </w:pPr>
            <w:r>
              <w:rPr>
                <w:rFonts w:ascii="Arial" w:cs="Arial" w:eastAsia="Arial" w:hAnsi="Arial"/>
                <w:sz w:val="14"/>
                <w:szCs w:val="14"/>
                <w:color w:val="006098"/>
              </w:rPr>
              <w:t>510</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131E29"/>
              </w:rPr>
              <w:t>370</w:t>
            </w:r>
          </w:p>
        </w:tc>
      </w:tr>
    </w:tbl>
    <w:p>
      <w:pPr>
        <w:spacing w:after="0" w:line="147" w:lineRule="exact"/>
        <w:rPr>
          <w:sz w:val="20"/>
          <w:szCs w:val="20"/>
          <w:color w:val="auto"/>
        </w:rPr>
      </w:pPr>
    </w:p>
    <w:p>
      <w:pPr>
        <w:jc w:val="both"/>
        <w:ind w:left="180" w:right="80" w:hanging="172"/>
        <w:spacing w:after="0" w:line="245" w:lineRule="auto"/>
        <w:tabs>
          <w:tab w:leader="none" w:pos="241" w:val="left"/>
        </w:tabs>
        <w:numPr>
          <w:ilvl w:val="0"/>
          <w:numId w:val="16"/>
        </w:numPr>
        <w:rPr>
          <w:rFonts w:ascii="Arial" w:cs="Arial" w:eastAsia="Arial" w:hAnsi="Arial"/>
          <w:sz w:val="19"/>
          <w:szCs w:val="19"/>
          <w:color w:val="131E29"/>
          <w:vertAlign w:val="superscript"/>
        </w:rPr>
      </w:pPr>
      <w:r>
        <w:rPr>
          <w:rFonts w:ascii="Arial" w:cs="Arial" w:eastAsia="Arial" w:hAnsi="Arial"/>
          <w:sz w:val="14"/>
          <w:szCs w:val="14"/>
          <w:color w:val="131E29"/>
        </w:rPr>
        <w:t>Systemwide sales and systemwide same shop sales are operating measures that include sales at company-operated shops and sales at franchised shops during the comparable periods presented. Franchise sales represent sales at all franchise shops and are revenues to our franchise partners.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our system’s overall financial health, growth and future expansion prospects.</w:t>
      </w:r>
    </w:p>
    <w:p>
      <w:pPr>
        <w:spacing w:after="0" w:line="38" w:lineRule="exact"/>
        <w:rPr>
          <w:sz w:val="20"/>
          <w:szCs w:val="20"/>
          <w:color w:val="auto"/>
        </w:rPr>
      </w:pPr>
    </w:p>
    <w:p>
      <w:pPr>
        <w:jc w:val="both"/>
        <w:ind w:left="180" w:hanging="172"/>
        <w:spacing w:after="0" w:line="234" w:lineRule="auto"/>
        <w:tabs>
          <w:tab w:leader="none" w:pos="289" w:val="left"/>
        </w:tabs>
        <w:numPr>
          <w:ilvl w:val="0"/>
          <w:numId w:val="17"/>
        </w:numPr>
        <w:rPr>
          <w:rFonts w:ascii="Arial" w:cs="Arial" w:eastAsia="Arial" w:hAnsi="Arial"/>
          <w:sz w:val="19"/>
          <w:szCs w:val="19"/>
          <w:color w:val="131E29"/>
          <w:vertAlign w:val="superscript"/>
        </w:rPr>
      </w:pPr>
      <w:r>
        <w:rPr>
          <w:rFonts w:ascii="Arial" w:cs="Arial" w:eastAsia="Arial" w:hAnsi="Arial"/>
          <w:sz w:val="14"/>
          <w:szCs w:val="14"/>
          <w:color w:val="131E29"/>
        </w:rPr>
        <w:t>Company-operated and franchise shops operating weeks are calculated based on the number of operating days for the shop base and dividing by 7. Our shop base is defined as shops opened as of the period end date. The operating weeks calculations reflect re-acquired franchises through 2022. Management uses these metrics as indicators of our system’s overall financial health, growth and future expansion prospects.</w:t>
      </w:r>
    </w:p>
    <w:p>
      <w:pPr>
        <w:spacing w:after="0" w:line="67" w:lineRule="exact"/>
        <w:rPr>
          <w:sz w:val="20"/>
          <w:szCs w:val="20"/>
          <w:color w:val="auto"/>
        </w:rPr>
      </w:pPr>
    </w:p>
    <w:p>
      <w:pPr>
        <w:ind w:left="180" w:right="20" w:hanging="172"/>
        <w:spacing w:after="0" w:line="310" w:lineRule="auto"/>
        <w:tabs>
          <w:tab w:leader="none" w:pos="174" w:val="left"/>
        </w:tabs>
        <w:numPr>
          <w:ilvl w:val="0"/>
          <w:numId w:val="18"/>
        </w:numPr>
        <w:rPr>
          <w:rFonts w:ascii="Arial" w:cs="Arial" w:eastAsia="Arial" w:hAnsi="Arial"/>
          <w:sz w:val="9"/>
          <w:szCs w:val="9"/>
          <w:color w:val="131E29"/>
        </w:rPr>
      </w:pPr>
      <w:r>
        <w:rPr>
          <w:rFonts w:ascii="Arial" w:cs="Arial" w:eastAsia="Arial" w:hAnsi="Arial"/>
          <w:sz w:val="14"/>
          <w:szCs w:val="14"/>
          <w:color w:val="131E29"/>
        </w:rPr>
        <w:t>Dutch Rewards is our digitally based rewards program available exclusively through the Dutch Rewards app. Management uses this metric as an indicator of customer loyalty adoption of our Dutch Rewards app and future promotional plans.</w:t>
      </w:r>
    </w:p>
    <w:p>
      <w:pPr>
        <w:spacing w:after="0" w:line="3" w:lineRule="exact"/>
        <w:rPr>
          <w:sz w:val="20"/>
          <w:szCs w:val="20"/>
          <w:color w:val="auto"/>
        </w:rPr>
      </w:pPr>
    </w:p>
    <w:p>
      <w:pPr>
        <w:ind w:left="180" w:hanging="172"/>
        <w:spacing w:after="0" w:line="231" w:lineRule="auto"/>
        <w:tabs>
          <w:tab w:leader="none" w:pos="174" w:val="left"/>
        </w:tabs>
        <w:numPr>
          <w:ilvl w:val="0"/>
          <w:numId w:val="19"/>
        </w:numPr>
        <w:rPr>
          <w:rFonts w:ascii="Arial" w:cs="Arial" w:eastAsia="Arial" w:hAnsi="Arial"/>
          <w:sz w:val="19"/>
          <w:szCs w:val="19"/>
          <w:color w:val="131E29"/>
          <w:vertAlign w:val="superscript"/>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Company-operated Sho</w:t>
      </w:r>
      <w:r>
        <w:rPr>
          <w:rFonts w:ascii="Arial" w:cs="Arial" w:eastAsia="Arial" w:hAnsi="Arial"/>
          <w:sz w:val="22"/>
          <w:szCs w:val="22"/>
          <w:b w:val="1"/>
          <w:bCs w:val="1"/>
          <w:color w:val="00497F"/>
        </w:rPr>
        <w:t>ps</w:t>
      </w:r>
      <w:r>
        <w:rPr>
          <w:rFonts w:ascii="Arial" w:cs="Arial" w:eastAsia="Arial" w:hAnsi="Arial"/>
          <w:sz w:val="22"/>
          <w:szCs w:val="22"/>
          <w:b w:val="1"/>
          <w:bCs w:val="1"/>
          <w:color w:val="00416B"/>
        </w:rPr>
        <w:t xml:space="preserve">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Results for our company-operated shops segment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140" w:type="dxa"/>
            <w:vAlign w:val="bottom"/>
            <w:tcBorders>
              <w:bottom w:val="single" w:sz="8" w:color="D7282F"/>
            </w:tcBorders>
            <w:gridSpan w:val="6"/>
          </w:tcPr>
          <w:p>
            <w:pPr>
              <w:ind w:left="1100"/>
              <w:spacing w:after="0"/>
              <w:rPr>
                <w:sz w:val="20"/>
                <w:szCs w:val="20"/>
                <w:color w:val="auto"/>
              </w:rPr>
            </w:pPr>
            <w:r>
              <w:rPr>
                <w:rFonts w:ascii="Arial" w:cs="Arial" w:eastAsia="Arial" w:hAnsi="Arial"/>
                <w:sz w:val="18"/>
                <w:szCs w:val="18"/>
                <w:b w:val="1"/>
                <w:bCs w:val="1"/>
                <w:color w:val="131E29"/>
              </w:rPr>
              <w:t>Three Months Ended March 31,</w:t>
            </w:r>
          </w:p>
        </w:tc>
        <w:tc>
          <w:tcPr>
            <w:tcW w:w="720" w:type="dxa"/>
            <w:vAlign w:val="bottom"/>
            <w:tcBorders>
              <w:bottom w:val="single" w:sz="8" w:color="D7282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bottom w:val="single" w:sz="8" w:color="D7282F"/>
            </w:tcBorders>
          </w:tcPr>
          <w:p>
            <w:pPr>
              <w:jc w:val="right"/>
              <w:ind w:right="90"/>
              <w:spacing w:after="0"/>
              <w:rPr>
                <w:sz w:val="20"/>
                <w:szCs w:val="20"/>
                <w:color w:val="auto"/>
              </w:rPr>
            </w:pPr>
            <w:r>
              <w:rPr>
                <w:rFonts w:ascii="Arial" w:cs="Arial" w:eastAsia="Arial" w:hAnsi="Arial"/>
                <w:sz w:val="18"/>
                <w:szCs w:val="18"/>
                <w:b w:val="1"/>
                <w:bCs w:val="1"/>
                <w:color w:val="131E29"/>
              </w:rPr>
              <w:t>2025</w:t>
            </w:r>
          </w:p>
        </w:tc>
        <w:tc>
          <w:tcPr>
            <w:tcW w:w="80" w:type="dxa"/>
            <w:vAlign w:val="bottom"/>
            <w:tcBorders>
              <w:bottom w:val="single" w:sz="8" w:color="D7282F"/>
            </w:tcBorders>
          </w:tcPr>
          <w:p>
            <w:pPr>
              <w:spacing w:after="0"/>
              <w:rPr>
                <w:sz w:val="22"/>
                <w:szCs w:val="22"/>
                <w:color w:val="auto"/>
              </w:rPr>
            </w:pPr>
          </w:p>
        </w:tc>
        <w:tc>
          <w:tcPr>
            <w:tcW w:w="740" w:type="dxa"/>
            <w:vAlign w:val="bottom"/>
            <w:tcBorders>
              <w:bottom w:val="single" w:sz="8" w:color="D7282F"/>
            </w:tcBorders>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bottom w:val="single" w:sz="8" w:color="D7282F"/>
            </w:tcBorders>
          </w:tcPr>
          <w:p>
            <w:pPr>
              <w:jc w:val="right"/>
              <w:ind w:right="9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7282F"/>
            </w:tcBorders>
          </w:tcPr>
          <w:p>
            <w:pPr>
              <w:spacing w:after="0"/>
              <w:rPr>
                <w:sz w:val="22"/>
                <w:szCs w:val="22"/>
                <w:color w:val="auto"/>
              </w:rPr>
            </w:pPr>
          </w:p>
        </w:tc>
        <w:tc>
          <w:tcPr>
            <w:tcW w:w="720" w:type="dxa"/>
            <w:vAlign w:val="bottom"/>
            <w:tcBorders>
              <w:bottom w:val="single" w:sz="8" w:color="D7282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560" w:type="dxa"/>
            <w:vAlign w:val="bottom"/>
            <w:tcBorders>
              <w:bottom w:val="single" w:sz="8" w:color="D7282F"/>
            </w:tcBorders>
          </w:tcPr>
          <w:p>
            <w:pPr>
              <w:jc w:val="right"/>
              <w:ind w:right="65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74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560" w:type="dxa"/>
            <w:vAlign w:val="bottom"/>
            <w:tcBorders>
              <w:bottom w:val="single" w:sz="8" w:color="D7282F"/>
            </w:tcBorders>
          </w:tcPr>
          <w:p>
            <w:pPr>
              <w:jc w:val="right"/>
              <w:ind w:right="65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72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0" w:type="dxa"/>
            <w:vAlign w:val="bottom"/>
          </w:tcPr>
          <w:p>
            <w:pPr>
              <w:spacing w:after="0"/>
              <w:rPr>
                <w:sz w:val="1"/>
                <w:szCs w:val="1"/>
                <w:color w:val="auto"/>
              </w:rPr>
            </w:pPr>
          </w:p>
        </w:tc>
      </w:tr>
      <w:tr>
        <w:trPr>
          <w:trHeight w:val="270"/>
        </w:trPr>
        <w:tc>
          <w:tcPr>
            <w:tcW w:w="63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Company-operated shops revenues</w:t>
            </w:r>
          </w:p>
        </w:tc>
        <w:tc>
          <w:tcPr>
            <w:tcW w:w="15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326,421</w:t>
            </w:r>
          </w:p>
        </w:tc>
        <w:tc>
          <w:tcPr>
            <w:tcW w:w="80" w:type="dxa"/>
            <w:vAlign w:val="bottom"/>
            <w:shd w:val="clear" w:color="auto" w:fill="D2DCE5"/>
          </w:tcPr>
          <w:p>
            <w:pPr>
              <w:spacing w:after="0"/>
              <w:rPr>
                <w:sz w:val="23"/>
                <w:szCs w:val="23"/>
                <w:color w:val="auto"/>
              </w:rPr>
            </w:pPr>
          </w:p>
        </w:tc>
        <w:tc>
          <w:tcPr>
            <w:tcW w:w="7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100.0</w:t>
            </w:r>
          </w:p>
        </w:tc>
        <w:tc>
          <w:tcPr>
            <w:tcW w:w="100" w:type="dxa"/>
            <w:vAlign w:val="bottom"/>
            <w:shd w:val="clear" w:color="auto" w:fill="D2DCE5"/>
          </w:tcPr>
          <w:p>
            <w:pPr>
              <w:spacing w:after="0"/>
              <w:rPr>
                <w:sz w:val="23"/>
                <w:szCs w:val="23"/>
                <w:color w:val="auto"/>
              </w:rPr>
            </w:pPr>
          </w:p>
        </w:tc>
        <w:tc>
          <w:tcPr>
            <w:tcW w:w="15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248,085</w:t>
            </w:r>
          </w:p>
        </w:tc>
        <w:tc>
          <w:tcPr>
            <w:tcW w:w="100" w:type="dxa"/>
            <w:vAlign w:val="bottom"/>
            <w:shd w:val="clear" w:color="auto" w:fill="D2DCE5"/>
          </w:tcPr>
          <w:p>
            <w:pPr>
              <w:spacing w:after="0"/>
              <w:rPr>
                <w:sz w:val="23"/>
                <w:szCs w:val="23"/>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100.0</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Beverage, food, and packaging costs</w:t>
            </w: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81,379</w:t>
            </w:r>
          </w:p>
        </w:tc>
        <w:tc>
          <w:tcPr>
            <w:tcW w:w="80" w:type="dxa"/>
            <w:vAlign w:val="bottom"/>
            <w:tcBorders>
              <w:bottom w:val="single" w:sz="8" w:color="D2DCE5"/>
            </w:tcBorders>
            <w:shd w:val="clear" w:color="auto" w:fill="D2DCE5"/>
          </w:tcPr>
          <w:p>
            <w:pPr>
              <w:spacing w:after="0"/>
              <w:rPr>
                <w:sz w:val="21"/>
                <w:szCs w:val="21"/>
                <w:color w:val="auto"/>
              </w:rPr>
            </w:pP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25.0</w:t>
            </w:r>
          </w:p>
        </w:tc>
        <w:tc>
          <w:tcPr>
            <w:tcW w:w="10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63,716</w:t>
            </w:r>
          </w:p>
        </w:tc>
        <w:tc>
          <w:tcPr>
            <w:tcW w:w="100" w:type="dxa"/>
            <w:vAlign w:val="bottom"/>
            <w:tcBorders>
              <w:bottom w:val="single" w:sz="8" w:color="D2DCE5"/>
            </w:tcBorders>
            <w:shd w:val="clear" w:color="auto" w:fill="D2DCE5"/>
          </w:tcPr>
          <w:p>
            <w:pPr>
              <w:spacing w:after="0"/>
              <w:rPr>
                <w:sz w:val="21"/>
                <w:szCs w:val="21"/>
                <w:color w:val="auto"/>
              </w:rPr>
            </w:pP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25.7</w:t>
            </w:r>
          </w:p>
        </w:tc>
        <w:tc>
          <w:tcPr>
            <w:tcW w:w="0" w:type="dxa"/>
            <w:vAlign w:val="bottom"/>
          </w:tcPr>
          <w:p>
            <w:pPr>
              <w:spacing w:after="0"/>
              <w:rPr>
                <w:sz w:val="1"/>
                <w:szCs w:val="1"/>
                <w:color w:val="auto"/>
              </w:rPr>
            </w:pPr>
          </w:p>
        </w:tc>
      </w:tr>
      <w:tr>
        <w:trPr>
          <w:trHeight w:val="247"/>
        </w:trPr>
        <w:tc>
          <w:tcPr>
            <w:tcW w:w="6380" w:type="dxa"/>
            <w:vAlign w:val="bottom"/>
            <w:gridSpan w:val="2"/>
          </w:tcPr>
          <w:p>
            <w:pPr>
              <w:ind w:left="20"/>
              <w:spacing w:after="0"/>
              <w:rPr>
                <w:sz w:val="20"/>
                <w:szCs w:val="20"/>
                <w:color w:val="auto"/>
              </w:rPr>
            </w:pPr>
            <w:r>
              <w:rPr>
                <w:rFonts w:ascii="Arial" w:cs="Arial" w:eastAsia="Arial" w:hAnsi="Arial"/>
                <w:sz w:val="18"/>
                <w:szCs w:val="18"/>
                <w:color w:val="131E29"/>
              </w:rPr>
              <w:t>Labor costs</w:t>
            </w:r>
          </w:p>
        </w:tc>
        <w:tc>
          <w:tcPr>
            <w:tcW w:w="1560" w:type="dxa"/>
            <w:vAlign w:val="bottom"/>
          </w:tcPr>
          <w:p>
            <w:pPr>
              <w:jc w:val="right"/>
              <w:spacing w:after="0"/>
              <w:rPr>
                <w:sz w:val="20"/>
                <w:szCs w:val="20"/>
                <w:color w:val="auto"/>
              </w:rPr>
            </w:pPr>
            <w:r>
              <w:rPr>
                <w:rFonts w:ascii="Arial" w:cs="Arial" w:eastAsia="Arial" w:hAnsi="Arial"/>
                <w:sz w:val="18"/>
                <w:szCs w:val="18"/>
                <w:color w:val="006098"/>
              </w:rPr>
              <w:t>89,439</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006098"/>
              </w:rPr>
              <w:t>27.4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65,427</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26.4</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Occupancy and other costs</w:t>
            </w: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53,927</w:t>
            </w:r>
          </w:p>
        </w:tc>
        <w:tc>
          <w:tcPr>
            <w:tcW w:w="80" w:type="dxa"/>
            <w:vAlign w:val="bottom"/>
            <w:tcBorders>
              <w:bottom w:val="single" w:sz="8" w:color="D2DCE5"/>
            </w:tcBorders>
            <w:shd w:val="clear" w:color="auto" w:fill="D2DCE5"/>
          </w:tcPr>
          <w:p>
            <w:pPr>
              <w:spacing w:after="0"/>
              <w:rPr>
                <w:sz w:val="21"/>
                <w:szCs w:val="21"/>
                <w:color w:val="auto"/>
              </w:rPr>
            </w:pP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16.5</w:t>
            </w:r>
          </w:p>
        </w:tc>
        <w:tc>
          <w:tcPr>
            <w:tcW w:w="10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41,496</w:t>
            </w:r>
          </w:p>
        </w:tc>
        <w:tc>
          <w:tcPr>
            <w:tcW w:w="100" w:type="dxa"/>
            <w:vAlign w:val="bottom"/>
            <w:tcBorders>
              <w:bottom w:val="single" w:sz="8" w:color="D2DCE5"/>
            </w:tcBorders>
            <w:shd w:val="clear" w:color="auto" w:fill="D2DCE5"/>
          </w:tcPr>
          <w:p>
            <w:pPr>
              <w:spacing w:after="0"/>
              <w:rPr>
                <w:sz w:val="21"/>
                <w:szCs w:val="21"/>
                <w:color w:val="auto"/>
              </w:rPr>
            </w:pP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16.7</w:t>
            </w:r>
          </w:p>
        </w:tc>
        <w:tc>
          <w:tcPr>
            <w:tcW w:w="0" w:type="dxa"/>
            <w:vAlign w:val="bottom"/>
          </w:tcPr>
          <w:p>
            <w:pPr>
              <w:spacing w:after="0"/>
              <w:rPr>
                <w:sz w:val="1"/>
                <w:szCs w:val="1"/>
                <w:color w:val="auto"/>
              </w:rPr>
            </w:pPr>
          </w:p>
        </w:tc>
      </w:tr>
      <w:tr>
        <w:trPr>
          <w:trHeight w:val="247"/>
        </w:trPr>
        <w:tc>
          <w:tcPr>
            <w:tcW w:w="6380" w:type="dxa"/>
            <w:vAlign w:val="bottom"/>
            <w:gridSpan w:val="2"/>
          </w:tcPr>
          <w:p>
            <w:pPr>
              <w:ind w:left="20"/>
              <w:spacing w:after="0"/>
              <w:rPr>
                <w:sz w:val="20"/>
                <w:szCs w:val="20"/>
                <w:color w:val="auto"/>
              </w:rPr>
            </w:pPr>
            <w:r>
              <w:rPr>
                <w:rFonts w:ascii="Arial" w:cs="Arial" w:eastAsia="Arial" w:hAnsi="Arial"/>
                <w:sz w:val="18"/>
                <w:szCs w:val="18"/>
                <w:color w:val="131E29"/>
              </w:rPr>
              <w:t>Pre-opening costs</w:t>
            </w:r>
          </w:p>
        </w:tc>
        <w:tc>
          <w:tcPr>
            <w:tcW w:w="1560" w:type="dxa"/>
            <w:vAlign w:val="bottom"/>
          </w:tcPr>
          <w:p>
            <w:pPr>
              <w:jc w:val="right"/>
              <w:spacing w:after="0"/>
              <w:rPr>
                <w:sz w:val="20"/>
                <w:szCs w:val="20"/>
                <w:color w:val="auto"/>
              </w:rPr>
            </w:pPr>
            <w:r>
              <w:rPr>
                <w:rFonts w:ascii="Arial" w:cs="Arial" w:eastAsia="Arial" w:hAnsi="Arial"/>
                <w:sz w:val="18"/>
                <w:szCs w:val="18"/>
                <w:color w:val="006098"/>
              </w:rPr>
              <w:t>5,611</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006098"/>
              </w:rPr>
              <w:t>1.7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3,447</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1.4</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24,567</w:t>
            </w:r>
          </w:p>
        </w:tc>
        <w:tc>
          <w:tcPr>
            <w:tcW w:w="80" w:type="dxa"/>
            <w:vAlign w:val="bottom"/>
            <w:tcBorders>
              <w:bottom w:val="single" w:sz="8" w:color="D2DCE5"/>
            </w:tcBorders>
            <w:shd w:val="clear" w:color="auto" w:fill="D2DCE5"/>
          </w:tcPr>
          <w:p>
            <w:pPr>
              <w:spacing w:after="0"/>
              <w:rPr>
                <w:sz w:val="23"/>
                <w:szCs w:val="23"/>
                <w:color w:val="auto"/>
              </w:rPr>
            </w:pP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7.5</w:t>
            </w:r>
          </w:p>
        </w:tc>
        <w:tc>
          <w:tcPr>
            <w:tcW w:w="100" w:type="dxa"/>
            <w:vAlign w:val="bottom"/>
            <w:tcBorders>
              <w:bottom w:val="single" w:sz="8" w:color="D2DCE5"/>
            </w:tcBorders>
            <w:shd w:val="clear" w:color="auto" w:fill="D2DCE5"/>
          </w:tcPr>
          <w:p>
            <w:pPr>
              <w:spacing w:after="0"/>
              <w:rPr>
                <w:sz w:val="23"/>
                <w:szCs w:val="23"/>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19,694</w:t>
            </w:r>
          </w:p>
        </w:tc>
        <w:tc>
          <w:tcPr>
            <w:tcW w:w="100" w:type="dxa"/>
            <w:vAlign w:val="bottom"/>
            <w:tcBorders>
              <w:bottom w:val="single" w:sz="8" w:color="D2DCE5"/>
            </w:tcBorders>
            <w:shd w:val="clear" w:color="auto" w:fill="D2DCE5"/>
          </w:tcPr>
          <w:p>
            <w:pPr>
              <w:spacing w:after="0"/>
              <w:rPr>
                <w:sz w:val="23"/>
                <w:szCs w:val="23"/>
                <w:color w:val="auto"/>
              </w:rPr>
            </w:pP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7.9</w:t>
            </w:r>
          </w:p>
        </w:tc>
        <w:tc>
          <w:tcPr>
            <w:tcW w:w="0" w:type="dxa"/>
            <w:vAlign w:val="bottom"/>
          </w:tcPr>
          <w:p>
            <w:pPr>
              <w:spacing w:after="0"/>
              <w:rPr>
                <w:sz w:val="1"/>
                <w:szCs w:val="1"/>
                <w:color w:val="auto"/>
              </w:rPr>
            </w:pPr>
          </w:p>
        </w:tc>
      </w:tr>
      <w:tr>
        <w:trPr>
          <w:trHeight w:val="241"/>
        </w:trPr>
        <w:tc>
          <w:tcPr>
            <w:tcW w:w="6380" w:type="dxa"/>
            <w:vAlign w:val="bottom"/>
            <w:gridSpan w:val="2"/>
          </w:tcPr>
          <w:p>
            <w:pPr>
              <w:ind w:left="20"/>
              <w:spacing w:after="0"/>
              <w:rPr>
                <w:sz w:val="20"/>
                <w:szCs w:val="20"/>
                <w:color w:val="auto"/>
              </w:rPr>
            </w:pPr>
            <w:r>
              <w:rPr>
                <w:rFonts w:ascii="Arial" w:cs="Arial" w:eastAsia="Arial" w:hAnsi="Arial"/>
                <w:sz w:val="18"/>
                <w:szCs w:val="18"/>
                <w:color w:val="131E29"/>
              </w:rPr>
              <w:t>Company-operated shops costs and expenses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06098"/>
              </w:rPr>
              <w:t>254,923</w:t>
            </w:r>
          </w:p>
        </w:tc>
        <w:tc>
          <w:tcPr>
            <w:tcW w:w="8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06098"/>
              </w:rPr>
              <w:t>78.1</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193,780</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78.1</w:t>
            </w:r>
          </w:p>
        </w:tc>
        <w:tc>
          <w:tcPr>
            <w:tcW w:w="0" w:type="dxa"/>
            <w:vAlign w:val="bottom"/>
          </w:tcPr>
          <w:p>
            <w:pPr>
              <w:spacing w:after="0"/>
              <w:rPr>
                <w:sz w:val="1"/>
                <w:szCs w:val="1"/>
                <w:color w:val="auto"/>
              </w:rPr>
            </w:pPr>
          </w:p>
        </w:tc>
      </w:tr>
      <w:tr>
        <w:trPr>
          <w:trHeight w:val="23"/>
        </w:trPr>
        <w:tc>
          <w:tcPr>
            <w:tcW w:w="62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b w:val="1"/>
                <w:bCs w:val="1"/>
                <w:color w:val="131E29"/>
              </w:rPr>
              <w:t>Company-operated shops gross profit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71,498</w:t>
            </w:r>
          </w:p>
        </w:tc>
        <w:tc>
          <w:tcPr>
            <w:tcW w:w="80" w:type="dxa"/>
            <w:vAlign w:val="bottom"/>
            <w:tcBorders>
              <w:bottom w:val="single" w:sz="8" w:color="D2DCE5"/>
            </w:tcBorders>
            <w:shd w:val="clear" w:color="auto" w:fill="D2DCE5"/>
          </w:tcPr>
          <w:p>
            <w:pPr>
              <w:spacing w:after="0"/>
              <w:rPr>
                <w:sz w:val="24"/>
                <w:szCs w:val="24"/>
                <w:color w:val="auto"/>
              </w:rPr>
            </w:pPr>
          </w:p>
        </w:tc>
        <w:tc>
          <w:tcPr>
            <w:tcW w:w="7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21.9</w:t>
            </w:r>
          </w:p>
        </w:tc>
        <w:tc>
          <w:tcPr>
            <w:tcW w:w="100" w:type="dxa"/>
            <w:vAlign w:val="bottom"/>
            <w:tcBorders>
              <w:bottom w:val="single" w:sz="8" w:color="D2DCE5"/>
            </w:tcBorders>
            <w:shd w:val="clear" w:color="auto" w:fill="D2DCE5"/>
          </w:tcPr>
          <w:p>
            <w:pPr>
              <w:spacing w:after="0"/>
              <w:rPr>
                <w:sz w:val="24"/>
                <w:szCs w:val="24"/>
                <w:color w:val="auto"/>
              </w:rPr>
            </w:pP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54,305</w:t>
            </w:r>
          </w:p>
        </w:tc>
        <w:tc>
          <w:tcPr>
            <w:tcW w:w="100" w:type="dxa"/>
            <w:vAlign w:val="bottom"/>
            <w:tcBorders>
              <w:bottom w:val="single" w:sz="8" w:color="D2DCE5"/>
            </w:tcBorders>
            <w:shd w:val="clear" w:color="auto" w:fill="D2DCE5"/>
          </w:tcPr>
          <w:p>
            <w:pPr>
              <w:spacing w:after="0"/>
              <w:rPr>
                <w:sz w:val="24"/>
                <w:szCs w:val="24"/>
                <w:color w:val="auto"/>
              </w:rPr>
            </w:pPr>
          </w:p>
        </w:tc>
        <w:tc>
          <w:tcPr>
            <w:tcW w:w="7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21.9</w:t>
            </w:r>
          </w:p>
        </w:tc>
        <w:tc>
          <w:tcPr>
            <w:tcW w:w="0" w:type="dxa"/>
            <w:vAlign w:val="bottom"/>
          </w:tcPr>
          <w:p>
            <w:pPr>
              <w:spacing w:after="0"/>
              <w:rPr>
                <w:sz w:val="1"/>
                <w:szCs w:val="1"/>
                <w:color w:val="auto"/>
              </w:rPr>
            </w:pPr>
          </w:p>
        </w:tc>
      </w:tr>
      <w:tr>
        <w:trPr>
          <w:trHeight w:val="20"/>
        </w:trPr>
        <w:tc>
          <w:tcPr>
            <w:tcW w:w="6380" w:type="dxa"/>
            <w:vAlign w:val="bottom"/>
            <w:tcBorders>
              <w:top w:val="single" w:sz="8" w:color="D2DCE5"/>
              <w:bottom w:val="single" w:sz="8" w:color="D2DCE5"/>
            </w:tcBorders>
            <w:gridSpan w:val="2"/>
            <w:vMerge w:val="restart"/>
          </w:tcPr>
          <w:p>
            <w:pPr>
              <w:ind w:left="180"/>
              <w:spacing w:after="0"/>
              <w:rPr>
                <w:sz w:val="20"/>
                <w:szCs w:val="20"/>
                <w:color w:val="auto"/>
              </w:rPr>
            </w:pPr>
            <w:r>
              <w:rPr>
                <w:rFonts w:ascii="Arial" w:cs="Arial" w:eastAsia="Arial" w:hAnsi="Arial"/>
                <w:sz w:val="18"/>
                <w:szCs w:val="18"/>
                <w:color w:val="131E29"/>
              </w:rPr>
              <w:t>Company-operated shops contribution</w:t>
            </w:r>
            <w:r>
              <w:rPr>
                <w:rFonts w:ascii="Arial" w:cs="Arial" w:eastAsia="Arial" w:hAnsi="Arial"/>
                <w:sz w:val="23"/>
                <w:szCs w:val="23"/>
                <w:color w:val="131E29"/>
                <w:vertAlign w:val="superscript"/>
              </w:rPr>
              <w:t>1</w:t>
            </w: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7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380" w:type="dxa"/>
            <w:vAlign w:val="bottom"/>
            <w:gridSpan w:val="2"/>
            <w:vMerge w:val="continue"/>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006098"/>
              </w:rPr>
              <w:t>96,065</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006098"/>
              </w:rPr>
              <w:t>29.4</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73,999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29.8</w:t>
            </w:r>
          </w:p>
        </w:tc>
        <w:tc>
          <w:tcPr>
            <w:tcW w:w="0" w:type="dxa"/>
            <w:vAlign w:val="bottom"/>
          </w:tcPr>
          <w:p>
            <w:pPr>
              <w:spacing w:after="0"/>
              <w:rPr>
                <w:sz w:val="1"/>
                <w:szCs w:val="1"/>
                <w:color w:val="auto"/>
              </w:rPr>
            </w:pPr>
          </w:p>
        </w:tc>
      </w:tr>
      <w:tr>
        <w:trPr>
          <w:trHeight w:val="255"/>
        </w:trPr>
        <w:tc>
          <w:tcPr>
            <w:tcW w:w="6280" w:type="dxa"/>
            <w:vAlign w:val="bottom"/>
          </w:tcPr>
          <w:p>
            <w:pPr>
              <w:spacing w:after="0"/>
              <w:rPr>
                <w:sz w:val="20"/>
                <w:szCs w:val="20"/>
                <w:color w:val="auto"/>
              </w:rPr>
            </w:pPr>
            <w:r>
              <w:rPr>
                <w:rFonts w:ascii="Arial" w:cs="Arial" w:eastAsia="Arial" w:hAnsi="Arial"/>
                <w:sz w:val="18"/>
                <w:szCs w:val="18"/>
                <w:color w:val="131E29"/>
              </w:rPr>
              <w:t>_________________</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80" w:hanging="172"/>
        <w:spacing w:after="0" w:line="231" w:lineRule="auto"/>
        <w:tabs>
          <w:tab w:leader="none" w:pos="174" w:val="left"/>
        </w:tabs>
        <w:numPr>
          <w:ilvl w:val="0"/>
          <w:numId w:val="20"/>
        </w:numPr>
        <w:rPr>
          <w:rFonts w:ascii="Arial" w:cs="Arial" w:eastAsia="Arial" w:hAnsi="Arial"/>
          <w:sz w:val="19"/>
          <w:szCs w:val="19"/>
          <w:color w:val="131E29"/>
          <w:vertAlign w:val="superscript"/>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Company-operated Shops Segment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Company-operated Shops Revenue</w:t>
      </w:r>
    </w:p>
    <w:p>
      <w:pPr>
        <w:spacing w:after="0" w:line="169"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34925</wp:posOffset>
            </wp:positionV>
            <wp:extent cx="31286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200" w:type="dxa"/>
            <w:vAlign w:val="bottom"/>
            <w:tcBorders>
              <w:bottom w:val="single" w:sz="8" w:color="D7282F"/>
            </w:tcBorders>
          </w:tcPr>
          <w:p>
            <w:pPr>
              <w:jc w:val="right"/>
              <w:ind w:right="31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122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2300" w:type="dxa"/>
            <w:vAlign w:val="bottom"/>
            <w:tcBorders>
              <w:bottom w:val="single" w:sz="8" w:color="D7282F"/>
            </w:tcBorders>
            <w:gridSpan w:val="2"/>
          </w:tcPr>
          <w:p>
            <w:pPr>
              <w:jc w:val="right"/>
              <w:ind w:right="550"/>
              <w:spacing w:after="0"/>
              <w:rPr>
                <w:sz w:val="20"/>
                <w:szCs w:val="20"/>
                <w:color w:val="auto"/>
              </w:rPr>
            </w:pPr>
            <w:r>
              <w:rPr>
                <w:rFonts w:ascii="Arial" w:cs="Arial" w:eastAsia="Arial" w:hAnsi="Arial"/>
                <w:sz w:val="18"/>
                <w:szCs w:val="18"/>
                <w:b w:val="1"/>
                <w:bCs w:val="1"/>
                <w:color w:val="131E29"/>
              </w:rPr>
              <w:t>2025 v. 2024</w:t>
            </w:r>
          </w:p>
        </w:tc>
      </w:tr>
      <w:tr>
        <w:trPr>
          <w:trHeight w:val="247"/>
        </w:trPr>
        <w:tc>
          <w:tcPr>
            <w:tcW w:w="63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shops revenue</w:t>
            </w:r>
          </w:p>
        </w:tc>
        <w:tc>
          <w:tcPr>
            <w:tcW w:w="1200" w:type="dxa"/>
            <w:vAlign w:val="bottom"/>
            <w:shd w:val="clear" w:color="auto" w:fill="D2DCE5"/>
          </w:tcPr>
          <w:p>
            <w:pPr>
              <w:jc w:val="right"/>
              <w:ind w:right="130"/>
              <w:spacing w:after="0"/>
              <w:rPr>
                <w:sz w:val="20"/>
                <w:szCs w:val="20"/>
                <w:color w:val="auto"/>
              </w:rPr>
            </w:pPr>
            <w:r>
              <w:rPr>
                <w:rFonts w:ascii="Arial" w:cs="Arial" w:eastAsia="Arial" w:hAnsi="Arial"/>
                <w:sz w:val="18"/>
                <w:szCs w:val="18"/>
                <w:color w:val="006098"/>
              </w:rPr>
              <w:t>$326,421</w:t>
            </w:r>
          </w:p>
        </w:tc>
        <w:tc>
          <w:tcPr>
            <w:tcW w:w="100" w:type="dxa"/>
            <w:vAlign w:val="bottom"/>
            <w:shd w:val="clear" w:color="auto" w:fill="D2DCE5"/>
          </w:tcPr>
          <w:p>
            <w:pPr>
              <w:spacing w:after="0"/>
              <w:rPr>
                <w:sz w:val="21"/>
                <w:szCs w:val="21"/>
                <w:color w:val="auto"/>
              </w:rPr>
            </w:pPr>
          </w:p>
        </w:tc>
        <w:tc>
          <w:tcPr>
            <w:tcW w:w="122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$248,085</w:t>
            </w:r>
          </w:p>
        </w:tc>
        <w:tc>
          <w:tcPr>
            <w:tcW w:w="100" w:type="dxa"/>
            <w:vAlign w:val="bottom"/>
            <w:shd w:val="clear" w:color="auto" w:fill="D2DCE5"/>
          </w:tcPr>
          <w:p>
            <w:pPr>
              <w:spacing w:after="0"/>
              <w:rPr>
                <w:sz w:val="21"/>
                <w:szCs w:val="21"/>
                <w:color w:val="auto"/>
              </w:rPr>
            </w:pPr>
          </w:p>
        </w:tc>
        <w:tc>
          <w:tcPr>
            <w:tcW w:w="1180" w:type="dxa"/>
            <w:vAlign w:val="bottom"/>
            <w:shd w:val="clear" w:color="auto" w:fill="D2DCE5"/>
          </w:tcPr>
          <w:p>
            <w:pPr>
              <w:jc w:val="right"/>
              <w:ind w:right="210"/>
              <w:spacing w:after="0"/>
              <w:rPr>
                <w:sz w:val="20"/>
                <w:szCs w:val="20"/>
                <w:color w:val="auto"/>
              </w:rPr>
            </w:pPr>
            <w:r>
              <w:rPr>
                <w:rFonts w:ascii="Arial" w:cs="Arial" w:eastAsia="Arial" w:hAnsi="Arial"/>
                <w:sz w:val="18"/>
                <w:szCs w:val="18"/>
                <w:color w:val="131E29"/>
              </w:rPr>
              <w:t>$78,336</w:t>
            </w:r>
          </w:p>
        </w:tc>
        <w:tc>
          <w:tcPr>
            <w:tcW w:w="1120" w:type="dxa"/>
            <w:vAlign w:val="bottom"/>
            <w:shd w:val="clear" w:color="auto" w:fill="D2DCE5"/>
          </w:tcPr>
          <w:p>
            <w:pPr>
              <w:jc w:val="right"/>
              <w:ind w:right="210"/>
              <w:spacing w:after="0"/>
              <w:rPr>
                <w:sz w:val="20"/>
                <w:szCs w:val="20"/>
                <w:color w:val="auto"/>
              </w:rPr>
            </w:pPr>
            <w:r>
              <w:rPr>
                <w:rFonts w:ascii="Arial" w:cs="Arial" w:eastAsia="Arial" w:hAnsi="Arial"/>
                <w:sz w:val="18"/>
                <w:szCs w:val="18"/>
                <w:color w:val="131E29"/>
              </w:rPr>
              <w:t>31.6%</w:t>
            </w:r>
          </w:p>
        </w:tc>
      </w:tr>
      <w:tr>
        <w:trPr>
          <w:trHeight w:val="23"/>
        </w:trPr>
        <w:tc>
          <w:tcPr>
            <w:tcW w:w="62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2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2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180" w:type="dxa"/>
            <w:vAlign w:val="bottom"/>
            <w:shd w:val="clear" w:color="auto" w:fill="D2DCE5"/>
          </w:tcPr>
          <w:p>
            <w:pPr>
              <w:spacing w:after="0"/>
              <w:rPr>
                <w:sz w:val="2"/>
                <w:szCs w:val="2"/>
                <w:color w:val="auto"/>
              </w:rPr>
            </w:pPr>
          </w:p>
        </w:tc>
        <w:tc>
          <w:tcPr>
            <w:tcW w:w="1120" w:type="dxa"/>
            <w:vAlign w:val="bottom"/>
            <w:shd w:val="clear" w:color="auto" w:fill="D2DCE5"/>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2025 v. 2024</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company-operated shops revenue increase was driven by $ 62.1 million from newly opened shops not yet in the comparable shop base and $16.2 million from an increase in same shop sales within the comparable shop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74930</wp:posOffset>
            </wp:positionV>
            <wp:extent cx="5349240" cy="13970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4924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44"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9"/>
          <w:szCs w:val="19"/>
          <w:color w:val="131E29"/>
          <w:vertAlign w:val="superscript"/>
        </w:rPr>
      </w:pPr>
      <w:r>
        <w:rPr>
          <w:rFonts w:ascii="Arial" w:cs="Arial" w:eastAsia="Arial" w:hAnsi="Arial"/>
          <w:sz w:val="14"/>
          <w:szCs w:val="14"/>
          <w:color w:val="131E29"/>
        </w:rPr>
        <w:t>The comparable same shop bases were 510 and 370 for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Beverage, Food, and Packaging Costs</w:t>
      </w:r>
    </w:p>
    <w:p>
      <w:pPr>
        <w:spacing w:after="0" w:line="169"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34925</wp:posOffset>
            </wp:positionV>
            <wp:extent cx="31286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2025</w:t>
            </w:r>
          </w:p>
        </w:tc>
        <w:tc>
          <w:tcPr>
            <w:tcW w:w="100" w:type="dxa"/>
            <w:vAlign w:val="bottom"/>
            <w:tcBorders>
              <w:bottom w:val="single" w:sz="8" w:color="D2DCE5"/>
            </w:tcBorders>
          </w:tcPr>
          <w:p>
            <w:pPr>
              <w:spacing w:after="0"/>
              <w:rPr>
                <w:sz w:val="22"/>
                <w:szCs w:val="22"/>
                <w:color w:val="auto"/>
              </w:rPr>
            </w:pPr>
          </w:p>
        </w:tc>
        <w:tc>
          <w:tcPr>
            <w:tcW w:w="122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2024</w:t>
            </w:r>
          </w:p>
        </w:tc>
        <w:tc>
          <w:tcPr>
            <w:tcW w:w="100" w:type="dxa"/>
            <w:vAlign w:val="bottom"/>
            <w:tcBorders>
              <w:bottom w:val="single" w:sz="8" w:color="D2DCE5"/>
            </w:tcBorders>
          </w:tcPr>
          <w:p>
            <w:pPr>
              <w:spacing w:after="0"/>
              <w:rPr>
                <w:sz w:val="22"/>
                <w:szCs w:val="22"/>
                <w:color w:val="auto"/>
              </w:rPr>
            </w:pPr>
          </w:p>
        </w:tc>
        <w:tc>
          <w:tcPr>
            <w:tcW w:w="2300" w:type="dxa"/>
            <w:vAlign w:val="bottom"/>
            <w:tcBorders>
              <w:bottom w:val="single" w:sz="8" w:color="D7282F"/>
            </w:tcBorders>
            <w:gridSpan w:val="2"/>
          </w:tcPr>
          <w:p>
            <w:pPr>
              <w:ind w:left="620"/>
              <w:spacing w:after="0"/>
              <w:rPr>
                <w:sz w:val="20"/>
                <w:szCs w:val="20"/>
                <w:color w:val="auto"/>
              </w:rPr>
            </w:pPr>
            <w:r>
              <w:rPr>
                <w:rFonts w:ascii="Arial" w:cs="Arial" w:eastAsia="Arial" w:hAnsi="Arial"/>
                <w:sz w:val="18"/>
                <w:szCs w:val="18"/>
                <w:b w:val="1"/>
                <w:bCs w:val="1"/>
                <w:color w:val="131E29"/>
              </w:rPr>
              <w:t>2025 v. 2024</w:t>
            </w:r>
          </w:p>
        </w:tc>
      </w:tr>
      <w:tr>
        <w:trPr>
          <w:trHeight w:val="250"/>
        </w:trPr>
        <w:tc>
          <w:tcPr>
            <w:tcW w:w="63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Beverage, food and packaging costs</w:t>
            </w:r>
          </w:p>
        </w:tc>
        <w:tc>
          <w:tcPr>
            <w:tcW w:w="12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006098"/>
                <w:w w:val="98"/>
              </w:rPr>
              <w:t>$81,379</w:t>
            </w:r>
          </w:p>
        </w:tc>
        <w:tc>
          <w:tcPr>
            <w:tcW w:w="10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rPr>
              <w:t>$63,716</w:t>
            </w:r>
          </w:p>
        </w:tc>
        <w:tc>
          <w:tcPr>
            <w:tcW w:w="100" w:type="dxa"/>
            <w:vAlign w:val="bottom"/>
            <w:tcBorders>
              <w:bottom w:val="single" w:sz="8" w:color="D2DCE5"/>
            </w:tcBorders>
            <w:shd w:val="clear" w:color="auto" w:fill="D2DCE5"/>
          </w:tcPr>
          <w:p>
            <w:pPr>
              <w:spacing w:after="0"/>
              <w:rPr>
                <w:sz w:val="21"/>
                <w:szCs w:val="21"/>
                <w:color w:val="auto"/>
              </w:rPr>
            </w:pPr>
          </w:p>
        </w:tc>
        <w:tc>
          <w:tcPr>
            <w:tcW w:w="114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rPr>
              <w:t>$17,663</w:t>
            </w:r>
          </w:p>
        </w:tc>
        <w:tc>
          <w:tcPr>
            <w:tcW w:w="1160" w:type="dxa"/>
            <w:vAlign w:val="bottom"/>
            <w:tcBorders>
              <w:bottom w:val="single" w:sz="8" w:color="D2DCE5"/>
            </w:tcBorders>
            <w:shd w:val="clear" w:color="auto" w:fill="D2DCE5"/>
          </w:tcPr>
          <w:p>
            <w:pPr>
              <w:jc w:val="right"/>
              <w:ind w:right="210"/>
              <w:spacing w:after="0"/>
              <w:rPr>
                <w:sz w:val="20"/>
                <w:szCs w:val="20"/>
                <w:color w:val="auto"/>
              </w:rPr>
            </w:pPr>
            <w:r>
              <w:rPr>
                <w:rFonts w:ascii="Arial" w:cs="Arial" w:eastAsia="Arial" w:hAnsi="Arial"/>
                <w:sz w:val="18"/>
                <w:szCs w:val="18"/>
                <w:color w:val="131E29"/>
              </w:rPr>
              <w:t>27.7%</w:t>
            </w:r>
          </w:p>
        </w:tc>
      </w:tr>
      <w:tr>
        <w:trPr>
          <w:trHeight w:val="247"/>
        </w:trPr>
        <w:tc>
          <w:tcPr>
            <w:tcW w:w="6320" w:type="dxa"/>
            <w:vAlign w:val="bottom"/>
            <w:gridSpan w:val="2"/>
          </w:tcPr>
          <w:p>
            <w:pPr>
              <w:ind w:left="20"/>
              <w:spacing w:after="0"/>
              <w:rPr>
                <w:sz w:val="20"/>
                <w:szCs w:val="20"/>
                <w:color w:val="auto"/>
              </w:rPr>
            </w:pPr>
            <w:r>
              <w:rPr>
                <w:rFonts w:ascii="Arial" w:cs="Arial" w:eastAsia="Arial" w:hAnsi="Arial"/>
                <w:sz w:val="18"/>
                <w:szCs w:val="18"/>
                <w:i w:val="1"/>
                <w:iCs w:val="1"/>
                <w:color w:val="131E29"/>
              </w:rPr>
              <w:t>As a percentage of company-operated shops revenues</w:t>
            </w:r>
          </w:p>
        </w:tc>
        <w:tc>
          <w:tcPr>
            <w:tcW w:w="1200" w:type="dxa"/>
            <w:vAlign w:val="bottom"/>
          </w:tcPr>
          <w:p>
            <w:pPr>
              <w:jc w:val="center"/>
              <w:spacing w:after="0"/>
              <w:rPr>
                <w:sz w:val="20"/>
                <w:szCs w:val="20"/>
                <w:color w:val="auto"/>
              </w:rPr>
            </w:pPr>
            <w:r>
              <w:rPr>
                <w:rFonts w:ascii="Arial" w:cs="Arial" w:eastAsia="Arial" w:hAnsi="Arial"/>
                <w:sz w:val="18"/>
                <w:szCs w:val="18"/>
                <w:color w:val="006098"/>
              </w:rPr>
              <w:t>25.0%</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131E29"/>
                <w:w w:val="97"/>
              </w:rPr>
              <w:t>25.7%</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131E29"/>
                <w:w w:val="99"/>
              </w:rPr>
              <w:t>N/A</w:t>
            </w:r>
          </w:p>
        </w:tc>
        <w:tc>
          <w:tcPr>
            <w:tcW w:w="1160" w:type="dxa"/>
            <w:vAlign w:val="bottom"/>
          </w:tcPr>
          <w:p>
            <w:pPr>
              <w:jc w:val="center"/>
              <w:spacing w:after="0"/>
              <w:rPr>
                <w:sz w:val="20"/>
                <w:szCs w:val="20"/>
                <w:color w:val="auto"/>
              </w:rPr>
            </w:pPr>
            <w:r>
              <w:rPr>
                <w:rFonts w:ascii="Arial" w:cs="Arial" w:eastAsia="Arial" w:hAnsi="Arial"/>
                <w:sz w:val="18"/>
                <w:szCs w:val="18"/>
                <w:color w:val="131E29"/>
                <w:w w:val="99"/>
              </w:rPr>
              <w:t>(70) bps</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2025 v. 2024</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As a percentage of company-operated shops revenues, beverage, food and packaging costs decreased by 70 basis points. This was primarily due to a 90 basis point decrease for the impact of pricing on the comparable shop base</w:t>
      </w:r>
      <w:r>
        <w:rPr>
          <w:rFonts w:ascii="Arial" w:cs="Arial" w:eastAsia="Arial" w:hAnsi="Arial"/>
          <w:sz w:val="14"/>
          <w:szCs w:val="14"/>
          <w:color w:val="131E29"/>
        </w:rPr>
        <w: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Labor Costs</w:t>
      </w:r>
    </w:p>
    <w:p>
      <w:pPr>
        <w:spacing w:after="0" w:line="169"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34925</wp:posOffset>
            </wp:positionV>
            <wp:extent cx="31286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2025</w:t>
            </w:r>
          </w:p>
        </w:tc>
        <w:tc>
          <w:tcPr>
            <w:tcW w:w="100" w:type="dxa"/>
            <w:vAlign w:val="bottom"/>
            <w:tcBorders>
              <w:bottom w:val="single" w:sz="8" w:color="D2DCE5"/>
            </w:tcBorders>
          </w:tcPr>
          <w:p>
            <w:pPr>
              <w:spacing w:after="0"/>
              <w:rPr>
                <w:sz w:val="22"/>
                <w:szCs w:val="22"/>
                <w:color w:val="auto"/>
              </w:rPr>
            </w:pPr>
          </w:p>
        </w:tc>
        <w:tc>
          <w:tcPr>
            <w:tcW w:w="122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2024</w:t>
            </w:r>
          </w:p>
        </w:tc>
        <w:tc>
          <w:tcPr>
            <w:tcW w:w="100" w:type="dxa"/>
            <w:vAlign w:val="bottom"/>
            <w:tcBorders>
              <w:bottom w:val="single" w:sz="8" w:color="D2DCE5"/>
            </w:tcBorders>
          </w:tcPr>
          <w:p>
            <w:pPr>
              <w:spacing w:after="0"/>
              <w:rPr>
                <w:sz w:val="22"/>
                <w:szCs w:val="22"/>
                <w:color w:val="auto"/>
              </w:rPr>
            </w:pPr>
          </w:p>
        </w:tc>
        <w:tc>
          <w:tcPr>
            <w:tcW w:w="2300" w:type="dxa"/>
            <w:vAlign w:val="bottom"/>
            <w:tcBorders>
              <w:bottom w:val="single" w:sz="8" w:color="D7282F"/>
            </w:tcBorders>
            <w:gridSpan w:val="2"/>
          </w:tcPr>
          <w:p>
            <w:pPr>
              <w:ind w:left="620"/>
              <w:spacing w:after="0"/>
              <w:rPr>
                <w:sz w:val="20"/>
                <w:szCs w:val="20"/>
                <w:color w:val="auto"/>
              </w:rPr>
            </w:pPr>
            <w:r>
              <w:rPr>
                <w:rFonts w:ascii="Arial" w:cs="Arial" w:eastAsia="Arial" w:hAnsi="Arial"/>
                <w:sz w:val="18"/>
                <w:szCs w:val="18"/>
                <w:b w:val="1"/>
                <w:bCs w:val="1"/>
                <w:color w:val="131E29"/>
              </w:rPr>
              <w:t>2025 v. 2024</w:t>
            </w:r>
          </w:p>
        </w:tc>
      </w:tr>
      <w:tr>
        <w:trPr>
          <w:trHeight w:val="250"/>
        </w:trPr>
        <w:tc>
          <w:tcPr>
            <w:tcW w:w="63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Labor costs</w:t>
            </w:r>
          </w:p>
        </w:tc>
        <w:tc>
          <w:tcPr>
            <w:tcW w:w="12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006098"/>
                <w:w w:val="98"/>
              </w:rPr>
              <w:t>$89,439</w:t>
            </w:r>
          </w:p>
        </w:tc>
        <w:tc>
          <w:tcPr>
            <w:tcW w:w="10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rPr>
              <w:t>$65,427</w:t>
            </w:r>
          </w:p>
        </w:tc>
        <w:tc>
          <w:tcPr>
            <w:tcW w:w="100" w:type="dxa"/>
            <w:vAlign w:val="bottom"/>
            <w:tcBorders>
              <w:bottom w:val="single" w:sz="8" w:color="D2DCE5"/>
            </w:tcBorders>
            <w:shd w:val="clear" w:color="auto" w:fill="D2DCE5"/>
          </w:tcPr>
          <w:p>
            <w:pPr>
              <w:spacing w:after="0"/>
              <w:rPr>
                <w:sz w:val="21"/>
                <w:szCs w:val="21"/>
                <w:color w:val="auto"/>
              </w:rPr>
            </w:pPr>
          </w:p>
        </w:tc>
        <w:tc>
          <w:tcPr>
            <w:tcW w:w="114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rPr>
              <w:t>$24,012</w:t>
            </w:r>
          </w:p>
        </w:tc>
        <w:tc>
          <w:tcPr>
            <w:tcW w:w="1160" w:type="dxa"/>
            <w:vAlign w:val="bottom"/>
            <w:tcBorders>
              <w:bottom w:val="single" w:sz="8" w:color="D2DCE5"/>
            </w:tcBorders>
            <w:shd w:val="clear" w:color="auto" w:fill="D2DCE5"/>
          </w:tcPr>
          <w:p>
            <w:pPr>
              <w:jc w:val="right"/>
              <w:ind w:right="210"/>
              <w:spacing w:after="0"/>
              <w:rPr>
                <w:sz w:val="20"/>
                <w:szCs w:val="20"/>
                <w:color w:val="auto"/>
              </w:rPr>
            </w:pPr>
            <w:r>
              <w:rPr>
                <w:rFonts w:ascii="Arial" w:cs="Arial" w:eastAsia="Arial" w:hAnsi="Arial"/>
                <w:sz w:val="18"/>
                <w:szCs w:val="18"/>
                <w:color w:val="131E29"/>
              </w:rPr>
              <w:t>36.7%</w:t>
            </w:r>
          </w:p>
        </w:tc>
      </w:tr>
      <w:tr>
        <w:trPr>
          <w:trHeight w:val="247"/>
        </w:trPr>
        <w:tc>
          <w:tcPr>
            <w:tcW w:w="6320" w:type="dxa"/>
            <w:vAlign w:val="bottom"/>
            <w:gridSpan w:val="2"/>
          </w:tcPr>
          <w:p>
            <w:pPr>
              <w:ind w:left="20"/>
              <w:spacing w:after="0"/>
              <w:rPr>
                <w:sz w:val="20"/>
                <w:szCs w:val="20"/>
                <w:color w:val="auto"/>
              </w:rPr>
            </w:pPr>
            <w:r>
              <w:rPr>
                <w:rFonts w:ascii="Arial" w:cs="Arial" w:eastAsia="Arial" w:hAnsi="Arial"/>
                <w:sz w:val="18"/>
                <w:szCs w:val="18"/>
                <w:i w:val="1"/>
                <w:iCs w:val="1"/>
                <w:color w:val="131E29"/>
              </w:rPr>
              <w:t>As a percentage of company-operated shops revenues</w:t>
            </w:r>
          </w:p>
        </w:tc>
        <w:tc>
          <w:tcPr>
            <w:tcW w:w="1200" w:type="dxa"/>
            <w:vAlign w:val="bottom"/>
          </w:tcPr>
          <w:p>
            <w:pPr>
              <w:jc w:val="center"/>
              <w:spacing w:after="0"/>
              <w:rPr>
                <w:sz w:val="20"/>
                <w:szCs w:val="20"/>
                <w:color w:val="auto"/>
              </w:rPr>
            </w:pPr>
            <w:r>
              <w:rPr>
                <w:rFonts w:ascii="Arial" w:cs="Arial" w:eastAsia="Arial" w:hAnsi="Arial"/>
                <w:sz w:val="18"/>
                <w:szCs w:val="18"/>
                <w:color w:val="006098"/>
              </w:rPr>
              <w:t>27.4%</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131E29"/>
                <w:w w:val="97"/>
              </w:rPr>
              <w:t>26.4%</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131E29"/>
                <w:w w:val="99"/>
              </w:rPr>
              <w:t>N/A</w:t>
            </w:r>
          </w:p>
        </w:tc>
        <w:tc>
          <w:tcPr>
            <w:tcW w:w="1160" w:type="dxa"/>
            <w:vAlign w:val="bottom"/>
          </w:tcPr>
          <w:p>
            <w:pPr>
              <w:jc w:val="center"/>
              <w:spacing w:after="0"/>
              <w:rPr>
                <w:sz w:val="20"/>
                <w:szCs w:val="20"/>
                <w:color w:val="auto"/>
              </w:rPr>
            </w:pPr>
            <w:r>
              <w:rPr>
                <w:rFonts w:ascii="Arial" w:cs="Arial" w:eastAsia="Arial" w:hAnsi="Arial"/>
                <w:sz w:val="18"/>
                <w:szCs w:val="18"/>
                <w:color w:val="131E29"/>
                <w:w w:val="99"/>
              </w:rPr>
              <w:t>100 bps</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2025 v. 2024</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As a percentage of company-operated shops revenues, labor costs increased by 100 basis points. This was primarily due to 180 basis points from increased wages partially offset by a decrease of 90 basis points from the impact of pricing.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Occupancy and Other Costs</w:t>
      </w:r>
    </w:p>
    <w:p>
      <w:pPr>
        <w:spacing w:after="0" w:line="169"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34925</wp:posOffset>
            </wp:positionV>
            <wp:extent cx="31286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2025</w:t>
            </w:r>
          </w:p>
        </w:tc>
        <w:tc>
          <w:tcPr>
            <w:tcW w:w="100" w:type="dxa"/>
            <w:vAlign w:val="bottom"/>
            <w:tcBorders>
              <w:bottom w:val="single" w:sz="8" w:color="D2DCE5"/>
            </w:tcBorders>
          </w:tcPr>
          <w:p>
            <w:pPr>
              <w:spacing w:after="0"/>
              <w:rPr>
                <w:sz w:val="22"/>
                <w:szCs w:val="22"/>
                <w:color w:val="auto"/>
              </w:rPr>
            </w:pPr>
          </w:p>
        </w:tc>
        <w:tc>
          <w:tcPr>
            <w:tcW w:w="122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2024</w:t>
            </w:r>
          </w:p>
        </w:tc>
        <w:tc>
          <w:tcPr>
            <w:tcW w:w="100" w:type="dxa"/>
            <w:vAlign w:val="bottom"/>
            <w:tcBorders>
              <w:bottom w:val="single" w:sz="8" w:color="D2DCE5"/>
            </w:tcBorders>
          </w:tcPr>
          <w:p>
            <w:pPr>
              <w:spacing w:after="0"/>
              <w:rPr>
                <w:sz w:val="22"/>
                <w:szCs w:val="22"/>
                <w:color w:val="auto"/>
              </w:rPr>
            </w:pPr>
          </w:p>
        </w:tc>
        <w:tc>
          <w:tcPr>
            <w:tcW w:w="2300" w:type="dxa"/>
            <w:vAlign w:val="bottom"/>
            <w:tcBorders>
              <w:bottom w:val="single" w:sz="8" w:color="D7282F"/>
            </w:tcBorders>
            <w:gridSpan w:val="2"/>
          </w:tcPr>
          <w:p>
            <w:pPr>
              <w:ind w:left="620"/>
              <w:spacing w:after="0"/>
              <w:rPr>
                <w:sz w:val="20"/>
                <w:szCs w:val="20"/>
                <w:color w:val="auto"/>
              </w:rPr>
            </w:pPr>
            <w:r>
              <w:rPr>
                <w:rFonts w:ascii="Arial" w:cs="Arial" w:eastAsia="Arial" w:hAnsi="Arial"/>
                <w:sz w:val="18"/>
                <w:szCs w:val="18"/>
                <w:b w:val="1"/>
                <w:bCs w:val="1"/>
                <w:color w:val="131E29"/>
              </w:rPr>
              <w:t>2025 v. 2024</w:t>
            </w:r>
          </w:p>
        </w:tc>
      </w:tr>
      <w:tr>
        <w:trPr>
          <w:trHeight w:val="250"/>
        </w:trPr>
        <w:tc>
          <w:tcPr>
            <w:tcW w:w="63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Occupancy and other costs</w:t>
            </w:r>
          </w:p>
        </w:tc>
        <w:tc>
          <w:tcPr>
            <w:tcW w:w="12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006098"/>
                <w:w w:val="98"/>
              </w:rPr>
              <w:t>$53,927</w:t>
            </w:r>
          </w:p>
        </w:tc>
        <w:tc>
          <w:tcPr>
            <w:tcW w:w="10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rPr>
              <w:t>$41,496</w:t>
            </w:r>
          </w:p>
        </w:tc>
        <w:tc>
          <w:tcPr>
            <w:tcW w:w="100" w:type="dxa"/>
            <w:vAlign w:val="bottom"/>
            <w:tcBorders>
              <w:bottom w:val="single" w:sz="8" w:color="D2DCE5"/>
            </w:tcBorders>
            <w:shd w:val="clear" w:color="auto" w:fill="D2DCE5"/>
          </w:tcPr>
          <w:p>
            <w:pPr>
              <w:spacing w:after="0"/>
              <w:rPr>
                <w:sz w:val="21"/>
                <w:szCs w:val="21"/>
                <w:color w:val="auto"/>
              </w:rPr>
            </w:pPr>
          </w:p>
        </w:tc>
        <w:tc>
          <w:tcPr>
            <w:tcW w:w="114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rPr>
              <w:t>$12,431</w:t>
            </w:r>
          </w:p>
        </w:tc>
        <w:tc>
          <w:tcPr>
            <w:tcW w:w="1160" w:type="dxa"/>
            <w:vAlign w:val="bottom"/>
            <w:tcBorders>
              <w:bottom w:val="single" w:sz="8" w:color="D2DCE5"/>
            </w:tcBorders>
            <w:shd w:val="clear" w:color="auto" w:fill="D2DCE5"/>
          </w:tcPr>
          <w:p>
            <w:pPr>
              <w:jc w:val="right"/>
              <w:ind w:right="210"/>
              <w:spacing w:after="0"/>
              <w:rPr>
                <w:sz w:val="20"/>
                <w:szCs w:val="20"/>
                <w:color w:val="auto"/>
              </w:rPr>
            </w:pPr>
            <w:r>
              <w:rPr>
                <w:rFonts w:ascii="Arial" w:cs="Arial" w:eastAsia="Arial" w:hAnsi="Arial"/>
                <w:sz w:val="18"/>
                <w:szCs w:val="18"/>
                <w:color w:val="131E29"/>
              </w:rPr>
              <w:t>30.0%</w:t>
            </w:r>
          </w:p>
        </w:tc>
      </w:tr>
      <w:tr>
        <w:trPr>
          <w:trHeight w:val="247"/>
        </w:trPr>
        <w:tc>
          <w:tcPr>
            <w:tcW w:w="6320" w:type="dxa"/>
            <w:vAlign w:val="bottom"/>
            <w:gridSpan w:val="2"/>
          </w:tcPr>
          <w:p>
            <w:pPr>
              <w:ind w:left="20"/>
              <w:spacing w:after="0"/>
              <w:rPr>
                <w:sz w:val="20"/>
                <w:szCs w:val="20"/>
                <w:color w:val="auto"/>
              </w:rPr>
            </w:pPr>
            <w:r>
              <w:rPr>
                <w:rFonts w:ascii="Arial" w:cs="Arial" w:eastAsia="Arial" w:hAnsi="Arial"/>
                <w:sz w:val="18"/>
                <w:szCs w:val="18"/>
                <w:i w:val="1"/>
                <w:iCs w:val="1"/>
                <w:color w:val="131E29"/>
              </w:rPr>
              <w:t>As a percentage of company-operated shops revenues</w:t>
            </w:r>
          </w:p>
        </w:tc>
        <w:tc>
          <w:tcPr>
            <w:tcW w:w="1200" w:type="dxa"/>
            <w:vAlign w:val="bottom"/>
          </w:tcPr>
          <w:p>
            <w:pPr>
              <w:jc w:val="center"/>
              <w:spacing w:after="0"/>
              <w:rPr>
                <w:sz w:val="20"/>
                <w:szCs w:val="20"/>
                <w:color w:val="auto"/>
              </w:rPr>
            </w:pPr>
            <w:r>
              <w:rPr>
                <w:rFonts w:ascii="Arial" w:cs="Arial" w:eastAsia="Arial" w:hAnsi="Arial"/>
                <w:sz w:val="18"/>
                <w:szCs w:val="18"/>
                <w:color w:val="006098"/>
              </w:rPr>
              <w:t>16.5%</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131E29"/>
                <w:w w:val="97"/>
              </w:rPr>
              <w:t>16.7%</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131E29"/>
                <w:w w:val="99"/>
              </w:rPr>
              <w:t>N/A</w:t>
            </w:r>
          </w:p>
        </w:tc>
        <w:tc>
          <w:tcPr>
            <w:tcW w:w="1160" w:type="dxa"/>
            <w:vAlign w:val="bottom"/>
          </w:tcPr>
          <w:p>
            <w:pPr>
              <w:jc w:val="center"/>
              <w:spacing w:after="0"/>
              <w:rPr>
                <w:sz w:val="20"/>
                <w:szCs w:val="20"/>
                <w:color w:val="auto"/>
              </w:rPr>
            </w:pPr>
            <w:r>
              <w:rPr>
                <w:rFonts w:ascii="Arial" w:cs="Arial" w:eastAsia="Arial" w:hAnsi="Arial"/>
                <w:sz w:val="18"/>
                <w:szCs w:val="18"/>
                <w:color w:val="131E29"/>
                <w:w w:val="99"/>
              </w:rPr>
              <w:t>(20) bps</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2025 v. 2024</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As a percentage of company-operated shops revenues, occupancy and other costs decreased by 20 basis points. This decrease was primarily due to the impact of pricing.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Pre-opening Costs</w:t>
      </w:r>
    </w:p>
    <w:p>
      <w:pPr>
        <w:spacing w:after="0" w:line="169"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34925</wp:posOffset>
            </wp:positionV>
            <wp:extent cx="31286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2025</w:t>
            </w:r>
          </w:p>
        </w:tc>
        <w:tc>
          <w:tcPr>
            <w:tcW w:w="100" w:type="dxa"/>
            <w:vAlign w:val="bottom"/>
            <w:tcBorders>
              <w:bottom w:val="single" w:sz="8" w:color="D2DCE5"/>
            </w:tcBorders>
          </w:tcPr>
          <w:p>
            <w:pPr>
              <w:spacing w:after="0"/>
              <w:rPr>
                <w:sz w:val="22"/>
                <w:szCs w:val="22"/>
                <w:color w:val="auto"/>
              </w:rPr>
            </w:pPr>
          </w:p>
        </w:tc>
        <w:tc>
          <w:tcPr>
            <w:tcW w:w="122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2024</w:t>
            </w:r>
          </w:p>
        </w:tc>
        <w:tc>
          <w:tcPr>
            <w:tcW w:w="100" w:type="dxa"/>
            <w:vAlign w:val="bottom"/>
            <w:tcBorders>
              <w:bottom w:val="single" w:sz="8" w:color="D2DCE5"/>
            </w:tcBorders>
          </w:tcPr>
          <w:p>
            <w:pPr>
              <w:spacing w:after="0"/>
              <w:rPr>
                <w:sz w:val="22"/>
                <w:szCs w:val="22"/>
                <w:color w:val="auto"/>
              </w:rPr>
            </w:pPr>
          </w:p>
        </w:tc>
        <w:tc>
          <w:tcPr>
            <w:tcW w:w="2300" w:type="dxa"/>
            <w:vAlign w:val="bottom"/>
            <w:tcBorders>
              <w:bottom w:val="single" w:sz="8" w:color="D7282F"/>
            </w:tcBorders>
            <w:gridSpan w:val="2"/>
          </w:tcPr>
          <w:p>
            <w:pPr>
              <w:ind w:left="620"/>
              <w:spacing w:after="0"/>
              <w:rPr>
                <w:sz w:val="20"/>
                <w:szCs w:val="20"/>
                <w:color w:val="auto"/>
              </w:rPr>
            </w:pPr>
            <w:r>
              <w:rPr>
                <w:rFonts w:ascii="Arial" w:cs="Arial" w:eastAsia="Arial" w:hAnsi="Arial"/>
                <w:sz w:val="18"/>
                <w:szCs w:val="18"/>
                <w:b w:val="1"/>
                <w:bCs w:val="1"/>
                <w:color w:val="131E29"/>
              </w:rPr>
              <w:t>2025 v. 2024</w:t>
            </w:r>
          </w:p>
        </w:tc>
      </w:tr>
      <w:tr>
        <w:trPr>
          <w:trHeight w:val="250"/>
        </w:trPr>
        <w:tc>
          <w:tcPr>
            <w:tcW w:w="63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Pre-opening costs</w:t>
            </w:r>
          </w:p>
        </w:tc>
        <w:tc>
          <w:tcPr>
            <w:tcW w:w="12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006098"/>
                <w:w w:val="94"/>
              </w:rPr>
              <w:t>$5,611</w:t>
            </w:r>
          </w:p>
        </w:tc>
        <w:tc>
          <w:tcPr>
            <w:tcW w:w="10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8"/>
              </w:rPr>
              <w:t>$3,447</w:t>
            </w:r>
          </w:p>
        </w:tc>
        <w:tc>
          <w:tcPr>
            <w:tcW w:w="10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8"/>
              </w:rPr>
              <w:t>$2,164</w:t>
            </w:r>
          </w:p>
        </w:tc>
        <w:tc>
          <w:tcPr>
            <w:tcW w:w="11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7"/>
              </w:rPr>
              <w:t>62.8%</w:t>
            </w:r>
          </w:p>
        </w:tc>
      </w:tr>
      <w:tr>
        <w:trPr>
          <w:trHeight w:val="247"/>
        </w:trPr>
        <w:tc>
          <w:tcPr>
            <w:tcW w:w="6320" w:type="dxa"/>
            <w:vAlign w:val="bottom"/>
            <w:gridSpan w:val="2"/>
          </w:tcPr>
          <w:p>
            <w:pPr>
              <w:ind w:left="20"/>
              <w:spacing w:after="0"/>
              <w:rPr>
                <w:sz w:val="20"/>
                <w:szCs w:val="20"/>
                <w:color w:val="auto"/>
              </w:rPr>
            </w:pPr>
            <w:r>
              <w:rPr>
                <w:rFonts w:ascii="Arial" w:cs="Arial" w:eastAsia="Arial" w:hAnsi="Arial"/>
                <w:sz w:val="18"/>
                <w:szCs w:val="18"/>
                <w:i w:val="1"/>
                <w:iCs w:val="1"/>
                <w:color w:val="131E29"/>
              </w:rPr>
              <w:t>As a percentage of company-operated shops revenues</w:t>
            </w:r>
          </w:p>
        </w:tc>
        <w:tc>
          <w:tcPr>
            <w:tcW w:w="1200" w:type="dxa"/>
            <w:vAlign w:val="bottom"/>
          </w:tcPr>
          <w:p>
            <w:pPr>
              <w:jc w:val="center"/>
              <w:spacing w:after="0"/>
              <w:rPr>
                <w:sz w:val="20"/>
                <w:szCs w:val="20"/>
                <w:color w:val="auto"/>
              </w:rPr>
            </w:pPr>
            <w:r>
              <w:rPr>
                <w:rFonts w:ascii="Arial" w:cs="Arial" w:eastAsia="Arial" w:hAnsi="Arial"/>
                <w:sz w:val="18"/>
                <w:szCs w:val="18"/>
                <w:color w:val="006098"/>
                <w:w w:val="97"/>
              </w:rPr>
              <w:t>1.7%</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131E29"/>
              </w:rPr>
              <w:t>1.4%</w:t>
            </w:r>
          </w:p>
        </w:tc>
        <w:tc>
          <w:tcPr>
            <w:tcW w:w="100" w:type="dxa"/>
            <w:vAlign w:val="bottom"/>
          </w:tcPr>
          <w:p>
            <w:pPr>
              <w:spacing w:after="0"/>
              <w:rPr>
                <w:sz w:val="21"/>
                <w:szCs w:val="21"/>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131E29"/>
              </w:rPr>
              <w:t>N/A</w:t>
            </w:r>
          </w:p>
        </w:tc>
        <w:tc>
          <w:tcPr>
            <w:tcW w:w="1180" w:type="dxa"/>
            <w:vAlign w:val="bottom"/>
          </w:tcPr>
          <w:p>
            <w:pPr>
              <w:ind w:left="360"/>
              <w:spacing w:after="0"/>
              <w:rPr>
                <w:sz w:val="20"/>
                <w:szCs w:val="20"/>
                <w:color w:val="auto"/>
              </w:rPr>
            </w:pPr>
            <w:r>
              <w:rPr>
                <w:rFonts w:ascii="Arial" w:cs="Arial" w:eastAsia="Arial" w:hAnsi="Arial"/>
                <w:sz w:val="18"/>
                <w:szCs w:val="18"/>
                <w:color w:val="131E29"/>
              </w:rPr>
              <w:t>30 bps</w:t>
            </w:r>
          </w:p>
        </w:tc>
      </w:tr>
      <w:tr>
        <w:trPr>
          <w:trHeight w:val="23"/>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3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New company-operated shops opened</w:t>
            </w:r>
          </w:p>
        </w:tc>
        <w:tc>
          <w:tcPr>
            <w:tcW w:w="12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006098"/>
                <w:w w:val="99"/>
              </w:rPr>
              <w:t>25</w:t>
            </w:r>
          </w:p>
        </w:tc>
        <w:tc>
          <w:tcPr>
            <w:tcW w:w="10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40</w:t>
            </w:r>
          </w:p>
        </w:tc>
        <w:tc>
          <w:tcPr>
            <w:tcW w:w="10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(15)</w:t>
            </w:r>
          </w:p>
        </w:tc>
        <w:tc>
          <w:tcPr>
            <w:tcW w:w="11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8"/>
              </w:rPr>
              <w:t>(37.5)%</w:t>
            </w:r>
          </w:p>
        </w:tc>
      </w:tr>
      <w:tr>
        <w:trPr>
          <w:trHeight w:val="247"/>
        </w:trPr>
        <w:tc>
          <w:tcPr>
            <w:tcW w:w="6320" w:type="dxa"/>
            <w:vAlign w:val="bottom"/>
            <w:gridSpan w:val="2"/>
          </w:tcPr>
          <w:p>
            <w:pPr>
              <w:ind w:left="20"/>
              <w:spacing w:after="0"/>
              <w:rPr>
                <w:sz w:val="20"/>
                <w:szCs w:val="20"/>
                <w:color w:val="auto"/>
              </w:rPr>
            </w:pPr>
            <w:r>
              <w:rPr>
                <w:rFonts w:ascii="Arial" w:cs="Arial" w:eastAsia="Arial" w:hAnsi="Arial"/>
                <w:sz w:val="18"/>
                <w:szCs w:val="18"/>
                <w:color w:val="131E29"/>
              </w:rPr>
              <w:t>Pre-opening costs per new company-operated shop</w:t>
            </w:r>
          </w:p>
        </w:tc>
        <w:tc>
          <w:tcPr>
            <w:tcW w:w="1200" w:type="dxa"/>
            <w:vAlign w:val="bottom"/>
          </w:tcPr>
          <w:p>
            <w:pPr>
              <w:jc w:val="center"/>
              <w:spacing w:after="0"/>
              <w:rPr>
                <w:sz w:val="20"/>
                <w:szCs w:val="20"/>
                <w:color w:val="auto"/>
              </w:rPr>
            </w:pPr>
            <w:r>
              <w:rPr>
                <w:rFonts w:ascii="Arial" w:cs="Arial" w:eastAsia="Arial" w:hAnsi="Arial"/>
                <w:sz w:val="18"/>
                <w:szCs w:val="18"/>
                <w:color w:val="006098"/>
                <w:w w:val="99"/>
              </w:rPr>
              <w:t>$224</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131E29"/>
                <w:w w:val="99"/>
              </w:rPr>
              <w:t>$86</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131E29"/>
                <w:w w:val="99"/>
              </w:rPr>
              <w:t>$138</w:t>
            </w:r>
          </w:p>
        </w:tc>
        <w:tc>
          <w:tcPr>
            <w:tcW w:w="1180" w:type="dxa"/>
            <w:vAlign w:val="bottom"/>
          </w:tcPr>
          <w:p>
            <w:pPr>
              <w:jc w:val="center"/>
              <w:spacing w:after="0"/>
              <w:rPr>
                <w:sz w:val="20"/>
                <w:szCs w:val="20"/>
                <w:color w:val="auto"/>
              </w:rPr>
            </w:pPr>
            <w:r>
              <w:rPr>
                <w:rFonts w:ascii="Arial" w:cs="Arial" w:eastAsia="Arial" w:hAnsi="Arial"/>
                <w:sz w:val="18"/>
                <w:szCs w:val="18"/>
                <w:color w:val="131E29"/>
              </w:rPr>
              <w:t>160.5%</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2025 v. 2024</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increase in pre-opening costs was primarily driven by increased travel for setup and training teams, and lease expense related to unopened shops, in the three months ended March 31, 2025 as compared to the same period in 2024.</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Depreciation and Amortization</w:t>
      </w:r>
    </w:p>
    <w:p>
      <w:pPr>
        <w:spacing w:after="0" w:line="169"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34925</wp:posOffset>
            </wp:positionV>
            <wp:extent cx="31286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2025</w:t>
            </w:r>
          </w:p>
        </w:tc>
        <w:tc>
          <w:tcPr>
            <w:tcW w:w="100" w:type="dxa"/>
            <w:vAlign w:val="bottom"/>
            <w:tcBorders>
              <w:bottom w:val="single" w:sz="8" w:color="D2DCE5"/>
            </w:tcBorders>
          </w:tcPr>
          <w:p>
            <w:pPr>
              <w:spacing w:after="0"/>
              <w:rPr>
                <w:sz w:val="22"/>
                <w:szCs w:val="22"/>
                <w:color w:val="auto"/>
              </w:rPr>
            </w:pPr>
          </w:p>
        </w:tc>
        <w:tc>
          <w:tcPr>
            <w:tcW w:w="122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2024</w:t>
            </w:r>
          </w:p>
        </w:tc>
        <w:tc>
          <w:tcPr>
            <w:tcW w:w="100" w:type="dxa"/>
            <w:vAlign w:val="bottom"/>
            <w:tcBorders>
              <w:bottom w:val="single" w:sz="8" w:color="D2DCE5"/>
            </w:tcBorders>
          </w:tcPr>
          <w:p>
            <w:pPr>
              <w:spacing w:after="0"/>
              <w:rPr>
                <w:sz w:val="22"/>
                <w:szCs w:val="22"/>
                <w:color w:val="auto"/>
              </w:rPr>
            </w:pPr>
          </w:p>
        </w:tc>
        <w:tc>
          <w:tcPr>
            <w:tcW w:w="2300" w:type="dxa"/>
            <w:vAlign w:val="bottom"/>
            <w:tcBorders>
              <w:bottom w:val="single" w:sz="8" w:color="D7282F"/>
            </w:tcBorders>
            <w:gridSpan w:val="2"/>
          </w:tcPr>
          <w:p>
            <w:pPr>
              <w:ind w:left="620"/>
              <w:spacing w:after="0"/>
              <w:rPr>
                <w:sz w:val="20"/>
                <w:szCs w:val="20"/>
                <w:color w:val="auto"/>
              </w:rPr>
            </w:pPr>
            <w:r>
              <w:rPr>
                <w:rFonts w:ascii="Arial" w:cs="Arial" w:eastAsia="Arial" w:hAnsi="Arial"/>
                <w:sz w:val="18"/>
                <w:szCs w:val="18"/>
                <w:b w:val="1"/>
                <w:bCs w:val="1"/>
                <w:color w:val="131E29"/>
              </w:rPr>
              <w:t>2025 v. 2024</w:t>
            </w:r>
          </w:p>
        </w:tc>
      </w:tr>
      <w:tr>
        <w:trPr>
          <w:trHeight w:val="250"/>
        </w:trPr>
        <w:tc>
          <w:tcPr>
            <w:tcW w:w="63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12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006098"/>
                <w:w w:val="98"/>
              </w:rPr>
              <w:t>$24,567</w:t>
            </w:r>
          </w:p>
        </w:tc>
        <w:tc>
          <w:tcPr>
            <w:tcW w:w="10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rPr>
              <w:t>$19,694</w:t>
            </w:r>
          </w:p>
        </w:tc>
        <w:tc>
          <w:tcPr>
            <w:tcW w:w="10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210"/>
              <w:spacing w:after="0"/>
              <w:rPr>
                <w:sz w:val="20"/>
                <w:szCs w:val="20"/>
                <w:color w:val="auto"/>
              </w:rPr>
            </w:pPr>
            <w:r>
              <w:rPr>
                <w:rFonts w:ascii="Arial" w:cs="Arial" w:eastAsia="Arial" w:hAnsi="Arial"/>
                <w:sz w:val="18"/>
                <w:szCs w:val="18"/>
                <w:color w:val="131E29"/>
              </w:rPr>
              <w:t>$4,873</w:t>
            </w:r>
          </w:p>
        </w:tc>
        <w:tc>
          <w:tcPr>
            <w:tcW w:w="1180" w:type="dxa"/>
            <w:vAlign w:val="bottom"/>
            <w:tcBorders>
              <w:bottom w:val="single" w:sz="8" w:color="D2DCE5"/>
            </w:tcBorders>
            <w:shd w:val="clear" w:color="auto" w:fill="D2DCE5"/>
          </w:tcPr>
          <w:p>
            <w:pPr>
              <w:jc w:val="right"/>
              <w:ind w:right="210"/>
              <w:spacing w:after="0"/>
              <w:rPr>
                <w:sz w:val="20"/>
                <w:szCs w:val="20"/>
                <w:color w:val="auto"/>
              </w:rPr>
            </w:pPr>
            <w:r>
              <w:rPr>
                <w:rFonts w:ascii="Arial" w:cs="Arial" w:eastAsia="Arial" w:hAnsi="Arial"/>
                <w:sz w:val="18"/>
                <w:szCs w:val="18"/>
                <w:color w:val="131E29"/>
              </w:rPr>
              <w:t>24.7%</w:t>
            </w:r>
          </w:p>
        </w:tc>
      </w:tr>
      <w:tr>
        <w:trPr>
          <w:trHeight w:val="247"/>
        </w:trPr>
        <w:tc>
          <w:tcPr>
            <w:tcW w:w="6320" w:type="dxa"/>
            <w:vAlign w:val="bottom"/>
            <w:gridSpan w:val="2"/>
          </w:tcPr>
          <w:p>
            <w:pPr>
              <w:ind w:left="20"/>
              <w:spacing w:after="0"/>
              <w:rPr>
                <w:sz w:val="20"/>
                <w:szCs w:val="20"/>
                <w:color w:val="auto"/>
              </w:rPr>
            </w:pPr>
            <w:r>
              <w:rPr>
                <w:rFonts w:ascii="Arial" w:cs="Arial" w:eastAsia="Arial" w:hAnsi="Arial"/>
                <w:sz w:val="18"/>
                <w:szCs w:val="18"/>
                <w:i w:val="1"/>
                <w:iCs w:val="1"/>
                <w:color w:val="131E29"/>
              </w:rPr>
              <w:t>As a percentage of company-operated shops revenues</w:t>
            </w:r>
          </w:p>
        </w:tc>
        <w:tc>
          <w:tcPr>
            <w:tcW w:w="1200" w:type="dxa"/>
            <w:vAlign w:val="bottom"/>
          </w:tcPr>
          <w:p>
            <w:pPr>
              <w:jc w:val="center"/>
              <w:spacing w:after="0"/>
              <w:rPr>
                <w:sz w:val="20"/>
                <w:szCs w:val="20"/>
                <w:color w:val="auto"/>
              </w:rPr>
            </w:pPr>
            <w:r>
              <w:rPr>
                <w:rFonts w:ascii="Arial" w:cs="Arial" w:eastAsia="Arial" w:hAnsi="Arial"/>
                <w:sz w:val="18"/>
                <w:szCs w:val="18"/>
                <w:color w:val="006098"/>
                <w:w w:val="97"/>
              </w:rPr>
              <w:t>7.5%</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131E29"/>
              </w:rPr>
              <w:t>7.9%</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131E29"/>
                <w:w w:val="99"/>
              </w:rPr>
              <w:t>N/A</w:t>
            </w:r>
          </w:p>
        </w:tc>
        <w:tc>
          <w:tcPr>
            <w:tcW w:w="1180" w:type="dxa"/>
            <w:vAlign w:val="bottom"/>
          </w:tcPr>
          <w:p>
            <w:pPr>
              <w:jc w:val="center"/>
              <w:spacing w:after="0"/>
              <w:rPr>
                <w:sz w:val="20"/>
                <w:szCs w:val="20"/>
                <w:color w:val="auto"/>
              </w:rPr>
            </w:pPr>
            <w:r>
              <w:rPr>
                <w:rFonts w:ascii="Arial" w:cs="Arial" w:eastAsia="Arial" w:hAnsi="Arial"/>
                <w:sz w:val="18"/>
                <w:szCs w:val="18"/>
                <w:color w:val="131E29"/>
                <w:w w:val="99"/>
              </w:rPr>
              <w:t>(40) bps</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2025 v. 2024</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131E29"/>
        </w:rPr>
        <w:t>The increase in depreciation and amortization was primarily driven by the increase in the number of company-operated shops in the current period compared to the prior period.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Company-operated Shops Gross Profit and Contribution</w:t>
      </w:r>
      <w:r>
        <w:rPr>
          <w:rFonts w:ascii="Arial" w:cs="Arial" w:eastAsia="Arial" w:hAnsi="Arial"/>
          <w:sz w:val="23"/>
          <w:szCs w:val="23"/>
          <w:b w:val="1"/>
          <w:bCs w:val="1"/>
          <w:i w:val="1"/>
          <w:iCs w:val="1"/>
          <w:color w:val="006098"/>
          <w:vertAlign w:val="superscript"/>
        </w:rPr>
        <w:t>1</w:t>
      </w:r>
    </w:p>
    <w:p>
      <w:pPr>
        <w:spacing w:after="0" w:line="116"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34925</wp:posOffset>
            </wp:positionV>
            <wp:extent cx="31286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2025</w:t>
            </w:r>
          </w:p>
        </w:tc>
        <w:tc>
          <w:tcPr>
            <w:tcW w:w="100" w:type="dxa"/>
            <w:vAlign w:val="bottom"/>
            <w:tcBorders>
              <w:bottom w:val="single" w:sz="8" w:color="D2DCE5"/>
            </w:tcBorders>
          </w:tcPr>
          <w:p>
            <w:pPr>
              <w:spacing w:after="0"/>
              <w:rPr>
                <w:sz w:val="22"/>
                <w:szCs w:val="22"/>
                <w:color w:val="auto"/>
              </w:rPr>
            </w:pPr>
          </w:p>
        </w:tc>
        <w:tc>
          <w:tcPr>
            <w:tcW w:w="122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2024</w:t>
            </w:r>
          </w:p>
        </w:tc>
        <w:tc>
          <w:tcPr>
            <w:tcW w:w="100" w:type="dxa"/>
            <w:vAlign w:val="bottom"/>
            <w:tcBorders>
              <w:bottom w:val="single" w:sz="8" w:color="D2DCE5"/>
            </w:tcBorders>
          </w:tcPr>
          <w:p>
            <w:pPr>
              <w:spacing w:after="0"/>
              <w:rPr>
                <w:sz w:val="22"/>
                <w:szCs w:val="22"/>
                <w:color w:val="auto"/>
              </w:rPr>
            </w:pPr>
          </w:p>
        </w:tc>
        <w:tc>
          <w:tcPr>
            <w:tcW w:w="2300" w:type="dxa"/>
            <w:vAlign w:val="bottom"/>
            <w:tcBorders>
              <w:bottom w:val="single" w:sz="8" w:color="D7282F"/>
            </w:tcBorders>
            <w:gridSpan w:val="2"/>
          </w:tcPr>
          <w:p>
            <w:pPr>
              <w:ind w:left="620"/>
              <w:spacing w:after="0"/>
              <w:rPr>
                <w:sz w:val="20"/>
                <w:szCs w:val="20"/>
                <w:color w:val="auto"/>
              </w:rPr>
            </w:pPr>
            <w:r>
              <w:rPr>
                <w:rFonts w:ascii="Arial" w:cs="Arial" w:eastAsia="Arial" w:hAnsi="Arial"/>
                <w:sz w:val="18"/>
                <w:szCs w:val="18"/>
                <w:b w:val="1"/>
                <w:bCs w:val="1"/>
                <w:color w:val="131E29"/>
              </w:rPr>
              <w:t>2025 v. 2024</w:t>
            </w:r>
          </w:p>
        </w:tc>
      </w:tr>
      <w:tr>
        <w:trPr>
          <w:trHeight w:val="250"/>
        </w:trPr>
        <w:tc>
          <w:tcPr>
            <w:tcW w:w="63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shops gross profit</w:t>
            </w:r>
          </w:p>
        </w:tc>
        <w:tc>
          <w:tcPr>
            <w:tcW w:w="12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006098"/>
                <w:w w:val="98"/>
              </w:rPr>
              <w:t>$71,498</w:t>
            </w:r>
          </w:p>
        </w:tc>
        <w:tc>
          <w:tcPr>
            <w:tcW w:w="10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rPr>
              <w:t>$54,305</w:t>
            </w:r>
          </w:p>
        </w:tc>
        <w:tc>
          <w:tcPr>
            <w:tcW w:w="100" w:type="dxa"/>
            <w:vAlign w:val="bottom"/>
            <w:tcBorders>
              <w:bottom w:val="single" w:sz="8" w:color="D2DCE5"/>
            </w:tcBorders>
            <w:shd w:val="clear" w:color="auto" w:fill="D2DCE5"/>
          </w:tcPr>
          <w:p>
            <w:pPr>
              <w:spacing w:after="0"/>
              <w:rPr>
                <w:sz w:val="21"/>
                <w:szCs w:val="21"/>
                <w:color w:val="auto"/>
              </w:rPr>
            </w:pPr>
          </w:p>
        </w:tc>
        <w:tc>
          <w:tcPr>
            <w:tcW w:w="114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rPr>
              <w:t>$17,193</w:t>
            </w:r>
          </w:p>
        </w:tc>
        <w:tc>
          <w:tcPr>
            <w:tcW w:w="116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7"/>
              </w:rPr>
              <w:t>31.7%</w:t>
            </w:r>
          </w:p>
        </w:tc>
      </w:tr>
      <w:tr>
        <w:trPr>
          <w:trHeight w:val="247"/>
        </w:trPr>
        <w:tc>
          <w:tcPr>
            <w:tcW w:w="6320" w:type="dxa"/>
            <w:vAlign w:val="bottom"/>
            <w:gridSpan w:val="2"/>
          </w:tcPr>
          <w:p>
            <w:pPr>
              <w:ind w:left="20"/>
              <w:spacing w:after="0"/>
              <w:rPr>
                <w:sz w:val="20"/>
                <w:szCs w:val="20"/>
                <w:color w:val="auto"/>
              </w:rPr>
            </w:pPr>
            <w:r>
              <w:rPr>
                <w:rFonts w:ascii="Arial" w:cs="Arial" w:eastAsia="Arial" w:hAnsi="Arial"/>
                <w:sz w:val="18"/>
                <w:szCs w:val="18"/>
                <w:i w:val="1"/>
                <w:iCs w:val="1"/>
                <w:color w:val="131E29"/>
              </w:rPr>
              <w:t>As a percentage of company-operated shops revenues</w:t>
            </w:r>
          </w:p>
        </w:tc>
        <w:tc>
          <w:tcPr>
            <w:tcW w:w="1200" w:type="dxa"/>
            <w:vAlign w:val="bottom"/>
          </w:tcPr>
          <w:p>
            <w:pPr>
              <w:jc w:val="center"/>
              <w:spacing w:after="0"/>
              <w:rPr>
                <w:sz w:val="20"/>
                <w:szCs w:val="20"/>
                <w:color w:val="auto"/>
              </w:rPr>
            </w:pPr>
            <w:r>
              <w:rPr>
                <w:rFonts w:ascii="Arial" w:cs="Arial" w:eastAsia="Arial" w:hAnsi="Arial"/>
                <w:sz w:val="18"/>
                <w:szCs w:val="18"/>
                <w:color w:val="006098"/>
              </w:rPr>
              <w:t>21.9%</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131E29"/>
                <w:w w:val="97"/>
              </w:rPr>
              <w:t>21.9%</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131E29"/>
                <w:w w:val="99"/>
              </w:rPr>
              <w:t>N/A</w:t>
            </w:r>
          </w:p>
        </w:tc>
        <w:tc>
          <w:tcPr>
            <w:tcW w:w="1160" w:type="dxa"/>
            <w:vAlign w:val="bottom"/>
          </w:tcPr>
          <w:p>
            <w:pPr>
              <w:jc w:val="center"/>
              <w:spacing w:after="0"/>
              <w:rPr>
                <w:sz w:val="20"/>
                <w:szCs w:val="20"/>
                <w:color w:val="auto"/>
              </w:rPr>
            </w:pPr>
            <w:r>
              <w:rPr>
                <w:rFonts w:ascii="Arial" w:cs="Arial" w:eastAsia="Arial" w:hAnsi="Arial"/>
                <w:sz w:val="18"/>
                <w:szCs w:val="18"/>
                <w:color w:val="131E29"/>
                <w:w w:val="99"/>
              </w:rPr>
              <w:t>— bps</w:t>
            </w:r>
          </w:p>
        </w:tc>
      </w:tr>
      <w:tr>
        <w:trPr>
          <w:trHeight w:val="23"/>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3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Company-operated shops contribution </w:t>
            </w:r>
            <w:r>
              <w:rPr>
                <w:rFonts w:ascii="Arial" w:cs="Arial" w:eastAsia="Arial" w:hAnsi="Arial"/>
                <w:sz w:val="23"/>
                <w:szCs w:val="23"/>
                <w:color w:val="131E29"/>
                <w:vertAlign w:val="superscript"/>
              </w:rPr>
              <w:t>1</w:t>
            </w:r>
          </w:p>
        </w:tc>
        <w:tc>
          <w:tcPr>
            <w:tcW w:w="1200" w:type="dxa"/>
            <w:vAlign w:val="bottom"/>
            <w:shd w:val="clear" w:color="auto" w:fill="D2DCE5"/>
          </w:tcPr>
          <w:p>
            <w:pPr>
              <w:jc w:val="center"/>
              <w:spacing w:after="0"/>
              <w:rPr>
                <w:sz w:val="20"/>
                <w:szCs w:val="20"/>
                <w:color w:val="auto"/>
              </w:rPr>
            </w:pPr>
            <w:r>
              <w:rPr>
                <w:rFonts w:ascii="Arial" w:cs="Arial" w:eastAsia="Arial" w:hAnsi="Arial"/>
                <w:sz w:val="18"/>
                <w:szCs w:val="18"/>
                <w:color w:val="006098"/>
                <w:w w:val="98"/>
              </w:rPr>
              <w:t>$96,065</w:t>
            </w:r>
          </w:p>
        </w:tc>
        <w:tc>
          <w:tcPr>
            <w:tcW w:w="100" w:type="dxa"/>
            <w:vAlign w:val="bottom"/>
            <w:shd w:val="clear" w:color="auto" w:fill="D2DCE5"/>
          </w:tcPr>
          <w:p>
            <w:pPr>
              <w:spacing w:after="0"/>
              <w:rPr>
                <w:sz w:val="23"/>
                <w:szCs w:val="23"/>
                <w:color w:val="auto"/>
              </w:rPr>
            </w:pPr>
          </w:p>
        </w:tc>
        <w:tc>
          <w:tcPr>
            <w:tcW w:w="1220" w:type="dxa"/>
            <w:vAlign w:val="bottom"/>
            <w:shd w:val="clear" w:color="auto" w:fill="D2DCE5"/>
          </w:tcPr>
          <w:p>
            <w:pPr>
              <w:jc w:val="center"/>
              <w:spacing w:after="0"/>
              <w:rPr>
                <w:sz w:val="20"/>
                <w:szCs w:val="20"/>
                <w:color w:val="auto"/>
              </w:rPr>
            </w:pPr>
            <w:r>
              <w:rPr>
                <w:rFonts w:ascii="Arial" w:cs="Arial" w:eastAsia="Arial" w:hAnsi="Arial"/>
                <w:sz w:val="18"/>
                <w:szCs w:val="18"/>
                <w:color w:val="131E29"/>
              </w:rPr>
              <w:t>$73,999</w:t>
            </w:r>
          </w:p>
        </w:tc>
        <w:tc>
          <w:tcPr>
            <w:tcW w:w="100" w:type="dxa"/>
            <w:vAlign w:val="bottom"/>
            <w:shd w:val="clear" w:color="auto" w:fill="D2DCE5"/>
          </w:tcPr>
          <w:p>
            <w:pPr>
              <w:spacing w:after="0"/>
              <w:rPr>
                <w:sz w:val="23"/>
                <w:szCs w:val="23"/>
                <w:color w:val="auto"/>
              </w:rPr>
            </w:pPr>
          </w:p>
        </w:tc>
        <w:tc>
          <w:tcPr>
            <w:tcW w:w="1140" w:type="dxa"/>
            <w:vAlign w:val="bottom"/>
            <w:shd w:val="clear" w:color="auto" w:fill="D2DCE5"/>
          </w:tcPr>
          <w:p>
            <w:pPr>
              <w:jc w:val="center"/>
              <w:spacing w:after="0"/>
              <w:rPr>
                <w:sz w:val="20"/>
                <w:szCs w:val="20"/>
                <w:color w:val="auto"/>
              </w:rPr>
            </w:pPr>
            <w:r>
              <w:rPr>
                <w:rFonts w:ascii="Arial" w:cs="Arial" w:eastAsia="Arial" w:hAnsi="Arial"/>
                <w:sz w:val="18"/>
                <w:szCs w:val="18"/>
                <w:color w:val="131E29"/>
              </w:rPr>
              <w:t>$22,066</w:t>
            </w:r>
          </w:p>
        </w:tc>
        <w:tc>
          <w:tcPr>
            <w:tcW w:w="1160" w:type="dxa"/>
            <w:vAlign w:val="bottom"/>
            <w:shd w:val="clear" w:color="auto" w:fill="D2DCE5"/>
          </w:tcPr>
          <w:p>
            <w:pPr>
              <w:jc w:val="center"/>
              <w:spacing w:after="0"/>
              <w:rPr>
                <w:sz w:val="20"/>
                <w:szCs w:val="20"/>
                <w:color w:val="auto"/>
              </w:rPr>
            </w:pPr>
            <w:r>
              <w:rPr>
                <w:rFonts w:ascii="Arial" w:cs="Arial" w:eastAsia="Arial" w:hAnsi="Arial"/>
                <w:sz w:val="18"/>
                <w:szCs w:val="18"/>
                <w:color w:val="131E29"/>
                <w:w w:val="97"/>
              </w:rPr>
              <w:t>29.8%</w:t>
            </w:r>
          </w:p>
        </w:tc>
      </w:tr>
      <w:tr>
        <w:trPr>
          <w:trHeight w:val="247"/>
        </w:trPr>
        <w:tc>
          <w:tcPr>
            <w:tcW w:w="6320" w:type="dxa"/>
            <w:vAlign w:val="bottom"/>
            <w:gridSpan w:val="2"/>
          </w:tcPr>
          <w:p>
            <w:pPr>
              <w:ind w:left="20"/>
              <w:spacing w:after="0"/>
              <w:rPr>
                <w:sz w:val="20"/>
                <w:szCs w:val="20"/>
                <w:color w:val="auto"/>
              </w:rPr>
            </w:pPr>
            <w:r>
              <w:rPr>
                <w:rFonts w:ascii="Arial" w:cs="Arial" w:eastAsia="Arial" w:hAnsi="Arial"/>
                <w:sz w:val="18"/>
                <w:szCs w:val="18"/>
                <w:i w:val="1"/>
                <w:iCs w:val="1"/>
                <w:color w:val="131E29"/>
              </w:rPr>
              <w:t>As a percentage of company-operated shops revenues</w:t>
            </w:r>
          </w:p>
        </w:tc>
        <w:tc>
          <w:tcPr>
            <w:tcW w:w="1200" w:type="dxa"/>
            <w:vAlign w:val="bottom"/>
          </w:tcPr>
          <w:p>
            <w:pPr>
              <w:jc w:val="center"/>
              <w:spacing w:after="0"/>
              <w:rPr>
                <w:sz w:val="20"/>
                <w:szCs w:val="20"/>
                <w:color w:val="auto"/>
              </w:rPr>
            </w:pPr>
            <w:r>
              <w:rPr>
                <w:rFonts w:ascii="Arial" w:cs="Arial" w:eastAsia="Arial" w:hAnsi="Arial"/>
                <w:sz w:val="18"/>
                <w:szCs w:val="18"/>
                <w:color w:val="006098"/>
              </w:rPr>
              <w:t>29.4%</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131E29"/>
                <w:w w:val="97"/>
              </w:rPr>
              <w:t>29.8%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131E29"/>
                <w:w w:val="99"/>
              </w:rPr>
              <w:t>N/A</w:t>
            </w:r>
          </w:p>
        </w:tc>
        <w:tc>
          <w:tcPr>
            <w:tcW w:w="1160" w:type="dxa"/>
            <w:vAlign w:val="bottom"/>
          </w:tcPr>
          <w:p>
            <w:pPr>
              <w:jc w:val="center"/>
              <w:spacing w:after="0"/>
              <w:rPr>
                <w:sz w:val="20"/>
                <w:szCs w:val="20"/>
                <w:color w:val="auto"/>
              </w:rPr>
            </w:pPr>
            <w:r>
              <w:rPr>
                <w:rFonts w:ascii="Arial" w:cs="Arial" w:eastAsia="Arial" w:hAnsi="Arial"/>
                <w:sz w:val="18"/>
                <w:szCs w:val="18"/>
                <w:color w:val="131E29"/>
                <w:w w:val="99"/>
              </w:rPr>
              <w:t>(40) bps</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131E29"/>
        </w:rPr>
        <w:t>_______________________</w:t>
      </w:r>
    </w:p>
    <w:p>
      <w:pPr>
        <w:spacing w:after="0" w:line="67" w:lineRule="exact"/>
        <w:rPr>
          <w:sz w:val="20"/>
          <w:szCs w:val="20"/>
          <w:color w:val="auto"/>
        </w:rPr>
      </w:pPr>
    </w:p>
    <w:p>
      <w:pPr>
        <w:ind w:left="180" w:hanging="172"/>
        <w:spacing w:after="0" w:line="231" w:lineRule="auto"/>
        <w:tabs>
          <w:tab w:leader="none" w:pos="174" w:val="left"/>
        </w:tabs>
        <w:numPr>
          <w:ilvl w:val="0"/>
          <w:numId w:val="22"/>
        </w:numPr>
        <w:rPr>
          <w:rFonts w:ascii="Arial" w:cs="Arial" w:eastAsia="Arial" w:hAnsi="Arial"/>
          <w:sz w:val="19"/>
          <w:szCs w:val="19"/>
          <w:color w:val="131E29"/>
          <w:vertAlign w:val="superscript"/>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2025 v. 2024</w:t>
      </w:r>
    </w:p>
    <w:p>
      <w:pPr>
        <w:spacing w:after="0" w:line="63"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131E29"/>
        </w:rPr>
        <w:t>The company-operated shops gross profit margin was flat. This was driven primarily by a 230 basis point increase due to the impact of pricing on the comparable shop base, offset by a 160 basis point decrease due to increased labor costs.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Franchising and Other Segment Performance</w:t>
      </w:r>
    </w:p>
    <w:p>
      <w:pPr>
        <w:spacing w:after="0" w:line="216"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34925</wp:posOffset>
            </wp:positionV>
            <wp:extent cx="31286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2025</w:t>
            </w:r>
          </w:p>
        </w:tc>
        <w:tc>
          <w:tcPr>
            <w:tcW w:w="100" w:type="dxa"/>
            <w:vAlign w:val="bottom"/>
            <w:tcBorders>
              <w:bottom w:val="single" w:sz="8" w:color="D2DCE5"/>
            </w:tcBorders>
          </w:tcPr>
          <w:p>
            <w:pPr>
              <w:spacing w:after="0"/>
              <w:rPr>
                <w:sz w:val="22"/>
                <w:szCs w:val="22"/>
                <w:color w:val="auto"/>
              </w:rPr>
            </w:pPr>
          </w:p>
        </w:tc>
        <w:tc>
          <w:tcPr>
            <w:tcW w:w="122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2024</w:t>
            </w:r>
          </w:p>
        </w:tc>
        <w:tc>
          <w:tcPr>
            <w:tcW w:w="100" w:type="dxa"/>
            <w:vAlign w:val="bottom"/>
            <w:tcBorders>
              <w:bottom w:val="single" w:sz="8" w:color="D2DCE5"/>
            </w:tcBorders>
          </w:tcPr>
          <w:p>
            <w:pPr>
              <w:spacing w:after="0"/>
              <w:rPr>
                <w:sz w:val="22"/>
                <w:szCs w:val="22"/>
                <w:color w:val="auto"/>
              </w:rPr>
            </w:pPr>
          </w:p>
        </w:tc>
        <w:tc>
          <w:tcPr>
            <w:tcW w:w="2300" w:type="dxa"/>
            <w:vAlign w:val="bottom"/>
            <w:tcBorders>
              <w:bottom w:val="single" w:sz="8" w:color="D7282F"/>
            </w:tcBorders>
            <w:gridSpan w:val="2"/>
          </w:tcPr>
          <w:p>
            <w:pPr>
              <w:ind w:left="620"/>
              <w:spacing w:after="0"/>
              <w:rPr>
                <w:sz w:val="20"/>
                <w:szCs w:val="20"/>
                <w:color w:val="auto"/>
              </w:rPr>
            </w:pPr>
            <w:r>
              <w:rPr>
                <w:rFonts w:ascii="Arial" w:cs="Arial" w:eastAsia="Arial" w:hAnsi="Arial"/>
                <w:sz w:val="18"/>
                <w:szCs w:val="18"/>
                <w:b w:val="1"/>
                <w:bCs w:val="1"/>
                <w:color w:val="131E29"/>
              </w:rPr>
              <w:t>2025 v. 2024</w:t>
            </w:r>
          </w:p>
        </w:tc>
      </w:tr>
      <w:tr>
        <w:trPr>
          <w:trHeight w:val="250"/>
        </w:trPr>
        <w:tc>
          <w:tcPr>
            <w:tcW w:w="63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Franchising and other revenue</w:t>
            </w:r>
          </w:p>
        </w:tc>
        <w:tc>
          <w:tcPr>
            <w:tcW w:w="12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006098"/>
                <w:w w:val="98"/>
              </w:rPr>
              <w:t>$28,731</w:t>
            </w:r>
          </w:p>
        </w:tc>
        <w:tc>
          <w:tcPr>
            <w:tcW w:w="10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rPr>
              <w:t>$27,014</w:t>
            </w:r>
          </w:p>
        </w:tc>
        <w:tc>
          <w:tcPr>
            <w:tcW w:w="10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8"/>
              </w:rPr>
              <w:t>$1,717</w:t>
            </w:r>
          </w:p>
        </w:tc>
        <w:tc>
          <w:tcPr>
            <w:tcW w:w="11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rPr>
              <w:t>6.4%</w:t>
            </w:r>
          </w:p>
        </w:tc>
      </w:tr>
      <w:tr>
        <w:trPr>
          <w:trHeight w:val="247"/>
        </w:trPr>
        <w:tc>
          <w:tcPr>
            <w:tcW w:w="6320" w:type="dxa"/>
            <w:vAlign w:val="bottom"/>
            <w:gridSpan w:val="2"/>
          </w:tcPr>
          <w:p>
            <w:pPr>
              <w:ind w:left="20"/>
              <w:spacing w:after="0"/>
              <w:rPr>
                <w:sz w:val="20"/>
                <w:szCs w:val="20"/>
                <w:color w:val="auto"/>
              </w:rPr>
            </w:pPr>
            <w:r>
              <w:rPr>
                <w:rFonts w:ascii="Arial" w:cs="Arial" w:eastAsia="Arial" w:hAnsi="Arial"/>
                <w:sz w:val="18"/>
                <w:szCs w:val="18"/>
                <w:color w:val="131E29"/>
              </w:rPr>
              <w:t>Franchising and other gross profit</w:t>
            </w:r>
          </w:p>
        </w:tc>
        <w:tc>
          <w:tcPr>
            <w:tcW w:w="1200" w:type="dxa"/>
            <w:vAlign w:val="bottom"/>
          </w:tcPr>
          <w:p>
            <w:pPr>
              <w:jc w:val="center"/>
              <w:spacing w:after="0"/>
              <w:rPr>
                <w:sz w:val="20"/>
                <w:szCs w:val="20"/>
                <w:color w:val="auto"/>
              </w:rPr>
            </w:pPr>
            <w:r>
              <w:rPr>
                <w:rFonts w:ascii="Arial" w:cs="Arial" w:eastAsia="Arial" w:hAnsi="Arial"/>
                <w:sz w:val="18"/>
                <w:szCs w:val="18"/>
                <w:color w:val="006098"/>
                <w:w w:val="98"/>
              </w:rPr>
              <w:t>$18,495</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131E29"/>
              </w:rPr>
              <w:t>$17,468</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131E29"/>
                <w:w w:val="98"/>
              </w:rPr>
              <w:t>$1,027</w:t>
            </w:r>
          </w:p>
        </w:tc>
        <w:tc>
          <w:tcPr>
            <w:tcW w:w="1180" w:type="dxa"/>
            <w:vAlign w:val="bottom"/>
          </w:tcPr>
          <w:p>
            <w:pPr>
              <w:jc w:val="center"/>
              <w:spacing w:after="0"/>
              <w:rPr>
                <w:sz w:val="20"/>
                <w:szCs w:val="20"/>
                <w:color w:val="auto"/>
              </w:rPr>
            </w:pPr>
            <w:r>
              <w:rPr>
                <w:rFonts w:ascii="Arial" w:cs="Arial" w:eastAsia="Arial" w:hAnsi="Arial"/>
                <w:sz w:val="18"/>
                <w:szCs w:val="18"/>
                <w:color w:val="131E29"/>
              </w:rPr>
              <w:t>5.9%</w:t>
            </w:r>
          </w:p>
        </w:tc>
      </w:tr>
      <w:tr>
        <w:trPr>
          <w:trHeight w:val="23"/>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7"/>
        </w:trPr>
        <w:tc>
          <w:tcPr>
            <w:tcW w:w="6320" w:type="dxa"/>
            <w:vAlign w:val="bottom"/>
            <w:gridSpan w:val="2"/>
            <w:shd w:val="clear" w:color="auto" w:fill="D2DCE5"/>
          </w:tcPr>
          <w:p>
            <w:pPr>
              <w:ind w:left="20"/>
              <w:spacing w:after="0"/>
              <w:rPr>
                <w:sz w:val="20"/>
                <w:szCs w:val="20"/>
                <w:color w:val="auto"/>
              </w:rPr>
            </w:pPr>
            <w:r>
              <w:rPr>
                <w:rFonts w:ascii="Arial" w:cs="Arial" w:eastAsia="Arial" w:hAnsi="Arial"/>
                <w:sz w:val="18"/>
                <w:szCs w:val="18"/>
                <w:i w:val="1"/>
                <w:iCs w:val="1"/>
                <w:color w:val="131E29"/>
              </w:rPr>
              <w:t>As a percentage of franchising and other revenue</w:t>
            </w:r>
          </w:p>
        </w:tc>
        <w:tc>
          <w:tcPr>
            <w:tcW w:w="1200" w:type="dxa"/>
            <w:vAlign w:val="bottom"/>
            <w:shd w:val="clear" w:color="auto" w:fill="D2DCE5"/>
          </w:tcPr>
          <w:p>
            <w:pPr>
              <w:jc w:val="center"/>
              <w:spacing w:after="0"/>
              <w:rPr>
                <w:sz w:val="20"/>
                <w:szCs w:val="20"/>
                <w:color w:val="auto"/>
              </w:rPr>
            </w:pPr>
            <w:r>
              <w:rPr>
                <w:rFonts w:ascii="Arial" w:cs="Arial" w:eastAsia="Arial" w:hAnsi="Arial"/>
                <w:sz w:val="18"/>
                <w:szCs w:val="18"/>
                <w:color w:val="006098"/>
              </w:rPr>
              <w:t>64.4%</w:t>
            </w:r>
          </w:p>
        </w:tc>
        <w:tc>
          <w:tcPr>
            <w:tcW w:w="100" w:type="dxa"/>
            <w:vAlign w:val="bottom"/>
            <w:shd w:val="clear" w:color="auto" w:fill="D2DCE5"/>
          </w:tcPr>
          <w:p>
            <w:pPr>
              <w:spacing w:after="0"/>
              <w:rPr>
                <w:sz w:val="21"/>
                <w:szCs w:val="21"/>
                <w:color w:val="auto"/>
              </w:rPr>
            </w:pPr>
          </w:p>
        </w:tc>
        <w:tc>
          <w:tcPr>
            <w:tcW w:w="1220" w:type="dxa"/>
            <w:vAlign w:val="bottom"/>
            <w:shd w:val="clear" w:color="auto" w:fill="D2DCE5"/>
          </w:tcPr>
          <w:p>
            <w:pPr>
              <w:jc w:val="center"/>
              <w:spacing w:after="0"/>
              <w:rPr>
                <w:sz w:val="20"/>
                <w:szCs w:val="20"/>
                <w:color w:val="auto"/>
              </w:rPr>
            </w:pPr>
            <w:r>
              <w:rPr>
                <w:rFonts w:ascii="Arial" w:cs="Arial" w:eastAsia="Arial" w:hAnsi="Arial"/>
                <w:sz w:val="18"/>
                <w:szCs w:val="18"/>
                <w:color w:val="131E29"/>
                <w:w w:val="97"/>
              </w:rPr>
              <w:t>64.7%</w:t>
            </w:r>
          </w:p>
        </w:tc>
        <w:tc>
          <w:tcPr>
            <w:tcW w:w="100" w:type="dxa"/>
            <w:vAlign w:val="bottom"/>
            <w:shd w:val="clear" w:color="auto" w:fill="D2DCE5"/>
          </w:tcPr>
          <w:p>
            <w:pPr>
              <w:spacing w:after="0"/>
              <w:rPr>
                <w:sz w:val="21"/>
                <w:szCs w:val="21"/>
                <w:color w:val="auto"/>
              </w:rPr>
            </w:pPr>
          </w:p>
        </w:tc>
        <w:tc>
          <w:tcPr>
            <w:tcW w:w="1120" w:type="dxa"/>
            <w:vAlign w:val="bottom"/>
            <w:shd w:val="clear" w:color="auto" w:fill="D2DCE5"/>
          </w:tcPr>
          <w:p>
            <w:pPr>
              <w:jc w:val="center"/>
              <w:spacing w:after="0"/>
              <w:rPr>
                <w:sz w:val="20"/>
                <w:szCs w:val="20"/>
                <w:color w:val="auto"/>
              </w:rPr>
            </w:pPr>
            <w:r>
              <w:rPr>
                <w:rFonts w:ascii="Arial" w:cs="Arial" w:eastAsia="Arial" w:hAnsi="Arial"/>
                <w:sz w:val="18"/>
                <w:szCs w:val="18"/>
                <w:color w:val="131E29"/>
                <w:w w:val="99"/>
              </w:rPr>
              <w:t>N/A</w:t>
            </w:r>
          </w:p>
        </w:tc>
        <w:tc>
          <w:tcPr>
            <w:tcW w:w="1180" w:type="dxa"/>
            <w:vAlign w:val="bottom"/>
            <w:shd w:val="clear" w:color="auto" w:fill="D2DCE5"/>
          </w:tcPr>
          <w:p>
            <w:pPr>
              <w:jc w:val="center"/>
              <w:spacing w:after="0"/>
              <w:rPr>
                <w:sz w:val="20"/>
                <w:szCs w:val="20"/>
                <w:color w:val="auto"/>
              </w:rPr>
            </w:pPr>
            <w:r>
              <w:rPr>
                <w:rFonts w:ascii="Arial" w:cs="Arial" w:eastAsia="Arial" w:hAnsi="Arial"/>
                <w:sz w:val="18"/>
                <w:szCs w:val="18"/>
                <w:color w:val="131E29"/>
                <w:w w:val="99"/>
              </w:rPr>
              <w:t>(30) bps</w:t>
            </w:r>
          </w:p>
        </w:tc>
      </w:tr>
      <w:tr>
        <w:trPr>
          <w:trHeight w:val="23"/>
        </w:trPr>
        <w:tc>
          <w:tcPr>
            <w:tcW w:w="62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2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2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120" w:type="dxa"/>
            <w:vAlign w:val="bottom"/>
            <w:shd w:val="clear" w:color="auto" w:fill="D2DCE5"/>
          </w:tcPr>
          <w:p>
            <w:pPr>
              <w:spacing w:after="0"/>
              <w:rPr>
                <w:sz w:val="2"/>
                <w:szCs w:val="2"/>
                <w:color w:val="auto"/>
              </w:rPr>
            </w:pPr>
          </w:p>
        </w:tc>
        <w:tc>
          <w:tcPr>
            <w:tcW w:w="1180" w:type="dxa"/>
            <w:vAlign w:val="bottom"/>
            <w:shd w:val="clear" w:color="auto" w:fill="D2DCE5"/>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2025 v. 2024</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franchising and other gross profit increase of $1.0 million was driven by newly opened franchised shops not in the comparable shop base.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Selling, General, and Administrative</w:t>
      </w:r>
    </w:p>
    <w:p>
      <w:pPr>
        <w:spacing w:after="0" w:line="229"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34925</wp:posOffset>
            </wp:positionV>
            <wp:extent cx="31286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2025</w:t>
            </w:r>
          </w:p>
        </w:tc>
        <w:tc>
          <w:tcPr>
            <w:tcW w:w="100" w:type="dxa"/>
            <w:vAlign w:val="bottom"/>
            <w:tcBorders>
              <w:bottom w:val="single" w:sz="8" w:color="D2DCE5"/>
            </w:tcBorders>
          </w:tcPr>
          <w:p>
            <w:pPr>
              <w:spacing w:after="0"/>
              <w:rPr>
                <w:sz w:val="22"/>
                <w:szCs w:val="22"/>
                <w:color w:val="auto"/>
              </w:rPr>
            </w:pPr>
          </w:p>
        </w:tc>
        <w:tc>
          <w:tcPr>
            <w:tcW w:w="122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2024</w:t>
            </w:r>
          </w:p>
        </w:tc>
        <w:tc>
          <w:tcPr>
            <w:tcW w:w="100" w:type="dxa"/>
            <w:vAlign w:val="bottom"/>
            <w:tcBorders>
              <w:bottom w:val="single" w:sz="8" w:color="D2DCE5"/>
            </w:tcBorders>
          </w:tcPr>
          <w:p>
            <w:pPr>
              <w:spacing w:after="0"/>
              <w:rPr>
                <w:sz w:val="22"/>
                <w:szCs w:val="22"/>
                <w:color w:val="auto"/>
              </w:rPr>
            </w:pPr>
          </w:p>
        </w:tc>
        <w:tc>
          <w:tcPr>
            <w:tcW w:w="2300" w:type="dxa"/>
            <w:vAlign w:val="bottom"/>
            <w:tcBorders>
              <w:bottom w:val="single" w:sz="8" w:color="D7282F"/>
            </w:tcBorders>
            <w:gridSpan w:val="2"/>
          </w:tcPr>
          <w:p>
            <w:pPr>
              <w:ind w:left="620"/>
              <w:spacing w:after="0"/>
              <w:rPr>
                <w:sz w:val="20"/>
                <w:szCs w:val="20"/>
                <w:color w:val="auto"/>
              </w:rPr>
            </w:pPr>
            <w:r>
              <w:rPr>
                <w:rFonts w:ascii="Arial" w:cs="Arial" w:eastAsia="Arial" w:hAnsi="Arial"/>
                <w:sz w:val="18"/>
                <w:szCs w:val="18"/>
                <w:b w:val="1"/>
                <w:bCs w:val="1"/>
                <w:color w:val="131E29"/>
              </w:rPr>
              <w:t>2025 v. 2024</w:t>
            </w:r>
          </w:p>
        </w:tc>
      </w:tr>
      <w:tr>
        <w:trPr>
          <w:trHeight w:val="250"/>
        </w:trPr>
        <w:tc>
          <w:tcPr>
            <w:tcW w:w="63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Selling, General, and Administrative</w:t>
            </w:r>
          </w:p>
        </w:tc>
        <w:tc>
          <w:tcPr>
            <w:tcW w:w="12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006098"/>
                <w:w w:val="98"/>
              </w:rPr>
              <w:t>$58,921</w:t>
            </w:r>
          </w:p>
        </w:tc>
        <w:tc>
          <w:tcPr>
            <w:tcW w:w="10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rPr>
              <w:t>$46,194</w:t>
            </w:r>
          </w:p>
        </w:tc>
        <w:tc>
          <w:tcPr>
            <w:tcW w:w="100" w:type="dxa"/>
            <w:vAlign w:val="bottom"/>
            <w:tcBorders>
              <w:bottom w:val="single" w:sz="8" w:color="D2DCE5"/>
            </w:tcBorders>
            <w:shd w:val="clear" w:color="auto" w:fill="D2DCE5"/>
          </w:tcPr>
          <w:p>
            <w:pPr>
              <w:spacing w:after="0"/>
              <w:rPr>
                <w:sz w:val="21"/>
                <w:szCs w:val="21"/>
                <w:color w:val="auto"/>
              </w:rPr>
            </w:pPr>
          </w:p>
        </w:tc>
        <w:tc>
          <w:tcPr>
            <w:tcW w:w="114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rPr>
              <w:t>$12,727</w:t>
            </w:r>
          </w:p>
        </w:tc>
        <w:tc>
          <w:tcPr>
            <w:tcW w:w="1160" w:type="dxa"/>
            <w:vAlign w:val="bottom"/>
            <w:tcBorders>
              <w:bottom w:val="single" w:sz="8" w:color="D2DCE5"/>
            </w:tcBorders>
            <w:shd w:val="clear" w:color="auto" w:fill="D2DCE5"/>
          </w:tcPr>
          <w:p>
            <w:pPr>
              <w:jc w:val="right"/>
              <w:ind w:right="210"/>
              <w:spacing w:after="0"/>
              <w:rPr>
                <w:sz w:val="20"/>
                <w:szCs w:val="20"/>
                <w:color w:val="auto"/>
              </w:rPr>
            </w:pPr>
            <w:r>
              <w:rPr>
                <w:rFonts w:ascii="Arial" w:cs="Arial" w:eastAsia="Arial" w:hAnsi="Arial"/>
                <w:sz w:val="18"/>
                <w:szCs w:val="18"/>
                <w:color w:val="131E29"/>
              </w:rPr>
              <w:t>27.6%</w:t>
            </w:r>
          </w:p>
        </w:tc>
      </w:tr>
      <w:tr>
        <w:trPr>
          <w:trHeight w:val="247"/>
        </w:trPr>
        <w:tc>
          <w:tcPr>
            <w:tcW w:w="6320" w:type="dxa"/>
            <w:vAlign w:val="bottom"/>
            <w:gridSpan w:val="2"/>
          </w:tcPr>
          <w:p>
            <w:pPr>
              <w:ind w:left="20"/>
              <w:spacing w:after="0"/>
              <w:rPr>
                <w:sz w:val="20"/>
                <w:szCs w:val="20"/>
                <w:color w:val="auto"/>
              </w:rPr>
            </w:pPr>
            <w:r>
              <w:rPr>
                <w:rFonts w:ascii="Arial" w:cs="Arial" w:eastAsia="Arial" w:hAnsi="Arial"/>
                <w:sz w:val="18"/>
                <w:szCs w:val="18"/>
                <w:i w:val="1"/>
                <w:iCs w:val="1"/>
                <w:color w:val="131E29"/>
              </w:rPr>
              <w:t>As a percentage of total revenues</w:t>
            </w:r>
          </w:p>
        </w:tc>
        <w:tc>
          <w:tcPr>
            <w:tcW w:w="1200" w:type="dxa"/>
            <w:vAlign w:val="bottom"/>
          </w:tcPr>
          <w:p>
            <w:pPr>
              <w:jc w:val="center"/>
              <w:spacing w:after="0"/>
              <w:rPr>
                <w:sz w:val="20"/>
                <w:szCs w:val="20"/>
                <w:color w:val="auto"/>
              </w:rPr>
            </w:pPr>
            <w:r>
              <w:rPr>
                <w:rFonts w:ascii="Arial" w:cs="Arial" w:eastAsia="Arial" w:hAnsi="Arial"/>
                <w:sz w:val="18"/>
                <w:szCs w:val="18"/>
                <w:color w:val="006098"/>
              </w:rPr>
              <w:t>16.6%</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131E29"/>
                <w:w w:val="97"/>
              </w:rPr>
              <w:t>16.8%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131E29"/>
                <w:w w:val="99"/>
              </w:rPr>
              <w:t>N/A</w:t>
            </w:r>
          </w:p>
        </w:tc>
        <w:tc>
          <w:tcPr>
            <w:tcW w:w="1160" w:type="dxa"/>
            <w:vAlign w:val="bottom"/>
          </w:tcPr>
          <w:p>
            <w:pPr>
              <w:jc w:val="center"/>
              <w:spacing w:after="0"/>
              <w:rPr>
                <w:sz w:val="20"/>
                <w:szCs w:val="20"/>
                <w:color w:val="auto"/>
              </w:rPr>
            </w:pPr>
            <w:r>
              <w:rPr>
                <w:rFonts w:ascii="Arial" w:cs="Arial" w:eastAsia="Arial" w:hAnsi="Arial"/>
                <w:sz w:val="18"/>
                <w:szCs w:val="18"/>
                <w:color w:val="131E29"/>
                <w:w w:val="99"/>
              </w:rPr>
              <w:t>(20) bps</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2025 v. 2024</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The selling, general, and administrative increase of approximately $12.7 million was primarily driven by increased expenses of $6.6 million consisting of investments in human capital to support our revenue growth and higher performance-based compensation; an increase of $2.0 million due to higher equity-based compensation; and $ 6.5 million of increased professional fees and technology services to support our growing business. These increases were partially offset by lower realignment and restructuring charges of $1.4 million and nonrecurring equity offering expenses of $1.0 million.</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Other Expense</w:t>
      </w:r>
    </w:p>
    <w:p>
      <w:pPr>
        <w:spacing w:after="0" w:line="216"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34925</wp:posOffset>
            </wp:positionV>
            <wp:extent cx="31375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96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2025</w:t>
            </w:r>
          </w:p>
        </w:tc>
        <w:tc>
          <w:tcPr>
            <w:tcW w:w="80" w:type="dxa"/>
            <w:vAlign w:val="bottom"/>
            <w:tcBorders>
              <w:bottom w:val="single" w:sz="8" w:color="D2DCE5"/>
            </w:tcBorders>
          </w:tcPr>
          <w:p>
            <w:pPr>
              <w:spacing w:after="0"/>
              <w:rPr>
                <w:sz w:val="22"/>
                <w:szCs w:val="22"/>
                <w:color w:val="auto"/>
              </w:rPr>
            </w:pPr>
          </w:p>
        </w:tc>
        <w:tc>
          <w:tcPr>
            <w:tcW w:w="280" w:type="dxa"/>
            <w:vAlign w:val="bottom"/>
            <w:tcBorders>
              <w:bottom w:val="single" w:sz="8" w:color="D7282F"/>
            </w:tcBorders>
          </w:tcPr>
          <w:p>
            <w:pPr>
              <w:spacing w:after="0"/>
              <w:rPr>
                <w:sz w:val="22"/>
                <w:szCs w:val="22"/>
                <w:color w:val="auto"/>
              </w:rPr>
            </w:pPr>
          </w:p>
        </w:tc>
        <w:tc>
          <w:tcPr>
            <w:tcW w:w="940" w:type="dxa"/>
            <w:vAlign w:val="bottom"/>
            <w:tcBorders>
              <w:bottom w:val="single" w:sz="8" w:color="D7282F"/>
            </w:tcBorders>
          </w:tcPr>
          <w:p>
            <w:pPr>
              <w:jc w:val="right"/>
              <w:ind w:right="31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20" w:type="dxa"/>
            <w:vAlign w:val="bottom"/>
            <w:tcBorders>
              <w:bottom w:val="single" w:sz="8" w:color="D7282F"/>
            </w:tcBorders>
          </w:tcPr>
          <w:p>
            <w:pPr>
              <w:spacing w:after="0"/>
              <w:rPr>
                <w:sz w:val="22"/>
                <w:szCs w:val="22"/>
                <w:color w:val="auto"/>
              </w:rPr>
            </w:pPr>
          </w:p>
        </w:tc>
        <w:tc>
          <w:tcPr>
            <w:tcW w:w="2000" w:type="dxa"/>
            <w:vAlign w:val="bottom"/>
            <w:tcBorders>
              <w:bottom w:val="single" w:sz="8" w:color="D7282F"/>
            </w:tcBorders>
            <w:gridSpan w:val="3"/>
          </w:tcPr>
          <w:p>
            <w:pPr>
              <w:ind w:left="320"/>
              <w:spacing w:after="0"/>
              <w:rPr>
                <w:sz w:val="20"/>
                <w:szCs w:val="20"/>
                <w:color w:val="auto"/>
              </w:rPr>
            </w:pPr>
            <w:r>
              <w:rPr>
                <w:rFonts w:ascii="Arial" w:cs="Arial" w:eastAsia="Arial" w:hAnsi="Arial"/>
                <w:sz w:val="18"/>
                <w:szCs w:val="18"/>
                <w:b w:val="1"/>
                <w:bCs w:val="1"/>
                <w:color w:val="131E29"/>
              </w:rPr>
              <w:t>2025 v. 2024</w:t>
            </w:r>
          </w:p>
        </w:tc>
      </w:tr>
      <w:tr>
        <w:trPr>
          <w:trHeight w:val="250"/>
        </w:trPr>
        <w:tc>
          <w:tcPr>
            <w:tcW w:w="63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Interest expense on finance leases</w:t>
            </w: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006098"/>
                <w:w w:val="9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(5,609)</w:t>
            </w: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(5,452)</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8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(157)</w:t>
            </w:r>
          </w:p>
        </w:tc>
        <w:tc>
          <w:tcPr>
            <w:tcW w:w="10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rPr>
              <w:t>2.9%</w:t>
            </w:r>
          </w:p>
        </w:tc>
      </w:tr>
      <w:tr>
        <w:trPr>
          <w:trHeight w:val="247"/>
        </w:trPr>
        <w:tc>
          <w:tcPr>
            <w:tcW w:w="6300" w:type="dxa"/>
            <w:vAlign w:val="bottom"/>
            <w:gridSpan w:val="2"/>
          </w:tcPr>
          <w:p>
            <w:pPr>
              <w:ind w:left="20"/>
              <w:spacing w:after="0"/>
              <w:rPr>
                <w:sz w:val="20"/>
                <w:szCs w:val="20"/>
                <w:color w:val="auto"/>
              </w:rPr>
            </w:pPr>
            <w:r>
              <w:rPr>
                <w:rFonts w:ascii="Arial" w:cs="Arial" w:eastAsia="Arial" w:hAnsi="Arial"/>
                <w:sz w:val="18"/>
                <w:szCs w:val="18"/>
                <w:color w:val="131E29"/>
              </w:rPr>
              <w:t>Other interest expense, net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6098"/>
              </w:rPr>
              <w:t>(1,506)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31E29"/>
              </w:rPr>
              <w:t>(941)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131E29"/>
              </w:rPr>
              <w:t>(565)</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131E29"/>
                <w:w w:val="97"/>
              </w:rPr>
              <w:t>60.0%</w:t>
            </w:r>
          </w:p>
        </w:tc>
      </w:tr>
      <w:tr>
        <w:trPr>
          <w:trHeight w:val="23"/>
        </w:trPr>
        <w:tc>
          <w:tcPr>
            <w:tcW w:w="620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96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131E29"/>
            </w:tcBorders>
          </w:tcPr>
          <w:p>
            <w:pPr>
              <w:spacing w:after="0"/>
              <w:rPr>
                <w:sz w:val="2"/>
                <w:szCs w:val="2"/>
                <w:color w:val="auto"/>
              </w:rPr>
            </w:pPr>
          </w:p>
        </w:tc>
        <w:tc>
          <w:tcPr>
            <w:tcW w:w="9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131E29"/>
            </w:tcBorders>
          </w:tcPr>
          <w:p>
            <w:pPr>
              <w:spacing w:after="0"/>
              <w:rPr>
                <w:sz w:val="2"/>
                <w:szCs w:val="2"/>
                <w:color w:val="auto"/>
              </w:rPr>
            </w:pPr>
          </w:p>
        </w:tc>
        <w:tc>
          <w:tcPr>
            <w:tcW w:w="8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100" w:type="dxa"/>
            <w:vAlign w:val="bottom"/>
            <w:tcBorders>
              <w:bottom w:val="single" w:sz="8" w:color="131E29"/>
            </w:tcBorders>
          </w:tcPr>
          <w:p>
            <w:pPr>
              <w:spacing w:after="0"/>
              <w:rPr>
                <w:sz w:val="2"/>
                <w:szCs w:val="2"/>
                <w:color w:val="auto"/>
              </w:rPr>
            </w:pPr>
          </w:p>
        </w:tc>
      </w:tr>
      <w:tr>
        <w:trPr>
          <w:trHeight w:val="243"/>
        </w:trPr>
        <w:tc>
          <w:tcPr>
            <w:tcW w:w="63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Interest expense, net</w:t>
            </w: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006098"/>
                <w:w w:val="9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(7,115)</w:t>
            </w: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(6,393)</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8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(722)</w:t>
            </w:r>
          </w:p>
        </w:tc>
        <w:tc>
          <w:tcPr>
            <w:tcW w:w="10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7"/>
              </w:rPr>
              <w:t>11.3%</w:t>
            </w:r>
          </w:p>
        </w:tc>
      </w:tr>
      <w:tr>
        <w:trPr>
          <w:trHeight w:val="247"/>
        </w:trPr>
        <w:tc>
          <w:tcPr>
            <w:tcW w:w="6300" w:type="dxa"/>
            <w:vAlign w:val="bottom"/>
            <w:gridSpan w:val="2"/>
          </w:tcPr>
          <w:p>
            <w:pPr>
              <w:ind w:left="20"/>
              <w:spacing w:after="0"/>
              <w:rPr>
                <w:sz w:val="20"/>
                <w:szCs w:val="20"/>
                <w:color w:val="auto"/>
              </w:rPr>
            </w:pPr>
            <w:r>
              <w:rPr>
                <w:rFonts w:ascii="Arial" w:cs="Arial" w:eastAsia="Arial" w:hAnsi="Arial"/>
                <w:sz w:val="18"/>
                <w:szCs w:val="18"/>
                <w:color w:val="131E29"/>
              </w:rPr>
              <w:t>Other income (expense), net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6098"/>
              </w:rPr>
              <w:t>(18)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31E29"/>
              </w:rPr>
              <w:t>5,801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131E29"/>
              </w:rPr>
              <w:t>(5,819)</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131E29"/>
              </w:rPr>
              <w:t>(100.3)%</w:t>
            </w:r>
          </w:p>
        </w:tc>
      </w:tr>
      <w:tr>
        <w:trPr>
          <w:trHeight w:val="23"/>
        </w:trPr>
        <w:tc>
          <w:tcPr>
            <w:tcW w:w="620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300" w:type="dxa"/>
            <w:vAlign w:val="bottom"/>
            <w:tcBorders>
              <w:bottom w:val="single" w:sz="8" w:color="D2DCE5"/>
            </w:tcBorders>
            <w:gridSpan w:val="2"/>
            <w:shd w:val="clear" w:color="auto" w:fill="D2DCE5"/>
          </w:tcPr>
          <w:p>
            <w:pPr>
              <w:ind w:left="240"/>
              <w:spacing w:after="0"/>
              <w:rPr>
                <w:sz w:val="20"/>
                <w:szCs w:val="20"/>
                <w:color w:val="auto"/>
              </w:rPr>
            </w:pPr>
            <w:r>
              <w:rPr>
                <w:rFonts w:ascii="Arial" w:cs="Arial" w:eastAsia="Arial" w:hAnsi="Arial"/>
                <w:sz w:val="18"/>
                <w:szCs w:val="18"/>
                <w:b w:val="1"/>
                <w:bCs w:val="1"/>
                <w:color w:val="131E29"/>
              </w:rPr>
              <w:t>Total other expense</w:t>
            </w:r>
          </w:p>
        </w:tc>
        <w:tc>
          <w:tcPr>
            <w:tcW w:w="26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b w:val="1"/>
                <w:bCs w:val="1"/>
                <w:color w:val="006098"/>
                <w:w w:val="99"/>
              </w:rPr>
              <w:t>$</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(7,133)</w:t>
            </w:r>
          </w:p>
        </w:tc>
        <w:tc>
          <w:tcPr>
            <w:tcW w:w="8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b w:val="1"/>
                <w:bCs w:val="1"/>
                <w:color w:val="131E29"/>
                <w:w w:val="99"/>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(592)</w:t>
            </w:r>
          </w:p>
        </w:tc>
        <w:tc>
          <w:tcPr>
            <w:tcW w:w="100" w:type="dxa"/>
            <w:vAlign w:val="bottom"/>
            <w:tcBorders>
              <w:bottom w:val="single" w:sz="8" w:color="D2DCE5"/>
            </w:tcBorders>
            <w:shd w:val="clear" w:color="auto" w:fill="D2DCE5"/>
          </w:tcPr>
          <w:p>
            <w:pPr>
              <w:spacing w:after="0"/>
              <w:rPr>
                <w:sz w:val="24"/>
                <w:szCs w:val="24"/>
                <w:color w:val="auto"/>
              </w:rPr>
            </w:pPr>
          </w:p>
        </w:tc>
        <w:tc>
          <w:tcPr>
            <w:tcW w:w="320" w:type="dxa"/>
            <w:vAlign w:val="bottom"/>
            <w:tcBorders>
              <w:bottom w:val="single" w:sz="8" w:color="auto"/>
            </w:tcBorders>
            <w:shd w:val="clear" w:color="auto" w:fill="D2DCE5"/>
          </w:tcPr>
          <w:p>
            <w:pPr>
              <w:jc w:val="right"/>
              <w:ind w:right="110"/>
              <w:spacing w:after="0"/>
              <w:rPr>
                <w:sz w:val="20"/>
                <w:szCs w:val="20"/>
                <w:color w:val="auto"/>
              </w:rPr>
            </w:pPr>
            <w:r>
              <w:rPr>
                <w:rFonts w:ascii="Arial" w:cs="Arial" w:eastAsia="Arial" w:hAnsi="Arial"/>
                <w:sz w:val="18"/>
                <w:szCs w:val="18"/>
                <w:b w:val="1"/>
                <w:bCs w:val="1"/>
                <w:color w:val="131E29"/>
                <w:w w:val="99"/>
              </w:rPr>
              <w:t>$</w:t>
            </w:r>
          </w:p>
        </w:tc>
        <w:tc>
          <w:tcPr>
            <w:tcW w:w="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(6,541)</w:t>
            </w:r>
          </w:p>
        </w:tc>
        <w:tc>
          <w:tcPr>
            <w:tcW w:w="100" w:type="dxa"/>
            <w:vAlign w:val="bottom"/>
            <w:tcBorders>
              <w:bottom w:val="single" w:sz="8" w:color="D2DCE5"/>
            </w:tcBorders>
            <w:shd w:val="clear" w:color="auto" w:fill="D2DCE5"/>
          </w:tcPr>
          <w:p>
            <w:pPr>
              <w:spacing w:after="0"/>
              <w:rPr>
                <w:sz w:val="24"/>
                <w:szCs w:val="24"/>
                <w:color w:val="auto"/>
              </w:rPr>
            </w:pPr>
          </w:p>
        </w:tc>
        <w:tc>
          <w:tcPr>
            <w:tcW w:w="1100" w:type="dxa"/>
            <w:vAlign w:val="bottom"/>
            <w:tcBorders>
              <w:bottom w:val="single" w:sz="8" w:color="auto"/>
            </w:tcBorders>
            <w:shd w:val="clear" w:color="auto" w:fill="D2DCE5"/>
          </w:tcPr>
          <w:p>
            <w:pPr>
              <w:ind w:left="380"/>
              <w:spacing w:after="0"/>
              <w:rPr>
                <w:sz w:val="20"/>
                <w:szCs w:val="20"/>
                <w:color w:val="auto"/>
              </w:rPr>
            </w:pPr>
            <w:r>
              <w:rPr>
                <w:rFonts w:ascii="Arial" w:cs="Arial" w:eastAsia="Arial" w:hAnsi="Arial"/>
                <w:sz w:val="18"/>
                <w:szCs w:val="18"/>
                <w:b w:val="1"/>
                <w:bCs w:val="1"/>
                <w:color w:val="131E29"/>
              </w:rPr>
              <w:t>N/M</w:t>
            </w:r>
          </w:p>
        </w:tc>
      </w:tr>
      <w:tr>
        <w:trPr>
          <w:trHeight w:val="20"/>
        </w:trPr>
        <w:tc>
          <w:tcPr>
            <w:tcW w:w="62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8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2025 v. 2024</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The increase in interest expense, net was primarily driven by higher interest expense on debt and additional interest on finance leases for new shop builds.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decrease in other income was primarily driven by remeasurement gains in the same period in the prior year related to the TRAs liability, compared to none in the latest period.</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Income Tax Expense</w:t>
      </w:r>
    </w:p>
    <w:p>
      <w:pPr>
        <w:spacing w:after="0" w:line="54"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34925</wp:posOffset>
            </wp:positionV>
            <wp:extent cx="31286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20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2025</w:t>
            </w:r>
          </w:p>
        </w:tc>
        <w:tc>
          <w:tcPr>
            <w:tcW w:w="100" w:type="dxa"/>
            <w:vAlign w:val="bottom"/>
            <w:tcBorders>
              <w:bottom w:val="single" w:sz="8" w:color="D2DCE5"/>
            </w:tcBorders>
          </w:tcPr>
          <w:p>
            <w:pPr>
              <w:spacing w:after="0"/>
              <w:rPr>
                <w:sz w:val="22"/>
                <w:szCs w:val="22"/>
                <w:color w:val="auto"/>
              </w:rPr>
            </w:pPr>
          </w:p>
        </w:tc>
        <w:tc>
          <w:tcPr>
            <w:tcW w:w="122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131E29"/>
                <w:w w:val="99"/>
              </w:rPr>
              <w:t>2024</w:t>
            </w:r>
          </w:p>
        </w:tc>
        <w:tc>
          <w:tcPr>
            <w:tcW w:w="100" w:type="dxa"/>
            <w:vAlign w:val="bottom"/>
            <w:tcBorders>
              <w:bottom w:val="single" w:sz="8" w:color="D2DCE5"/>
            </w:tcBorders>
          </w:tcPr>
          <w:p>
            <w:pPr>
              <w:spacing w:after="0"/>
              <w:rPr>
                <w:sz w:val="22"/>
                <w:szCs w:val="22"/>
                <w:color w:val="auto"/>
              </w:rPr>
            </w:pPr>
          </w:p>
        </w:tc>
        <w:tc>
          <w:tcPr>
            <w:tcW w:w="2300" w:type="dxa"/>
            <w:vAlign w:val="bottom"/>
            <w:tcBorders>
              <w:bottom w:val="single" w:sz="8" w:color="D7282F"/>
            </w:tcBorders>
            <w:gridSpan w:val="2"/>
          </w:tcPr>
          <w:p>
            <w:pPr>
              <w:ind w:left="620"/>
              <w:spacing w:after="0"/>
              <w:rPr>
                <w:sz w:val="20"/>
                <w:szCs w:val="20"/>
                <w:color w:val="auto"/>
              </w:rPr>
            </w:pPr>
            <w:r>
              <w:rPr>
                <w:rFonts w:ascii="Arial" w:cs="Arial" w:eastAsia="Arial" w:hAnsi="Arial"/>
                <w:sz w:val="18"/>
                <w:szCs w:val="18"/>
                <w:b w:val="1"/>
                <w:bCs w:val="1"/>
                <w:color w:val="131E29"/>
              </w:rPr>
              <w:t>2025 v. 2024</w:t>
            </w:r>
          </w:p>
        </w:tc>
      </w:tr>
      <w:tr>
        <w:trPr>
          <w:trHeight w:val="250"/>
        </w:trPr>
        <w:tc>
          <w:tcPr>
            <w:tcW w:w="63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w:t>
            </w:r>
          </w:p>
        </w:tc>
        <w:tc>
          <w:tcPr>
            <w:tcW w:w="12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006098"/>
              </w:rPr>
              <w:t>$1,459</w:t>
            </w:r>
          </w:p>
        </w:tc>
        <w:tc>
          <w:tcPr>
            <w:tcW w:w="10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8"/>
              </w:rPr>
              <w:t>$8,772</w:t>
            </w:r>
          </w:p>
        </w:tc>
        <w:tc>
          <w:tcPr>
            <w:tcW w:w="10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ind w:right="190"/>
              <w:spacing w:after="0"/>
              <w:rPr>
                <w:sz w:val="20"/>
                <w:szCs w:val="20"/>
                <w:color w:val="auto"/>
              </w:rPr>
            </w:pPr>
            <w:r>
              <w:rPr>
                <w:rFonts w:ascii="Arial" w:cs="Arial" w:eastAsia="Arial" w:hAnsi="Arial"/>
                <w:sz w:val="18"/>
                <w:szCs w:val="18"/>
                <w:color w:val="131E29"/>
              </w:rPr>
              <w:t>$(7,313)</w:t>
            </w:r>
          </w:p>
        </w:tc>
        <w:tc>
          <w:tcPr>
            <w:tcW w:w="114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rPr>
              <w:t>(83.4)%</w:t>
            </w:r>
          </w:p>
        </w:tc>
      </w:tr>
      <w:tr>
        <w:trPr>
          <w:trHeight w:val="247"/>
        </w:trPr>
        <w:tc>
          <w:tcPr>
            <w:tcW w:w="6320" w:type="dxa"/>
            <w:vAlign w:val="bottom"/>
            <w:gridSpan w:val="2"/>
          </w:tcPr>
          <w:p>
            <w:pPr>
              <w:ind w:left="20"/>
              <w:spacing w:after="0"/>
              <w:rPr>
                <w:sz w:val="20"/>
                <w:szCs w:val="20"/>
                <w:color w:val="auto"/>
              </w:rPr>
            </w:pPr>
            <w:r>
              <w:rPr>
                <w:rFonts w:ascii="Arial" w:cs="Arial" w:eastAsia="Arial" w:hAnsi="Arial"/>
                <w:sz w:val="18"/>
                <w:szCs w:val="18"/>
                <w:color w:val="131E29"/>
              </w:rPr>
              <w:t>Effective tax rate</w:t>
            </w:r>
          </w:p>
        </w:tc>
        <w:tc>
          <w:tcPr>
            <w:tcW w:w="1200" w:type="dxa"/>
            <w:vAlign w:val="bottom"/>
          </w:tcPr>
          <w:p>
            <w:pPr>
              <w:jc w:val="center"/>
              <w:spacing w:after="0"/>
              <w:rPr>
                <w:sz w:val="20"/>
                <w:szCs w:val="20"/>
                <w:color w:val="auto"/>
              </w:rPr>
            </w:pPr>
            <w:r>
              <w:rPr>
                <w:rFonts w:ascii="Arial" w:cs="Arial" w:eastAsia="Arial" w:hAnsi="Arial"/>
                <w:sz w:val="18"/>
                <w:szCs w:val="18"/>
                <w:color w:val="006098"/>
                <w:w w:val="97"/>
              </w:rPr>
              <w:t>6.1%</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131E29"/>
                <w:w w:val="97"/>
              </w:rPr>
              <w:t>35.1%</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131E29"/>
                <w:w w:val="99"/>
              </w:rPr>
              <w:t>N/A</w:t>
            </w:r>
          </w:p>
        </w:tc>
        <w:tc>
          <w:tcPr>
            <w:tcW w:w="1140" w:type="dxa"/>
            <w:vAlign w:val="bottom"/>
          </w:tcPr>
          <w:p>
            <w:pPr>
              <w:jc w:val="center"/>
              <w:spacing w:after="0"/>
              <w:rPr>
                <w:sz w:val="20"/>
                <w:szCs w:val="20"/>
                <w:color w:val="auto"/>
              </w:rPr>
            </w:pPr>
            <w:r>
              <w:rPr>
                <w:rFonts w:ascii="Arial" w:cs="Arial" w:eastAsia="Arial" w:hAnsi="Arial"/>
                <w:sz w:val="18"/>
                <w:szCs w:val="18"/>
                <w:color w:val="131E29"/>
              </w:rPr>
              <w:t>N/M</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2025 v. 2024</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effective tax rate for the quarter ended March 31, 2025, was 6.1%, which reflects the US federal statutory rate of 21% on pre-tax income, offset with the tax benefits of federal tax credits, income attributable to non-controlling interests, and tax deductions related to stock-based compensation.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decrease in the effective tax rate from 35.1% in the same period in 2024 is due to tax deductions related to stock-based compensation, as well as a change in state earnings mix that occurred in 2024.</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Liquidity and Capital Resources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Overview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We had cash and cash equivalents of $316.4 million and $293.4 million as of March 31, 2025 and December 31, 2024, respectively.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For the three months ended March 31, 2025, our principal sources of liquidity were cash flows from operations and our delayed draw term loan facility. Our principal uses of liquidity for the three months ended March 31, 2025 were to fund our new shop builds and other working capital needs.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our cash flows for the periods presented:</w:t>
      </w:r>
    </w:p>
    <w:p>
      <w:pPr>
        <w:spacing w:after="0" w:line="225"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34925</wp:posOffset>
            </wp:positionV>
            <wp:extent cx="32404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920" w:type="dxa"/>
            <w:vAlign w:val="bottom"/>
            <w:tcBorders>
              <w:bottom w:val="single" w:sz="8" w:color="D7282F"/>
            </w:tcBorders>
          </w:tcPr>
          <w:p>
            <w:pPr>
              <w:jc w:val="right"/>
              <w:ind w:right="290"/>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920" w:type="dxa"/>
            <w:vAlign w:val="bottom"/>
            <w:tcBorders>
              <w:bottom w:val="single" w:sz="8" w:color="D7282F"/>
            </w:tcBorders>
          </w:tcPr>
          <w:p>
            <w:pPr>
              <w:jc w:val="right"/>
              <w:ind w:right="29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40" w:type="dxa"/>
            <w:vAlign w:val="bottom"/>
            <w:tcBorders>
              <w:bottom w:val="single" w:sz="8" w:color="D7282F"/>
            </w:tcBorders>
          </w:tcPr>
          <w:p>
            <w:pPr>
              <w:spacing w:after="0"/>
              <w:rPr>
                <w:sz w:val="22"/>
                <w:szCs w:val="22"/>
                <w:color w:val="auto"/>
              </w:rPr>
            </w:pPr>
          </w:p>
        </w:tc>
        <w:tc>
          <w:tcPr>
            <w:tcW w:w="2200" w:type="dxa"/>
            <w:vAlign w:val="bottom"/>
            <w:tcBorders>
              <w:bottom w:val="single" w:sz="8" w:color="D7282F"/>
            </w:tcBorders>
            <w:gridSpan w:val="3"/>
          </w:tcPr>
          <w:p>
            <w:pPr>
              <w:ind w:left="420"/>
              <w:spacing w:after="0"/>
              <w:rPr>
                <w:sz w:val="20"/>
                <w:szCs w:val="20"/>
                <w:color w:val="auto"/>
              </w:rPr>
            </w:pPr>
            <w:r>
              <w:rPr>
                <w:rFonts w:ascii="Arial" w:cs="Arial" w:eastAsia="Arial" w:hAnsi="Arial"/>
                <w:sz w:val="18"/>
                <w:szCs w:val="18"/>
                <w:b w:val="1"/>
                <w:bCs w:val="1"/>
                <w:color w:val="131E29"/>
              </w:rPr>
              <w:t>2025 v. 2024</w:t>
            </w:r>
          </w:p>
        </w:tc>
      </w:tr>
      <w:tr>
        <w:trPr>
          <w:trHeight w:val="250"/>
        </w:trPr>
        <w:tc>
          <w:tcPr>
            <w:tcW w:w="61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cash provided by operating activities</w:t>
            </w: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006098"/>
                <w:w w:val="99"/>
              </w:rPr>
              <w:t>$</w:t>
            </w:r>
          </w:p>
        </w:tc>
        <w:tc>
          <w:tcPr>
            <w:tcW w:w="920" w:type="dxa"/>
            <w:vAlign w:val="bottom"/>
            <w:tcBorders>
              <w:bottom w:val="single" w:sz="8" w:color="D2DCE5"/>
            </w:tcBorders>
            <w:shd w:val="clear" w:color="auto" w:fill="D2DCE5"/>
          </w:tcPr>
          <w:p>
            <w:pPr>
              <w:jc w:val="center"/>
              <w:ind w:left="130"/>
              <w:spacing w:after="0"/>
              <w:rPr>
                <w:sz w:val="20"/>
                <w:szCs w:val="20"/>
                <w:color w:val="auto"/>
              </w:rPr>
            </w:pPr>
            <w:r>
              <w:rPr>
                <w:rFonts w:ascii="Arial" w:cs="Arial" w:eastAsia="Arial" w:hAnsi="Arial"/>
                <w:sz w:val="18"/>
                <w:szCs w:val="18"/>
                <w:color w:val="006098"/>
                <w:w w:val="98"/>
              </w:rPr>
              <w:t>36,884</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41,193</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(4,309)</w:t>
            </w:r>
          </w:p>
        </w:tc>
        <w:tc>
          <w:tcPr>
            <w:tcW w:w="10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8"/>
              </w:rPr>
              <w:t>(10.5)%</w:t>
            </w:r>
          </w:p>
        </w:tc>
      </w:tr>
      <w:tr>
        <w:trPr>
          <w:trHeight w:val="247"/>
        </w:trPr>
        <w:tc>
          <w:tcPr>
            <w:tcW w:w="6140" w:type="dxa"/>
            <w:vAlign w:val="bottom"/>
            <w:gridSpan w:val="2"/>
          </w:tcPr>
          <w:p>
            <w:pPr>
              <w:ind w:left="20"/>
              <w:spacing w:after="0"/>
              <w:rPr>
                <w:sz w:val="20"/>
                <w:szCs w:val="20"/>
                <w:color w:val="auto"/>
              </w:rPr>
            </w:pPr>
            <w:r>
              <w:rPr>
                <w:rFonts w:ascii="Arial" w:cs="Arial" w:eastAsia="Arial" w:hAnsi="Arial"/>
                <w:sz w:val="18"/>
                <w:szCs w:val="18"/>
                <w:color w:val="131E29"/>
              </w:rPr>
              <w:t>Net cash used in investing activities</w:t>
            </w:r>
          </w:p>
        </w:tc>
        <w:tc>
          <w:tcPr>
            <w:tcW w:w="260" w:type="dxa"/>
            <w:vAlign w:val="bottom"/>
          </w:tcPr>
          <w:p>
            <w:pPr>
              <w:spacing w:after="0"/>
              <w:rPr>
                <w:sz w:val="21"/>
                <w:szCs w:val="21"/>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006098"/>
              </w:rPr>
              <w:t>(45,528)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131E29"/>
              </w:rPr>
              <w:t>(57,462)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131E29"/>
              </w:rPr>
              <w:t>11,934</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131E29"/>
                <w:w w:val="97"/>
              </w:rPr>
              <w:t>(20.8)</w:t>
            </w:r>
          </w:p>
        </w:tc>
      </w:tr>
      <w:tr>
        <w:trPr>
          <w:trHeight w:val="2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cash provided by financing activities</w:t>
            </w:r>
          </w:p>
        </w:tc>
        <w:tc>
          <w:tcPr>
            <w:tcW w:w="26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center"/>
              <w:ind w:left="130"/>
              <w:spacing w:after="0"/>
              <w:rPr>
                <w:sz w:val="20"/>
                <w:szCs w:val="20"/>
                <w:color w:val="auto"/>
              </w:rPr>
            </w:pPr>
            <w:r>
              <w:rPr>
                <w:rFonts w:ascii="Arial" w:cs="Arial" w:eastAsia="Arial" w:hAnsi="Arial"/>
                <w:sz w:val="18"/>
                <w:szCs w:val="18"/>
                <w:color w:val="006098"/>
                <w:w w:val="98"/>
              </w:rPr>
              <w:t>31,731</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145,443</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(113,712)</w:t>
            </w:r>
          </w:p>
        </w:tc>
        <w:tc>
          <w:tcPr>
            <w:tcW w:w="10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8"/>
              </w:rPr>
              <w:t>(78.2)%</w:t>
            </w:r>
          </w:p>
        </w:tc>
      </w:tr>
      <w:tr>
        <w:trPr>
          <w:trHeight w:val="20"/>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140" w:type="dxa"/>
            <w:vAlign w:val="bottom"/>
          </w:tcPr>
          <w:p>
            <w:pPr>
              <w:ind w:left="20"/>
              <w:spacing w:after="0"/>
              <w:rPr>
                <w:sz w:val="20"/>
                <w:szCs w:val="20"/>
                <w:color w:val="auto"/>
              </w:rPr>
            </w:pPr>
            <w:r>
              <w:rPr>
                <w:rFonts w:ascii="Arial" w:cs="Arial" w:eastAsia="Arial" w:hAnsi="Arial"/>
                <w:sz w:val="18"/>
                <w:szCs w:val="18"/>
                <w:b w:val="1"/>
                <w:bCs w:val="1"/>
                <w:color w:val="131E29"/>
              </w:rPr>
              <w:t>Net increase in 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006098"/>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006098"/>
              </w:rPr>
              <w:t>23,087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131E29"/>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131E29"/>
              </w:rPr>
              <w:t>129,174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131E29"/>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131E29"/>
              </w:rPr>
              <w:t>(106,087)</w:t>
            </w: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131E29"/>
                <w:w w:val="98"/>
              </w:rPr>
              <w:t>(82.1)%</w:t>
            </w:r>
          </w:p>
        </w:tc>
      </w:tr>
      <w:tr>
        <w:trPr>
          <w:trHeight w:val="278"/>
        </w:trPr>
        <w:tc>
          <w:tcPr>
            <w:tcW w:w="61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Cash and cash equivalents at beginning of period</w:t>
            </w:r>
          </w:p>
        </w:tc>
        <w:tc>
          <w:tcPr>
            <w:tcW w:w="280" w:type="dxa"/>
            <w:vAlign w:val="bottom"/>
            <w:tcBorders>
              <w:bottom w:val="single" w:sz="8" w:color="D2DCE5"/>
            </w:tcBorders>
            <w:shd w:val="clear" w:color="auto" w:fill="D2DCE5"/>
          </w:tcPr>
          <w:p>
            <w:pPr>
              <w:spacing w:after="0"/>
              <w:rPr>
                <w:sz w:val="24"/>
                <w:szCs w:val="24"/>
                <w:color w:val="auto"/>
              </w:rPr>
            </w:pPr>
          </w:p>
        </w:tc>
        <w:tc>
          <w:tcPr>
            <w:tcW w:w="9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293,354</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D2DCE5"/>
            </w:tcBorders>
            <w:shd w:val="clear" w:color="auto" w:fill="D2DCE5"/>
          </w:tcPr>
          <w:p>
            <w:pPr>
              <w:spacing w:after="0"/>
              <w:rPr>
                <w:sz w:val="24"/>
                <w:szCs w:val="24"/>
                <w:color w:val="auto"/>
              </w:rPr>
            </w:pPr>
          </w:p>
        </w:tc>
        <w:tc>
          <w:tcPr>
            <w:tcW w:w="9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133,545</w:t>
            </w:r>
          </w:p>
        </w:tc>
        <w:tc>
          <w:tcPr>
            <w:tcW w:w="100" w:type="dxa"/>
            <w:vAlign w:val="bottom"/>
            <w:tcBorders>
              <w:bottom w:val="single" w:sz="8" w:color="D2DCE5"/>
            </w:tcBorders>
            <w:shd w:val="clear" w:color="auto" w:fill="D2DCE5"/>
          </w:tcPr>
          <w:p>
            <w:pPr>
              <w:spacing w:after="0"/>
              <w:rPr>
                <w:sz w:val="24"/>
                <w:szCs w:val="24"/>
                <w:color w:val="auto"/>
              </w:rPr>
            </w:pPr>
          </w:p>
        </w:tc>
        <w:tc>
          <w:tcPr>
            <w:tcW w:w="340" w:type="dxa"/>
            <w:vAlign w:val="bottom"/>
            <w:tcBorders>
              <w:bottom w:val="single" w:sz="8" w:color="D2DCE5"/>
            </w:tcBorders>
            <w:shd w:val="clear" w:color="auto" w:fill="D2DCE5"/>
          </w:tcPr>
          <w:p>
            <w:pPr>
              <w:spacing w:after="0"/>
              <w:rPr>
                <w:sz w:val="24"/>
                <w:szCs w:val="24"/>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159,809</w:t>
            </w:r>
          </w:p>
        </w:tc>
        <w:tc>
          <w:tcPr>
            <w:tcW w:w="100" w:type="dxa"/>
            <w:vAlign w:val="bottom"/>
            <w:tcBorders>
              <w:bottom w:val="single" w:sz="8" w:color="D2DCE5"/>
            </w:tcBorders>
            <w:shd w:val="clear" w:color="auto" w:fill="D2DCE5"/>
          </w:tcPr>
          <w:p>
            <w:pPr>
              <w:spacing w:after="0"/>
              <w:rPr>
                <w:sz w:val="24"/>
                <w:szCs w:val="24"/>
                <w:color w:val="auto"/>
              </w:rPr>
            </w:pPr>
          </w:p>
        </w:tc>
        <w:tc>
          <w:tcPr>
            <w:tcW w:w="11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7"/>
              </w:rPr>
              <w:t>119.7</w:t>
            </w:r>
          </w:p>
        </w:tc>
      </w:tr>
      <w:tr>
        <w:trPr>
          <w:trHeight w:val="263"/>
        </w:trPr>
        <w:tc>
          <w:tcPr>
            <w:tcW w:w="6140" w:type="dxa"/>
            <w:vAlign w:val="bottom"/>
          </w:tcPr>
          <w:p>
            <w:pPr>
              <w:ind w:left="20"/>
              <w:spacing w:after="0"/>
              <w:rPr>
                <w:sz w:val="20"/>
                <w:szCs w:val="20"/>
                <w:color w:val="auto"/>
              </w:rPr>
            </w:pPr>
            <w:r>
              <w:rPr>
                <w:rFonts w:ascii="Arial" w:cs="Arial" w:eastAsia="Arial" w:hAnsi="Arial"/>
                <w:sz w:val="18"/>
                <w:szCs w:val="18"/>
                <w:b w:val="1"/>
                <w:bCs w:val="1"/>
                <w:color w:val="131E29"/>
              </w:rPr>
              <w:t>Cash and cash equivalents at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006098"/>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316,441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131E29"/>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262,719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131E29"/>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53,722</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131E29"/>
                <w:w w:val="97"/>
              </w:rPr>
              <w:t>20.4%</w:t>
            </w:r>
          </w:p>
        </w:tc>
      </w:tr>
      <w:tr>
        <w:trPr>
          <w:trHeight w:val="21"/>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Operating Activities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decrease in operating activities cash flows was primarily driven by payment of higher performance-based compensation in the current period compared to the same period in the prior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Investing Activities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decrease in investing activities cash outflows was primarily driven by lower i</w:t>
      </w:r>
      <w:r>
        <w:rPr>
          <w:rFonts w:ascii="Arial" w:cs="Arial" w:eastAsia="Arial" w:hAnsi="Arial"/>
          <w:sz w:val="18"/>
          <w:szCs w:val="18"/>
          <w:color w:val="000000"/>
        </w:rPr>
        <w:t>nvestment in capital expenditures due to fewer new</w:t>
      </w:r>
      <w:r>
        <w:rPr>
          <w:rFonts w:ascii="Arial" w:cs="Arial" w:eastAsia="Arial" w:hAnsi="Arial"/>
          <w:sz w:val="18"/>
          <w:szCs w:val="18"/>
          <w:color w:val="131E29"/>
        </w:rPr>
        <w:t xml:space="preserve"> </w:t>
      </w:r>
      <w:r>
        <w:rPr>
          <w:rFonts w:ascii="Arial" w:cs="Arial" w:eastAsia="Arial" w:hAnsi="Arial"/>
          <w:sz w:val="18"/>
          <w:szCs w:val="18"/>
          <w:color w:val="000000"/>
        </w:rPr>
        <w:t>company-operated shop openings in the current period compared to the same period in the prior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Financing Activities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decrease in financing activities cash flows was primarily driven by lower proceeds received on our delayed draw term loan facility in the current period compared to the same period in the prior year.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Requirements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We believe that cash provided by operating activities and proceeds from our 2022 Credit Facility are adequate to fund our debt service requirements, lease obligations, cash distributions required by the OpCo LLC Agreement and the TRAs, and working capital obligations for at least the next 12 months.</w:t>
      </w:r>
    </w:p>
    <w:p>
      <w:pPr>
        <w:spacing w:after="0" w:line="11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131E29"/>
        </w:rPr>
        <w:t>Our future capital requirements may vary materially from period to period and will depend on many factors, primarily our expansion and growth by opening additional company-operated shops and/or reacquiring existing franchised shops. Further, the payments that we may be required to make under the TRAs may be significant. We currently expect to fund our current and long-term material capital requirements with operating cash flows and, as needed, additional proceeds from our 2022 Credit Facility, but we may also seek additional debt or equity financing. From time to time, we may explore additional financing sources which could include equity, equity</w:t>
      </w:r>
      <w:r>
        <w:rPr>
          <w:rFonts w:ascii="MS PGothic" w:cs="MS PGothic" w:eastAsia="MS PGothic" w:hAnsi="MS PGothic"/>
          <w:sz w:val="18"/>
          <w:szCs w:val="18"/>
          <w:color w:val="131E29"/>
        </w:rPr>
        <w:t>‑</w:t>
      </w:r>
      <w:r>
        <w:rPr>
          <w:rFonts w:ascii="Arial" w:cs="Arial" w:eastAsia="Arial" w:hAnsi="Arial"/>
          <w:sz w:val="18"/>
          <w:szCs w:val="18"/>
          <w:color w:val="131E29"/>
        </w:rPr>
        <w:t>linked, and debt financing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131E29"/>
        </w:rPr>
        <w:t>As of March 31, 2025, cash requirements for the following items have materially changed from our 2024 Form 10-K:</w:t>
      </w:r>
    </w:p>
    <w:p>
      <w:pPr>
        <w:spacing w:after="0" w:line="171"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131E29"/>
        </w:rPr>
      </w:pPr>
      <w:r>
        <w:rPr>
          <w:rFonts w:ascii="Arial" w:cs="Arial" w:eastAsia="Arial" w:hAnsi="Arial"/>
          <w:sz w:val="18"/>
          <w:szCs w:val="18"/>
          <w:color w:val="006098"/>
        </w:rPr>
        <w:t xml:space="preserve">Operating lease liabilities </w:t>
      </w:r>
      <w:r>
        <w:rPr>
          <w:rFonts w:ascii="Arial" w:cs="Arial" w:eastAsia="Arial" w:hAnsi="Arial"/>
          <w:sz w:val="18"/>
          <w:szCs w:val="18"/>
          <w:color w:val="131E29"/>
        </w:rPr>
        <w:t>— increased approximately $52 million from newly commenced leases.</w:t>
      </w:r>
    </w:p>
    <w:p>
      <w:pPr>
        <w:spacing w:after="0" w:line="63"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23"/>
        </w:numPr>
        <w:rPr>
          <w:rFonts w:ascii="Arial" w:cs="Arial" w:eastAsia="Arial" w:hAnsi="Arial"/>
          <w:sz w:val="18"/>
          <w:szCs w:val="18"/>
          <w:color w:val="131E29"/>
        </w:rPr>
      </w:pPr>
      <w:r>
        <w:rPr>
          <w:rFonts w:ascii="Arial" w:cs="Arial" w:eastAsia="Arial" w:hAnsi="Arial"/>
          <w:sz w:val="18"/>
          <w:szCs w:val="18"/>
          <w:color w:val="006098"/>
        </w:rPr>
        <w:t xml:space="preserve">Debt obligations </w:t>
      </w:r>
      <w:r>
        <w:rPr>
          <w:rFonts w:ascii="Arial" w:cs="Arial" w:eastAsia="Arial" w:hAnsi="Arial"/>
          <w:sz w:val="18"/>
          <w:szCs w:val="18"/>
          <w:color w:val="131E29"/>
        </w:rPr>
        <w:t>— increased approximately $46 million on a net basis primarily due to the proceeds from the delayed draw term loan</w:t>
      </w:r>
      <w:r>
        <w:rPr>
          <w:rFonts w:ascii="Arial" w:cs="Arial" w:eastAsia="Arial" w:hAnsi="Arial"/>
          <w:sz w:val="18"/>
          <w:szCs w:val="18"/>
          <w:color w:val="006098"/>
        </w:rPr>
        <w:t xml:space="preserve"> </w:t>
      </w:r>
      <w:r>
        <w:rPr>
          <w:rFonts w:ascii="Arial" w:cs="Arial" w:eastAsia="Arial" w:hAnsi="Arial"/>
          <w:sz w:val="18"/>
          <w:szCs w:val="18"/>
          <w:color w:val="131E29"/>
        </w:rPr>
        <w:t>under our 2022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Credit Facility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JPMorgan Credit Facility</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On August 4, 2023, we amended our senior secured credit facility, dated February 28, 2022 with JPMorgan Chase Bank, N.A. (as amended, the 2022 Credit Facility) to increase borrowing capacity by $150 million to a total of $650 million. The 2022 Credit Facility consists of a $350 million revolving credit facility, a term loan facility of up to $100 million, and a delayed draw term loan facility of up to $200 million. The 2022 Credit Facility also includes sublimits for letters of credit and swingline loans of up to $50 million and $15 million, respectively. The 2022 Credit Facility expires on February 28, 2027 (the Maturity Date).</w:t>
      </w:r>
    </w:p>
    <w:p>
      <w:pPr>
        <w:spacing w:after="0" w:line="1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On February 20, 2024 and February 4, 2025, we drew $150 million and $50 million on our delayed draw term loan facility before these portions expired on February 28, 2024 and February 4, 2025, respectively.</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Interest on borrowings under the 2022 Credit Facility is based on (a) the Alternate Base Rate plus an applicable margin, or (b) the Adjusted Term SOFR plus an applicable margin, and is payable in accordance with the selected interest rate period (at least quarterly) and upon maturity. Principal payments for the term loans are required on a quarterly basis in accordance with an amortization schedule up through and including the Maturity Date.</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Obligations under the 2022 Credit Facility are guaranteed by each of Dutch Bros Inc.’s subsidiaries, and secured by a first priority perfected security interest in substantially all of the assets of the guarantors.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Interest Rate Swap Contract</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have an interest rate swap with JPMorgan Chase Bank, N.A. As of March 31, 2025, the interest rate swap had a notional amount of approximately $63 million and hedges interest rate risk on the term loan under the 2022 Credit Facility. The purpose of the floating-to-fixed interest rate swap is to fix the interest base rate charged on the term loan at 2.67% for the notional amount. The interest rate swap matures on February 28, 2027.</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See NOTE 9 — Debt and NOTE 10 — Derivative Financial Instruments for additional details related to our 2022 Credit Facility and interest rate swap contract.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Seasonality</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Our business is subject to seasonal fluctuations that impact our revenue and company-operated shops gross profit margins. We typically experience higher nominal system sales in the summer months, which impacts revenue and company-operated shops gross profit margins in the second and third quarters of our fiscal year.</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Critical Accounting Estimates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The methods, assumptions, and estimates that we use in applying our accounting policies may require us to apply judgments regarding matters that are inherently uncertain. We consider an accounting policy to be a critical estimate if: (1) we must make assumptions that were uncertain when the judgment was made, and (2) changes in the assumptions, or selection of a different methodology, could have a significant impact on our financial position and the results that we report in our condensed consolidated financial statements. While we believe that our estimates, assumptions, and judgments are reasonable, they are based on information available when the estimate was made.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131E29"/>
        </w:rPr>
        <w:t>There have been no material changes to our critical accounting estimates from those disclosed in our 2024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Non-GAAP Financial Measures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Our non-GAAP financial measures reflect adjustments based on one or more of the following items, as well as the related income tax effects where applicable. Income tax effects have been calculated based on the combined total non-GAAP adjustments using our total effective tax rate. These non-GAAP financial measures should not be considered a substitute for, or superior to, financial measures calculated in accordance with GAAP, and the financial results calculated in accordance with GAAP and reconciliations from these results should be carefully evaluated.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Segment contribution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Definition and/or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131E29"/>
        </w:rPr>
        <w:t>Segment gross profit, before depreciation and amortization.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This non-GAAP measure is used by our management in making performance decisions without the impact of non-cash depreciation and amortization charges. This is a standard metric used across our industry by investors.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EBITDA, Adjusted EBITDA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EBITDA — definition and/or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131E29"/>
        </w:rPr>
        <w:t>Net income before interest expense (net of interest income), income tax expense, and depreciation and amortization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Adjusted EBITDA — definition and/or calculation</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Defined as EBITDA, excluding equity-based compensation, expenses associated with equity offerings, executives transitions costs, (gain) loss on the remeasurement of the liability related to the TRAs, and organization realignment and restructuring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These non-GAAP measures are supplemental operating performance measures we believe facilitate comparisons to historical performance and competitors’ operating results. We believe these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Adjusted selling, general, and administrative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Definition and/or calculation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Selling, general, and administrative expenses, excluding depreciation and amortization, equity-based compensation expense, expenses associated with equity offerings, executive transitions costs, and organization realignment and restructuring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This non-GAAP measure is used as a supplemental measure of operating performance that we believe is useful to evaluate our performance period over period and relative to our competitors. We believe the non-GAAP measure presented provides investors with a supplemental view of our operating performance that facilitates analysis and comparisons of our ongoing business operations because it excludes items that may not be indicative of our ongoing operating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Non-GAAP adjustments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Below are the definitions of the non-GAAP adjustments that are used in the calculation of our non-GAAP measures, as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Equity-based compensation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Non-cash expenses related to the grant and vesting of stock awards, including RSAs, RSUs and PSUs, in Dutch Bros Inc. to certain eligible 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Expenses associated with equity offerings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Costs incurred as a result of our equity offerings, including secondary offerings by our Sponsor. These costs include, but are not limited to, legal fees, consulting fees, tax fees, and accounting fees.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Executive transitions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Employee severance and related benefit costs, as well as sign-on bonus(es) for several executive-level transitions occurring in 2022 and 2023, and amortized through the first quarter of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TRAs remeasurements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131E29"/>
        </w:rPr>
        <w:t>(Gain) loss impacts related to adjustments of our TRAs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Organization realignment and restructuring</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Fees and costs, including consulting, employee-related and other costs, in connection with our comprehensive initiative to develop and implement a long-term strategy involving changes to our organizational structure to support our growth. This initiative resulted in realignment activities that occurred in 2023, and restructuring activities that commenced in 2024, and were substantially completed in March 2025. Given this strategic initiative's magnitude and scope, we do not expect such costs will recur in the foreseeable future, and do not consider such costs reflective of the ongoing costs necessary to operate our business.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following are reconciliations of the most comparable GAAP metric to non-GAAP metrics (presented in dollars and as a percentage of revenue):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(dollars in thousands; unaudited)</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Company-operated shops gross profit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Depreciation and amortization</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131E29"/>
        </w:rPr>
        <w:t>Company-operated shops contribution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26657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380" w:type="dxa"/>
            <w:vAlign w:val="bottom"/>
            <w:tcBorders>
              <w:bottom w:val="single" w:sz="8" w:color="D7282F"/>
            </w:tcBorders>
            <w:gridSpan w:val="3"/>
          </w:tcPr>
          <w:p>
            <w:pPr>
              <w:ind w:left="820"/>
              <w:spacing w:after="0"/>
              <w:rPr>
                <w:sz w:val="20"/>
                <w:szCs w:val="20"/>
                <w:color w:val="auto"/>
              </w:rPr>
            </w:pPr>
            <w:r>
              <w:rPr>
                <w:rFonts w:ascii="Arial" w:cs="Arial" w:eastAsia="Arial" w:hAnsi="Arial"/>
                <w:sz w:val="18"/>
                <w:szCs w:val="18"/>
                <w:b w:val="1"/>
                <w:bCs w:val="1"/>
                <w:color w:val="131E29"/>
              </w:rPr>
              <w:t>2025</w:t>
            </w:r>
          </w:p>
        </w:tc>
        <w:tc>
          <w:tcPr>
            <w:tcW w:w="680" w:type="dxa"/>
            <w:vAlign w:val="bottom"/>
            <w:tcBorders>
              <w:bottom w:val="single" w:sz="8" w:color="D7282F"/>
            </w:tcBorders>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tcBorders>
              <w:bottom w:val="single" w:sz="8" w:color="D7282F"/>
            </w:tcBorders>
            <w:gridSpan w:val="3"/>
          </w:tcPr>
          <w:p>
            <w:pPr>
              <w:ind w:left="840"/>
              <w:spacing w:after="0"/>
              <w:rPr>
                <w:sz w:val="20"/>
                <w:szCs w:val="20"/>
                <w:color w:val="auto"/>
              </w:rPr>
            </w:pPr>
            <w:r>
              <w:rPr>
                <w:rFonts w:ascii="Arial" w:cs="Arial" w:eastAsia="Arial" w:hAnsi="Arial"/>
                <w:sz w:val="18"/>
                <w:szCs w:val="18"/>
                <w:b w:val="1"/>
                <w:bCs w:val="1"/>
                <w:color w:val="131E29"/>
              </w:rPr>
              <w:t>2024</w:t>
            </w:r>
          </w:p>
        </w:tc>
        <w:tc>
          <w:tcPr>
            <w:tcW w:w="660" w:type="dxa"/>
            <w:vAlign w:val="bottom"/>
            <w:tcBorders>
              <w:bottom w:val="single" w:sz="8" w:color="D7282F"/>
            </w:tcBorders>
          </w:tcPr>
          <w:p>
            <w:pPr>
              <w:spacing w:after="0"/>
              <w:rPr>
                <w:sz w:val="22"/>
                <w:szCs w:val="22"/>
                <w:color w:val="auto"/>
              </w:rPr>
            </w:pPr>
          </w:p>
        </w:tc>
      </w:tr>
      <w:tr>
        <w:trPr>
          <w:trHeight w:val="263"/>
        </w:trPr>
        <w:tc>
          <w:tcPr>
            <w:tcW w:w="1100" w:type="dxa"/>
            <w:vAlign w:val="bottom"/>
            <w:tcBorders>
              <w:bottom w:val="single" w:sz="8" w:color="D7282F"/>
            </w:tcBorders>
          </w:tcPr>
          <w:p>
            <w:pPr>
              <w:ind w:left="50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180" w:type="dxa"/>
            <w:vAlign w:val="bottom"/>
            <w:tcBorders>
              <w:bottom w:val="single" w:sz="8" w:color="D7282F"/>
            </w:tcBorders>
          </w:tcPr>
          <w:p>
            <w:pPr>
              <w:spacing w:after="0"/>
              <w:rPr>
                <w:sz w:val="22"/>
                <w:szCs w:val="22"/>
                <w:color w:val="auto"/>
              </w:rPr>
            </w:pPr>
          </w:p>
        </w:tc>
        <w:tc>
          <w:tcPr>
            <w:tcW w:w="680" w:type="dxa"/>
            <w:vAlign w:val="bottom"/>
            <w:tcBorders>
              <w:bottom w:val="single" w:sz="8" w:color="D7282F"/>
            </w:tcBorders>
          </w:tcPr>
          <w:p>
            <w:pPr>
              <w:jc w:val="right"/>
              <w:ind w:right="270"/>
              <w:spacing w:after="0"/>
              <w:rPr>
                <w:sz w:val="20"/>
                <w:szCs w:val="20"/>
                <w:color w:val="auto"/>
              </w:rPr>
            </w:pPr>
            <w:r>
              <w:rPr>
                <w:rFonts w:ascii="Arial" w:cs="Arial" w:eastAsia="Arial" w:hAnsi="Arial"/>
                <w:sz w:val="18"/>
                <w:szCs w:val="18"/>
                <w:b w:val="1"/>
                <w:bCs w:val="1"/>
                <w:color w:val="131E29"/>
              </w:rPr>
              <w:t>%</w:t>
            </w:r>
          </w:p>
        </w:tc>
        <w:tc>
          <w:tcPr>
            <w:tcW w:w="80" w:type="dxa"/>
            <w:vAlign w:val="bottom"/>
          </w:tcPr>
          <w:p>
            <w:pPr>
              <w:spacing w:after="0"/>
              <w:rPr>
                <w:sz w:val="22"/>
                <w:szCs w:val="22"/>
                <w:color w:val="auto"/>
              </w:rPr>
            </w:pPr>
          </w:p>
        </w:tc>
        <w:tc>
          <w:tcPr>
            <w:tcW w:w="1120" w:type="dxa"/>
            <w:vAlign w:val="bottom"/>
            <w:tcBorders>
              <w:bottom w:val="single" w:sz="8" w:color="D7282F"/>
            </w:tcBorders>
          </w:tcPr>
          <w:p>
            <w:pPr>
              <w:ind w:left="520"/>
              <w:spacing w:after="0"/>
              <w:rPr>
                <w:sz w:val="20"/>
                <w:szCs w:val="20"/>
                <w:color w:val="auto"/>
              </w:rPr>
            </w:pPr>
            <w:r>
              <w:rPr>
                <w:rFonts w:ascii="Arial" w:cs="Arial" w:eastAsia="Arial" w:hAnsi="Arial"/>
                <w:sz w:val="18"/>
                <w:szCs w:val="18"/>
                <w:b w:val="1"/>
                <w:bCs w:val="1"/>
                <w:color w:val="131E29"/>
              </w:rPr>
              <w:t>$</w:t>
            </w:r>
          </w:p>
        </w:tc>
        <w:tc>
          <w:tcPr>
            <w:tcW w:w="80" w:type="dxa"/>
            <w:vAlign w:val="bottom"/>
          </w:tcPr>
          <w:p>
            <w:pPr>
              <w:spacing w:after="0"/>
              <w:rPr>
                <w:sz w:val="22"/>
                <w:szCs w:val="22"/>
                <w:color w:val="auto"/>
              </w:rPr>
            </w:pPr>
          </w:p>
        </w:tc>
        <w:tc>
          <w:tcPr>
            <w:tcW w:w="200" w:type="dxa"/>
            <w:vAlign w:val="bottom"/>
            <w:tcBorders>
              <w:bottom w:val="single" w:sz="8" w:color="D7282F"/>
            </w:tcBorders>
          </w:tcPr>
          <w:p>
            <w:pPr>
              <w:spacing w:after="0"/>
              <w:rPr>
                <w:sz w:val="22"/>
                <w:szCs w:val="22"/>
                <w:color w:val="auto"/>
              </w:rPr>
            </w:pPr>
          </w:p>
        </w:tc>
        <w:tc>
          <w:tcPr>
            <w:tcW w:w="660" w:type="dxa"/>
            <w:vAlign w:val="bottom"/>
            <w:tcBorders>
              <w:bottom w:val="single" w:sz="8" w:color="D7282F"/>
            </w:tcBorders>
          </w:tcPr>
          <w:p>
            <w:pPr>
              <w:jc w:val="right"/>
              <w:ind w:right="250"/>
              <w:spacing w:after="0"/>
              <w:rPr>
                <w:sz w:val="20"/>
                <w:szCs w:val="20"/>
                <w:color w:val="auto"/>
              </w:rPr>
            </w:pPr>
            <w:r>
              <w:rPr>
                <w:rFonts w:ascii="Arial" w:cs="Arial" w:eastAsia="Arial" w:hAnsi="Arial"/>
                <w:sz w:val="18"/>
                <w:szCs w:val="18"/>
                <w:b w:val="1"/>
                <w:bCs w:val="1"/>
                <w:color w:val="131E29"/>
              </w:rPr>
              <w:t>%</w:t>
            </w:r>
          </w:p>
        </w:tc>
      </w:tr>
      <w:tr>
        <w:trPr>
          <w:trHeight w:val="255"/>
        </w:trPr>
        <w:tc>
          <w:tcPr>
            <w:tcW w:w="1100" w:type="dxa"/>
            <w:vAlign w:val="bottom"/>
          </w:tcPr>
          <w:p>
            <w:pPr>
              <w:ind w:left="480"/>
              <w:spacing w:after="0"/>
              <w:rPr>
                <w:sz w:val="20"/>
                <w:szCs w:val="20"/>
                <w:color w:val="auto"/>
              </w:rPr>
            </w:pPr>
            <w:r>
              <w:rPr>
                <w:rFonts w:ascii="Arial" w:cs="Arial" w:eastAsia="Arial" w:hAnsi="Arial"/>
                <w:sz w:val="18"/>
                <w:szCs w:val="18"/>
                <w:b w:val="1"/>
                <w:bCs w:val="1"/>
                <w:color w:val="006098"/>
              </w:rPr>
              <w:t>71,498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006098"/>
              </w:rPr>
              <w:t>21.9</w:t>
            </w:r>
          </w:p>
        </w:tc>
        <w:tc>
          <w:tcPr>
            <w:tcW w:w="80" w:type="dxa"/>
            <w:vAlign w:val="bottom"/>
          </w:tcPr>
          <w:p>
            <w:pPr>
              <w:spacing w:after="0"/>
              <w:rPr>
                <w:sz w:val="22"/>
                <w:szCs w:val="22"/>
                <w:color w:val="auto"/>
              </w:rPr>
            </w:pPr>
          </w:p>
        </w:tc>
        <w:tc>
          <w:tcPr>
            <w:tcW w:w="1120" w:type="dxa"/>
            <w:vAlign w:val="bottom"/>
          </w:tcPr>
          <w:p>
            <w:pPr>
              <w:ind w:left="480"/>
              <w:spacing w:after="0"/>
              <w:rPr>
                <w:sz w:val="20"/>
                <w:szCs w:val="20"/>
                <w:color w:val="auto"/>
              </w:rPr>
            </w:pPr>
            <w:r>
              <w:rPr>
                <w:rFonts w:ascii="Arial" w:cs="Arial" w:eastAsia="Arial" w:hAnsi="Arial"/>
                <w:sz w:val="18"/>
                <w:szCs w:val="18"/>
                <w:b w:val="1"/>
                <w:bCs w:val="1"/>
                <w:color w:val="131E29"/>
              </w:rPr>
              <w:t>54,305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131E29"/>
              </w:rPr>
              <w:t>21.9</w:t>
            </w:r>
          </w:p>
        </w:tc>
      </w:tr>
      <w:tr>
        <w:trPr>
          <w:trHeight w:val="262"/>
        </w:trPr>
        <w:tc>
          <w:tcPr>
            <w:tcW w:w="1100" w:type="dxa"/>
            <w:vAlign w:val="bottom"/>
          </w:tcPr>
          <w:p>
            <w:pPr>
              <w:ind w:left="480"/>
              <w:spacing w:after="0"/>
              <w:rPr>
                <w:sz w:val="20"/>
                <w:szCs w:val="20"/>
                <w:color w:val="auto"/>
              </w:rPr>
            </w:pPr>
            <w:r>
              <w:rPr>
                <w:rFonts w:ascii="Arial" w:cs="Arial" w:eastAsia="Arial" w:hAnsi="Arial"/>
                <w:sz w:val="18"/>
                <w:szCs w:val="18"/>
                <w:color w:val="006098"/>
              </w:rPr>
              <w:t>24,567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006098"/>
              </w:rPr>
              <w:t>7.5</w:t>
            </w:r>
          </w:p>
        </w:tc>
        <w:tc>
          <w:tcPr>
            <w:tcW w:w="80" w:type="dxa"/>
            <w:vAlign w:val="bottom"/>
          </w:tcPr>
          <w:p>
            <w:pPr>
              <w:spacing w:after="0"/>
              <w:rPr>
                <w:sz w:val="22"/>
                <w:szCs w:val="22"/>
                <w:color w:val="auto"/>
              </w:rPr>
            </w:pPr>
          </w:p>
        </w:tc>
        <w:tc>
          <w:tcPr>
            <w:tcW w:w="1120" w:type="dxa"/>
            <w:vAlign w:val="bottom"/>
          </w:tcPr>
          <w:p>
            <w:pPr>
              <w:ind w:left="480"/>
              <w:spacing w:after="0"/>
              <w:rPr>
                <w:sz w:val="20"/>
                <w:szCs w:val="20"/>
                <w:color w:val="auto"/>
              </w:rPr>
            </w:pPr>
            <w:r>
              <w:rPr>
                <w:rFonts w:ascii="Arial" w:cs="Arial" w:eastAsia="Arial" w:hAnsi="Arial"/>
                <w:sz w:val="18"/>
                <w:szCs w:val="18"/>
                <w:color w:val="131E29"/>
              </w:rPr>
              <w:t>19,694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131E29"/>
              </w:rPr>
              <w:t>7.9</w:t>
            </w:r>
          </w:p>
        </w:tc>
      </w:tr>
      <w:tr>
        <w:trPr>
          <w:trHeight w:val="23"/>
        </w:trPr>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11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006098"/>
              </w:rPr>
              <w:t>96,065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29.4</w:t>
            </w:r>
          </w:p>
        </w:tc>
        <w:tc>
          <w:tcPr>
            <w:tcW w:w="80" w:type="dxa"/>
            <w:vAlign w:val="bottom"/>
          </w:tcPr>
          <w:p>
            <w:pPr>
              <w:spacing w:after="0"/>
              <w:rPr>
                <w:sz w:val="22"/>
                <w:szCs w:val="22"/>
                <w:color w:val="auto"/>
              </w:rPr>
            </w:pPr>
          </w:p>
        </w:tc>
        <w:tc>
          <w:tcPr>
            <w:tcW w:w="112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131E29"/>
              </w:rPr>
              <w:t>73,999</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29.8</w:t>
            </w:r>
          </w:p>
        </w:tc>
      </w:tr>
      <w:tr>
        <w:trPr>
          <w:trHeight w:val="27"/>
        </w:trPr>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-213995</wp:posOffset>
            </wp:positionV>
            <wp:extent cx="7132320" cy="1968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-565150</wp:posOffset>
            </wp:positionV>
            <wp:extent cx="7132320" cy="180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72"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26657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57" w:lineRule="exact"/>
        <w:rPr>
          <w:sz w:val="20"/>
          <w:szCs w:val="20"/>
          <w:color w:val="auto"/>
        </w:rPr>
      </w:pPr>
    </w:p>
    <w:p>
      <w:pPr>
        <w:ind w:left="820"/>
        <w:spacing w:after="0"/>
        <w:tabs>
          <w:tab w:leader="none" w:pos="2960" w:val="left"/>
        </w:tabs>
        <w:rPr>
          <w:sz w:val="20"/>
          <w:szCs w:val="20"/>
          <w:color w:val="auto"/>
        </w:rPr>
      </w:pPr>
      <w:r>
        <w:rPr>
          <w:rFonts w:ascii="Arial" w:cs="Arial" w:eastAsia="Arial" w:hAnsi="Arial"/>
          <w:sz w:val="18"/>
          <w:szCs w:val="18"/>
          <w:b w:val="1"/>
          <w:bCs w:val="1"/>
          <w:color w:val="131E29"/>
        </w:rPr>
        <w:t>2025</w:t>
      </w:r>
      <w:r>
        <w:rPr>
          <w:sz w:val="20"/>
          <w:szCs w:val="20"/>
          <w:color w:val="auto"/>
        </w:rPr>
        <w:tab/>
      </w:r>
      <w:r>
        <w:rPr>
          <w:rFonts w:ascii="Arial" w:cs="Arial" w:eastAsia="Arial" w:hAnsi="Arial"/>
          <w:sz w:val="18"/>
          <w:szCs w:val="18"/>
          <w:b w:val="1"/>
          <w:bCs w:val="1"/>
          <w:color w:val="131E29"/>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26657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6320" w:space="720"/>
            <w:col w:w="420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55"/>
        </w:trPr>
        <w:tc>
          <w:tcPr>
            <w:tcW w:w="69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100" w:type="dxa"/>
            <w:vAlign w:val="bottom"/>
            <w:tcBorders>
              <w:bottom w:val="single" w:sz="8" w:color="D7282F"/>
            </w:tcBorders>
          </w:tcPr>
          <w:p>
            <w:pPr>
              <w:jc w:val="right"/>
              <w:ind w:right="41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860" w:type="dxa"/>
            <w:vAlign w:val="bottom"/>
            <w:tcBorders>
              <w:bottom w:val="single" w:sz="8" w:color="D7282F"/>
            </w:tcBorders>
          </w:tcPr>
          <w:p>
            <w:pPr>
              <w:jc w:val="right"/>
              <w:ind w:right="27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1120" w:type="dxa"/>
            <w:vAlign w:val="bottom"/>
            <w:tcBorders>
              <w:bottom w:val="single" w:sz="8" w:color="D7282F"/>
            </w:tcBorders>
          </w:tcPr>
          <w:p>
            <w:pPr>
              <w:jc w:val="right"/>
              <w:ind w:right="41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860" w:type="dxa"/>
            <w:vAlign w:val="bottom"/>
            <w:tcBorders>
              <w:bottom w:val="single" w:sz="8" w:color="D7282F"/>
            </w:tcBorders>
          </w:tcPr>
          <w:p>
            <w:pPr>
              <w:jc w:val="right"/>
              <w:ind w:right="250"/>
              <w:spacing w:after="0"/>
              <w:rPr>
                <w:sz w:val="20"/>
                <w:szCs w:val="20"/>
                <w:color w:val="auto"/>
              </w:rPr>
            </w:pPr>
            <w:r>
              <w:rPr>
                <w:rFonts w:ascii="Arial" w:cs="Arial" w:eastAsia="Arial" w:hAnsi="Arial"/>
                <w:sz w:val="18"/>
                <w:szCs w:val="18"/>
                <w:b w:val="1"/>
                <w:bCs w:val="1"/>
                <w:color w:val="131E29"/>
              </w:rPr>
              <w:t>%</w:t>
            </w:r>
          </w:p>
        </w:tc>
      </w:tr>
      <w:tr>
        <w:trPr>
          <w:trHeight w:val="270"/>
        </w:trPr>
        <w:tc>
          <w:tcPr>
            <w:tcW w:w="704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Franchising and other gross profit</w:t>
            </w: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18,495</w:t>
            </w:r>
          </w:p>
        </w:tc>
        <w:tc>
          <w:tcPr>
            <w:tcW w:w="10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64.4</w:t>
            </w:r>
          </w:p>
        </w:tc>
        <w:tc>
          <w:tcPr>
            <w:tcW w:w="80" w:type="dxa"/>
            <w:vAlign w:val="bottom"/>
            <w:shd w:val="clear" w:color="auto" w:fill="D2DCE5"/>
          </w:tcPr>
          <w:p>
            <w:pPr>
              <w:spacing w:after="0"/>
              <w:rPr>
                <w:sz w:val="23"/>
                <w:szCs w:val="23"/>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17,468</w:t>
            </w:r>
          </w:p>
        </w:tc>
        <w:tc>
          <w:tcPr>
            <w:tcW w:w="8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64.7</w:t>
            </w:r>
          </w:p>
        </w:tc>
      </w:tr>
      <w:tr>
        <w:trPr>
          <w:trHeight w:val="247"/>
        </w:trPr>
        <w:tc>
          <w:tcPr>
            <w:tcW w:w="7040" w:type="dxa"/>
            <w:vAlign w:val="bottom"/>
            <w:gridSpan w:val="2"/>
          </w:tcPr>
          <w:p>
            <w:pPr>
              <w:ind w:left="180"/>
              <w:spacing w:after="0"/>
              <w:rPr>
                <w:sz w:val="20"/>
                <w:szCs w:val="20"/>
                <w:color w:val="auto"/>
              </w:rPr>
            </w:pPr>
            <w:r>
              <w:rPr>
                <w:rFonts w:ascii="Arial" w:cs="Arial" w:eastAsia="Arial" w:hAnsi="Arial"/>
                <w:sz w:val="18"/>
                <w:szCs w:val="18"/>
                <w:color w:val="131E29"/>
              </w:rPr>
              <w:t>Depreciation and amortization</w:t>
            </w:r>
          </w:p>
        </w:tc>
        <w:tc>
          <w:tcPr>
            <w:tcW w:w="1100" w:type="dxa"/>
            <w:vAlign w:val="bottom"/>
          </w:tcPr>
          <w:p>
            <w:pPr>
              <w:jc w:val="right"/>
              <w:spacing w:after="0"/>
              <w:rPr>
                <w:sz w:val="20"/>
                <w:szCs w:val="20"/>
                <w:color w:val="auto"/>
              </w:rPr>
            </w:pPr>
            <w:r>
              <w:rPr>
                <w:rFonts w:ascii="Arial" w:cs="Arial" w:eastAsia="Arial" w:hAnsi="Arial"/>
                <w:sz w:val="18"/>
                <w:szCs w:val="18"/>
                <w:color w:val="006098"/>
              </w:rPr>
              <w:t>1,461</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6098"/>
              </w:rPr>
              <w:t>5.1</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1,295</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4.8</w:t>
            </w:r>
          </w:p>
        </w:tc>
      </w:tr>
      <w:tr>
        <w:trPr>
          <w:trHeight w:val="23"/>
        </w:trPr>
        <w:tc>
          <w:tcPr>
            <w:tcW w:w="69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70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Franchising and other contribution</w:t>
            </w: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19,956</w:t>
            </w:r>
          </w:p>
        </w:tc>
        <w:tc>
          <w:tcPr>
            <w:tcW w:w="100" w:type="dxa"/>
            <w:vAlign w:val="bottom"/>
            <w:tcBorders>
              <w:bottom w:val="single" w:sz="8" w:color="D2DCE5"/>
            </w:tcBorders>
            <w:shd w:val="clear" w:color="auto" w:fill="D2DCE5"/>
          </w:tcPr>
          <w:p>
            <w:pPr>
              <w:spacing w:after="0"/>
              <w:rPr>
                <w:sz w:val="24"/>
                <w:szCs w:val="24"/>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69.5</w:t>
            </w:r>
          </w:p>
        </w:tc>
        <w:tc>
          <w:tcPr>
            <w:tcW w:w="80" w:type="dxa"/>
            <w:vAlign w:val="bottom"/>
            <w:tcBorders>
              <w:bottom w:val="single" w:sz="8" w:color="D2DCE5"/>
            </w:tcBorders>
            <w:shd w:val="clear" w:color="auto" w:fill="D2DCE5"/>
          </w:tcPr>
          <w:p>
            <w:pPr>
              <w:spacing w:after="0"/>
              <w:rPr>
                <w:sz w:val="24"/>
                <w:szCs w:val="24"/>
                <w:color w:val="auto"/>
              </w:rPr>
            </w:pPr>
          </w:p>
        </w:tc>
        <w:tc>
          <w:tcPr>
            <w:tcW w:w="1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18,763</w:t>
            </w:r>
          </w:p>
        </w:tc>
        <w:tc>
          <w:tcPr>
            <w:tcW w:w="80" w:type="dxa"/>
            <w:vAlign w:val="bottom"/>
            <w:tcBorders>
              <w:bottom w:val="single" w:sz="8" w:color="D2DCE5"/>
            </w:tcBorders>
            <w:shd w:val="clear" w:color="auto" w:fill="D2DCE5"/>
          </w:tcPr>
          <w:p>
            <w:pPr>
              <w:spacing w:after="0"/>
              <w:rPr>
                <w:sz w:val="24"/>
                <w:szCs w:val="24"/>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69.5</w:t>
            </w:r>
          </w:p>
        </w:tc>
      </w:tr>
      <w:tr>
        <w:trPr>
          <w:trHeight w:val="20"/>
        </w:trPr>
        <w:tc>
          <w:tcPr>
            <w:tcW w:w="69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8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1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86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60" w:type="dxa"/>
            <w:vAlign w:val="bottom"/>
            <w:tcBorders>
              <w:bottom w:val="single" w:sz="8" w:color="D7282F"/>
            </w:tcBorders>
            <w:gridSpan w:val="8"/>
          </w:tcPr>
          <w:p>
            <w:pPr>
              <w:jc w:val="right"/>
              <w:ind w:right="120"/>
              <w:spacing w:after="0"/>
              <w:rPr>
                <w:sz w:val="20"/>
                <w:szCs w:val="20"/>
                <w:color w:val="auto"/>
              </w:rPr>
            </w:pPr>
            <w:r>
              <w:rPr>
                <w:rFonts w:ascii="Arial" w:cs="Arial" w:eastAsia="Arial" w:hAnsi="Arial"/>
                <w:sz w:val="18"/>
                <w:szCs w:val="18"/>
                <w:b w:val="1"/>
                <w:bCs w:val="1"/>
                <w:color w:val="131E29"/>
              </w:rPr>
              <w:t>Three Months Ended March 31,</w:t>
            </w:r>
          </w:p>
        </w:tc>
        <w:tc>
          <w:tcPr>
            <w:tcW w:w="640" w:type="dxa"/>
            <w:vAlign w:val="bottom"/>
            <w:tcBorders>
              <w:bottom w:val="single" w:sz="8" w:color="D7282F"/>
            </w:tcBorders>
          </w:tcPr>
          <w:p>
            <w:pPr>
              <w:spacing w:after="0"/>
              <w:rPr>
                <w:sz w:val="22"/>
                <w:szCs w:val="22"/>
                <w:color w:val="auto"/>
              </w:rPr>
            </w:pPr>
          </w:p>
        </w:tc>
      </w:tr>
      <w:tr>
        <w:trPr>
          <w:trHeight w:val="263"/>
        </w:trPr>
        <w:tc>
          <w:tcPr>
            <w:tcW w:w="6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bottom w:val="single" w:sz="8" w:color="D7282F"/>
            </w:tcBorders>
            <w:gridSpan w:val="3"/>
          </w:tcPr>
          <w:p>
            <w:pPr>
              <w:jc w:val="right"/>
              <w:ind w:right="160"/>
              <w:spacing w:after="0"/>
              <w:rPr>
                <w:sz w:val="20"/>
                <w:szCs w:val="20"/>
                <w:color w:val="auto"/>
              </w:rPr>
            </w:pPr>
            <w:r>
              <w:rPr>
                <w:rFonts w:ascii="Arial" w:cs="Arial" w:eastAsia="Arial" w:hAnsi="Arial"/>
                <w:sz w:val="18"/>
                <w:szCs w:val="18"/>
                <w:b w:val="1"/>
                <w:bCs w:val="1"/>
                <w:color w:val="131E29"/>
              </w:rPr>
              <w:t>2025</w:t>
            </w:r>
          </w:p>
        </w:tc>
        <w:tc>
          <w:tcPr>
            <w:tcW w:w="680" w:type="dxa"/>
            <w:vAlign w:val="bottom"/>
            <w:tcBorders>
              <w:bottom w:val="single" w:sz="8" w:color="D7282F"/>
            </w:tcBorders>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Borders>
              <w:bottom w:val="single" w:sz="8" w:color="D7282F"/>
            </w:tcBorders>
            <w:gridSpan w:val="3"/>
          </w:tcPr>
          <w:p>
            <w:pPr>
              <w:jc w:val="right"/>
              <w:ind w:right="180"/>
              <w:spacing w:after="0"/>
              <w:rPr>
                <w:sz w:val="20"/>
                <w:szCs w:val="20"/>
                <w:color w:val="auto"/>
              </w:rPr>
            </w:pPr>
            <w:r>
              <w:rPr>
                <w:rFonts w:ascii="Arial" w:cs="Arial" w:eastAsia="Arial" w:hAnsi="Arial"/>
                <w:sz w:val="18"/>
                <w:szCs w:val="18"/>
                <w:b w:val="1"/>
                <w:bCs w:val="1"/>
                <w:color w:val="131E29"/>
              </w:rPr>
              <w:t>2024</w:t>
            </w:r>
          </w:p>
        </w:tc>
        <w:tc>
          <w:tcPr>
            <w:tcW w:w="640" w:type="dxa"/>
            <w:vAlign w:val="bottom"/>
            <w:tcBorders>
              <w:bottom w:val="single" w:sz="8" w:color="D7282F"/>
            </w:tcBorders>
          </w:tcPr>
          <w:p>
            <w:pPr>
              <w:spacing w:after="0"/>
              <w:rPr>
                <w:sz w:val="22"/>
                <w:szCs w:val="22"/>
                <w:color w:val="auto"/>
              </w:rPr>
            </w:pPr>
          </w:p>
        </w:tc>
      </w:tr>
      <w:tr>
        <w:trPr>
          <w:trHeight w:val="263"/>
        </w:trPr>
        <w:tc>
          <w:tcPr>
            <w:tcW w:w="69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100" w:type="dxa"/>
            <w:vAlign w:val="bottom"/>
            <w:tcBorders>
              <w:bottom w:val="single" w:sz="8" w:color="D7282F"/>
            </w:tcBorders>
          </w:tcPr>
          <w:p>
            <w:pPr>
              <w:jc w:val="right"/>
              <w:ind w:right="41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80" w:type="dxa"/>
            <w:vAlign w:val="bottom"/>
            <w:tcBorders>
              <w:bottom w:val="single" w:sz="8" w:color="D7282F"/>
            </w:tcBorders>
          </w:tcPr>
          <w:p>
            <w:pPr>
              <w:spacing w:after="0"/>
              <w:rPr>
                <w:sz w:val="22"/>
                <w:szCs w:val="22"/>
                <w:color w:val="auto"/>
              </w:rPr>
            </w:pPr>
          </w:p>
        </w:tc>
        <w:tc>
          <w:tcPr>
            <w:tcW w:w="680" w:type="dxa"/>
            <w:vAlign w:val="bottom"/>
            <w:tcBorders>
              <w:bottom w:val="single" w:sz="8" w:color="D7282F"/>
            </w:tcBorders>
          </w:tcPr>
          <w:p>
            <w:pPr>
              <w:jc w:val="right"/>
              <w:ind w:right="27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1120" w:type="dxa"/>
            <w:vAlign w:val="bottom"/>
            <w:tcBorders>
              <w:bottom w:val="single" w:sz="8" w:color="D7282F"/>
            </w:tcBorders>
          </w:tcPr>
          <w:p>
            <w:pPr>
              <w:jc w:val="right"/>
              <w:ind w:right="41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220" w:type="dxa"/>
            <w:vAlign w:val="bottom"/>
            <w:tcBorders>
              <w:bottom w:val="single" w:sz="8" w:color="D7282F"/>
            </w:tcBorders>
          </w:tcPr>
          <w:p>
            <w:pPr>
              <w:spacing w:after="0"/>
              <w:rPr>
                <w:sz w:val="22"/>
                <w:szCs w:val="22"/>
                <w:color w:val="auto"/>
              </w:rPr>
            </w:pPr>
          </w:p>
        </w:tc>
        <w:tc>
          <w:tcPr>
            <w:tcW w:w="640" w:type="dxa"/>
            <w:vAlign w:val="bottom"/>
            <w:tcBorders>
              <w:bottom w:val="single" w:sz="8" w:color="D7282F"/>
            </w:tcBorders>
          </w:tcPr>
          <w:p>
            <w:pPr>
              <w:jc w:val="right"/>
              <w:ind w:right="250"/>
              <w:spacing w:after="0"/>
              <w:rPr>
                <w:sz w:val="20"/>
                <w:szCs w:val="20"/>
                <w:color w:val="auto"/>
              </w:rPr>
            </w:pPr>
            <w:r>
              <w:rPr>
                <w:rFonts w:ascii="Arial" w:cs="Arial" w:eastAsia="Arial" w:hAnsi="Arial"/>
                <w:sz w:val="18"/>
                <w:szCs w:val="18"/>
                <w:b w:val="1"/>
                <w:bCs w:val="1"/>
                <w:color w:val="131E29"/>
              </w:rPr>
              <w:t>%</w:t>
            </w:r>
          </w:p>
        </w:tc>
      </w:tr>
      <w:tr>
        <w:trPr>
          <w:trHeight w:val="270"/>
        </w:trPr>
        <w:tc>
          <w:tcPr>
            <w:tcW w:w="704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Net income</w:t>
            </w: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22,480</w:t>
            </w:r>
          </w:p>
        </w:tc>
        <w:tc>
          <w:tcPr>
            <w:tcW w:w="100" w:type="dxa"/>
            <w:vAlign w:val="bottom"/>
            <w:shd w:val="clear" w:color="auto" w:fill="D2DCE5"/>
          </w:tcPr>
          <w:p>
            <w:pPr>
              <w:spacing w:after="0"/>
              <w:rPr>
                <w:sz w:val="23"/>
                <w:szCs w:val="23"/>
                <w:color w:val="auto"/>
              </w:rPr>
            </w:pPr>
          </w:p>
        </w:tc>
        <w:tc>
          <w:tcPr>
            <w:tcW w:w="180" w:type="dxa"/>
            <w:vAlign w:val="bottom"/>
            <w:shd w:val="clear" w:color="auto" w:fill="D2DCE5"/>
          </w:tcPr>
          <w:p>
            <w:pPr>
              <w:spacing w:after="0"/>
              <w:rPr>
                <w:sz w:val="23"/>
                <w:szCs w:val="23"/>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6.3</w:t>
            </w:r>
          </w:p>
        </w:tc>
        <w:tc>
          <w:tcPr>
            <w:tcW w:w="1200" w:type="dxa"/>
            <w:vAlign w:val="bottom"/>
            <w:gridSpan w:val="2"/>
            <w:shd w:val="clear" w:color="auto" w:fill="D2DCE5"/>
          </w:tcPr>
          <w:p>
            <w:pPr>
              <w:jc w:val="right"/>
              <w:spacing w:after="0"/>
              <w:rPr>
                <w:sz w:val="20"/>
                <w:szCs w:val="20"/>
                <w:color w:val="auto"/>
              </w:rPr>
            </w:pPr>
            <w:r>
              <w:rPr>
                <w:rFonts w:ascii="Arial" w:cs="Arial" w:eastAsia="Arial" w:hAnsi="Arial"/>
                <w:sz w:val="18"/>
                <w:szCs w:val="18"/>
                <w:b w:val="1"/>
                <w:bCs w:val="1"/>
                <w:color w:val="131E29"/>
              </w:rPr>
              <w:t>16,215</w:t>
            </w:r>
          </w:p>
        </w:tc>
        <w:tc>
          <w:tcPr>
            <w:tcW w:w="8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6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5.9</w:t>
            </w:r>
          </w:p>
        </w:tc>
      </w:tr>
      <w:tr>
        <w:trPr>
          <w:trHeight w:val="247"/>
        </w:trPr>
        <w:tc>
          <w:tcPr>
            <w:tcW w:w="7040" w:type="dxa"/>
            <w:vAlign w:val="bottom"/>
            <w:gridSpan w:val="2"/>
          </w:tcPr>
          <w:p>
            <w:pPr>
              <w:ind w:left="180"/>
              <w:spacing w:after="0"/>
              <w:rPr>
                <w:sz w:val="20"/>
                <w:szCs w:val="20"/>
                <w:color w:val="auto"/>
              </w:rPr>
            </w:pPr>
            <w:r>
              <w:rPr>
                <w:rFonts w:ascii="Arial" w:cs="Arial" w:eastAsia="Arial" w:hAnsi="Arial"/>
                <w:sz w:val="18"/>
                <w:szCs w:val="18"/>
                <w:color w:val="131E29"/>
              </w:rPr>
              <w:t>Depreciation and amortization</w:t>
            </w:r>
          </w:p>
        </w:tc>
        <w:tc>
          <w:tcPr>
            <w:tcW w:w="1100" w:type="dxa"/>
            <w:vAlign w:val="bottom"/>
          </w:tcPr>
          <w:p>
            <w:pPr>
              <w:jc w:val="right"/>
              <w:spacing w:after="0"/>
              <w:rPr>
                <w:sz w:val="20"/>
                <w:szCs w:val="20"/>
                <w:color w:val="auto"/>
              </w:rPr>
            </w:pPr>
            <w:r>
              <w:rPr>
                <w:rFonts w:ascii="Arial" w:cs="Arial" w:eastAsia="Arial" w:hAnsi="Arial"/>
                <w:sz w:val="18"/>
                <w:szCs w:val="18"/>
                <w:color w:val="006098"/>
              </w:rPr>
              <w:t>26,430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006098"/>
              </w:rPr>
              <w:t>7.4</w:t>
            </w:r>
          </w:p>
        </w:tc>
        <w:tc>
          <w:tcPr>
            <w:tcW w:w="1200" w:type="dxa"/>
            <w:vAlign w:val="bottom"/>
            <w:gridSpan w:val="2"/>
          </w:tcPr>
          <w:p>
            <w:pPr>
              <w:jc w:val="right"/>
              <w:spacing w:after="0"/>
              <w:rPr>
                <w:sz w:val="20"/>
                <w:szCs w:val="20"/>
                <w:color w:val="auto"/>
              </w:rPr>
            </w:pPr>
            <w:r>
              <w:rPr>
                <w:rFonts w:ascii="Arial" w:cs="Arial" w:eastAsia="Arial" w:hAnsi="Arial"/>
                <w:sz w:val="18"/>
                <w:szCs w:val="18"/>
                <w:color w:val="131E29"/>
              </w:rPr>
              <w:t>21,253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131E29"/>
              </w:rPr>
              <w:t>7.7</w:t>
            </w:r>
          </w:p>
        </w:tc>
      </w:tr>
      <w:tr>
        <w:trPr>
          <w:trHeight w:val="23"/>
        </w:trPr>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0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Interest expense, net</w:t>
            </w: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7,115</w:t>
            </w:r>
          </w:p>
        </w:tc>
        <w:tc>
          <w:tcPr>
            <w:tcW w:w="100" w:type="dxa"/>
            <w:vAlign w:val="bottom"/>
            <w:tcBorders>
              <w:bottom w:val="single" w:sz="8" w:color="D2DCE5"/>
            </w:tcBorders>
            <w:shd w:val="clear" w:color="auto" w:fill="D2DCE5"/>
          </w:tcPr>
          <w:p>
            <w:pPr>
              <w:spacing w:after="0"/>
              <w:rPr>
                <w:sz w:val="21"/>
                <w:szCs w:val="21"/>
                <w:color w:val="auto"/>
              </w:rPr>
            </w:pPr>
          </w:p>
        </w:tc>
        <w:tc>
          <w:tcPr>
            <w:tcW w:w="18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2.1</w:t>
            </w:r>
          </w:p>
        </w:tc>
        <w:tc>
          <w:tcPr>
            <w:tcW w:w="120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6,393</w:t>
            </w:r>
          </w:p>
        </w:tc>
        <w:tc>
          <w:tcPr>
            <w:tcW w:w="8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w:t>
            </w:r>
          </w:p>
        </w:tc>
      </w:tr>
      <w:tr>
        <w:trPr>
          <w:trHeight w:val="247"/>
        </w:trPr>
        <w:tc>
          <w:tcPr>
            <w:tcW w:w="7040" w:type="dxa"/>
            <w:vAlign w:val="bottom"/>
            <w:gridSpan w:val="2"/>
          </w:tcPr>
          <w:p>
            <w:pPr>
              <w:ind w:left="180"/>
              <w:spacing w:after="0"/>
              <w:rPr>
                <w:sz w:val="20"/>
                <w:szCs w:val="20"/>
                <w:color w:val="auto"/>
              </w:rPr>
            </w:pPr>
            <w:r>
              <w:rPr>
                <w:rFonts w:ascii="Arial" w:cs="Arial" w:eastAsia="Arial" w:hAnsi="Arial"/>
                <w:sz w:val="18"/>
                <w:szCs w:val="18"/>
                <w:color w:val="131E29"/>
              </w:rPr>
              <w:t>Income tax expense</w:t>
            </w:r>
          </w:p>
        </w:tc>
        <w:tc>
          <w:tcPr>
            <w:tcW w:w="1100" w:type="dxa"/>
            <w:vAlign w:val="bottom"/>
          </w:tcPr>
          <w:p>
            <w:pPr>
              <w:jc w:val="right"/>
              <w:spacing w:after="0"/>
              <w:rPr>
                <w:sz w:val="20"/>
                <w:szCs w:val="20"/>
                <w:color w:val="auto"/>
              </w:rPr>
            </w:pPr>
            <w:r>
              <w:rPr>
                <w:rFonts w:ascii="Arial" w:cs="Arial" w:eastAsia="Arial" w:hAnsi="Arial"/>
                <w:sz w:val="18"/>
                <w:szCs w:val="18"/>
                <w:color w:val="006098"/>
              </w:rPr>
              <w:t>1,459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006098"/>
              </w:rPr>
              <w:t>0.4</w:t>
            </w:r>
          </w:p>
        </w:tc>
        <w:tc>
          <w:tcPr>
            <w:tcW w:w="1200" w:type="dxa"/>
            <w:vAlign w:val="bottom"/>
            <w:gridSpan w:val="2"/>
          </w:tcPr>
          <w:p>
            <w:pPr>
              <w:jc w:val="right"/>
              <w:spacing w:after="0"/>
              <w:rPr>
                <w:sz w:val="20"/>
                <w:szCs w:val="20"/>
                <w:color w:val="auto"/>
              </w:rPr>
            </w:pPr>
            <w:r>
              <w:rPr>
                <w:rFonts w:ascii="Arial" w:cs="Arial" w:eastAsia="Arial" w:hAnsi="Arial"/>
                <w:sz w:val="18"/>
                <w:szCs w:val="18"/>
                <w:color w:val="131E29"/>
              </w:rPr>
              <w:t>8,772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131E29"/>
              </w:rPr>
              <w:t>3.2</w:t>
            </w:r>
          </w:p>
        </w:tc>
      </w:tr>
      <w:tr>
        <w:trPr>
          <w:trHeight w:val="23"/>
        </w:trPr>
        <w:tc>
          <w:tcPr>
            <w:tcW w:w="69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80" w:type="dxa"/>
            <w:vAlign w:val="bottom"/>
            <w:tcBorders>
              <w:bottom w:val="single" w:sz="8" w:color="131E29"/>
            </w:tcBorders>
          </w:tcPr>
          <w:p>
            <w:pPr>
              <w:spacing w:after="0"/>
              <w:rPr>
                <w:sz w:val="2"/>
                <w:szCs w:val="2"/>
                <w:color w:val="auto"/>
              </w:rPr>
            </w:pPr>
          </w:p>
        </w:tc>
        <w:tc>
          <w:tcPr>
            <w:tcW w:w="68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640" w:type="dxa"/>
            <w:vAlign w:val="bottom"/>
            <w:tcBorders>
              <w:bottom w:val="single" w:sz="8" w:color="131E29"/>
            </w:tcBorders>
          </w:tcPr>
          <w:p>
            <w:pPr>
              <w:spacing w:after="0"/>
              <w:rPr>
                <w:sz w:val="2"/>
                <w:szCs w:val="2"/>
                <w:color w:val="auto"/>
              </w:rPr>
            </w:pPr>
          </w:p>
        </w:tc>
      </w:tr>
      <w:tr>
        <w:trPr>
          <w:trHeight w:val="263"/>
        </w:trPr>
        <w:tc>
          <w:tcPr>
            <w:tcW w:w="7040" w:type="dxa"/>
            <w:vAlign w:val="bottom"/>
            <w:gridSpan w:val="2"/>
            <w:shd w:val="clear" w:color="auto" w:fill="D2DCE5"/>
          </w:tcPr>
          <w:p>
            <w:pPr>
              <w:ind w:left="360"/>
              <w:spacing w:after="0"/>
              <w:rPr>
                <w:sz w:val="20"/>
                <w:szCs w:val="20"/>
                <w:color w:val="auto"/>
              </w:rPr>
            </w:pPr>
            <w:r>
              <w:rPr>
                <w:rFonts w:ascii="Arial" w:cs="Arial" w:eastAsia="Arial" w:hAnsi="Arial"/>
                <w:sz w:val="18"/>
                <w:szCs w:val="18"/>
                <w:b w:val="1"/>
                <w:bCs w:val="1"/>
                <w:color w:val="131E29"/>
              </w:rPr>
              <w:t>EBITDA</w:t>
            </w: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57,484</w:t>
            </w:r>
          </w:p>
        </w:tc>
        <w:tc>
          <w:tcPr>
            <w:tcW w:w="100" w:type="dxa"/>
            <w:vAlign w:val="bottom"/>
            <w:shd w:val="clear" w:color="auto" w:fill="D2DCE5"/>
          </w:tcPr>
          <w:p>
            <w:pPr>
              <w:spacing w:after="0"/>
              <w:rPr>
                <w:sz w:val="22"/>
                <w:szCs w:val="22"/>
                <w:color w:val="auto"/>
              </w:rPr>
            </w:pPr>
          </w:p>
        </w:tc>
        <w:tc>
          <w:tcPr>
            <w:tcW w:w="180" w:type="dxa"/>
            <w:vAlign w:val="bottom"/>
            <w:tcBorders>
              <w:bottom w:val="single" w:sz="8" w:color="131E29"/>
            </w:tcBorders>
            <w:shd w:val="clear" w:color="auto" w:fill="D2DCE5"/>
          </w:tcPr>
          <w:p>
            <w:pPr>
              <w:spacing w:after="0"/>
              <w:rPr>
                <w:sz w:val="22"/>
                <w:szCs w:val="22"/>
                <w:color w:val="auto"/>
              </w:rPr>
            </w:pPr>
          </w:p>
        </w:tc>
        <w:tc>
          <w:tcPr>
            <w:tcW w:w="68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16.2</w:t>
            </w:r>
          </w:p>
        </w:tc>
        <w:tc>
          <w:tcPr>
            <w:tcW w:w="80" w:type="dxa"/>
            <w:vAlign w:val="bottom"/>
            <w:shd w:val="clear" w:color="auto" w:fill="D2DCE5"/>
          </w:tcPr>
          <w:p>
            <w:pPr>
              <w:spacing w:after="0"/>
              <w:rPr>
                <w:sz w:val="22"/>
                <w:szCs w:val="22"/>
                <w:color w:val="auto"/>
              </w:rPr>
            </w:pPr>
          </w:p>
        </w:tc>
        <w:tc>
          <w:tcPr>
            <w:tcW w:w="1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52,633</w:t>
            </w:r>
          </w:p>
        </w:tc>
        <w:tc>
          <w:tcPr>
            <w:tcW w:w="80" w:type="dxa"/>
            <w:vAlign w:val="bottom"/>
            <w:shd w:val="clear" w:color="auto" w:fill="D2DCE5"/>
          </w:tcPr>
          <w:p>
            <w:pPr>
              <w:spacing w:after="0"/>
              <w:rPr>
                <w:sz w:val="22"/>
                <w:szCs w:val="22"/>
                <w:color w:val="auto"/>
              </w:rPr>
            </w:pPr>
          </w:p>
        </w:tc>
        <w:tc>
          <w:tcPr>
            <w:tcW w:w="220" w:type="dxa"/>
            <w:vAlign w:val="bottom"/>
            <w:tcBorders>
              <w:bottom w:val="single" w:sz="8" w:color="131E29"/>
            </w:tcBorders>
            <w:shd w:val="clear" w:color="auto" w:fill="D2DCE5"/>
          </w:tcPr>
          <w:p>
            <w:pPr>
              <w:spacing w:after="0"/>
              <w:rPr>
                <w:sz w:val="22"/>
                <w:szCs w:val="22"/>
                <w:color w:val="auto"/>
              </w:rPr>
            </w:pPr>
          </w:p>
        </w:tc>
        <w:tc>
          <w:tcPr>
            <w:tcW w:w="64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19.1</w:t>
            </w:r>
          </w:p>
        </w:tc>
      </w:tr>
      <w:tr>
        <w:trPr>
          <w:trHeight w:val="241"/>
        </w:trPr>
        <w:tc>
          <w:tcPr>
            <w:tcW w:w="7040" w:type="dxa"/>
            <w:vAlign w:val="bottom"/>
            <w:gridSpan w:val="2"/>
          </w:tcPr>
          <w:p>
            <w:pPr>
              <w:ind w:left="180"/>
              <w:spacing w:after="0"/>
              <w:rPr>
                <w:sz w:val="20"/>
                <w:szCs w:val="20"/>
                <w:color w:val="auto"/>
              </w:rPr>
            </w:pPr>
            <w:r>
              <w:rPr>
                <w:rFonts w:ascii="Arial" w:cs="Arial" w:eastAsia="Arial" w:hAnsi="Arial"/>
                <w:sz w:val="18"/>
                <w:szCs w:val="18"/>
                <w:color w:val="131E29"/>
              </w:rPr>
              <w:t>Equity-based compensation</w:t>
            </w:r>
          </w:p>
        </w:tc>
        <w:tc>
          <w:tcPr>
            <w:tcW w:w="1100" w:type="dxa"/>
            <w:vAlign w:val="bottom"/>
          </w:tcPr>
          <w:p>
            <w:pPr>
              <w:jc w:val="right"/>
              <w:spacing w:after="0"/>
              <w:rPr>
                <w:sz w:val="20"/>
                <w:szCs w:val="20"/>
                <w:color w:val="auto"/>
              </w:rPr>
            </w:pPr>
            <w:r>
              <w:rPr>
                <w:rFonts w:ascii="Arial" w:cs="Arial" w:eastAsia="Arial" w:hAnsi="Arial"/>
                <w:sz w:val="18"/>
                <w:szCs w:val="18"/>
                <w:color w:val="006098"/>
              </w:rPr>
              <w:t>4,194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006098"/>
              </w:rPr>
              <w:t>1.2</w:t>
            </w:r>
          </w:p>
        </w:tc>
        <w:tc>
          <w:tcPr>
            <w:tcW w:w="1200" w:type="dxa"/>
            <w:vAlign w:val="bottom"/>
            <w:gridSpan w:val="2"/>
          </w:tcPr>
          <w:p>
            <w:pPr>
              <w:jc w:val="right"/>
              <w:spacing w:after="0"/>
              <w:rPr>
                <w:sz w:val="20"/>
                <w:szCs w:val="20"/>
                <w:color w:val="auto"/>
              </w:rPr>
            </w:pPr>
            <w:r>
              <w:rPr>
                <w:rFonts w:ascii="Arial" w:cs="Arial" w:eastAsia="Arial" w:hAnsi="Arial"/>
                <w:sz w:val="18"/>
                <w:szCs w:val="18"/>
                <w:color w:val="131E29"/>
              </w:rPr>
              <w:t>1,933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131E29"/>
              </w:rPr>
              <w:t>0.7</w:t>
            </w:r>
          </w:p>
        </w:tc>
      </w:tr>
      <w:tr>
        <w:trPr>
          <w:trHeight w:val="23"/>
        </w:trPr>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04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Expenses associated with equity offerings</w:t>
            </w:r>
          </w:p>
        </w:tc>
        <w:tc>
          <w:tcPr>
            <w:tcW w:w="1380" w:type="dxa"/>
            <w:vAlign w:val="bottom"/>
            <w:gridSpan w:val="3"/>
            <w:shd w:val="clear" w:color="auto" w:fill="D2DCE5"/>
          </w:tcPr>
          <w:p>
            <w:pPr>
              <w:jc w:val="right"/>
              <w:ind w:right="340"/>
              <w:spacing w:after="0"/>
              <w:rPr>
                <w:sz w:val="20"/>
                <w:szCs w:val="20"/>
                <w:color w:val="auto"/>
              </w:rPr>
            </w:pPr>
            <w:r>
              <w:rPr>
                <w:rFonts w:ascii="Arial" w:cs="Arial" w:eastAsia="Arial" w:hAnsi="Arial"/>
                <w:sz w:val="18"/>
                <w:szCs w:val="18"/>
                <w:color w:val="131E29"/>
              </w:rPr>
              <w:t>—</w:t>
            </w:r>
          </w:p>
        </w:tc>
        <w:tc>
          <w:tcPr>
            <w:tcW w:w="68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w:t>
            </w:r>
          </w:p>
        </w:tc>
        <w:tc>
          <w:tcPr>
            <w:tcW w:w="80" w:type="dxa"/>
            <w:vAlign w:val="bottom"/>
            <w:shd w:val="clear" w:color="auto" w:fill="DBDBDB"/>
          </w:tcPr>
          <w:p>
            <w:pPr>
              <w:spacing w:after="0"/>
              <w:rPr>
                <w:sz w:val="23"/>
                <w:szCs w:val="23"/>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961</w:t>
            </w:r>
          </w:p>
        </w:tc>
        <w:tc>
          <w:tcPr>
            <w:tcW w:w="8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6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0.3</w:t>
            </w:r>
          </w:p>
        </w:tc>
      </w:tr>
      <w:tr>
        <w:trPr>
          <w:trHeight w:val="247"/>
        </w:trPr>
        <w:tc>
          <w:tcPr>
            <w:tcW w:w="7040" w:type="dxa"/>
            <w:vAlign w:val="bottom"/>
            <w:gridSpan w:val="2"/>
          </w:tcPr>
          <w:p>
            <w:pPr>
              <w:ind w:left="180"/>
              <w:spacing w:after="0"/>
              <w:rPr>
                <w:sz w:val="20"/>
                <w:szCs w:val="20"/>
                <w:color w:val="auto"/>
              </w:rPr>
            </w:pPr>
            <w:r>
              <w:rPr>
                <w:rFonts w:ascii="Arial" w:cs="Arial" w:eastAsia="Arial" w:hAnsi="Arial"/>
                <w:sz w:val="18"/>
                <w:szCs w:val="18"/>
                <w:color w:val="131E29"/>
              </w:rPr>
              <w:t>Executive transitions</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006098"/>
              </w:rPr>
              <w:t>—</w:t>
            </w:r>
          </w:p>
        </w:tc>
        <w:tc>
          <w:tcPr>
            <w:tcW w:w="680" w:type="dxa"/>
            <w:vAlign w:val="bottom"/>
          </w:tcPr>
          <w:p>
            <w:pPr>
              <w:jc w:val="right"/>
              <w:spacing w:after="0"/>
              <w:rPr>
                <w:sz w:val="20"/>
                <w:szCs w:val="20"/>
                <w:color w:val="auto"/>
              </w:rPr>
            </w:pPr>
            <w:r>
              <w:rPr>
                <w:rFonts w:ascii="Arial" w:cs="Arial" w:eastAsia="Arial" w:hAnsi="Arial"/>
                <w:sz w:val="18"/>
                <w:szCs w:val="18"/>
                <w:color w:val="006098"/>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131E29"/>
              </w:rPr>
              <w:t>75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131E29"/>
              </w:rPr>
              <w:t>—</w:t>
            </w:r>
          </w:p>
        </w:tc>
      </w:tr>
      <w:tr>
        <w:trPr>
          <w:trHeight w:val="23"/>
        </w:trPr>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0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TRAs remeasurement</w:t>
            </w:r>
          </w:p>
        </w:tc>
        <w:tc>
          <w:tcPr>
            <w:tcW w:w="1380" w:type="dxa"/>
            <w:vAlign w:val="bottom"/>
            <w:tcBorders>
              <w:bottom w:val="single" w:sz="8" w:color="D2DCE5"/>
            </w:tcBorders>
            <w:gridSpan w:val="3"/>
            <w:shd w:val="clear" w:color="auto" w:fill="D2DCE5"/>
          </w:tcPr>
          <w:p>
            <w:pPr>
              <w:jc w:val="right"/>
              <w:ind w:right="340"/>
              <w:spacing w:after="0"/>
              <w:rPr>
                <w:sz w:val="20"/>
                <w:szCs w:val="20"/>
                <w:color w:val="auto"/>
              </w:rPr>
            </w:pPr>
            <w:r>
              <w:rPr>
                <w:rFonts w:ascii="Arial" w:cs="Arial" w:eastAsia="Arial" w:hAnsi="Arial"/>
                <w:sz w:val="18"/>
                <w:szCs w:val="18"/>
                <w:color w:val="006098"/>
              </w:rPr>
              <w:t>—</w:t>
            </w: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w:t>
            </w:r>
          </w:p>
        </w:tc>
        <w:tc>
          <w:tcPr>
            <w:tcW w:w="120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(5,687)</w:t>
            </w:r>
          </w:p>
        </w:tc>
        <w:tc>
          <w:tcPr>
            <w:tcW w:w="8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w:t>
            </w:r>
          </w:p>
        </w:tc>
      </w:tr>
      <w:tr>
        <w:trPr>
          <w:trHeight w:val="247"/>
        </w:trPr>
        <w:tc>
          <w:tcPr>
            <w:tcW w:w="7040" w:type="dxa"/>
            <w:vAlign w:val="bottom"/>
            <w:gridSpan w:val="2"/>
          </w:tcPr>
          <w:p>
            <w:pPr>
              <w:ind w:left="180"/>
              <w:spacing w:after="0"/>
              <w:rPr>
                <w:sz w:val="20"/>
                <w:szCs w:val="20"/>
                <w:color w:val="auto"/>
              </w:rPr>
            </w:pPr>
            <w:r>
              <w:rPr>
                <w:rFonts w:ascii="Arial" w:cs="Arial" w:eastAsia="Arial" w:hAnsi="Arial"/>
                <w:sz w:val="18"/>
                <w:szCs w:val="18"/>
                <w:color w:val="131E29"/>
              </w:rPr>
              <w:t>Organization realignment and restructuring:</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3"/>
        </w:trPr>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04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Employee-related costs</w:t>
            </w: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1,009</w:t>
            </w:r>
          </w:p>
        </w:tc>
        <w:tc>
          <w:tcPr>
            <w:tcW w:w="100" w:type="dxa"/>
            <w:vAlign w:val="bottom"/>
            <w:tcBorders>
              <w:bottom w:val="single" w:sz="8" w:color="D2DCE5"/>
            </w:tcBorders>
            <w:shd w:val="clear" w:color="auto" w:fill="D2DCE5"/>
          </w:tcPr>
          <w:p>
            <w:pPr>
              <w:spacing w:after="0"/>
              <w:rPr>
                <w:sz w:val="21"/>
                <w:szCs w:val="21"/>
                <w:color w:val="auto"/>
              </w:rPr>
            </w:pPr>
          </w:p>
        </w:tc>
        <w:tc>
          <w:tcPr>
            <w:tcW w:w="18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0.3</w:t>
            </w:r>
          </w:p>
        </w:tc>
        <w:tc>
          <w:tcPr>
            <w:tcW w:w="120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2,625</w:t>
            </w:r>
          </w:p>
        </w:tc>
        <w:tc>
          <w:tcPr>
            <w:tcW w:w="8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w:t>
            </w:r>
          </w:p>
        </w:tc>
      </w:tr>
      <w:tr>
        <w:trPr>
          <w:trHeight w:val="247"/>
        </w:trPr>
        <w:tc>
          <w:tcPr>
            <w:tcW w:w="7040" w:type="dxa"/>
            <w:vAlign w:val="bottom"/>
            <w:gridSpan w:val="2"/>
          </w:tcPr>
          <w:p>
            <w:pPr>
              <w:ind w:left="360"/>
              <w:spacing w:after="0"/>
              <w:rPr>
                <w:sz w:val="20"/>
                <w:szCs w:val="20"/>
                <w:color w:val="auto"/>
              </w:rPr>
            </w:pPr>
            <w:r>
              <w:rPr>
                <w:rFonts w:ascii="Arial" w:cs="Arial" w:eastAsia="Arial" w:hAnsi="Arial"/>
                <w:sz w:val="18"/>
                <w:szCs w:val="18"/>
                <w:color w:val="131E29"/>
              </w:rPr>
              <w:t>Other costs</w:t>
            </w:r>
          </w:p>
        </w:tc>
        <w:tc>
          <w:tcPr>
            <w:tcW w:w="1100" w:type="dxa"/>
            <w:vAlign w:val="bottom"/>
          </w:tcPr>
          <w:p>
            <w:pPr>
              <w:jc w:val="right"/>
              <w:spacing w:after="0"/>
              <w:rPr>
                <w:sz w:val="20"/>
                <w:szCs w:val="20"/>
                <w:color w:val="auto"/>
              </w:rPr>
            </w:pPr>
            <w:r>
              <w:rPr>
                <w:rFonts w:ascii="Arial" w:cs="Arial" w:eastAsia="Arial" w:hAnsi="Arial"/>
                <w:sz w:val="18"/>
                <w:szCs w:val="18"/>
                <w:color w:val="006098"/>
              </w:rPr>
              <w:t>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006098"/>
              </w:rPr>
              <w:t>—</w:t>
            </w:r>
          </w:p>
        </w:tc>
        <w:tc>
          <w:tcPr>
            <w:tcW w:w="80" w:type="dxa"/>
            <w:vAlign w:val="bottom"/>
          </w:tcPr>
          <w:p>
            <w:pPr>
              <w:spacing w:after="0"/>
              <w:rPr>
                <w:sz w:val="21"/>
                <w:szCs w:val="21"/>
                <w:color w:val="auto"/>
              </w:rPr>
            </w:pP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131E29"/>
              </w:rPr>
              <w:t>—</w:t>
            </w:r>
          </w:p>
        </w:tc>
        <w:tc>
          <w:tcPr>
            <w:tcW w:w="640" w:type="dxa"/>
            <w:vAlign w:val="bottom"/>
          </w:tcPr>
          <w:p>
            <w:pPr>
              <w:jc w:val="right"/>
              <w:spacing w:after="0"/>
              <w:rPr>
                <w:sz w:val="20"/>
                <w:szCs w:val="20"/>
                <w:color w:val="auto"/>
              </w:rPr>
            </w:pPr>
            <w:r>
              <w:rPr>
                <w:rFonts w:ascii="Arial" w:cs="Arial" w:eastAsia="Arial" w:hAnsi="Arial"/>
                <w:sz w:val="18"/>
                <w:szCs w:val="18"/>
                <w:color w:val="131E29"/>
              </w:rPr>
              <w:t>—</w:t>
            </w:r>
          </w:p>
        </w:tc>
      </w:tr>
      <w:tr>
        <w:trPr>
          <w:trHeight w:val="23"/>
        </w:trPr>
        <w:tc>
          <w:tcPr>
            <w:tcW w:w="69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3"/>
        </w:trPr>
        <w:tc>
          <w:tcPr>
            <w:tcW w:w="7040" w:type="dxa"/>
            <w:vAlign w:val="bottom"/>
            <w:tcBorders>
              <w:bottom w:val="single" w:sz="8" w:color="D2DCE5"/>
            </w:tcBorders>
            <w:gridSpan w:val="2"/>
            <w:shd w:val="clear" w:color="auto" w:fill="D2DCE5"/>
          </w:tcPr>
          <w:p>
            <w:pPr>
              <w:ind w:left="520"/>
              <w:spacing w:after="0"/>
              <w:rPr>
                <w:sz w:val="20"/>
                <w:szCs w:val="20"/>
                <w:color w:val="auto"/>
              </w:rPr>
            </w:pPr>
            <w:r>
              <w:rPr>
                <w:rFonts w:ascii="Arial" w:cs="Arial" w:eastAsia="Arial" w:hAnsi="Arial"/>
                <w:sz w:val="18"/>
                <w:szCs w:val="18"/>
                <w:color w:val="131E29"/>
              </w:rPr>
              <w:t>Total organization realignment and restructuring</w:t>
            </w: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1,228</w:t>
            </w:r>
          </w:p>
        </w:tc>
        <w:tc>
          <w:tcPr>
            <w:tcW w:w="100" w:type="dxa"/>
            <w:vAlign w:val="bottom"/>
            <w:tcBorders>
              <w:bottom w:val="single" w:sz="8" w:color="D2DCE5"/>
            </w:tcBorders>
            <w:shd w:val="clear" w:color="auto" w:fill="D2DCE5"/>
          </w:tcPr>
          <w:p>
            <w:pPr>
              <w:spacing w:after="0"/>
              <w:rPr>
                <w:sz w:val="22"/>
                <w:szCs w:val="22"/>
                <w:color w:val="auto"/>
              </w:rPr>
            </w:pPr>
          </w:p>
        </w:tc>
        <w:tc>
          <w:tcPr>
            <w:tcW w:w="180" w:type="dxa"/>
            <w:vAlign w:val="bottom"/>
            <w:tcBorders>
              <w:bottom w:val="single" w:sz="8" w:color="D2DCE5"/>
            </w:tcBorders>
            <w:shd w:val="clear" w:color="auto" w:fill="D2DCE5"/>
          </w:tcPr>
          <w:p>
            <w:pPr>
              <w:spacing w:after="0"/>
              <w:rPr>
                <w:sz w:val="22"/>
                <w:szCs w:val="22"/>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0.3</w:t>
            </w:r>
          </w:p>
        </w:tc>
        <w:tc>
          <w:tcPr>
            <w:tcW w:w="120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2,625</w:t>
            </w:r>
          </w:p>
        </w:tc>
        <w:tc>
          <w:tcPr>
            <w:tcW w:w="80" w:type="dxa"/>
            <w:vAlign w:val="bottom"/>
            <w:tcBorders>
              <w:bottom w:val="single" w:sz="8" w:color="D2DCE5"/>
            </w:tcBorders>
            <w:shd w:val="clear" w:color="auto" w:fill="D2DCE5"/>
          </w:tcPr>
          <w:p>
            <w:pPr>
              <w:spacing w:after="0"/>
              <w:rPr>
                <w:sz w:val="22"/>
                <w:szCs w:val="22"/>
                <w:color w:val="auto"/>
              </w:rPr>
            </w:pPr>
          </w:p>
        </w:tc>
        <w:tc>
          <w:tcPr>
            <w:tcW w:w="220" w:type="dxa"/>
            <w:vAlign w:val="bottom"/>
            <w:tcBorders>
              <w:bottom w:val="single" w:sz="8" w:color="D2DCE5"/>
            </w:tcBorders>
            <w:shd w:val="clear" w:color="auto" w:fill="D2DCE5"/>
          </w:tcPr>
          <w:p>
            <w:pPr>
              <w:spacing w:after="0"/>
              <w:rPr>
                <w:sz w:val="22"/>
                <w:szCs w:val="22"/>
                <w:color w:val="auto"/>
              </w:rPr>
            </w:pPr>
          </w:p>
        </w:tc>
        <w:tc>
          <w:tcPr>
            <w:tcW w:w="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w:t>
            </w:r>
          </w:p>
        </w:tc>
      </w:tr>
      <w:tr>
        <w:trPr>
          <w:trHeight w:val="263"/>
        </w:trPr>
        <w:tc>
          <w:tcPr>
            <w:tcW w:w="7040" w:type="dxa"/>
            <w:vAlign w:val="bottom"/>
            <w:gridSpan w:val="2"/>
          </w:tcPr>
          <w:p>
            <w:pPr>
              <w:ind w:left="520"/>
              <w:spacing w:after="0"/>
              <w:rPr>
                <w:sz w:val="20"/>
                <w:szCs w:val="20"/>
                <w:color w:val="auto"/>
              </w:rPr>
            </w:pPr>
            <w:r>
              <w:rPr>
                <w:rFonts w:ascii="Arial" w:cs="Arial" w:eastAsia="Arial" w:hAnsi="Arial"/>
                <w:sz w:val="18"/>
                <w:szCs w:val="18"/>
                <w:b w:val="1"/>
                <w:bCs w:val="1"/>
                <w:color w:val="131E29"/>
              </w:rPr>
              <w:t>Adjusted EBITDA</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62,906</w:t>
            </w:r>
          </w:p>
        </w:tc>
        <w:tc>
          <w:tcPr>
            <w:tcW w:w="100" w:type="dxa"/>
            <w:vAlign w:val="bottom"/>
          </w:tcPr>
          <w:p>
            <w:pPr>
              <w:spacing w:after="0"/>
              <w:rPr>
                <w:sz w:val="22"/>
                <w:szCs w:val="22"/>
                <w:color w:val="auto"/>
              </w:rPr>
            </w:pPr>
          </w:p>
        </w:tc>
        <w:tc>
          <w:tcPr>
            <w:tcW w:w="180" w:type="dxa"/>
            <w:vAlign w:val="bottom"/>
            <w:tcBorders>
              <w:top w:val="single" w:sz="8" w:color="auto"/>
              <w:bottom w:val="single" w:sz="8" w:color="131E29"/>
            </w:tcBorders>
          </w:tcPr>
          <w:p>
            <w:pPr>
              <w:spacing w:after="0"/>
              <w:rPr>
                <w:sz w:val="22"/>
                <w:szCs w:val="22"/>
                <w:color w:val="auto"/>
              </w:rPr>
            </w:pPr>
          </w:p>
        </w:tc>
        <w:tc>
          <w:tcPr>
            <w:tcW w:w="680" w:type="dxa"/>
            <w:vAlign w:val="bottom"/>
            <w:tcBorders>
              <w:top w:val="single" w:sz="8" w:color="auto"/>
              <w:bottom w:val="single" w:sz="8" w:color="131E29"/>
            </w:tcBorders>
          </w:tcPr>
          <w:p>
            <w:pPr>
              <w:jc w:val="right"/>
              <w:spacing w:after="0"/>
              <w:rPr>
                <w:sz w:val="20"/>
                <w:szCs w:val="20"/>
                <w:color w:val="auto"/>
              </w:rPr>
            </w:pPr>
            <w:r>
              <w:rPr>
                <w:rFonts w:ascii="Arial" w:cs="Arial" w:eastAsia="Arial" w:hAnsi="Arial"/>
                <w:sz w:val="18"/>
                <w:szCs w:val="18"/>
                <w:b w:val="1"/>
                <w:bCs w:val="1"/>
                <w:color w:val="006098"/>
              </w:rPr>
              <w:t>17.7</w:t>
            </w:r>
          </w:p>
        </w:tc>
        <w:tc>
          <w:tcPr>
            <w:tcW w:w="8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52,540</w:t>
            </w:r>
          </w:p>
        </w:tc>
        <w:tc>
          <w:tcPr>
            <w:tcW w:w="80" w:type="dxa"/>
            <w:vAlign w:val="bottom"/>
          </w:tcPr>
          <w:p>
            <w:pPr>
              <w:spacing w:after="0"/>
              <w:rPr>
                <w:sz w:val="22"/>
                <w:szCs w:val="22"/>
                <w:color w:val="auto"/>
              </w:rPr>
            </w:pPr>
          </w:p>
        </w:tc>
        <w:tc>
          <w:tcPr>
            <w:tcW w:w="220" w:type="dxa"/>
            <w:vAlign w:val="bottom"/>
            <w:tcBorders>
              <w:top w:val="single" w:sz="8" w:color="auto"/>
              <w:bottom w:val="single" w:sz="8" w:color="131E29"/>
            </w:tcBorders>
          </w:tcPr>
          <w:p>
            <w:pPr>
              <w:spacing w:after="0"/>
              <w:rPr>
                <w:sz w:val="22"/>
                <w:szCs w:val="22"/>
                <w:color w:val="auto"/>
              </w:rPr>
            </w:pPr>
          </w:p>
        </w:tc>
        <w:tc>
          <w:tcPr>
            <w:tcW w:w="640" w:type="dxa"/>
            <w:vAlign w:val="bottom"/>
            <w:tcBorders>
              <w:top w:val="single" w:sz="8" w:color="auto"/>
              <w:bottom w:val="single" w:sz="8" w:color="131E29"/>
            </w:tcBorders>
          </w:tcPr>
          <w:p>
            <w:pPr>
              <w:jc w:val="right"/>
              <w:spacing w:after="0"/>
              <w:rPr>
                <w:sz w:val="20"/>
                <w:szCs w:val="20"/>
                <w:color w:val="auto"/>
              </w:rPr>
            </w:pPr>
            <w:r>
              <w:rPr>
                <w:rFonts w:ascii="Arial" w:cs="Arial" w:eastAsia="Arial" w:hAnsi="Arial"/>
                <w:sz w:val="18"/>
                <w:szCs w:val="18"/>
                <w:b w:val="1"/>
                <w:bCs w:val="1"/>
                <w:color w:val="131E29"/>
              </w:rPr>
              <w:t>19.1</w:t>
            </w:r>
          </w:p>
        </w:tc>
      </w:tr>
      <w:tr>
        <w:trPr>
          <w:trHeight w:val="21"/>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131E29"/>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131E29"/>
            </w:tcBorders>
          </w:tcPr>
          <w:p>
            <w:pPr>
              <w:spacing w:after="0" w:line="20" w:lineRule="exact"/>
              <w:rPr>
                <w:sz w:val="1"/>
                <w:szCs w:val="1"/>
                <w:color w:val="auto"/>
              </w:rPr>
            </w:pPr>
          </w:p>
        </w:tc>
        <w:tc>
          <w:tcPr>
            <w:tcW w:w="640" w:type="dxa"/>
            <w:vAlign w:val="bottom"/>
            <w:tcBorders>
              <w:bottom w:val="single" w:sz="8" w:color="131E29"/>
            </w:tcBorders>
          </w:tcPr>
          <w:p>
            <w:pPr>
              <w:spacing w:after="0" w:line="20" w:lineRule="exact"/>
              <w:rPr>
                <w:sz w:val="1"/>
                <w:szCs w:val="1"/>
                <w:color w:val="auto"/>
              </w:rPr>
            </w:pPr>
          </w:p>
        </w:tc>
      </w:tr>
      <w:tr>
        <w:trPr>
          <w:trHeight w:val="540"/>
        </w:trPr>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tcBorders>
              <w:bottom w:val="single" w:sz="8" w:color="D7282F"/>
            </w:tcBorders>
            <w:gridSpan w:val="8"/>
          </w:tcPr>
          <w:p>
            <w:pPr>
              <w:jc w:val="right"/>
              <w:ind w:right="120"/>
              <w:spacing w:after="0"/>
              <w:rPr>
                <w:sz w:val="20"/>
                <w:szCs w:val="20"/>
                <w:color w:val="auto"/>
              </w:rPr>
            </w:pPr>
            <w:r>
              <w:rPr>
                <w:rFonts w:ascii="Arial" w:cs="Arial" w:eastAsia="Arial" w:hAnsi="Arial"/>
                <w:sz w:val="18"/>
                <w:szCs w:val="18"/>
                <w:b w:val="1"/>
                <w:bCs w:val="1"/>
                <w:color w:val="131E29"/>
              </w:rPr>
              <w:t>Three Months Ended March 31,</w:t>
            </w:r>
          </w:p>
        </w:tc>
        <w:tc>
          <w:tcPr>
            <w:tcW w:w="640" w:type="dxa"/>
            <w:vAlign w:val="bottom"/>
            <w:tcBorders>
              <w:bottom w:val="single" w:sz="8" w:color="D7282F"/>
            </w:tcBorders>
          </w:tcPr>
          <w:p>
            <w:pPr>
              <w:spacing w:after="0"/>
              <w:rPr>
                <w:sz w:val="24"/>
                <w:szCs w:val="24"/>
                <w:color w:val="auto"/>
              </w:rPr>
            </w:pPr>
          </w:p>
        </w:tc>
      </w:tr>
      <w:tr>
        <w:trPr>
          <w:trHeight w:val="263"/>
        </w:trPr>
        <w:tc>
          <w:tcPr>
            <w:tcW w:w="6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bottom w:val="single" w:sz="8" w:color="D7282F"/>
            </w:tcBorders>
            <w:gridSpan w:val="3"/>
          </w:tcPr>
          <w:p>
            <w:pPr>
              <w:jc w:val="right"/>
              <w:ind w:right="160"/>
              <w:spacing w:after="0"/>
              <w:rPr>
                <w:sz w:val="20"/>
                <w:szCs w:val="20"/>
                <w:color w:val="auto"/>
              </w:rPr>
            </w:pPr>
            <w:r>
              <w:rPr>
                <w:rFonts w:ascii="Arial" w:cs="Arial" w:eastAsia="Arial" w:hAnsi="Arial"/>
                <w:sz w:val="18"/>
                <w:szCs w:val="18"/>
                <w:b w:val="1"/>
                <w:bCs w:val="1"/>
                <w:color w:val="131E29"/>
              </w:rPr>
              <w:t>2025</w:t>
            </w:r>
          </w:p>
        </w:tc>
        <w:tc>
          <w:tcPr>
            <w:tcW w:w="680" w:type="dxa"/>
            <w:vAlign w:val="bottom"/>
            <w:tcBorders>
              <w:bottom w:val="single" w:sz="8" w:color="D7282F"/>
            </w:tcBorders>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Borders>
              <w:bottom w:val="single" w:sz="8" w:color="D7282F"/>
            </w:tcBorders>
            <w:gridSpan w:val="3"/>
          </w:tcPr>
          <w:p>
            <w:pPr>
              <w:jc w:val="right"/>
              <w:ind w:right="180"/>
              <w:spacing w:after="0"/>
              <w:rPr>
                <w:sz w:val="20"/>
                <w:szCs w:val="20"/>
                <w:color w:val="auto"/>
              </w:rPr>
            </w:pPr>
            <w:r>
              <w:rPr>
                <w:rFonts w:ascii="Arial" w:cs="Arial" w:eastAsia="Arial" w:hAnsi="Arial"/>
                <w:sz w:val="18"/>
                <w:szCs w:val="18"/>
                <w:b w:val="1"/>
                <w:bCs w:val="1"/>
                <w:color w:val="131E29"/>
              </w:rPr>
              <w:t>2024</w:t>
            </w:r>
          </w:p>
        </w:tc>
        <w:tc>
          <w:tcPr>
            <w:tcW w:w="640" w:type="dxa"/>
            <w:vAlign w:val="bottom"/>
            <w:tcBorders>
              <w:bottom w:val="single" w:sz="8" w:color="D7282F"/>
            </w:tcBorders>
          </w:tcPr>
          <w:p>
            <w:pPr>
              <w:spacing w:after="0"/>
              <w:rPr>
                <w:sz w:val="22"/>
                <w:szCs w:val="22"/>
                <w:color w:val="auto"/>
              </w:rPr>
            </w:pPr>
          </w:p>
        </w:tc>
      </w:tr>
      <w:tr>
        <w:trPr>
          <w:trHeight w:val="264"/>
        </w:trPr>
        <w:tc>
          <w:tcPr>
            <w:tcW w:w="69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100" w:type="dxa"/>
            <w:vAlign w:val="bottom"/>
            <w:tcBorders>
              <w:bottom w:val="single" w:sz="8" w:color="D7282F"/>
            </w:tcBorders>
          </w:tcPr>
          <w:p>
            <w:pPr>
              <w:jc w:val="right"/>
              <w:ind w:right="41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80" w:type="dxa"/>
            <w:vAlign w:val="bottom"/>
            <w:tcBorders>
              <w:bottom w:val="single" w:sz="8" w:color="D7282F"/>
            </w:tcBorders>
          </w:tcPr>
          <w:p>
            <w:pPr>
              <w:spacing w:after="0"/>
              <w:rPr>
                <w:sz w:val="22"/>
                <w:szCs w:val="22"/>
                <w:color w:val="auto"/>
              </w:rPr>
            </w:pPr>
          </w:p>
        </w:tc>
        <w:tc>
          <w:tcPr>
            <w:tcW w:w="680" w:type="dxa"/>
            <w:vAlign w:val="bottom"/>
            <w:tcBorders>
              <w:bottom w:val="single" w:sz="8" w:color="D7282F"/>
            </w:tcBorders>
          </w:tcPr>
          <w:p>
            <w:pPr>
              <w:jc w:val="right"/>
              <w:ind w:right="27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1120" w:type="dxa"/>
            <w:vAlign w:val="bottom"/>
            <w:tcBorders>
              <w:bottom w:val="single" w:sz="8" w:color="D7282F"/>
            </w:tcBorders>
          </w:tcPr>
          <w:p>
            <w:pPr>
              <w:jc w:val="right"/>
              <w:ind w:right="41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220" w:type="dxa"/>
            <w:vAlign w:val="bottom"/>
            <w:tcBorders>
              <w:bottom w:val="single" w:sz="8" w:color="D7282F"/>
            </w:tcBorders>
          </w:tcPr>
          <w:p>
            <w:pPr>
              <w:spacing w:after="0"/>
              <w:rPr>
                <w:sz w:val="22"/>
                <w:szCs w:val="22"/>
                <w:color w:val="auto"/>
              </w:rPr>
            </w:pPr>
          </w:p>
        </w:tc>
        <w:tc>
          <w:tcPr>
            <w:tcW w:w="640" w:type="dxa"/>
            <w:vAlign w:val="bottom"/>
            <w:tcBorders>
              <w:bottom w:val="single" w:sz="8" w:color="D7282F"/>
            </w:tcBorders>
          </w:tcPr>
          <w:p>
            <w:pPr>
              <w:jc w:val="right"/>
              <w:ind w:right="250"/>
              <w:spacing w:after="0"/>
              <w:rPr>
                <w:sz w:val="20"/>
                <w:szCs w:val="20"/>
                <w:color w:val="auto"/>
              </w:rPr>
            </w:pPr>
            <w:r>
              <w:rPr>
                <w:rFonts w:ascii="Arial" w:cs="Arial" w:eastAsia="Arial" w:hAnsi="Arial"/>
                <w:sz w:val="18"/>
                <w:szCs w:val="18"/>
                <w:b w:val="1"/>
                <w:bCs w:val="1"/>
                <w:color w:val="131E29"/>
              </w:rPr>
              <w:t>%</w:t>
            </w:r>
          </w:p>
        </w:tc>
      </w:tr>
      <w:tr>
        <w:trPr>
          <w:trHeight w:val="270"/>
        </w:trPr>
        <w:tc>
          <w:tcPr>
            <w:tcW w:w="704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Selling, general, and administrative</w:t>
            </w: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58,921</w:t>
            </w:r>
          </w:p>
        </w:tc>
        <w:tc>
          <w:tcPr>
            <w:tcW w:w="100" w:type="dxa"/>
            <w:vAlign w:val="bottom"/>
            <w:shd w:val="clear" w:color="auto" w:fill="D2DCE5"/>
          </w:tcPr>
          <w:p>
            <w:pPr>
              <w:spacing w:after="0"/>
              <w:rPr>
                <w:sz w:val="23"/>
                <w:szCs w:val="23"/>
                <w:color w:val="auto"/>
              </w:rPr>
            </w:pPr>
          </w:p>
        </w:tc>
        <w:tc>
          <w:tcPr>
            <w:tcW w:w="180" w:type="dxa"/>
            <w:vAlign w:val="bottom"/>
            <w:shd w:val="clear" w:color="auto" w:fill="D2DCE5"/>
          </w:tcPr>
          <w:p>
            <w:pPr>
              <w:spacing w:after="0"/>
              <w:rPr>
                <w:sz w:val="23"/>
                <w:szCs w:val="23"/>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16.6</w:t>
            </w:r>
          </w:p>
        </w:tc>
        <w:tc>
          <w:tcPr>
            <w:tcW w:w="1200" w:type="dxa"/>
            <w:vAlign w:val="bottom"/>
            <w:gridSpan w:val="2"/>
            <w:shd w:val="clear" w:color="auto" w:fill="D2DCE5"/>
          </w:tcPr>
          <w:p>
            <w:pPr>
              <w:jc w:val="right"/>
              <w:spacing w:after="0"/>
              <w:rPr>
                <w:sz w:val="20"/>
                <w:szCs w:val="20"/>
                <w:color w:val="auto"/>
              </w:rPr>
            </w:pPr>
            <w:r>
              <w:rPr>
                <w:rFonts w:ascii="Arial" w:cs="Arial" w:eastAsia="Arial" w:hAnsi="Arial"/>
                <w:sz w:val="18"/>
                <w:szCs w:val="18"/>
                <w:b w:val="1"/>
                <w:bCs w:val="1"/>
                <w:color w:val="131E29"/>
              </w:rPr>
              <w:t>46,194</w:t>
            </w:r>
          </w:p>
        </w:tc>
        <w:tc>
          <w:tcPr>
            <w:tcW w:w="8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6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16.8</w:t>
            </w:r>
          </w:p>
        </w:tc>
      </w:tr>
      <w:tr>
        <w:trPr>
          <w:trHeight w:val="247"/>
        </w:trPr>
        <w:tc>
          <w:tcPr>
            <w:tcW w:w="7040" w:type="dxa"/>
            <w:vAlign w:val="bottom"/>
            <w:gridSpan w:val="2"/>
          </w:tcPr>
          <w:p>
            <w:pPr>
              <w:ind w:left="180"/>
              <w:spacing w:after="0"/>
              <w:rPr>
                <w:sz w:val="20"/>
                <w:szCs w:val="20"/>
                <w:color w:val="auto"/>
              </w:rPr>
            </w:pPr>
            <w:r>
              <w:rPr>
                <w:rFonts w:ascii="Arial" w:cs="Arial" w:eastAsia="Arial" w:hAnsi="Arial"/>
                <w:sz w:val="18"/>
                <w:szCs w:val="18"/>
                <w:color w:val="131E29"/>
              </w:rPr>
              <w:t>Depreciation and amortization</w:t>
            </w:r>
          </w:p>
        </w:tc>
        <w:tc>
          <w:tcPr>
            <w:tcW w:w="1100" w:type="dxa"/>
            <w:vAlign w:val="bottom"/>
          </w:tcPr>
          <w:p>
            <w:pPr>
              <w:jc w:val="right"/>
              <w:spacing w:after="0"/>
              <w:rPr>
                <w:sz w:val="20"/>
                <w:szCs w:val="20"/>
                <w:color w:val="auto"/>
              </w:rPr>
            </w:pPr>
            <w:r>
              <w:rPr>
                <w:rFonts w:ascii="Arial" w:cs="Arial" w:eastAsia="Arial" w:hAnsi="Arial"/>
                <w:sz w:val="18"/>
                <w:szCs w:val="18"/>
                <w:color w:val="006098"/>
              </w:rPr>
              <w:t>(402)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006098"/>
              </w:rPr>
              <w:t>(0.1)</w:t>
            </w:r>
          </w:p>
        </w:tc>
        <w:tc>
          <w:tcPr>
            <w:tcW w:w="1200" w:type="dxa"/>
            <w:vAlign w:val="bottom"/>
            <w:gridSpan w:val="2"/>
          </w:tcPr>
          <w:p>
            <w:pPr>
              <w:jc w:val="right"/>
              <w:spacing w:after="0"/>
              <w:rPr>
                <w:sz w:val="20"/>
                <w:szCs w:val="20"/>
                <w:color w:val="auto"/>
              </w:rPr>
            </w:pPr>
            <w:r>
              <w:rPr>
                <w:rFonts w:ascii="Arial" w:cs="Arial" w:eastAsia="Arial" w:hAnsi="Arial"/>
                <w:sz w:val="18"/>
                <w:szCs w:val="18"/>
                <w:color w:val="131E29"/>
              </w:rPr>
              <w:t>(264)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131E29"/>
              </w:rPr>
              <w:t>(0.1)</w:t>
            </w:r>
          </w:p>
        </w:tc>
      </w:tr>
      <w:tr>
        <w:trPr>
          <w:trHeight w:val="23"/>
        </w:trPr>
        <w:tc>
          <w:tcPr>
            <w:tcW w:w="70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0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Equity-based compensation</w:t>
            </w: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(3,794)</w:t>
            </w:r>
          </w:p>
        </w:tc>
        <w:tc>
          <w:tcPr>
            <w:tcW w:w="100" w:type="dxa"/>
            <w:vAlign w:val="bottom"/>
            <w:tcBorders>
              <w:bottom w:val="single" w:sz="8" w:color="D2DCE5"/>
            </w:tcBorders>
            <w:shd w:val="clear" w:color="auto" w:fill="D2DCE5"/>
          </w:tcPr>
          <w:p>
            <w:pPr>
              <w:spacing w:after="0"/>
              <w:rPr>
                <w:sz w:val="21"/>
                <w:szCs w:val="21"/>
                <w:color w:val="auto"/>
              </w:rPr>
            </w:pPr>
          </w:p>
        </w:tc>
        <w:tc>
          <w:tcPr>
            <w:tcW w:w="18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(1.1)</w:t>
            </w:r>
          </w:p>
        </w:tc>
        <w:tc>
          <w:tcPr>
            <w:tcW w:w="120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(1,839)</w:t>
            </w:r>
          </w:p>
        </w:tc>
        <w:tc>
          <w:tcPr>
            <w:tcW w:w="8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(0.7)</w:t>
            </w:r>
          </w:p>
        </w:tc>
      </w:tr>
      <w:tr>
        <w:trPr>
          <w:trHeight w:val="247"/>
        </w:trPr>
        <w:tc>
          <w:tcPr>
            <w:tcW w:w="7040" w:type="dxa"/>
            <w:vAlign w:val="bottom"/>
            <w:gridSpan w:val="2"/>
          </w:tcPr>
          <w:p>
            <w:pPr>
              <w:ind w:left="180"/>
              <w:spacing w:after="0"/>
              <w:rPr>
                <w:sz w:val="20"/>
                <w:szCs w:val="20"/>
                <w:color w:val="auto"/>
              </w:rPr>
            </w:pPr>
            <w:r>
              <w:rPr>
                <w:rFonts w:ascii="Arial" w:cs="Arial" w:eastAsia="Arial" w:hAnsi="Arial"/>
                <w:sz w:val="18"/>
                <w:szCs w:val="18"/>
                <w:color w:val="131E29"/>
              </w:rPr>
              <w:t>Expenses associated with equity offerings</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006098"/>
              </w:rPr>
              <w:t>—</w:t>
            </w:r>
          </w:p>
        </w:tc>
        <w:tc>
          <w:tcPr>
            <w:tcW w:w="680" w:type="dxa"/>
            <w:vAlign w:val="bottom"/>
          </w:tcPr>
          <w:p>
            <w:pPr>
              <w:jc w:val="right"/>
              <w:spacing w:after="0"/>
              <w:rPr>
                <w:sz w:val="20"/>
                <w:szCs w:val="20"/>
                <w:color w:val="auto"/>
              </w:rPr>
            </w:pPr>
            <w:r>
              <w:rPr>
                <w:rFonts w:ascii="Arial" w:cs="Arial" w:eastAsia="Arial" w:hAnsi="Arial"/>
                <w:sz w:val="18"/>
                <w:szCs w:val="18"/>
                <w:color w:val="006098"/>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131E29"/>
              </w:rPr>
              <w:t>(961)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131E29"/>
              </w:rPr>
              <w:t>(0.3)</w:t>
            </w:r>
          </w:p>
        </w:tc>
      </w:tr>
      <w:tr>
        <w:trPr>
          <w:trHeight w:val="23"/>
        </w:trPr>
        <w:tc>
          <w:tcPr>
            <w:tcW w:w="7040" w:type="dxa"/>
            <w:vAlign w:val="bottom"/>
            <w:gridSpan w:val="2"/>
          </w:tcPr>
          <w:p>
            <w:pPr>
              <w:spacing w:after="0"/>
              <w:rPr>
                <w:sz w:val="2"/>
                <w:szCs w:val="2"/>
                <w:color w:val="auto"/>
              </w:rPr>
            </w:pPr>
          </w:p>
        </w:tc>
        <w:tc>
          <w:tcPr>
            <w:tcW w:w="138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0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Executives transition</w:t>
            </w:r>
          </w:p>
        </w:tc>
        <w:tc>
          <w:tcPr>
            <w:tcW w:w="1380" w:type="dxa"/>
            <w:vAlign w:val="bottom"/>
            <w:tcBorders>
              <w:bottom w:val="single" w:sz="8" w:color="D2DCE5"/>
            </w:tcBorders>
            <w:gridSpan w:val="3"/>
            <w:shd w:val="clear" w:color="auto" w:fill="D2DCE5"/>
          </w:tcPr>
          <w:p>
            <w:pPr>
              <w:jc w:val="right"/>
              <w:ind w:right="340"/>
              <w:spacing w:after="0"/>
              <w:rPr>
                <w:sz w:val="20"/>
                <w:szCs w:val="20"/>
                <w:color w:val="auto"/>
              </w:rPr>
            </w:pPr>
            <w:r>
              <w:rPr>
                <w:rFonts w:ascii="Arial" w:cs="Arial" w:eastAsia="Arial" w:hAnsi="Arial"/>
                <w:sz w:val="18"/>
                <w:szCs w:val="18"/>
                <w:color w:val="006098"/>
              </w:rPr>
              <w:t>—</w:t>
            </w: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w:t>
            </w:r>
          </w:p>
        </w:tc>
        <w:tc>
          <w:tcPr>
            <w:tcW w:w="120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(75)</w:t>
            </w:r>
          </w:p>
        </w:tc>
        <w:tc>
          <w:tcPr>
            <w:tcW w:w="8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47"/>
        </w:trPr>
        <w:tc>
          <w:tcPr>
            <w:tcW w:w="7040" w:type="dxa"/>
            <w:vAlign w:val="bottom"/>
            <w:gridSpan w:val="2"/>
          </w:tcPr>
          <w:p>
            <w:pPr>
              <w:ind w:left="180"/>
              <w:spacing w:after="0"/>
              <w:rPr>
                <w:sz w:val="20"/>
                <w:szCs w:val="20"/>
                <w:color w:val="auto"/>
              </w:rPr>
            </w:pPr>
            <w:r>
              <w:rPr>
                <w:rFonts w:ascii="Arial" w:cs="Arial" w:eastAsia="Arial" w:hAnsi="Arial"/>
                <w:sz w:val="18"/>
                <w:szCs w:val="18"/>
                <w:color w:val="131E29"/>
              </w:rPr>
              <w:t>Organization realignment and restructuring:</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3"/>
        </w:trPr>
        <w:tc>
          <w:tcPr>
            <w:tcW w:w="70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04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Employee-related costs</w:t>
            </w: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(1,009)</w:t>
            </w:r>
          </w:p>
        </w:tc>
        <w:tc>
          <w:tcPr>
            <w:tcW w:w="100" w:type="dxa"/>
            <w:vAlign w:val="bottom"/>
            <w:tcBorders>
              <w:bottom w:val="single" w:sz="8" w:color="D2DCE5"/>
            </w:tcBorders>
            <w:shd w:val="clear" w:color="auto" w:fill="D2DCE5"/>
          </w:tcPr>
          <w:p>
            <w:pPr>
              <w:spacing w:after="0"/>
              <w:rPr>
                <w:sz w:val="21"/>
                <w:szCs w:val="21"/>
                <w:color w:val="auto"/>
              </w:rPr>
            </w:pPr>
          </w:p>
        </w:tc>
        <w:tc>
          <w:tcPr>
            <w:tcW w:w="18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(0.3)</w:t>
            </w:r>
          </w:p>
        </w:tc>
        <w:tc>
          <w:tcPr>
            <w:tcW w:w="120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(2,625)</w:t>
            </w:r>
          </w:p>
        </w:tc>
        <w:tc>
          <w:tcPr>
            <w:tcW w:w="8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w:t>
            </w:r>
          </w:p>
        </w:tc>
      </w:tr>
      <w:tr>
        <w:trPr>
          <w:trHeight w:val="247"/>
        </w:trPr>
        <w:tc>
          <w:tcPr>
            <w:tcW w:w="7040" w:type="dxa"/>
            <w:vAlign w:val="bottom"/>
            <w:gridSpan w:val="2"/>
          </w:tcPr>
          <w:p>
            <w:pPr>
              <w:ind w:left="360"/>
              <w:spacing w:after="0"/>
              <w:rPr>
                <w:sz w:val="20"/>
                <w:szCs w:val="20"/>
                <w:color w:val="auto"/>
              </w:rPr>
            </w:pPr>
            <w:r>
              <w:rPr>
                <w:rFonts w:ascii="Arial" w:cs="Arial" w:eastAsia="Arial" w:hAnsi="Arial"/>
                <w:sz w:val="18"/>
                <w:szCs w:val="18"/>
                <w:color w:val="131E29"/>
              </w:rPr>
              <w:t>Other costs</w:t>
            </w:r>
          </w:p>
        </w:tc>
        <w:tc>
          <w:tcPr>
            <w:tcW w:w="1100" w:type="dxa"/>
            <w:vAlign w:val="bottom"/>
          </w:tcPr>
          <w:p>
            <w:pPr>
              <w:jc w:val="right"/>
              <w:spacing w:after="0"/>
              <w:rPr>
                <w:sz w:val="20"/>
                <w:szCs w:val="20"/>
                <w:color w:val="auto"/>
              </w:rPr>
            </w:pPr>
            <w:r>
              <w:rPr>
                <w:rFonts w:ascii="Arial" w:cs="Arial" w:eastAsia="Arial" w:hAnsi="Arial"/>
                <w:sz w:val="18"/>
                <w:szCs w:val="18"/>
                <w:color w:val="006098"/>
              </w:rPr>
              <w:t>(219)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006098"/>
              </w:rPr>
              <w:t>—</w:t>
            </w:r>
          </w:p>
        </w:tc>
        <w:tc>
          <w:tcPr>
            <w:tcW w:w="80" w:type="dxa"/>
            <w:vAlign w:val="bottom"/>
          </w:tcPr>
          <w:p>
            <w:pPr>
              <w:spacing w:after="0"/>
              <w:rPr>
                <w:sz w:val="21"/>
                <w:szCs w:val="21"/>
                <w:color w:val="auto"/>
              </w:rPr>
            </w:pP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131E29"/>
              </w:rPr>
              <w:t>—</w:t>
            </w:r>
          </w:p>
        </w:tc>
        <w:tc>
          <w:tcPr>
            <w:tcW w:w="640" w:type="dxa"/>
            <w:vAlign w:val="bottom"/>
          </w:tcPr>
          <w:p>
            <w:pPr>
              <w:jc w:val="right"/>
              <w:spacing w:after="0"/>
              <w:rPr>
                <w:sz w:val="20"/>
                <w:szCs w:val="20"/>
                <w:color w:val="auto"/>
              </w:rPr>
            </w:pPr>
            <w:r>
              <w:rPr>
                <w:rFonts w:ascii="Arial" w:cs="Arial" w:eastAsia="Arial" w:hAnsi="Arial"/>
                <w:sz w:val="18"/>
                <w:szCs w:val="18"/>
                <w:color w:val="131E29"/>
              </w:rPr>
              <w:t>—</w:t>
            </w:r>
          </w:p>
        </w:tc>
      </w:tr>
      <w:tr>
        <w:trPr>
          <w:trHeight w:val="23"/>
        </w:trPr>
        <w:tc>
          <w:tcPr>
            <w:tcW w:w="7040" w:type="dxa"/>
            <w:vAlign w:val="bottom"/>
            <w:tcBorders>
              <w:bottom w:val="single" w:sz="8" w:color="D2DCE5"/>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4"/>
        </w:trPr>
        <w:tc>
          <w:tcPr>
            <w:tcW w:w="7040" w:type="dxa"/>
            <w:vAlign w:val="bottom"/>
            <w:tcBorders>
              <w:bottom w:val="single" w:sz="8" w:color="D2DCE5"/>
            </w:tcBorders>
            <w:gridSpan w:val="2"/>
            <w:shd w:val="clear" w:color="auto" w:fill="D2DCE5"/>
          </w:tcPr>
          <w:p>
            <w:pPr>
              <w:ind w:left="520"/>
              <w:spacing w:after="0"/>
              <w:rPr>
                <w:sz w:val="20"/>
                <w:szCs w:val="20"/>
                <w:color w:val="auto"/>
              </w:rPr>
            </w:pPr>
            <w:r>
              <w:rPr>
                <w:rFonts w:ascii="Arial" w:cs="Arial" w:eastAsia="Arial" w:hAnsi="Arial"/>
                <w:sz w:val="18"/>
                <w:szCs w:val="18"/>
                <w:color w:val="131E29"/>
              </w:rPr>
              <w:t>Total organization realignment and restructuring</w:t>
            </w: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(1,228)</w:t>
            </w:r>
          </w:p>
        </w:tc>
        <w:tc>
          <w:tcPr>
            <w:tcW w:w="100" w:type="dxa"/>
            <w:vAlign w:val="bottom"/>
            <w:tcBorders>
              <w:bottom w:val="single" w:sz="8" w:color="D2DCE5"/>
            </w:tcBorders>
            <w:shd w:val="clear" w:color="auto" w:fill="D2DCE5"/>
          </w:tcPr>
          <w:p>
            <w:pPr>
              <w:spacing w:after="0"/>
              <w:rPr>
                <w:sz w:val="22"/>
                <w:szCs w:val="22"/>
                <w:color w:val="auto"/>
              </w:rPr>
            </w:pPr>
          </w:p>
        </w:tc>
        <w:tc>
          <w:tcPr>
            <w:tcW w:w="180" w:type="dxa"/>
            <w:vAlign w:val="bottom"/>
            <w:tcBorders>
              <w:bottom w:val="single" w:sz="8" w:color="D2DCE5"/>
            </w:tcBorders>
            <w:shd w:val="clear" w:color="auto" w:fill="D2DCE5"/>
          </w:tcPr>
          <w:p>
            <w:pPr>
              <w:spacing w:after="0"/>
              <w:rPr>
                <w:sz w:val="22"/>
                <w:szCs w:val="22"/>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006098"/>
              </w:rPr>
              <w:t>(0.3)</w:t>
            </w:r>
          </w:p>
        </w:tc>
        <w:tc>
          <w:tcPr>
            <w:tcW w:w="120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(2,625)</w:t>
            </w:r>
          </w:p>
        </w:tc>
        <w:tc>
          <w:tcPr>
            <w:tcW w:w="80" w:type="dxa"/>
            <w:vAlign w:val="bottom"/>
            <w:tcBorders>
              <w:bottom w:val="single" w:sz="8" w:color="D2DCE5"/>
            </w:tcBorders>
            <w:shd w:val="clear" w:color="auto" w:fill="D2DCE5"/>
          </w:tcPr>
          <w:p>
            <w:pPr>
              <w:spacing w:after="0"/>
              <w:rPr>
                <w:sz w:val="22"/>
                <w:szCs w:val="22"/>
                <w:color w:val="auto"/>
              </w:rPr>
            </w:pPr>
          </w:p>
        </w:tc>
        <w:tc>
          <w:tcPr>
            <w:tcW w:w="220" w:type="dxa"/>
            <w:vAlign w:val="bottom"/>
            <w:tcBorders>
              <w:bottom w:val="single" w:sz="8" w:color="D2DCE5"/>
            </w:tcBorders>
            <w:shd w:val="clear" w:color="auto" w:fill="D2DCE5"/>
          </w:tcPr>
          <w:p>
            <w:pPr>
              <w:spacing w:after="0"/>
              <w:rPr>
                <w:sz w:val="22"/>
                <w:szCs w:val="22"/>
                <w:color w:val="auto"/>
              </w:rPr>
            </w:pPr>
          </w:p>
        </w:tc>
        <w:tc>
          <w:tcPr>
            <w:tcW w:w="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w:t>
            </w:r>
          </w:p>
        </w:tc>
      </w:tr>
      <w:tr>
        <w:trPr>
          <w:trHeight w:val="263"/>
        </w:trPr>
        <w:tc>
          <w:tcPr>
            <w:tcW w:w="7040" w:type="dxa"/>
            <w:vAlign w:val="bottom"/>
            <w:gridSpan w:val="2"/>
          </w:tcPr>
          <w:p>
            <w:pPr>
              <w:ind w:left="360"/>
              <w:spacing w:after="0"/>
              <w:rPr>
                <w:sz w:val="20"/>
                <w:szCs w:val="20"/>
                <w:color w:val="auto"/>
              </w:rPr>
            </w:pPr>
            <w:r>
              <w:rPr>
                <w:rFonts w:ascii="Arial" w:cs="Arial" w:eastAsia="Arial" w:hAnsi="Arial"/>
                <w:sz w:val="18"/>
                <w:szCs w:val="18"/>
                <w:b w:val="1"/>
                <w:bCs w:val="1"/>
                <w:color w:val="131E29"/>
              </w:rPr>
              <w:t>Adjusted selling, general, and administrative</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53,497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15.1</w:t>
            </w:r>
          </w:p>
        </w:tc>
        <w:tc>
          <w:tcPr>
            <w:tcW w:w="8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40,430</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14.7</w:t>
            </w: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3. QUANTITATIVE AND QUALITATIVE DISCLOSURES ABOUT MARKET RISK</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Commodity Risks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Our profitability is dependent on, among other things, our ability to anticipate and react to changes in the costs of key operating resources, including beverage commodities,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over the past year, and making operational adjustments that increase productivity. However, tariffs, sustained inflation of, or substantial increases in costs and expenses, including dairy, coffee, fuel, sugar, cocoa, and packaging commodities pricing, could impact our operating results to the extent that such costs and expenses remain elevated or increase and cannot be offset by menu price increases. Additionally, if there is a time lag between increasing commodity prices and our ability to increase menu prices or take other action in response, or if we choose not to pass on the cost increases by increasing menu prices, our operating results could be negatively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Labor Costs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have experienced minimum wage increases, which directly affect our labor costs, and other upward pressure on wage rates in several states, including in California beginning in April 2024. Additionally, several other states that we operate in have increased their minimum wage requirements in 2025. In the future, we may or may not be able to offset these cost increases with operational efficiencies, menu price increases, or other adjustments. As of March 31, 2025, we employed approximately 18,000 hourly workers in our company-operated shops.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Interest Rate Risk</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We have historically been exposed to interest rate risk through fluctuations in interest rates on our debt obligations. Our 2022 Credit Facility carries interest at a floating rate. We seek to manage exposure to adverse interest rate changes through our normal operating and financing activities, including through the use of interest rate swaps to mitigate the potential impacts of changes in benchmark interest rates on interest expense and cash flows. As of March 31, 2025, we had no revolving loans outstanding, and $280.9 million was outstanding on our term loan facilities. A hypothetical increase of interest rates up to 1% on our outstanding term loan as of March 31, 2025 would result in an increase in our annual interest expense of approximately $2.8 million, excluding any potential impacts of interest rate swaps.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Impact of Inflation</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primary inflation factors affecting our operations are commodity and supply costs, energy costs, labor costs, and construction costs of company-operated shops. Increases in the minimum wage requirements directly affect our labor costs. Our leases require us to pay taxes, maintenance, repairs, insurance, and utilities, all of which are generally subject to inflationary increases. Finally, the total cost to build our shops is impacted by inflation. Specifically, increases in sitework and permitting, construction materials, labor, and equipment may increase our overall development costs and capital expenditures, and potentially result in higher rent expenses for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adjust our Dutch Rewards loyalty program, and make operating adjustments that increase productivity to help offset these pressures. Price increases and other inflationary pressures may lead to decreases in consumer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Evaluation of Disclosure Controls and Procedures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As of March 31, 2025, under the supervision and with the participation of our management, including the Chief Executive Officer and Chief Financial Officer, we evaluated the effectiveness of the design and operation of our disclosure controls and procedures, as defined in Rule 13(a)-15(e) of the Securities Exchange Act of 1934, as amended (the Exchange Act). Based on the evaluation, our Chief Executive Officer and Chief Financial Officer have concluded that our disclosure controls and procedures were effective as of that date.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Changes in Internal Control over Financial Reporting</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There have been no changes during the three months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028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 LEGAL PROCEEDINGS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may, from time to time, be party to litigation and subject to claims incident to the ordinary course of business. As our company matures, we may become party to an increasing number of litigation matters and claims. The outcome of litigation and claims cannot be predicted with certainty, and the resolution of these matters could materially adversely affect our business, financial condition, results of operations, and growth prospects.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31E29"/>
        </w:rPr>
        <w:t>Please refer to NOTE 15 — Commitments and Contingencies under the heading “Legal Proceedings” for further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1A. RISK FACTORS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Except for the items noted below, there have been no material changes in our risk factors from those disclosed in Part I, Item 1A of our 2024 Form 10-K. The risk factors described in our 2024 Form 10-K, as well as other information set forth in this Quarterly Report on Form 10-Q, could materially adversely affect our business, financial condition and results of operations, and should be carefully considered. The risks and uncertainties that we face, however, are not limited to those described in the 2024 Form 10-K. Additional risks and uncertainties not presently known to us or that we currently believe to be immaterial may also adversely affect our business and the trading price of our Class A common stock.</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International trade policies, including tariffs, sanctions and trade barriers may adversely affect our business, financial condition, results of operations and prospects.</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recent announcements of substantial new U.S. tariffs and other restrictive trade policies have created a dynamic and unpredictable trade landscape, which may adversely impact our business.</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Current or future tariffs or other restrictive trade measures may raise the costs of our imported green coffee beans and other goods, which may adversely impact our product offerings, operational expenses, and construction costs. Such cost increases may reduce our margins and require us to increase prices, which could harm our competitive position, reduce customer demand, and damage customer relationships. Our suppliers and distribution channels are also affected by the current trade environment, and we and they may experience supply chain disruptions as a result of increased costs and uncertainty, as well as risks to the long-term viability of key suppliers, which may impact our ability to meet customer demand or manage inventory efficiently. Tariff and other trade-related cost pressures and supply chain disruptions may lead to reputational harm if we are unable to supply our shops with sufficient products or supply products on expected timelines, or if any price increases are poorly received by customers. In addition, evolving trade policies, including tariffs and trade restrictions, may decrease consumer discretionary spending and result in decreased demand for our products.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also necessitate pricing actions and result in a negative impact on customer demand for our products, limit expansion opportunities, limit our access to capital, or otherwise negatively impact our business and operations. Ongoing tariff, trade restrictions and macroeconomic uncertainty may contribute to volatility in the price of our Class A common stock.</w:t>
      </w:r>
    </w:p>
    <w:p>
      <w:pPr>
        <w:spacing w:after="0" w:line="1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Ongoing uncertainty regarding trade policies may also complicate our short- and long-term strategic planning, and that of our suppliers and distributors, including decisions regarding hiring, product strategy, capital investment, supply chain design, and geographic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in our 2024 Form 10-K.</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006098"/>
        </w:rPr>
        <w:t>Legislation and regulations requiring the display and provision of nutritional information for our menu offerings, and new information, attitudes, or regulations regarding additives, diet and health or adverse opinions about the health effects of consuming our menu offerings, could affect consumer preferences and negatively impact our business, financial condition, and results of operations.</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Government regulation and customer consumption habits may impact our business as a result of changes in attitudes regarding diet and health (including use of weight-loss or appetite-suppressing drugs)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Food and Drug Administration to require covered restaurants to make additional nutrient disclosures, such as disclosure of trans-fat content. More recently, U.S. regulatory authorities, including the Food and Drug Administration, have indicated their intent to restrict or prohibit the use of certain food dyes currently permitted for lawful use in the food supply. Should such regulatory change affect the ingredients currently used in our products and we are unable to identify or secure comparable and cost-effective alternative ingredients, such change could have an adverse effect on our results of operations and financial position. An unfavorable report on, or reaction to, our current or future menu ingredients, the size of our portions, or the nutritional content of our menu items could negatively influence the demand for our offerings.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We cannot make any assurances regarding our ability to effectively respond to changes in customer health perceptions or our ability to successfully implement nutrient content disclosure requirements or other resulting regulations, including potential regulations around the use of certain ingredients, dyes, or other additives, or to adapt our menu offerings to trends in drinking and consumption habits. The imposition of menu-labeling laws, additional restrictions on certain food additives, and such other regulations could have an adverse effect on our results of operations and financial position, as well as the food service and restaurant industry in general.</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may be unable to identify all potential allergens present in our products at the time of purchase, whether they may have been introduced by us or by our third party vendors. This could result in the inability of some customers to purchase our products, or could result in negative health consequences for individuals sensitive to such allergens who choose to purchase our products regardless. A potentially serious allergic reaction to our products may result in negative public perception and could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In addition, social media has contributed to an increase in “secret menu” style drinks that are not created or marketed by us. Such drinks can be ordered by customers, for example, by asking for specific combinations of flavors or ingredients. We have no control over such trends, may not become timely aware of them, and may be unable to provide nutritional information for them. Such trends may also result in the mixture of ingredients in ways that could be perceived negatively, including with regard to health effects, and such perception could harm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2. UNREGISTERED SALES OF EQUITY SECURITIES AND USE OF PROCEEDS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purchases of Class A common stock during the three months ended March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b w:val="1"/>
                <w:bCs w:val="1"/>
                <w:color w:val="131E29"/>
              </w:rPr>
              <w:t>Total Number of</w:t>
            </w:r>
          </w:p>
        </w:tc>
        <w:tc>
          <w:tcPr>
            <w:tcW w:w="2220" w:type="dxa"/>
            <w:vAlign w:val="bottom"/>
          </w:tcPr>
          <w:p>
            <w:pPr>
              <w:ind w:left="20"/>
              <w:spacing w:after="0"/>
              <w:rPr>
                <w:sz w:val="20"/>
                <w:szCs w:val="20"/>
                <w:color w:val="auto"/>
              </w:rPr>
            </w:pPr>
            <w:r>
              <w:rPr>
                <w:rFonts w:ascii="Arial" w:cs="Arial" w:eastAsia="Arial" w:hAnsi="Arial"/>
                <w:sz w:val="18"/>
                <w:szCs w:val="18"/>
                <w:b w:val="1"/>
                <w:bCs w:val="1"/>
                <w:color w:val="131E29"/>
              </w:rPr>
              <w:t>Maximum Number (or</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b w:val="1"/>
                <w:bCs w:val="1"/>
                <w:color w:val="131E29"/>
              </w:rPr>
              <w:t>Shares Purchased as</w:t>
            </w:r>
          </w:p>
        </w:tc>
        <w:tc>
          <w:tcPr>
            <w:tcW w:w="2220" w:type="dxa"/>
            <w:vAlign w:val="bottom"/>
          </w:tcPr>
          <w:p>
            <w:pPr>
              <w:ind w:left="20"/>
              <w:spacing w:after="0"/>
              <w:rPr>
                <w:sz w:val="20"/>
                <w:szCs w:val="20"/>
                <w:color w:val="auto"/>
              </w:rPr>
            </w:pPr>
            <w:r>
              <w:rPr>
                <w:rFonts w:ascii="Arial" w:cs="Arial" w:eastAsia="Arial" w:hAnsi="Arial"/>
                <w:sz w:val="18"/>
                <w:szCs w:val="18"/>
                <w:b w:val="1"/>
                <w:bCs w:val="1"/>
                <w:color w:val="131E29"/>
              </w:rPr>
              <w:t>Approximate Dollar</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131E29"/>
              </w:rPr>
              <w:t>Total Number of</w:t>
            </w: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131E29"/>
              </w:rPr>
              <w:t>Weighted-</w:t>
            </w:r>
          </w:p>
        </w:tc>
        <w:tc>
          <w:tcPr>
            <w:tcW w:w="2080" w:type="dxa"/>
            <w:vAlign w:val="bottom"/>
            <w:gridSpan w:val="2"/>
          </w:tcPr>
          <w:p>
            <w:pPr>
              <w:ind w:left="20"/>
              <w:spacing w:after="0"/>
              <w:rPr>
                <w:sz w:val="20"/>
                <w:szCs w:val="20"/>
                <w:color w:val="auto"/>
              </w:rPr>
            </w:pPr>
            <w:r>
              <w:rPr>
                <w:rFonts w:ascii="Arial" w:cs="Arial" w:eastAsia="Arial" w:hAnsi="Arial"/>
                <w:sz w:val="18"/>
                <w:szCs w:val="18"/>
                <w:b w:val="1"/>
                <w:bCs w:val="1"/>
                <w:color w:val="131E29"/>
              </w:rPr>
              <w:t>Part of Publicly</w:t>
            </w:r>
          </w:p>
        </w:tc>
        <w:tc>
          <w:tcPr>
            <w:tcW w:w="2220" w:type="dxa"/>
            <w:vAlign w:val="bottom"/>
          </w:tcPr>
          <w:p>
            <w:pPr>
              <w:ind w:left="20"/>
              <w:spacing w:after="0"/>
              <w:rPr>
                <w:sz w:val="20"/>
                <w:szCs w:val="20"/>
                <w:color w:val="auto"/>
              </w:rPr>
            </w:pPr>
            <w:r>
              <w:rPr>
                <w:rFonts w:ascii="Arial" w:cs="Arial" w:eastAsia="Arial" w:hAnsi="Arial"/>
                <w:sz w:val="18"/>
                <w:szCs w:val="18"/>
                <w:b w:val="1"/>
                <w:bCs w:val="1"/>
                <w:color w:val="131E29"/>
                <w:w w:val="99"/>
              </w:rPr>
              <w:t>Value) of Shares that May</w:t>
            </w:r>
          </w:p>
        </w:tc>
        <w:tc>
          <w:tcPr>
            <w:tcW w:w="0" w:type="dxa"/>
            <w:vAlign w:val="bottom"/>
          </w:tcPr>
          <w:p>
            <w:pPr>
              <w:spacing w:after="0"/>
              <w:rPr>
                <w:sz w:val="1"/>
                <w:szCs w:val="1"/>
                <w:color w:val="auto"/>
              </w:rPr>
            </w:pPr>
          </w:p>
        </w:tc>
      </w:tr>
      <w:tr>
        <w:trPr>
          <w:trHeight w:val="81"/>
        </w:trPr>
        <w:tc>
          <w:tcPr>
            <w:tcW w:w="3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131E29"/>
              </w:rPr>
              <w:t>Average Price</w:t>
            </w:r>
          </w:p>
        </w:tc>
        <w:tc>
          <w:tcPr>
            <w:tcW w:w="20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131E29"/>
              </w:rPr>
              <w:t>Announced Plans or</w:t>
            </w:r>
          </w:p>
        </w:tc>
        <w:tc>
          <w:tcPr>
            <w:tcW w:w="2220" w:type="dxa"/>
            <w:vAlign w:val="bottom"/>
            <w:vMerge w:val="restart"/>
          </w:tcPr>
          <w:p>
            <w:pPr>
              <w:ind w:left="20"/>
              <w:spacing w:after="0"/>
              <w:rPr>
                <w:sz w:val="20"/>
                <w:szCs w:val="20"/>
                <w:color w:val="auto"/>
              </w:rPr>
            </w:pPr>
            <w:r>
              <w:rPr>
                <w:rFonts w:ascii="Arial" w:cs="Arial" w:eastAsia="Arial" w:hAnsi="Arial"/>
                <w:sz w:val="18"/>
                <w:szCs w:val="18"/>
                <w:b w:val="1"/>
                <w:bCs w:val="1"/>
                <w:color w:val="131E29"/>
              </w:rPr>
              <w:t>Yet Be Purchased Under</w:t>
            </w:r>
          </w:p>
        </w:tc>
        <w:tc>
          <w:tcPr>
            <w:tcW w:w="0" w:type="dxa"/>
            <w:vAlign w:val="bottom"/>
          </w:tcPr>
          <w:p>
            <w:pPr>
              <w:spacing w:after="0"/>
              <w:rPr>
                <w:sz w:val="1"/>
                <w:szCs w:val="1"/>
                <w:color w:val="auto"/>
              </w:rPr>
            </w:pPr>
          </w:p>
        </w:tc>
      </w:tr>
      <w:tr>
        <w:trPr>
          <w:trHeight w:val="181"/>
        </w:trPr>
        <w:tc>
          <w:tcPr>
            <w:tcW w:w="3500" w:type="dxa"/>
            <w:vAlign w:val="bottom"/>
            <w:vMerge w:val="restart"/>
          </w:tcPr>
          <w:p>
            <w:pPr>
              <w:ind w:left="20"/>
              <w:spacing w:after="0"/>
              <w:rPr>
                <w:sz w:val="20"/>
                <w:szCs w:val="20"/>
                <w:color w:val="auto"/>
              </w:rPr>
            </w:pPr>
            <w:r>
              <w:rPr>
                <w:rFonts w:ascii="Arial" w:cs="Arial" w:eastAsia="Arial" w:hAnsi="Arial"/>
                <w:sz w:val="18"/>
                <w:szCs w:val="18"/>
                <w:b w:val="1"/>
                <w:bCs w:val="1"/>
                <w:color w:val="131E29"/>
              </w:rPr>
              <w:t>Period</w:t>
            </w:r>
          </w:p>
        </w:tc>
        <w:tc>
          <w:tcPr>
            <w:tcW w:w="80" w:type="dxa"/>
            <w:vAlign w:val="bottom"/>
            <w:vMerge w:val="restart"/>
          </w:tcPr>
          <w:p>
            <w:pPr>
              <w:spacing w:after="0"/>
              <w:rPr>
                <w:sz w:val="15"/>
                <w:szCs w:val="15"/>
                <w:color w:val="auto"/>
              </w:rPr>
            </w:pPr>
          </w:p>
        </w:tc>
        <w:tc>
          <w:tcPr>
            <w:tcW w:w="1800" w:type="dxa"/>
            <w:vAlign w:val="bottom"/>
            <w:gridSpan w:val="2"/>
          </w:tcPr>
          <w:p>
            <w:pPr>
              <w:ind w:left="20"/>
              <w:spacing w:after="0" w:line="181" w:lineRule="exact"/>
              <w:rPr>
                <w:sz w:val="20"/>
                <w:szCs w:val="20"/>
                <w:color w:val="auto"/>
              </w:rPr>
            </w:pPr>
            <w:r>
              <w:rPr>
                <w:rFonts w:ascii="Arial" w:cs="Arial" w:eastAsia="Arial" w:hAnsi="Arial"/>
                <w:sz w:val="18"/>
                <w:szCs w:val="18"/>
                <w:b w:val="1"/>
                <w:bCs w:val="1"/>
                <w:color w:val="131E29"/>
              </w:rPr>
              <w:t>Shares Purchased</w:t>
            </w:r>
          </w:p>
        </w:tc>
        <w:tc>
          <w:tcPr>
            <w:tcW w:w="1560" w:type="dxa"/>
            <w:vAlign w:val="bottom"/>
            <w:gridSpan w:val="2"/>
            <w:vMerge w:val="continue"/>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D7282F"/>
            </w:tcBorders>
            <w:vMerge w:val="continue"/>
          </w:tcPr>
          <w:p>
            <w:pPr>
              <w:spacing w:after="0"/>
              <w:rPr>
                <w:sz w:val="18"/>
                <w:szCs w:val="18"/>
                <w:color w:val="auto"/>
              </w:rPr>
            </w:pPr>
          </w:p>
        </w:tc>
        <w:tc>
          <w:tcPr>
            <w:tcW w:w="80" w:type="dxa"/>
            <w:vAlign w:val="bottom"/>
            <w:tcBorders>
              <w:bottom w:val="single" w:sz="8" w:color="D2DCE5"/>
            </w:tcBorders>
            <w:vMerge w:val="continue"/>
          </w:tcPr>
          <w:p>
            <w:pPr>
              <w:spacing w:after="0"/>
              <w:rPr>
                <w:sz w:val="18"/>
                <w:szCs w:val="18"/>
                <w:color w:val="auto"/>
              </w:rPr>
            </w:pPr>
          </w:p>
        </w:tc>
        <w:tc>
          <w:tcPr>
            <w:tcW w:w="1700" w:type="dxa"/>
            <w:vAlign w:val="bottom"/>
            <w:tcBorders>
              <w:bottom w:val="single" w:sz="8" w:color="D7282F"/>
            </w:tcBorders>
          </w:tcPr>
          <w:p>
            <w:pPr>
              <w:ind w:left="20"/>
              <w:spacing w:after="0"/>
              <w:rPr>
                <w:sz w:val="20"/>
                <w:szCs w:val="20"/>
                <w:color w:val="auto"/>
              </w:rPr>
            </w:pPr>
            <w:r>
              <w:rPr>
                <w:rFonts w:ascii="Arial" w:cs="Arial" w:eastAsia="Arial" w:hAnsi="Arial"/>
                <w:sz w:val="12"/>
                <w:szCs w:val="12"/>
                <w:b w:val="1"/>
                <w:bCs w:val="1"/>
                <w:color w:val="131E29"/>
              </w:rPr>
              <w:t>1</w:t>
            </w:r>
          </w:p>
        </w:tc>
        <w:tc>
          <w:tcPr>
            <w:tcW w:w="100" w:type="dxa"/>
            <w:vAlign w:val="bottom"/>
            <w:tcBorders>
              <w:bottom w:val="single" w:sz="8" w:color="D2DCE5"/>
            </w:tcBorders>
          </w:tcPr>
          <w:p>
            <w:pPr>
              <w:spacing w:after="0"/>
              <w:rPr>
                <w:sz w:val="18"/>
                <w:szCs w:val="18"/>
                <w:color w:val="auto"/>
              </w:rPr>
            </w:pPr>
          </w:p>
        </w:tc>
        <w:tc>
          <w:tcPr>
            <w:tcW w:w="1460" w:type="dxa"/>
            <w:vAlign w:val="bottom"/>
            <w:tcBorders>
              <w:bottom w:val="single" w:sz="8" w:color="D7282F"/>
            </w:tcBorders>
          </w:tcPr>
          <w:p>
            <w:pPr>
              <w:ind w:left="20"/>
              <w:spacing w:after="0"/>
              <w:rPr>
                <w:sz w:val="20"/>
                <w:szCs w:val="20"/>
                <w:color w:val="auto"/>
              </w:rPr>
            </w:pPr>
            <w:r>
              <w:rPr>
                <w:rFonts w:ascii="Arial" w:cs="Arial" w:eastAsia="Arial" w:hAnsi="Arial"/>
                <w:sz w:val="18"/>
                <w:szCs w:val="18"/>
                <w:b w:val="1"/>
                <w:bCs w:val="1"/>
                <w:color w:val="131E29"/>
              </w:rPr>
              <w:t>Paid Per Share</w:t>
            </w:r>
          </w:p>
        </w:tc>
        <w:tc>
          <w:tcPr>
            <w:tcW w:w="100" w:type="dxa"/>
            <w:vAlign w:val="bottom"/>
            <w:tcBorders>
              <w:bottom w:val="single" w:sz="8" w:color="D2DCE5"/>
            </w:tcBorders>
          </w:tcPr>
          <w:p>
            <w:pPr>
              <w:spacing w:after="0"/>
              <w:rPr>
                <w:sz w:val="18"/>
                <w:szCs w:val="18"/>
                <w:color w:val="auto"/>
              </w:rPr>
            </w:pPr>
          </w:p>
        </w:tc>
        <w:tc>
          <w:tcPr>
            <w:tcW w:w="1980" w:type="dxa"/>
            <w:vAlign w:val="bottom"/>
            <w:tcBorders>
              <w:bottom w:val="single" w:sz="8" w:color="D7282F"/>
            </w:tcBorders>
          </w:tcPr>
          <w:p>
            <w:pPr>
              <w:ind w:left="20"/>
              <w:spacing w:after="0"/>
              <w:rPr>
                <w:sz w:val="20"/>
                <w:szCs w:val="20"/>
                <w:color w:val="auto"/>
              </w:rPr>
            </w:pPr>
            <w:r>
              <w:rPr>
                <w:rFonts w:ascii="Arial" w:cs="Arial" w:eastAsia="Arial" w:hAnsi="Arial"/>
                <w:sz w:val="18"/>
                <w:szCs w:val="18"/>
                <w:b w:val="1"/>
                <w:bCs w:val="1"/>
                <w:color w:val="131E29"/>
              </w:rPr>
              <w:t>Programs</w:t>
            </w:r>
          </w:p>
        </w:tc>
        <w:tc>
          <w:tcPr>
            <w:tcW w:w="100" w:type="dxa"/>
            <w:vAlign w:val="bottom"/>
            <w:tcBorders>
              <w:bottom w:val="single" w:sz="8" w:color="D2DCE5"/>
            </w:tcBorders>
          </w:tcPr>
          <w:p>
            <w:pPr>
              <w:spacing w:after="0"/>
              <w:rPr>
                <w:sz w:val="18"/>
                <w:szCs w:val="18"/>
                <w:color w:val="auto"/>
              </w:rPr>
            </w:pPr>
          </w:p>
        </w:tc>
        <w:tc>
          <w:tcPr>
            <w:tcW w:w="2220" w:type="dxa"/>
            <w:vAlign w:val="bottom"/>
            <w:tcBorders>
              <w:bottom w:val="single" w:sz="8" w:color="D7282F"/>
            </w:tcBorders>
          </w:tcPr>
          <w:p>
            <w:pPr>
              <w:ind w:left="20"/>
              <w:spacing w:after="0"/>
              <w:rPr>
                <w:sz w:val="20"/>
                <w:szCs w:val="20"/>
                <w:color w:val="auto"/>
              </w:rPr>
            </w:pPr>
            <w:r>
              <w:rPr>
                <w:rFonts w:ascii="Arial" w:cs="Arial" w:eastAsia="Arial" w:hAnsi="Arial"/>
                <w:sz w:val="18"/>
                <w:szCs w:val="18"/>
                <w:b w:val="1"/>
                <w:bCs w:val="1"/>
                <w:color w:val="131E29"/>
              </w:rPr>
              <w:t>the Plans or Programs</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January 1 - 31, 2025</w:t>
            </w:r>
          </w:p>
        </w:tc>
        <w:tc>
          <w:tcPr>
            <w:tcW w:w="1800" w:type="dxa"/>
            <w:vAlign w:val="bottom"/>
            <w:tcBorders>
              <w:bottom w:val="single" w:sz="8" w:color="D2DCE5"/>
            </w:tcBorders>
            <w:gridSpan w:val="2"/>
            <w:shd w:val="clear" w:color="auto" w:fill="D2DCE5"/>
          </w:tcPr>
          <w:p>
            <w:pPr>
              <w:jc w:val="center"/>
              <w:ind w:right="100"/>
              <w:spacing w:after="0"/>
              <w:rPr>
                <w:sz w:val="20"/>
                <w:szCs w:val="20"/>
                <w:color w:val="auto"/>
              </w:rPr>
            </w:pPr>
            <w:r>
              <w:rPr>
                <w:rFonts w:ascii="Arial" w:cs="Arial" w:eastAsia="Arial" w:hAnsi="Arial"/>
                <w:sz w:val="18"/>
                <w:szCs w:val="18"/>
                <w:color w:val="006098"/>
                <w:w w:val="99"/>
              </w:rPr>
              <w:t>—</w:t>
            </w:r>
          </w:p>
        </w:tc>
        <w:tc>
          <w:tcPr>
            <w:tcW w:w="1560" w:type="dxa"/>
            <w:vAlign w:val="bottom"/>
            <w:tcBorders>
              <w:bottom w:val="single" w:sz="8" w:color="D2DCE5"/>
            </w:tcBorders>
            <w:gridSpan w:val="2"/>
            <w:shd w:val="clear" w:color="auto" w:fill="D2DCE5"/>
          </w:tcPr>
          <w:p>
            <w:pPr>
              <w:jc w:val="center"/>
              <w:ind w:right="80"/>
              <w:spacing w:after="0"/>
              <w:rPr>
                <w:sz w:val="20"/>
                <w:szCs w:val="20"/>
                <w:color w:val="auto"/>
              </w:rPr>
            </w:pPr>
            <w:r>
              <w:rPr>
                <w:rFonts w:ascii="Arial" w:cs="Arial" w:eastAsia="Arial" w:hAnsi="Arial"/>
                <w:sz w:val="18"/>
                <w:szCs w:val="18"/>
                <w:color w:val="006098"/>
                <w:w w:val="99"/>
              </w:rPr>
              <w:t>$—</w:t>
            </w:r>
          </w:p>
        </w:tc>
        <w:tc>
          <w:tcPr>
            <w:tcW w:w="2080" w:type="dxa"/>
            <w:vAlign w:val="bottom"/>
            <w:tcBorders>
              <w:bottom w:val="single" w:sz="8" w:color="D2DCE5"/>
            </w:tcBorders>
            <w:gridSpan w:val="2"/>
            <w:shd w:val="clear" w:color="auto" w:fill="D2DCE5"/>
          </w:tcPr>
          <w:p>
            <w:pPr>
              <w:ind w:left="840"/>
              <w:spacing w:after="0"/>
              <w:rPr>
                <w:sz w:val="20"/>
                <w:szCs w:val="20"/>
                <w:color w:val="auto"/>
              </w:rPr>
            </w:pPr>
            <w:r>
              <w:rPr>
                <w:rFonts w:ascii="Arial" w:cs="Arial" w:eastAsia="Arial" w:hAnsi="Arial"/>
                <w:sz w:val="18"/>
                <w:szCs w:val="18"/>
                <w:color w:val="006098"/>
              </w:rPr>
              <w:t>N/A</w:t>
            </w:r>
          </w:p>
        </w:tc>
        <w:tc>
          <w:tcPr>
            <w:tcW w:w="2220" w:type="dxa"/>
            <w:vAlign w:val="bottom"/>
            <w:tcBorders>
              <w:bottom w:val="single" w:sz="8" w:color="D2DCE5"/>
            </w:tcBorders>
            <w:shd w:val="clear" w:color="auto" w:fill="D2DCE5"/>
          </w:tcPr>
          <w:p>
            <w:pPr>
              <w:ind w:left="960"/>
              <w:spacing w:after="0"/>
              <w:rPr>
                <w:sz w:val="20"/>
                <w:szCs w:val="20"/>
                <w:color w:val="auto"/>
              </w:rPr>
            </w:pPr>
            <w:r>
              <w:rPr>
                <w:rFonts w:ascii="Arial" w:cs="Arial" w:eastAsia="Arial" w:hAnsi="Arial"/>
                <w:sz w:val="18"/>
                <w:szCs w:val="18"/>
                <w:color w:val="006098"/>
              </w:rPr>
              <w:t>N/A</w:t>
            </w:r>
          </w:p>
        </w:tc>
        <w:tc>
          <w:tcPr>
            <w:tcW w:w="0" w:type="dxa"/>
            <w:vAlign w:val="bottom"/>
          </w:tcPr>
          <w:p>
            <w:pPr>
              <w:spacing w:after="0"/>
              <w:rPr>
                <w:sz w:val="1"/>
                <w:szCs w:val="1"/>
                <w:color w:val="auto"/>
              </w:rPr>
            </w:pPr>
          </w:p>
        </w:tc>
      </w:tr>
      <w:tr>
        <w:trPr>
          <w:trHeight w:val="247"/>
        </w:trPr>
        <w:tc>
          <w:tcPr>
            <w:tcW w:w="3580" w:type="dxa"/>
            <w:vAlign w:val="bottom"/>
            <w:gridSpan w:val="2"/>
          </w:tcPr>
          <w:p>
            <w:pPr>
              <w:ind w:left="20"/>
              <w:spacing w:after="0"/>
              <w:rPr>
                <w:sz w:val="20"/>
                <w:szCs w:val="20"/>
                <w:color w:val="auto"/>
              </w:rPr>
            </w:pPr>
            <w:r>
              <w:rPr>
                <w:rFonts w:ascii="Arial" w:cs="Arial" w:eastAsia="Arial" w:hAnsi="Arial"/>
                <w:sz w:val="18"/>
                <w:szCs w:val="18"/>
                <w:color w:val="131E29"/>
              </w:rPr>
              <w:t>February 1 - 28, 2025</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006098"/>
                <w:w w:val="99"/>
              </w:rPr>
              <w:t>—</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color w:val="006098"/>
                <w:w w:val="99"/>
              </w:rPr>
              <w:t>$—</w:t>
            </w:r>
          </w:p>
        </w:tc>
        <w:tc>
          <w:tcPr>
            <w:tcW w:w="2080" w:type="dxa"/>
            <w:vAlign w:val="bottom"/>
            <w:gridSpan w:val="2"/>
          </w:tcPr>
          <w:p>
            <w:pPr>
              <w:ind w:left="840"/>
              <w:spacing w:after="0"/>
              <w:rPr>
                <w:sz w:val="20"/>
                <w:szCs w:val="20"/>
                <w:color w:val="auto"/>
              </w:rPr>
            </w:pPr>
            <w:r>
              <w:rPr>
                <w:rFonts w:ascii="Arial" w:cs="Arial" w:eastAsia="Arial" w:hAnsi="Arial"/>
                <w:sz w:val="18"/>
                <w:szCs w:val="18"/>
                <w:color w:val="006098"/>
              </w:rPr>
              <w:t>N/A</w:t>
            </w:r>
          </w:p>
        </w:tc>
        <w:tc>
          <w:tcPr>
            <w:tcW w:w="2220" w:type="dxa"/>
            <w:vAlign w:val="bottom"/>
          </w:tcPr>
          <w:p>
            <w:pPr>
              <w:ind w:left="960"/>
              <w:spacing w:after="0"/>
              <w:rPr>
                <w:sz w:val="20"/>
                <w:szCs w:val="20"/>
                <w:color w:val="auto"/>
              </w:rPr>
            </w:pPr>
            <w:r>
              <w:rPr>
                <w:rFonts w:ascii="Arial" w:cs="Arial" w:eastAsia="Arial" w:hAnsi="Arial"/>
                <w:sz w:val="18"/>
                <w:szCs w:val="18"/>
                <w:color w:val="006098"/>
              </w:rPr>
              <w:t>N/A</w:t>
            </w: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March 1 - 31, 2025</w:t>
            </w:r>
          </w:p>
        </w:tc>
        <w:tc>
          <w:tcPr>
            <w:tcW w:w="1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006098"/>
                <w:w w:val="98"/>
              </w:rPr>
              <w:t>139,183</w:t>
            </w:r>
          </w:p>
        </w:tc>
        <w:tc>
          <w:tcPr>
            <w:tcW w:w="100" w:type="dxa"/>
            <w:vAlign w:val="bottom"/>
            <w:tcBorders>
              <w:bottom w:val="single" w:sz="8" w:color="D2DCE5"/>
            </w:tcBorders>
            <w:shd w:val="clear" w:color="auto" w:fill="D2DCE5"/>
          </w:tcPr>
          <w:p>
            <w:pPr>
              <w:spacing w:after="0"/>
              <w:rPr>
                <w:sz w:val="21"/>
                <w:szCs w:val="21"/>
                <w:color w:val="auto"/>
              </w:rPr>
            </w:pPr>
          </w:p>
        </w:tc>
        <w:tc>
          <w:tcPr>
            <w:tcW w:w="146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006098"/>
                <w:w w:val="98"/>
              </w:rPr>
              <w:t>$79.16</w:t>
            </w:r>
          </w:p>
        </w:tc>
        <w:tc>
          <w:tcPr>
            <w:tcW w:w="100" w:type="dxa"/>
            <w:vAlign w:val="bottom"/>
            <w:tcBorders>
              <w:bottom w:val="single" w:sz="8" w:color="D2DCE5"/>
            </w:tcBorders>
            <w:shd w:val="clear" w:color="auto" w:fill="D2DCE5"/>
          </w:tcPr>
          <w:p>
            <w:pPr>
              <w:spacing w:after="0"/>
              <w:rPr>
                <w:sz w:val="21"/>
                <w:szCs w:val="21"/>
                <w:color w:val="auto"/>
              </w:rPr>
            </w:pPr>
          </w:p>
        </w:tc>
        <w:tc>
          <w:tcPr>
            <w:tcW w:w="2080" w:type="dxa"/>
            <w:vAlign w:val="bottom"/>
            <w:tcBorders>
              <w:bottom w:val="single" w:sz="8" w:color="D2DCE5"/>
            </w:tcBorders>
            <w:gridSpan w:val="2"/>
            <w:shd w:val="clear" w:color="auto" w:fill="D2DCE5"/>
          </w:tcPr>
          <w:p>
            <w:pPr>
              <w:ind w:left="840"/>
              <w:spacing w:after="0"/>
              <w:rPr>
                <w:sz w:val="20"/>
                <w:szCs w:val="20"/>
                <w:color w:val="auto"/>
              </w:rPr>
            </w:pPr>
            <w:r>
              <w:rPr>
                <w:rFonts w:ascii="Arial" w:cs="Arial" w:eastAsia="Arial" w:hAnsi="Arial"/>
                <w:sz w:val="18"/>
                <w:szCs w:val="18"/>
                <w:color w:val="006098"/>
              </w:rPr>
              <w:t>N/A</w:t>
            </w:r>
          </w:p>
        </w:tc>
        <w:tc>
          <w:tcPr>
            <w:tcW w:w="2220" w:type="dxa"/>
            <w:vAlign w:val="bottom"/>
            <w:tcBorders>
              <w:bottom w:val="single" w:sz="8" w:color="D2DCE5"/>
            </w:tcBorders>
            <w:shd w:val="clear" w:color="auto" w:fill="D2DCE5"/>
          </w:tcPr>
          <w:p>
            <w:pPr>
              <w:ind w:left="960"/>
              <w:spacing w:after="0"/>
              <w:rPr>
                <w:sz w:val="20"/>
                <w:szCs w:val="20"/>
                <w:color w:val="auto"/>
              </w:rPr>
            </w:pPr>
            <w:r>
              <w:rPr>
                <w:rFonts w:ascii="Arial" w:cs="Arial" w:eastAsia="Arial" w:hAnsi="Arial"/>
                <w:sz w:val="18"/>
                <w:szCs w:val="18"/>
                <w:color w:val="006098"/>
              </w:rPr>
              <w:t>N/A</w:t>
            </w:r>
          </w:p>
        </w:tc>
        <w:tc>
          <w:tcPr>
            <w:tcW w:w="0" w:type="dxa"/>
            <w:vAlign w:val="bottom"/>
          </w:tcPr>
          <w:p>
            <w:pPr>
              <w:spacing w:after="0"/>
              <w:rPr>
                <w:sz w:val="1"/>
                <w:szCs w:val="1"/>
                <w:color w:val="auto"/>
              </w:rPr>
            </w:pPr>
          </w:p>
        </w:tc>
      </w:tr>
      <w:tr>
        <w:trPr>
          <w:trHeight w:val="301"/>
        </w:trPr>
        <w:tc>
          <w:tcPr>
            <w:tcW w:w="3500" w:type="dxa"/>
            <w:vAlign w:val="bottom"/>
          </w:tcPr>
          <w:p>
            <w:pPr>
              <w:spacing w:after="0"/>
              <w:rPr>
                <w:sz w:val="20"/>
                <w:szCs w:val="20"/>
                <w:color w:val="auto"/>
              </w:rPr>
            </w:pPr>
            <w:r>
              <w:rPr>
                <w:rFonts w:ascii="Arial" w:cs="Arial" w:eastAsia="Arial" w:hAnsi="Arial"/>
                <w:sz w:val="18"/>
                <w:szCs w:val="18"/>
                <w:color w:val="131E29"/>
              </w:rPr>
              <w:t>_________________</w:t>
            </w: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80" w:hanging="172"/>
        <w:spacing w:after="0" w:line="305" w:lineRule="auto"/>
        <w:tabs>
          <w:tab w:leader="none" w:pos="252" w:val="left"/>
        </w:tabs>
        <w:numPr>
          <w:ilvl w:val="0"/>
          <w:numId w:val="24"/>
        </w:numPr>
        <w:rPr>
          <w:rFonts w:ascii="Arial" w:cs="Arial" w:eastAsia="Arial" w:hAnsi="Arial"/>
          <w:sz w:val="9"/>
          <w:szCs w:val="9"/>
          <w:color w:val="auto"/>
        </w:rPr>
      </w:pPr>
      <w:r>
        <w:rPr>
          <w:rFonts w:ascii="Arial" w:cs="Arial" w:eastAsia="Arial" w:hAnsi="Arial"/>
          <w:sz w:val="14"/>
          <w:szCs w:val="14"/>
          <w:color w:val="auto"/>
        </w:rPr>
        <w:t>In connection with the vesting of RSUs granted pursuant to the Dutch Bros Inc. 2021 Equity Incentive Plan, as amended, shares of Class A common stock are delivered to Dutch Bros by employees to satisfy tax withholding obligations.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Unregistered Sales of Equity Securities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On February 10, 2025, pursuant to Section 3(a)(9) of the Securities Act, we made an unregistered issuance of Dutch Bros Inc.’s Class A common stock via exchange of 8.25 million Dutch Bros OpCo Class A common units held by entities controlled by our Co-Founder for shares of our Class A common stock on a one-for-one basis. Such shares of Class A common stock were then reserved for sale directly by entities controlled by our Co-Founder pursuant to a Rule 10b5-1 trading arrangement, and we received no proceeds.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3. DEFAULTS UPON SENIOR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131E29"/>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4. MINE SAFETY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131E29"/>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5.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131E29"/>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6. EXHIBITS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131E29"/>
        </w:rPr>
        <w:t>(a)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exhibits are included herein or incorporated herein by reference: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20" w:type="dxa"/>
            <w:vAlign w:val="bottom"/>
            <w:gridSpan w:val="5"/>
          </w:tcPr>
          <w:p>
            <w:pPr>
              <w:ind w:left="520"/>
              <w:spacing w:after="0"/>
              <w:rPr>
                <w:sz w:val="20"/>
                <w:szCs w:val="20"/>
                <w:color w:val="auto"/>
              </w:rPr>
            </w:pPr>
            <w:r>
              <w:rPr>
                <w:rFonts w:ascii="Arial" w:cs="Arial" w:eastAsia="Arial" w:hAnsi="Arial"/>
                <w:sz w:val="14"/>
                <w:szCs w:val="14"/>
                <w:b w:val="1"/>
                <w:bCs w:val="1"/>
                <w:color w:val="131E29"/>
              </w:rPr>
              <w:t>Incorporated by Reference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131E29"/>
              </w:rPr>
              <w:t>Exhibit</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D7282F"/>
            </w:tcBorders>
          </w:tcPr>
          <w:p>
            <w:pPr>
              <w:spacing w:after="0"/>
              <w:rPr>
                <w:sz w:val="15"/>
                <w:szCs w:val="15"/>
                <w:color w:val="auto"/>
              </w:rPr>
            </w:pPr>
          </w:p>
        </w:tc>
        <w:tc>
          <w:tcPr>
            <w:tcW w:w="760" w:type="dxa"/>
            <w:vAlign w:val="bottom"/>
            <w:tcBorders>
              <w:top w:val="single" w:sz="8" w:color="D7282F"/>
            </w:tcBorders>
          </w:tcPr>
          <w:p>
            <w:pPr>
              <w:spacing w:after="0"/>
              <w:rPr>
                <w:sz w:val="15"/>
                <w:szCs w:val="15"/>
                <w:color w:val="auto"/>
              </w:rPr>
            </w:pPr>
          </w:p>
        </w:tc>
        <w:tc>
          <w:tcPr>
            <w:tcW w:w="1240" w:type="dxa"/>
            <w:vAlign w:val="bottom"/>
            <w:tcBorders>
              <w:top w:val="single" w:sz="8" w:color="D7282F"/>
            </w:tcBorders>
          </w:tcPr>
          <w:p>
            <w:pPr>
              <w:spacing w:after="0"/>
              <w:rPr>
                <w:sz w:val="15"/>
                <w:szCs w:val="15"/>
                <w:color w:val="auto"/>
              </w:rPr>
            </w:pPr>
          </w:p>
        </w:tc>
        <w:tc>
          <w:tcPr>
            <w:tcW w:w="820" w:type="dxa"/>
            <w:vAlign w:val="bottom"/>
            <w:tcBorders>
              <w:top w:val="single" w:sz="8" w:color="D7282F"/>
            </w:tcBorders>
          </w:tcPr>
          <w:p>
            <w:pPr>
              <w:spacing w:after="0"/>
              <w:rPr>
                <w:sz w:val="15"/>
                <w:szCs w:val="15"/>
                <w:color w:val="auto"/>
              </w:rPr>
            </w:pPr>
          </w:p>
        </w:tc>
        <w:tc>
          <w:tcPr>
            <w:tcW w:w="100" w:type="dxa"/>
            <w:vAlign w:val="bottom"/>
            <w:tcBorders>
              <w:top w:val="single" w:sz="8" w:color="D7282F"/>
            </w:tcBorders>
          </w:tcPr>
          <w:p>
            <w:pPr>
              <w:spacing w:after="0"/>
              <w:rPr>
                <w:sz w:val="15"/>
                <w:szCs w:val="15"/>
                <w:color w:val="auto"/>
              </w:rPr>
            </w:pPr>
          </w:p>
        </w:tc>
        <w:tc>
          <w:tcPr>
            <w:tcW w:w="1560" w:type="dxa"/>
            <w:vAlign w:val="bottom"/>
            <w:tcBorders>
              <w:top w:val="single" w:sz="8" w:color="D7282F"/>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131E29"/>
                <w:w w:val="97"/>
              </w:rPr>
              <w:t>Filed</w:t>
            </w:r>
          </w:p>
        </w:tc>
        <w:tc>
          <w:tcPr>
            <w:tcW w:w="0" w:type="dxa"/>
            <w:vAlign w:val="bottom"/>
          </w:tcPr>
          <w:p>
            <w:pPr>
              <w:spacing w:after="0"/>
              <w:rPr>
                <w:sz w:val="1"/>
                <w:szCs w:val="1"/>
                <w:color w:val="auto"/>
              </w:rPr>
            </w:pPr>
          </w:p>
        </w:tc>
      </w:tr>
      <w:tr>
        <w:trPr>
          <w:trHeight w:val="205"/>
        </w:trPr>
        <w:tc>
          <w:tcPr>
            <w:tcW w:w="108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131E29"/>
              </w:rPr>
              <w:t>Number</w:t>
            </w:r>
          </w:p>
        </w:tc>
        <w:tc>
          <w:tcPr>
            <w:tcW w:w="80" w:type="dxa"/>
            <w:vAlign w:val="bottom"/>
            <w:tcBorders>
              <w:bottom w:val="single" w:sz="8" w:color="D2DCE5"/>
            </w:tcBorders>
          </w:tcPr>
          <w:p>
            <w:pPr>
              <w:spacing w:after="0"/>
              <w:rPr>
                <w:sz w:val="17"/>
                <w:szCs w:val="17"/>
                <w:color w:val="auto"/>
              </w:rPr>
            </w:pPr>
          </w:p>
        </w:tc>
        <w:tc>
          <w:tcPr>
            <w:tcW w:w="20" w:type="dxa"/>
            <w:vAlign w:val="bottom"/>
            <w:tcBorders>
              <w:bottom w:val="single" w:sz="8" w:color="D7282F"/>
            </w:tcBorders>
          </w:tcPr>
          <w:p>
            <w:pPr>
              <w:spacing w:after="0"/>
              <w:rPr>
                <w:sz w:val="17"/>
                <w:szCs w:val="17"/>
                <w:color w:val="auto"/>
              </w:rPr>
            </w:pPr>
          </w:p>
        </w:tc>
        <w:tc>
          <w:tcPr>
            <w:tcW w:w="4440" w:type="dxa"/>
            <w:vAlign w:val="bottom"/>
            <w:tcBorders>
              <w:bottom w:val="single" w:sz="8" w:color="D7282F"/>
            </w:tcBorders>
            <w:gridSpan w:val="17"/>
          </w:tcPr>
          <w:p>
            <w:pPr>
              <w:spacing w:after="0"/>
              <w:rPr>
                <w:sz w:val="20"/>
                <w:szCs w:val="20"/>
                <w:color w:val="auto"/>
              </w:rPr>
            </w:pPr>
            <w:r>
              <w:rPr>
                <w:rFonts w:ascii="Arial" w:cs="Arial" w:eastAsia="Arial" w:hAnsi="Arial"/>
                <w:sz w:val="14"/>
                <w:szCs w:val="14"/>
                <w:b w:val="1"/>
                <w:bCs w:val="1"/>
                <w:color w:val="131E29"/>
              </w:rPr>
              <w:t>Description</w:t>
            </w:r>
          </w:p>
        </w:tc>
        <w:tc>
          <w:tcPr>
            <w:tcW w:w="80" w:type="dxa"/>
            <w:vAlign w:val="bottom"/>
            <w:tcBorders>
              <w:bottom w:val="single" w:sz="8" w:color="D2DCE5"/>
            </w:tcBorders>
          </w:tcPr>
          <w:p>
            <w:pPr>
              <w:spacing w:after="0"/>
              <w:rPr>
                <w:sz w:val="17"/>
                <w:szCs w:val="17"/>
                <w:color w:val="auto"/>
              </w:rPr>
            </w:pPr>
          </w:p>
        </w:tc>
        <w:tc>
          <w:tcPr>
            <w:tcW w:w="7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131E29"/>
              </w:rPr>
              <w:t>Form</w:t>
            </w:r>
          </w:p>
        </w:tc>
        <w:tc>
          <w:tcPr>
            <w:tcW w:w="124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131E29"/>
              </w:rPr>
              <w:t>File No.</w:t>
            </w:r>
          </w:p>
        </w:tc>
        <w:tc>
          <w:tcPr>
            <w:tcW w:w="82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131E29"/>
              </w:rPr>
              <w:t>Exhibit</w:t>
            </w:r>
          </w:p>
        </w:tc>
        <w:tc>
          <w:tcPr>
            <w:tcW w:w="100" w:type="dxa"/>
            <w:vAlign w:val="bottom"/>
            <w:tcBorders>
              <w:bottom w:val="single" w:sz="8" w:color="D2DCE5"/>
            </w:tcBorders>
          </w:tcPr>
          <w:p>
            <w:pPr>
              <w:spacing w:after="0"/>
              <w:rPr>
                <w:sz w:val="17"/>
                <w:szCs w:val="17"/>
                <w:color w:val="auto"/>
              </w:rPr>
            </w:pPr>
          </w:p>
        </w:tc>
        <w:tc>
          <w:tcPr>
            <w:tcW w:w="15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131E29"/>
              </w:rPr>
              <w:t>Filing Date</w:t>
            </w:r>
          </w:p>
        </w:tc>
        <w:tc>
          <w:tcPr>
            <w:tcW w:w="100" w:type="dxa"/>
            <w:vAlign w:val="bottom"/>
            <w:tcBorders>
              <w:bottom w:val="single" w:sz="8" w:color="D2DCE5"/>
            </w:tcBorders>
          </w:tcPr>
          <w:p>
            <w:pPr>
              <w:spacing w:after="0"/>
              <w:rPr>
                <w:sz w:val="17"/>
                <w:szCs w:val="17"/>
                <w:color w:val="auto"/>
              </w:rPr>
            </w:pPr>
          </w:p>
        </w:tc>
        <w:tc>
          <w:tcPr>
            <w:tcW w:w="9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131E29"/>
              </w:rPr>
              <w:t>Herewith</w:t>
            </w:r>
          </w:p>
        </w:tc>
        <w:tc>
          <w:tcPr>
            <w:tcW w:w="0" w:type="dxa"/>
            <w:vAlign w:val="bottom"/>
          </w:tcPr>
          <w:p>
            <w:pPr>
              <w:spacing w:after="0"/>
              <w:rPr>
                <w:sz w:val="1"/>
                <w:szCs w:val="1"/>
                <w:color w:val="auto"/>
              </w:rPr>
            </w:pPr>
          </w:p>
        </w:tc>
      </w:tr>
      <w:tr>
        <w:trPr>
          <w:trHeight w:val="189"/>
        </w:trPr>
        <w:tc>
          <w:tcPr>
            <w:tcW w:w="108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0" w:type="dxa"/>
            <w:vAlign w:val="bottom"/>
            <w:tcBorders>
              <w:bottom w:val="single" w:sz="8" w:color="D2DCE5"/>
            </w:tcBorders>
            <w:shd w:val="clear" w:color="auto" w:fill="D2DCE5"/>
          </w:tcPr>
          <w:p>
            <w:pPr>
              <w:spacing w:after="0"/>
              <w:rPr>
                <w:sz w:val="16"/>
                <w:szCs w:val="16"/>
                <w:color w:val="auto"/>
              </w:rPr>
            </w:pPr>
          </w:p>
        </w:tc>
        <w:tc>
          <w:tcPr>
            <w:tcW w:w="3840" w:type="dxa"/>
            <w:vAlign w:val="bottom"/>
            <w:tcBorders>
              <w:bottom w:val="single" w:sz="8" w:color="auto"/>
            </w:tcBorders>
            <w:gridSpan w:val="7"/>
            <w:shd w:val="clear" w:color="auto" w:fill="D2DCE5"/>
          </w:tcPr>
          <w:p>
            <w:pPr>
              <w:spacing w:after="0"/>
              <w:rPr>
                <w:rFonts w:ascii="Arial" w:cs="Arial" w:eastAsia="Arial" w:hAnsi="Arial"/>
                <w:sz w:val="16"/>
                <w:szCs w:val="16"/>
                <w:color w:val="auto"/>
              </w:rPr>
            </w:pPr>
            <w:hyperlink r:id="rId173">
              <w:r>
                <w:rPr>
                  <w:rFonts w:ascii="Arial" w:cs="Arial" w:eastAsia="Arial" w:hAnsi="Arial"/>
                  <w:sz w:val="16"/>
                  <w:szCs w:val="16"/>
                  <w:color w:val="auto"/>
                </w:rPr>
                <w:t>Amended and Restated Certificate of Incorporation of</w:t>
              </w:r>
            </w:hyperlink>
          </w:p>
        </w:tc>
        <w:tc>
          <w:tcPr>
            <w:tcW w:w="680" w:type="dxa"/>
            <w:vAlign w:val="bottom"/>
            <w:tcBorders>
              <w:bottom w:val="single" w:sz="8" w:color="D2DCE5"/>
            </w:tcBorders>
            <w:gridSpan w:val="11"/>
            <w:shd w:val="clear" w:color="auto" w:fill="D2DCE5"/>
          </w:tcPr>
          <w:p>
            <w:pPr>
              <w:spacing w:after="0"/>
              <w:rPr>
                <w:sz w:val="16"/>
                <w:szCs w:val="16"/>
                <w:color w:val="auto"/>
              </w:rPr>
            </w:pPr>
          </w:p>
        </w:tc>
        <w:tc>
          <w:tcPr>
            <w:tcW w:w="760" w:type="dxa"/>
            <w:vAlign w:val="bottom"/>
            <w:tcBorders>
              <w:bottom w:val="single" w:sz="8" w:color="D2DCE5"/>
            </w:tcBorders>
            <w:shd w:val="clear" w:color="auto" w:fill="D2DCE5"/>
          </w:tcPr>
          <w:p>
            <w:pPr>
              <w:spacing w:after="0"/>
              <w:rPr>
                <w:sz w:val="16"/>
                <w:szCs w:val="16"/>
                <w:color w:val="auto"/>
              </w:rPr>
            </w:pPr>
          </w:p>
        </w:tc>
        <w:tc>
          <w:tcPr>
            <w:tcW w:w="1240" w:type="dxa"/>
            <w:vAlign w:val="bottom"/>
            <w:tcBorders>
              <w:bottom w:val="single" w:sz="8" w:color="D2DCE5"/>
            </w:tcBorders>
            <w:shd w:val="clear" w:color="auto" w:fill="D2DCE5"/>
          </w:tcPr>
          <w:p>
            <w:pPr>
              <w:spacing w:after="0"/>
              <w:rPr>
                <w:sz w:val="16"/>
                <w:szCs w:val="16"/>
                <w:color w:val="auto"/>
              </w:rPr>
            </w:pPr>
          </w:p>
        </w:tc>
        <w:tc>
          <w:tcPr>
            <w:tcW w:w="82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56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80" w:type="dxa"/>
            <w:vAlign w:val="bottom"/>
            <w:shd w:val="clear" w:color="auto" w:fill="D2DCE5"/>
          </w:tcPr>
          <w:p>
            <w:pPr>
              <w:jc w:val="center"/>
              <w:spacing w:after="0" w:line="183" w:lineRule="exact"/>
              <w:rPr>
                <w:sz w:val="20"/>
                <w:szCs w:val="20"/>
                <w:color w:val="auto"/>
              </w:rPr>
            </w:pPr>
            <w:r>
              <w:rPr>
                <w:rFonts w:ascii="Arial" w:cs="Arial" w:eastAsia="Arial" w:hAnsi="Arial"/>
                <w:sz w:val="16"/>
                <w:szCs w:val="16"/>
                <w:color w:val="131E29"/>
              </w:rPr>
              <w:t>3.1</w:t>
            </w:r>
          </w:p>
        </w:tc>
        <w:tc>
          <w:tcPr>
            <w:tcW w:w="80" w:type="dxa"/>
            <w:vAlign w:val="bottom"/>
            <w:shd w:val="clear" w:color="auto" w:fill="D2DCE5"/>
          </w:tcPr>
          <w:p>
            <w:pPr>
              <w:spacing w:after="0"/>
              <w:rPr>
                <w:sz w:val="15"/>
                <w:szCs w:val="15"/>
                <w:color w:val="auto"/>
              </w:rPr>
            </w:pPr>
          </w:p>
        </w:tc>
        <w:tc>
          <w:tcPr>
            <w:tcW w:w="20" w:type="dxa"/>
            <w:vAlign w:val="bottom"/>
            <w:shd w:val="clear" w:color="auto" w:fill="D2DCE5"/>
          </w:tcPr>
          <w:p>
            <w:pPr>
              <w:spacing w:after="0"/>
              <w:rPr>
                <w:sz w:val="15"/>
                <w:szCs w:val="15"/>
                <w:color w:val="auto"/>
              </w:rPr>
            </w:pPr>
          </w:p>
        </w:tc>
        <w:tc>
          <w:tcPr>
            <w:tcW w:w="4520" w:type="dxa"/>
            <w:vAlign w:val="bottom"/>
            <w:gridSpan w:val="18"/>
            <w:shd w:val="clear" w:color="auto" w:fill="D2DCE5"/>
          </w:tcPr>
          <w:p>
            <w:pPr>
              <w:spacing w:after="0" w:line="183" w:lineRule="exact"/>
              <w:rPr>
                <w:rFonts w:ascii="Arial" w:cs="Arial" w:eastAsia="Arial" w:hAnsi="Arial"/>
                <w:sz w:val="16"/>
                <w:szCs w:val="16"/>
                <w:color w:val="auto"/>
              </w:rPr>
            </w:pPr>
            <w:hyperlink r:id="rId173">
              <w:r>
                <w:rPr>
                  <w:rFonts w:ascii="Arial" w:cs="Arial" w:eastAsia="Arial" w:hAnsi="Arial"/>
                  <w:sz w:val="16"/>
                  <w:szCs w:val="16"/>
                  <w:color w:val="auto"/>
                </w:rPr>
                <w:t>Registrant</w:t>
              </w:r>
            </w:hyperlink>
          </w:p>
        </w:tc>
        <w:tc>
          <w:tcPr>
            <w:tcW w:w="760" w:type="dxa"/>
            <w:vAlign w:val="bottom"/>
            <w:shd w:val="clear" w:color="auto" w:fill="D2DCE5"/>
          </w:tcPr>
          <w:p>
            <w:pPr>
              <w:jc w:val="center"/>
              <w:spacing w:after="0" w:line="183" w:lineRule="exact"/>
              <w:rPr>
                <w:sz w:val="20"/>
                <w:szCs w:val="20"/>
                <w:color w:val="auto"/>
              </w:rPr>
            </w:pPr>
            <w:r>
              <w:rPr>
                <w:rFonts w:ascii="Arial" w:cs="Arial" w:eastAsia="Arial" w:hAnsi="Arial"/>
                <w:sz w:val="16"/>
                <w:szCs w:val="16"/>
                <w:color w:val="131E29"/>
              </w:rPr>
              <w:t>8-K</w:t>
            </w:r>
          </w:p>
        </w:tc>
        <w:tc>
          <w:tcPr>
            <w:tcW w:w="1240" w:type="dxa"/>
            <w:vAlign w:val="bottom"/>
            <w:shd w:val="clear" w:color="auto" w:fill="D2DCE5"/>
          </w:tcPr>
          <w:p>
            <w:pPr>
              <w:jc w:val="center"/>
              <w:spacing w:after="0" w:line="183" w:lineRule="exact"/>
              <w:rPr>
                <w:sz w:val="20"/>
                <w:szCs w:val="20"/>
                <w:color w:val="auto"/>
              </w:rPr>
            </w:pPr>
            <w:r>
              <w:rPr>
                <w:rFonts w:ascii="Arial" w:cs="Arial" w:eastAsia="Arial" w:hAnsi="Arial"/>
                <w:sz w:val="16"/>
                <w:szCs w:val="16"/>
                <w:color w:val="131E29"/>
              </w:rPr>
              <w:t>001-40798</w:t>
            </w:r>
          </w:p>
        </w:tc>
        <w:tc>
          <w:tcPr>
            <w:tcW w:w="820" w:type="dxa"/>
            <w:vAlign w:val="bottom"/>
            <w:shd w:val="clear" w:color="auto" w:fill="D2DCE5"/>
          </w:tcPr>
          <w:p>
            <w:pPr>
              <w:jc w:val="center"/>
              <w:spacing w:after="0" w:line="183" w:lineRule="exact"/>
              <w:rPr>
                <w:sz w:val="20"/>
                <w:szCs w:val="20"/>
                <w:color w:val="auto"/>
              </w:rPr>
            </w:pPr>
            <w:r>
              <w:rPr>
                <w:rFonts w:ascii="Arial" w:cs="Arial" w:eastAsia="Arial" w:hAnsi="Arial"/>
                <w:sz w:val="16"/>
                <w:szCs w:val="16"/>
                <w:color w:val="131E29"/>
                <w:w w:val="98"/>
              </w:rPr>
              <w:t>3.1</w:t>
            </w:r>
          </w:p>
        </w:tc>
        <w:tc>
          <w:tcPr>
            <w:tcW w:w="100" w:type="dxa"/>
            <w:vAlign w:val="bottom"/>
            <w:shd w:val="clear" w:color="auto" w:fill="D2DCE5"/>
          </w:tcPr>
          <w:p>
            <w:pPr>
              <w:spacing w:after="0"/>
              <w:rPr>
                <w:sz w:val="15"/>
                <w:szCs w:val="15"/>
                <w:color w:val="auto"/>
              </w:rPr>
            </w:pPr>
          </w:p>
        </w:tc>
        <w:tc>
          <w:tcPr>
            <w:tcW w:w="1660" w:type="dxa"/>
            <w:vAlign w:val="bottom"/>
            <w:gridSpan w:val="2"/>
            <w:shd w:val="clear" w:color="auto" w:fill="D2DCE5"/>
          </w:tcPr>
          <w:p>
            <w:pPr>
              <w:jc w:val="center"/>
              <w:ind w:right="80"/>
              <w:spacing w:after="0" w:line="183" w:lineRule="exact"/>
              <w:rPr>
                <w:sz w:val="20"/>
                <w:szCs w:val="20"/>
                <w:color w:val="auto"/>
              </w:rPr>
            </w:pPr>
            <w:r>
              <w:rPr>
                <w:rFonts w:ascii="Arial" w:cs="Arial" w:eastAsia="Arial" w:hAnsi="Arial"/>
                <w:sz w:val="16"/>
                <w:szCs w:val="16"/>
                <w:color w:val="131E29"/>
              </w:rPr>
              <w:t>September 17, 2021</w:t>
            </w:r>
          </w:p>
        </w:tc>
        <w:tc>
          <w:tcPr>
            <w:tcW w:w="9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80" w:type="dxa"/>
            <w:vAlign w:val="bottom"/>
            <w:tcBorders>
              <w:top w:val="single" w:sz="8" w:color="D2DCE5"/>
            </w:tcBorders>
            <w:shd w:val="clear" w:color="auto" w:fill="D2DCE5"/>
          </w:tcPr>
          <w:p>
            <w:pPr>
              <w:spacing w:after="0"/>
              <w:rPr>
                <w:sz w:val="2"/>
                <w:szCs w:val="2"/>
                <w:color w:val="auto"/>
              </w:rPr>
            </w:pPr>
          </w:p>
        </w:tc>
        <w:tc>
          <w:tcPr>
            <w:tcW w:w="8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740" w:type="dxa"/>
            <w:vAlign w:val="bottom"/>
            <w:tcBorders>
              <w:top w:val="single" w:sz="8" w:color="auto"/>
            </w:tcBorders>
            <w:shd w:val="clear" w:color="auto" w:fill="D2DCE5"/>
          </w:tcPr>
          <w:p>
            <w:pPr>
              <w:spacing w:after="0"/>
              <w:rPr>
                <w:sz w:val="2"/>
                <w:szCs w:val="2"/>
                <w:color w:val="auto"/>
              </w:rPr>
            </w:pPr>
          </w:p>
        </w:tc>
        <w:tc>
          <w:tcPr>
            <w:tcW w:w="80" w:type="dxa"/>
            <w:vAlign w:val="bottom"/>
            <w:tcBorders>
              <w:top w:val="single" w:sz="8" w:color="D2DCE5"/>
            </w:tcBorders>
            <w:shd w:val="clear" w:color="auto" w:fill="D2DCE5"/>
          </w:tcPr>
          <w:p>
            <w:pPr>
              <w:spacing w:after="0"/>
              <w:rPr>
                <w:sz w:val="2"/>
                <w:szCs w:val="2"/>
                <w:color w:val="auto"/>
              </w:rPr>
            </w:pPr>
          </w:p>
        </w:tc>
        <w:tc>
          <w:tcPr>
            <w:tcW w:w="460" w:type="dxa"/>
            <w:vAlign w:val="bottom"/>
            <w:tcBorders>
              <w:top w:val="single" w:sz="8" w:color="D2DCE5"/>
            </w:tcBorders>
            <w:shd w:val="clear" w:color="auto" w:fill="D2DCE5"/>
          </w:tcPr>
          <w:p>
            <w:pPr>
              <w:spacing w:after="0"/>
              <w:rPr>
                <w:sz w:val="2"/>
                <w:szCs w:val="2"/>
                <w:color w:val="auto"/>
              </w:rPr>
            </w:pPr>
          </w:p>
        </w:tc>
        <w:tc>
          <w:tcPr>
            <w:tcW w:w="1220" w:type="dxa"/>
            <w:vAlign w:val="bottom"/>
            <w:tcBorders>
              <w:top w:val="single" w:sz="8" w:color="D2DCE5"/>
            </w:tcBorders>
            <w:shd w:val="clear" w:color="auto" w:fill="D2DCE5"/>
          </w:tcPr>
          <w:p>
            <w:pPr>
              <w:spacing w:after="0"/>
              <w:rPr>
                <w:sz w:val="2"/>
                <w:szCs w:val="2"/>
                <w:color w:val="auto"/>
              </w:rPr>
            </w:pPr>
          </w:p>
        </w:tc>
        <w:tc>
          <w:tcPr>
            <w:tcW w:w="200" w:type="dxa"/>
            <w:vAlign w:val="bottom"/>
            <w:tcBorders>
              <w:top w:val="single" w:sz="8" w:color="D2DCE5"/>
            </w:tcBorders>
            <w:shd w:val="clear" w:color="auto" w:fill="D2DCE5"/>
          </w:tcPr>
          <w:p>
            <w:pPr>
              <w:spacing w:after="0"/>
              <w:rPr>
                <w:sz w:val="2"/>
                <w:szCs w:val="2"/>
                <w:color w:val="auto"/>
              </w:rPr>
            </w:pPr>
          </w:p>
        </w:tc>
        <w:tc>
          <w:tcPr>
            <w:tcW w:w="540" w:type="dxa"/>
            <w:vAlign w:val="bottom"/>
            <w:tcBorders>
              <w:top w:val="single" w:sz="8" w:color="D2DCE5"/>
            </w:tcBorders>
            <w:shd w:val="clear" w:color="auto" w:fill="D2DCE5"/>
          </w:tcPr>
          <w:p>
            <w:pPr>
              <w:spacing w:after="0"/>
              <w:rPr>
                <w:sz w:val="2"/>
                <w:szCs w:val="2"/>
                <w:color w:val="auto"/>
              </w:rPr>
            </w:pPr>
          </w:p>
        </w:tc>
        <w:tc>
          <w:tcPr>
            <w:tcW w:w="600" w:type="dxa"/>
            <w:vAlign w:val="bottom"/>
            <w:tcBorders>
              <w:top w:val="single" w:sz="8" w:color="D2DCE5"/>
            </w:tcBorders>
            <w:shd w:val="clear" w:color="auto" w:fill="D2DCE5"/>
          </w:tcPr>
          <w:p>
            <w:pPr>
              <w:spacing w:after="0"/>
              <w:rPr>
                <w:sz w:val="2"/>
                <w:szCs w:val="2"/>
                <w:color w:val="auto"/>
              </w:rPr>
            </w:pPr>
          </w:p>
        </w:tc>
        <w:tc>
          <w:tcPr>
            <w:tcW w:w="12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left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60" w:type="dxa"/>
            <w:vAlign w:val="bottom"/>
            <w:tcBorders>
              <w:top w:val="single" w:sz="8" w:color="D2DCE5"/>
            </w:tcBorders>
            <w:shd w:val="clear" w:color="auto" w:fill="D2DCE5"/>
          </w:tcPr>
          <w:p>
            <w:pPr>
              <w:spacing w:after="0"/>
              <w:rPr>
                <w:sz w:val="2"/>
                <w:szCs w:val="2"/>
                <w:color w:val="auto"/>
              </w:rPr>
            </w:pPr>
          </w:p>
        </w:tc>
        <w:tc>
          <w:tcPr>
            <w:tcW w:w="60" w:type="dxa"/>
            <w:vAlign w:val="bottom"/>
            <w:tcBorders>
              <w:top w:val="single" w:sz="8" w:color="D2DCE5"/>
            </w:tcBorders>
            <w:shd w:val="clear" w:color="auto" w:fill="D2DCE5"/>
          </w:tcPr>
          <w:p>
            <w:pPr>
              <w:spacing w:after="0"/>
              <w:rPr>
                <w:sz w:val="2"/>
                <w:szCs w:val="2"/>
                <w:color w:val="auto"/>
              </w:rPr>
            </w:pPr>
          </w:p>
        </w:tc>
        <w:tc>
          <w:tcPr>
            <w:tcW w:w="80" w:type="dxa"/>
            <w:vAlign w:val="bottom"/>
            <w:tcBorders>
              <w:top w:val="single" w:sz="8" w:color="D2DCE5"/>
            </w:tcBorders>
            <w:shd w:val="clear" w:color="auto" w:fill="D2DCE5"/>
          </w:tcPr>
          <w:p>
            <w:pPr>
              <w:spacing w:after="0"/>
              <w:rPr>
                <w:sz w:val="2"/>
                <w:szCs w:val="2"/>
                <w:color w:val="auto"/>
              </w:rPr>
            </w:pPr>
          </w:p>
        </w:tc>
        <w:tc>
          <w:tcPr>
            <w:tcW w:w="760" w:type="dxa"/>
            <w:vAlign w:val="bottom"/>
            <w:tcBorders>
              <w:top w:val="single" w:sz="8" w:color="D2DCE5"/>
            </w:tcBorders>
            <w:shd w:val="clear" w:color="auto" w:fill="D2DCE5"/>
          </w:tcPr>
          <w:p>
            <w:pPr>
              <w:spacing w:after="0"/>
              <w:rPr>
                <w:sz w:val="2"/>
                <w:szCs w:val="2"/>
                <w:color w:val="auto"/>
              </w:rPr>
            </w:pPr>
          </w:p>
        </w:tc>
        <w:tc>
          <w:tcPr>
            <w:tcW w:w="1240" w:type="dxa"/>
            <w:vAlign w:val="bottom"/>
            <w:tcBorders>
              <w:top w:val="single" w:sz="8" w:color="D2DCE5"/>
            </w:tcBorders>
            <w:shd w:val="clear" w:color="auto" w:fill="D2DCE5"/>
          </w:tcPr>
          <w:p>
            <w:pPr>
              <w:spacing w:after="0"/>
              <w:rPr>
                <w:sz w:val="2"/>
                <w:szCs w:val="2"/>
                <w:color w:val="auto"/>
              </w:rPr>
            </w:pPr>
          </w:p>
        </w:tc>
        <w:tc>
          <w:tcPr>
            <w:tcW w:w="82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156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960" w:type="dxa"/>
            <w:vAlign w:val="bottom"/>
            <w:tcBorders>
              <w:top w:val="single" w:sz="8" w:color="D2DCE5"/>
            </w:tcBorders>
            <w:shd w:val="clear" w:color="auto" w:fill="D2DC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jc w:val="center"/>
              <w:spacing w:after="0"/>
              <w:rPr>
                <w:sz w:val="20"/>
                <w:szCs w:val="20"/>
                <w:color w:val="auto"/>
              </w:rPr>
            </w:pPr>
            <w:r>
              <w:rPr>
                <w:rFonts w:ascii="Arial" w:cs="Arial" w:eastAsia="Arial" w:hAnsi="Arial"/>
                <w:sz w:val="16"/>
                <w:szCs w:val="16"/>
                <w:color w:val="131E29"/>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20" w:type="dxa"/>
            <w:vAlign w:val="bottom"/>
            <w:gridSpan w:val="18"/>
          </w:tcPr>
          <w:p>
            <w:pPr>
              <w:spacing w:after="0"/>
              <w:rPr>
                <w:rFonts w:ascii="Arial" w:cs="Arial" w:eastAsia="Arial" w:hAnsi="Arial"/>
                <w:sz w:val="16"/>
                <w:szCs w:val="16"/>
                <w:color w:val="auto"/>
              </w:rPr>
            </w:pPr>
            <w:hyperlink r:id="rId174">
              <w:r>
                <w:rPr>
                  <w:rFonts w:ascii="Arial" w:cs="Arial" w:eastAsia="Arial" w:hAnsi="Arial"/>
                  <w:sz w:val="16"/>
                  <w:szCs w:val="16"/>
                  <w:color w:val="auto"/>
                </w:rPr>
                <w:t>Amended and Restated Bylaws of Registrant</w:t>
              </w:r>
            </w:hyperlink>
          </w:p>
        </w:tc>
        <w:tc>
          <w:tcPr>
            <w:tcW w:w="760" w:type="dxa"/>
            <w:vAlign w:val="bottom"/>
          </w:tcPr>
          <w:p>
            <w:pPr>
              <w:jc w:val="center"/>
              <w:spacing w:after="0"/>
              <w:rPr>
                <w:sz w:val="20"/>
                <w:szCs w:val="20"/>
                <w:color w:val="auto"/>
              </w:rPr>
            </w:pPr>
            <w:r>
              <w:rPr>
                <w:rFonts w:ascii="Arial" w:cs="Arial" w:eastAsia="Arial" w:hAnsi="Arial"/>
                <w:sz w:val="16"/>
                <w:szCs w:val="16"/>
                <w:color w:val="131E29"/>
              </w:rPr>
              <w:t>S-1</w:t>
            </w:r>
          </w:p>
        </w:tc>
        <w:tc>
          <w:tcPr>
            <w:tcW w:w="1240" w:type="dxa"/>
            <w:vAlign w:val="bottom"/>
          </w:tcPr>
          <w:p>
            <w:pPr>
              <w:jc w:val="center"/>
              <w:spacing w:after="0"/>
              <w:rPr>
                <w:sz w:val="20"/>
                <w:szCs w:val="20"/>
                <w:color w:val="auto"/>
              </w:rPr>
            </w:pPr>
            <w:r>
              <w:rPr>
                <w:rFonts w:ascii="Arial" w:cs="Arial" w:eastAsia="Arial" w:hAnsi="Arial"/>
                <w:sz w:val="16"/>
                <w:szCs w:val="16"/>
                <w:color w:val="131E29"/>
              </w:rPr>
              <w:t>333-258988</w:t>
            </w:r>
          </w:p>
        </w:tc>
        <w:tc>
          <w:tcPr>
            <w:tcW w:w="820" w:type="dxa"/>
            <w:vAlign w:val="bottom"/>
          </w:tcPr>
          <w:p>
            <w:pPr>
              <w:jc w:val="center"/>
              <w:spacing w:after="0"/>
              <w:rPr>
                <w:sz w:val="20"/>
                <w:szCs w:val="20"/>
                <w:color w:val="auto"/>
              </w:rPr>
            </w:pPr>
            <w:r>
              <w:rPr>
                <w:rFonts w:ascii="Arial" w:cs="Arial" w:eastAsia="Arial" w:hAnsi="Arial"/>
                <w:sz w:val="16"/>
                <w:szCs w:val="16"/>
                <w:color w:val="131E29"/>
                <w:w w:val="98"/>
              </w:rPr>
              <w:t>3.4</w:t>
            </w:r>
          </w:p>
        </w:tc>
        <w:tc>
          <w:tcPr>
            <w:tcW w:w="10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6"/>
                <w:szCs w:val="16"/>
                <w:color w:val="131E29"/>
              </w:rPr>
              <w:t>August 20, 2021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6"/>
                <w:szCs w:val="16"/>
                <w:color w:val="131E29"/>
              </w:rPr>
              <w:t>4.1</w:t>
            </w:r>
          </w:p>
        </w:tc>
        <w:tc>
          <w:tcPr>
            <w:tcW w:w="80" w:type="dxa"/>
            <w:vAlign w:val="bottom"/>
            <w:tcBorders>
              <w:bottom w:val="single" w:sz="8" w:color="D2DCE5"/>
            </w:tcBorders>
            <w:shd w:val="clear" w:color="auto" w:fill="D2DCE5"/>
          </w:tcPr>
          <w:p>
            <w:pPr>
              <w:spacing w:after="0"/>
              <w:rPr>
                <w:sz w:val="19"/>
                <w:szCs w:val="19"/>
                <w:color w:val="auto"/>
              </w:rPr>
            </w:pPr>
          </w:p>
        </w:tc>
        <w:tc>
          <w:tcPr>
            <w:tcW w:w="20" w:type="dxa"/>
            <w:vAlign w:val="bottom"/>
            <w:tcBorders>
              <w:bottom w:val="single" w:sz="8" w:color="D2DCE5"/>
            </w:tcBorders>
            <w:shd w:val="clear" w:color="auto" w:fill="D2DCE5"/>
          </w:tcPr>
          <w:p>
            <w:pPr>
              <w:spacing w:after="0"/>
              <w:rPr>
                <w:sz w:val="19"/>
                <w:szCs w:val="19"/>
                <w:color w:val="auto"/>
              </w:rPr>
            </w:pPr>
          </w:p>
        </w:tc>
        <w:tc>
          <w:tcPr>
            <w:tcW w:w="2500" w:type="dxa"/>
            <w:vAlign w:val="bottom"/>
            <w:tcBorders>
              <w:bottom w:val="single" w:sz="8" w:color="auto"/>
            </w:tcBorders>
            <w:gridSpan w:val="4"/>
            <w:shd w:val="clear" w:color="auto" w:fill="D2DCE5"/>
          </w:tcPr>
          <w:p>
            <w:pPr>
              <w:spacing w:after="0"/>
              <w:rPr>
                <w:rFonts w:ascii="Arial" w:cs="Arial" w:eastAsia="Arial" w:hAnsi="Arial"/>
                <w:sz w:val="16"/>
                <w:szCs w:val="16"/>
                <w:color w:val="auto"/>
              </w:rPr>
            </w:pPr>
            <w:hyperlink r:id="rId175">
              <w:r>
                <w:rPr>
                  <w:rFonts w:ascii="Arial" w:cs="Arial" w:eastAsia="Arial" w:hAnsi="Arial"/>
                  <w:sz w:val="16"/>
                  <w:szCs w:val="16"/>
                  <w:color w:val="auto"/>
                </w:rPr>
                <w:t>Form of Common Stock Certificate</w:t>
              </w:r>
            </w:hyperlink>
          </w:p>
        </w:tc>
        <w:tc>
          <w:tcPr>
            <w:tcW w:w="2020" w:type="dxa"/>
            <w:vAlign w:val="bottom"/>
            <w:tcBorders>
              <w:bottom w:val="single" w:sz="8" w:color="D2DCE5"/>
            </w:tcBorders>
            <w:gridSpan w:val="14"/>
            <w:shd w:val="clear" w:color="auto" w:fill="D2DCE5"/>
          </w:tcPr>
          <w:p>
            <w:pPr>
              <w:spacing w:after="0"/>
              <w:rPr>
                <w:sz w:val="19"/>
                <w:szCs w:val="19"/>
                <w:color w:val="auto"/>
              </w:rPr>
            </w:pPr>
          </w:p>
        </w:tc>
        <w:tc>
          <w:tcPr>
            <w:tcW w:w="76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6"/>
                <w:szCs w:val="16"/>
                <w:color w:val="131E29"/>
              </w:rPr>
              <w:t>S-1/A</w:t>
            </w:r>
          </w:p>
        </w:tc>
        <w:tc>
          <w:tcPr>
            <w:tcW w:w="124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6"/>
                <w:szCs w:val="16"/>
                <w:color w:val="131E29"/>
              </w:rPr>
              <w:t>333-258988</w:t>
            </w:r>
          </w:p>
        </w:tc>
        <w:tc>
          <w:tcPr>
            <w:tcW w:w="82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6"/>
                <w:szCs w:val="16"/>
                <w:color w:val="131E29"/>
                <w:w w:val="98"/>
              </w:rPr>
              <w:t>4.1</w:t>
            </w:r>
          </w:p>
        </w:tc>
        <w:tc>
          <w:tcPr>
            <w:tcW w:w="100" w:type="dxa"/>
            <w:vAlign w:val="bottom"/>
            <w:tcBorders>
              <w:bottom w:val="single" w:sz="8" w:color="D2DCE5"/>
            </w:tcBorders>
            <w:shd w:val="clear" w:color="auto" w:fill="D2DCE5"/>
          </w:tcPr>
          <w:p>
            <w:pPr>
              <w:spacing w:after="0"/>
              <w:rPr>
                <w:sz w:val="19"/>
                <w:szCs w:val="19"/>
                <w:color w:val="auto"/>
              </w:rPr>
            </w:pPr>
          </w:p>
        </w:tc>
        <w:tc>
          <w:tcPr>
            <w:tcW w:w="1660" w:type="dxa"/>
            <w:vAlign w:val="bottom"/>
            <w:tcBorders>
              <w:bottom w:val="single" w:sz="8" w:color="D2DCE5"/>
            </w:tcBorders>
            <w:gridSpan w:val="2"/>
            <w:shd w:val="clear" w:color="auto" w:fill="D2DCE5"/>
          </w:tcPr>
          <w:p>
            <w:pPr>
              <w:jc w:val="center"/>
              <w:ind w:right="80"/>
              <w:spacing w:after="0"/>
              <w:rPr>
                <w:sz w:val="20"/>
                <w:szCs w:val="20"/>
                <w:color w:val="auto"/>
              </w:rPr>
            </w:pPr>
            <w:r>
              <w:rPr>
                <w:rFonts w:ascii="Arial" w:cs="Arial" w:eastAsia="Arial" w:hAnsi="Arial"/>
                <w:sz w:val="16"/>
                <w:szCs w:val="16"/>
                <w:color w:val="131E29"/>
              </w:rPr>
              <w:t>September 13, 2021</w:t>
            </w:r>
          </w:p>
        </w:tc>
        <w:tc>
          <w:tcPr>
            <w:tcW w:w="960" w:type="dxa"/>
            <w:vAlign w:val="bottom"/>
            <w:tcBorders>
              <w:bottom w:val="single" w:sz="8" w:color="D2DCE5"/>
            </w:tcBorders>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60" w:type="dxa"/>
            <w:vAlign w:val="bottom"/>
            <w:tcBorders>
              <w:bottom w:val="single" w:sz="8" w:color="auto"/>
            </w:tcBorders>
            <w:gridSpan w:val="8"/>
          </w:tcPr>
          <w:p>
            <w:pPr>
              <w:spacing w:after="0"/>
              <w:rPr>
                <w:rFonts w:ascii="Arial" w:cs="Arial" w:eastAsia="Arial" w:hAnsi="Arial"/>
                <w:sz w:val="16"/>
                <w:szCs w:val="16"/>
                <w:color w:val="auto"/>
              </w:rPr>
            </w:pPr>
            <w:hyperlink r:id="rId176">
              <w:r>
                <w:rPr>
                  <w:rFonts w:ascii="Arial" w:cs="Arial" w:eastAsia="Arial" w:hAnsi="Arial"/>
                  <w:sz w:val="16"/>
                  <w:szCs w:val="16"/>
                  <w:color w:val="auto"/>
                </w:rPr>
                <w:t>Fifth Amended and Restated Limited Liability Company</w:t>
              </w:r>
            </w:hyperlink>
          </w:p>
        </w:tc>
        <w:tc>
          <w:tcPr>
            <w:tcW w:w="560" w:type="dxa"/>
            <w:vAlign w:val="bottom"/>
            <w:gridSpan w:val="10"/>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80" w:type="dxa"/>
            <w:vAlign w:val="bottom"/>
          </w:tcPr>
          <w:p>
            <w:pPr>
              <w:jc w:val="center"/>
              <w:spacing w:after="0" w:line="183" w:lineRule="exact"/>
              <w:rPr>
                <w:sz w:val="20"/>
                <w:szCs w:val="20"/>
                <w:color w:val="auto"/>
              </w:rPr>
            </w:pPr>
            <w:r>
              <w:rPr>
                <w:rFonts w:ascii="Arial" w:cs="Arial" w:eastAsia="Arial" w:hAnsi="Arial"/>
                <w:sz w:val="16"/>
                <w:szCs w:val="16"/>
                <w:color w:val="131E29"/>
              </w:rPr>
              <w:t>10.1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gridSpan w:val="18"/>
          </w:tcPr>
          <w:p>
            <w:pPr>
              <w:spacing w:after="0" w:line="183" w:lineRule="exact"/>
              <w:rPr>
                <w:rFonts w:ascii="Arial" w:cs="Arial" w:eastAsia="Arial" w:hAnsi="Arial"/>
                <w:sz w:val="16"/>
                <w:szCs w:val="16"/>
                <w:color w:val="auto"/>
              </w:rPr>
            </w:pPr>
            <w:hyperlink r:id="rId176">
              <w:r>
                <w:rPr>
                  <w:rFonts w:ascii="Arial" w:cs="Arial" w:eastAsia="Arial" w:hAnsi="Arial"/>
                  <w:sz w:val="16"/>
                  <w:szCs w:val="16"/>
                  <w:color w:val="auto"/>
                </w:rPr>
                <w:t>Agreement of Dutch Mafia, LLC, dated February 7, 2025.</w:t>
              </w:r>
            </w:hyperlink>
          </w:p>
        </w:tc>
        <w:tc>
          <w:tcPr>
            <w:tcW w:w="760" w:type="dxa"/>
            <w:vAlign w:val="bottom"/>
          </w:tcPr>
          <w:p>
            <w:pPr>
              <w:jc w:val="center"/>
              <w:spacing w:after="0" w:line="183" w:lineRule="exact"/>
              <w:rPr>
                <w:sz w:val="20"/>
                <w:szCs w:val="20"/>
                <w:color w:val="auto"/>
              </w:rPr>
            </w:pPr>
            <w:r>
              <w:rPr>
                <w:rFonts w:ascii="Arial" w:cs="Arial" w:eastAsia="Arial" w:hAnsi="Arial"/>
                <w:sz w:val="16"/>
                <w:szCs w:val="16"/>
                <w:color w:val="131E29"/>
              </w:rPr>
              <w:t>10-K</w:t>
            </w:r>
          </w:p>
        </w:tc>
        <w:tc>
          <w:tcPr>
            <w:tcW w:w="1240" w:type="dxa"/>
            <w:vAlign w:val="bottom"/>
          </w:tcPr>
          <w:p>
            <w:pPr>
              <w:jc w:val="center"/>
              <w:spacing w:after="0" w:line="183" w:lineRule="exact"/>
              <w:rPr>
                <w:sz w:val="20"/>
                <w:szCs w:val="20"/>
                <w:color w:val="auto"/>
              </w:rPr>
            </w:pPr>
            <w:r>
              <w:rPr>
                <w:rFonts w:ascii="Arial" w:cs="Arial" w:eastAsia="Arial" w:hAnsi="Arial"/>
                <w:sz w:val="16"/>
                <w:szCs w:val="16"/>
                <w:color w:val="131E29"/>
              </w:rPr>
              <w:t>001-40798</w:t>
            </w:r>
          </w:p>
        </w:tc>
        <w:tc>
          <w:tcPr>
            <w:tcW w:w="820" w:type="dxa"/>
            <w:vAlign w:val="bottom"/>
          </w:tcPr>
          <w:p>
            <w:pPr>
              <w:jc w:val="center"/>
              <w:spacing w:after="0" w:line="183" w:lineRule="exact"/>
              <w:rPr>
                <w:sz w:val="20"/>
                <w:szCs w:val="20"/>
                <w:color w:val="auto"/>
              </w:rPr>
            </w:pPr>
            <w:r>
              <w:rPr>
                <w:rFonts w:ascii="Arial" w:cs="Arial" w:eastAsia="Arial" w:hAnsi="Arial"/>
                <w:sz w:val="16"/>
                <w:szCs w:val="16"/>
                <w:color w:val="131E29"/>
              </w:rPr>
              <w:t>10.1</w:t>
            </w:r>
          </w:p>
        </w:tc>
        <w:tc>
          <w:tcPr>
            <w:tcW w:w="100" w:type="dxa"/>
            <w:vAlign w:val="bottom"/>
          </w:tcPr>
          <w:p>
            <w:pPr>
              <w:spacing w:after="0"/>
              <w:rPr>
                <w:sz w:val="15"/>
                <w:szCs w:val="15"/>
                <w:color w:val="auto"/>
              </w:rPr>
            </w:pPr>
          </w:p>
        </w:tc>
        <w:tc>
          <w:tcPr>
            <w:tcW w:w="1660" w:type="dxa"/>
            <w:vAlign w:val="bottom"/>
            <w:gridSpan w:val="2"/>
          </w:tcPr>
          <w:p>
            <w:pPr>
              <w:jc w:val="center"/>
              <w:ind w:right="100"/>
              <w:spacing w:after="0" w:line="183" w:lineRule="exact"/>
              <w:rPr>
                <w:sz w:val="20"/>
                <w:szCs w:val="20"/>
                <w:color w:val="auto"/>
              </w:rPr>
            </w:pPr>
            <w:r>
              <w:rPr>
                <w:rFonts w:ascii="Arial" w:cs="Arial" w:eastAsia="Arial" w:hAnsi="Arial"/>
                <w:sz w:val="16"/>
                <w:szCs w:val="16"/>
                <w:color w:val="131E29"/>
              </w:rPr>
              <w:t>February 13, 2025</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0" w:type="dxa"/>
            <w:vAlign w:val="bottom"/>
            <w:tcBorders>
              <w:bottom w:val="single" w:sz="8" w:color="D2DCE5"/>
            </w:tcBorders>
            <w:shd w:val="clear" w:color="auto" w:fill="D2DCE5"/>
          </w:tcPr>
          <w:p>
            <w:pPr>
              <w:spacing w:after="0"/>
              <w:rPr>
                <w:sz w:val="16"/>
                <w:szCs w:val="16"/>
                <w:color w:val="auto"/>
              </w:rPr>
            </w:pPr>
          </w:p>
        </w:tc>
        <w:tc>
          <w:tcPr>
            <w:tcW w:w="4240" w:type="dxa"/>
            <w:vAlign w:val="bottom"/>
            <w:tcBorders>
              <w:bottom w:val="single" w:sz="8" w:color="auto"/>
            </w:tcBorders>
            <w:gridSpan w:val="12"/>
            <w:shd w:val="clear" w:color="auto" w:fill="D2DCE5"/>
          </w:tcPr>
          <w:p>
            <w:pPr>
              <w:spacing w:after="0"/>
              <w:rPr>
                <w:rFonts w:ascii="Arial" w:cs="Arial" w:eastAsia="Arial" w:hAnsi="Arial"/>
                <w:sz w:val="16"/>
                <w:szCs w:val="16"/>
                <w:color w:val="auto"/>
              </w:rPr>
            </w:pPr>
            <w:hyperlink r:id="rId177">
              <w:r>
                <w:rPr>
                  <w:rFonts w:ascii="Arial" w:cs="Arial" w:eastAsia="Arial" w:hAnsi="Arial"/>
                  <w:sz w:val="16"/>
                  <w:szCs w:val="16"/>
                  <w:color w:val="auto"/>
                </w:rPr>
                <w:t>Offer Letter, dated as of January 24, 2025, by and between</w:t>
              </w:r>
            </w:hyperlink>
          </w:p>
        </w:tc>
        <w:tc>
          <w:tcPr>
            <w:tcW w:w="280" w:type="dxa"/>
            <w:vAlign w:val="bottom"/>
            <w:tcBorders>
              <w:bottom w:val="single" w:sz="8" w:color="D2DCE5"/>
            </w:tcBorders>
            <w:gridSpan w:val="6"/>
            <w:shd w:val="clear" w:color="auto" w:fill="D2DCE5"/>
          </w:tcPr>
          <w:p>
            <w:pPr>
              <w:spacing w:after="0"/>
              <w:rPr>
                <w:sz w:val="16"/>
                <w:szCs w:val="16"/>
                <w:color w:val="auto"/>
              </w:rPr>
            </w:pPr>
          </w:p>
        </w:tc>
        <w:tc>
          <w:tcPr>
            <w:tcW w:w="760" w:type="dxa"/>
            <w:vAlign w:val="bottom"/>
            <w:tcBorders>
              <w:bottom w:val="single" w:sz="8" w:color="D2DCE5"/>
            </w:tcBorders>
            <w:shd w:val="clear" w:color="auto" w:fill="D2DCE5"/>
          </w:tcPr>
          <w:p>
            <w:pPr>
              <w:spacing w:after="0"/>
              <w:rPr>
                <w:sz w:val="16"/>
                <w:szCs w:val="16"/>
                <w:color w:val="auto"/>
              </w:rPr>
            </w:pPr>
          </w:p>
        </w:tc>
        <w:tc>
          <w:tcPr>
            <w:tcW w:w="1240" w:type="dxa"/>
            <w:vAlign w:val="bottom"/>
            <w:tcBorders>
              <w:bottom w:val="single" w:sz="8" w:color="D2DCE5"/>
            </w:tcBorders>
            <w:shd w:val="clear" w:color="auto" w:fill="D2DCE5"/>
          </w:tcPr>
          <w:p>
            <w:pPr>
              <w:spacing w:after="0"/>
              <w:rPr>
                <w:sz w:val="16"/>
                <w:szCs w:val="16"/>
                <w:color w:val="auto"/>
              </w:rPr>
            </w:pPr>
          </w:p>
        </w:tc>
        <w:tc>
          <w:tcPr>
            <w:tcW w:w="82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56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60" w:type="dxa"/>
            <w:vAlign w:val="bottom"/>
            <w:tcBorders>
              <w:bottom w:val="single" w:sz="8" w:color="D2DCE5"/>
            </w:tcBorders>
            <w:gridSpan w:val="2"/>
            <w:shd w:val="clear" w:color="auto" w:fill="D2DCE5"/>
          </w:tcPr>
          <w:p>
            <w:pPr>
              <w:jc w:val="center"/>
              <w:ind w:right="80"/>
              <w:spacing w:after="0" w:line="183" w:lineRule="exact"/>
              <w:rPr>
                <w:sz w:val="20"/>
                <w:szCs w:val="20"/>
                <w:color w:val="auto"/>
              </w:rPr>
            </w:pPr>
            <w:r>
              <w:rPr>
                <w:rFonts w:ascii="Arial" w:cs="Arial" w:eastAsia="Arial" w:hAnsi="Arial"/>
                <w:sz w:val="16"/>
                <w:szCs w:val="16"/>
                <w:color w:val="131E29"/>
                <w:w w:val="99"/>
              </w:rPr>
              <w:t>10.2†</w:t>
            </w:r>
          </w:p>
        </w:tc>
        <w:tc>
          <w:tcPr>
            <w:tcW w:w="20" w:type="dxa"/>
            <w:vAlign w:val="bottom"/>
            <w:tcBorders>
              <w:bottom w:val="single" w:sz="8" w:color="D2DCE5"/>
            </w:tcBorders>
            <w:shd w:val="clear" w:color="auto" w:fill="D2DCE5"/>
          </w:tcPr>
          <w:p>
            <w:pPr>
              <w:spacing w:after="0"/>
              <w:rPr>
                <w:sz w:val="18"/>
                <w:szCs w:val="18"/>
                <w:color w:val="auto"/>
              </w:rPr>
            </w:pPr>
          </w:p>
        </w:tc>
        <w:tc>
          <w:tcPr>
            <w:tcW w:w="2700" w:type="dxa"/>
            <w:vAlign w:val="bottom"/>
            <w:tcBorders>
              <w:bottom w:val="single" w:sz="8" w:color="auto"/>
            </w:tcBorders>
            <w:gridSpan w:val="5"/>
            <w:shd w:val="clear" w:color="auto" w:fill="D2DCE5"/>
          </w:tcPr>
          <w:p>
            <w:pPr>
              <w:spacing w:after="0" w:line="183" w:lineRule="exact"/>
              <w:rPr>
                <w:rFonts w:ascii="Arial" w:cs="Arial" w:eastAsia="Arial" w:hAnsi="Arial"/>
                <w:sz w:val="16"/>
                <w:szCs w:val="16"/>
                <w:color w:val="auto"/>
              </w:rPr>
            </w:pPr>
            <w:hyperlink r:id="rId177">
              <w:r>
                <w:rPr>
                  <w:rFonts w:ascii="Arial" w:cs="Arial" w:eastAsia="Arial" w:hAnsi="Arial"/>
                  <w:sz w:val="16"/>
                  <w:szCs w:val="16"/>
                  <w:color w:val="auto"/>
                </w:rPr>
                <w:t>Dutch Bros Inc. and Kory Marchisotto</w:t>
              </w:r>
            </w:hyperlink>
          </w:p>
        </w:tc>
        <w:tc>
          <w:tcPr>
            <w:tcW w:w="1820" w:type="dxa"/>
            <w:vAlign w:val="bottom"/>
            <w:tcBorders>
              <w:bottom w:val="single" w:sz="8" w:color="D2DCE5"/>
            </w:tcBorders>
            <w:gridSpan w:val="13"/>
            <w:shd w:val="clear" w:color="auto" w:fill="D2DCE5"/>
          </w:tcPr>
          <w:p>
            <w:pPr>
              <w:spacing w:after="0"/>
              <w:rPr>
                <w:sz w:val="18"/>
                <w:szCs w:val="18"/>
                <w:color w:val="auto"/>
              </w:rPr>
            </w:pPr>
          </w:p>
        </w:tc>
        <w:tc>
          <w:tcPr>
            <w:tcW w:w="760" w:type="dxa"/>
            <w:vAlign w:val="bottom"/>
            <w:tcBorders>
              <w:bottom w:val="single" w:sz="8" w:color="D2DCE5"/>
            </w:tcBorders>
            <w:shd w:val="clear" w:color="auto" w:fill="D2DCE5"/>
          </w:tcPr>
          <w:p>
            <w:pPr>
              <w:jc w:val="center"/>
              <w:spacing w:after="0" w:line="183" w:lineRule="exact"/>
              <w:rPr>
                <w:sz w:val="20"/>
                <w:szCs w:val="20"/>
                <w:color w:val="auto"/>
              </w:rPr>
            </w:pPr>
            <w:r>
              <w:rPr>
                <w:rFonts w:ascii="Arial" w:cs="Arial" w:eastAsia="Arial" w:hAnsi="Arial"/>
                <w:sz w:val="16"/>
                <w:szCs w:val="16"/>
                <w:color w:val="131E29"/>
              </w:rPr>
              <w:t>8-K</w:t>
            </w:r>
          </w:p>
        </w:tc>
        <w:tc>
          <w:tcPr>
            <w:tcW w:w="1240" w:type="dxa"/>
            <w:vAlign w:val="bottom"/>
            <w:tcBorders>
              <w:bottom w:val="single" w:sz="8" w:color="D2DCE5"/>
            </w:tcBorders>
            <w:shd w:val="clear" w:color="auto" w:fill="D2DCE5"/>
          </w:tcPr>
          <w:p>
            <w:pPr>
              <w:jc w:val="center"/>
              <w:spacing w:after="0" w:line="183" w:lineRule="exact"/>
              <w:rPr>
                <w:sz w:val="20"/>
                <w:szCs w:val="20"/>
                <w:color w:val="auto"/>
              </w:rPr>
            </w:pPr>
            <w:r>
              <w:rPr>
                <w:rFonts w:ascii="Arial" w:cs="Arial" w:eastAsia="Arial" w:hAnsi="Arial"/>
                <w:sz w:val="16"/>
                <w:szCs w:val="16"/>
                <w:color w:val="131E29"/>
              </w:rPr>
              <w:t>001-40798</w:t>
            </w:r>
          </w:p>
        </w:tc>
        <w:tc>
          <w:tcPr>
            <w:tcW w:w="820" w:type="dxa"/>
            <w:vAlign w:val="bottom"/>
            <w:tcBorders>
              <w:bottom w:val="single" w:sz="8" w:color="D2DCE5"/>
            </w:tcBorders>
            <w:shd w:val="clear" w:color="auto" w:fill="D2DCE5"/>
          </w:tcPr>
          <w:p>
            <w:pPr>
              <w:jc w:val="center"/>
              <w:spacing w:after="0" w:line="183" w:lineRule="exact"/>
              <w:rPr>
                <w:sz w:val="20"/>
                <w:szCs w:val="20"/>
                <w:color w:val="auto"/>
              </w:rPr>
            </w:pPr>
            <w:r>
              <w:rPr>
                <w:rFonts w:ascii="Arial" w:cs="Arial" w:eastAsia="Arial" w:hAnsi="Arial"/>
                <w:sz w:val="16"/>
                <w:szCs w:val="16"/>
                <w:color w:val="131E29"/>
              </w:rPr>
              <w:t>10.1</w:t>
            </w:r>
          </w:p>
        </w:tc>
        <w:tc>
          <w:tcPr>
            <w:tcW w:w="100" w:type="dxa"/>
            <w:vAlign w:val="bottom"/>
            <w:tcBorders>
              <w:bottom w:val="single" w:sz="8" w:color="D2DCE5"/>
            </w:tcBorders>
            <w:shd w:val="clear" w:color="auto" w:fill="D2DCE5"/>
          </w:tcPr>
          <w:p>
            <w:pPr>
              <w:spacing w:after="0"/>
              <w:rPr>
                <w:sz w:val="18"/>
                <w:szCs w:val="18"/>
                <w:color w:val="auto"/>
              </w:rPr>
            </w:pPr>
          </w:p>
        </w:tc>
        <w:tc>
          <w:tcPr>
            <w:tcW w:w="1660" w:type="dxa"/>
            <w:vAlign w:val="bottom"/>
            <w:tcBorders>
              <w:bottom w:val="single" w:sz="8" w:color="D2DCE5"/>
            </w:tcBorders>
            <w:gridSpan w:val="2"/>
            <w:shd w:val="clear" w:color="auto" w:fill="D2DCE5"/>
          </w:tcPr>
          <w:p>
            <w:pPr>
              <w:jc w:val="center"/>
              <w:ind w:right="100"/>
              <w:spacing w:after="0" w:line="183" w:lineRule="exact"/>
              <w:rPr>
                <w:sz w:val="20"/>
                <w:szCs w:val="20"/>
                <w:color w:val="auto"/>
              </w:rPr>
            </w:pPr>
            <w:r>
              <w:rPr>
                <w:rFonts w:ascii="Arial" w:cs="Arial" w:eastAsia="Arial" w:hAnsi="Arial"/>
                <w:sz w:val="16"/>
                <w:szCs w:val="16"/>
                <w:color w:val="131E29"/>
              </w:rPr>
              <w:t>February 18, 2025</w:t>
            </w:r>
          </w:p>
        </w:tc>
        <w:tc>
          <w:tcPr>
            <w:tcW w:w="960" w:type="dxa"/>
            <w:vAlign w:val="bottom"/>
            <w:tcBorders>
              <w:bottom w:val="single" w:sz="8" w:color="D2DCE5"/>
            </w:tcBorders>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20" w:type="dxa"/>
            <w:vAlign w:val="bottom"/>
            <w:gridSpan w:val="18"/>
          </w:tcPr>
          <w:p>
            <w:pPr>
              <w:spacing w:after="0"/>
              <w:rPr>
                <w:sz w:val="20"/>
                <w:szCs w:val="20"/>
                <w:color w:val="auto"/>
              </w:rPr>
            </w:pPr>
            <w:r>
              <w:rPr>
                <w:rFonts w:ascii="Arial" w:cs="Arial" w:eastAsia="Arial" w:hAnsi="Arial"/>
                <w:sz w:val="16"/>
                <w:szCs w:val="16"/>
                <w:color w:val="auto"/>
              </w:rPr>
              <w:t>Certification of Chief Executive Officer Pursuant to Rules</w:t>
            </w: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720" w:type="dxa"/>
            <w:vAlign w:val="bottom"/>
            <w:gridSpan w:val="6"/>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gridSpan w:val="18"/>
          </w:tcPr>
          <w:p>
            <w:pPr>
              <w:spacing w:after="0" w:line="183" w:lineRule="exact"/>
              <w:rPr>
                <w:sz w:val="20"/>
                <w:szCs w:val="20"/>
                <w:color w:val="auto"/>
              </w:rPr>
            </w:pPr>
            <w:r>
              <w:rPr>
                <w:rFonts w:ascii="Arial" w:cs="Arial" w:eastAsia="Arial" w:hAnsi="Arial"/>
                <w:sz w:val="16"/>
                <w:szCs w:val="16"/>
                <w:color w:val="auto"/>
              </w:rPr>
              <w:t>13a-14(a) and 15d-14(a) of the Securities Exchange Act of</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0" w:type="dxa"/>
            <w:vAlign w:val="bottom"/>
            <w:tcBorders>
              <w:top w:val="single" w:sz="8" w:color="auto"/>
              <w:bottom w:val="single" w:sz="8" w:color="auto"/>
            </w:tcBorders>
            <w:gridSpan w:val="11"/>
          </w:tcPr>
          <w:p>
            <w:pPr>
              <w:spacing w:after="0" w:line="169" w:lineRule="exact"/>
              <w:rPr>
                <w:sz w:val="20"/>
                <w:szCs w:val="20"/>
                <w:color w:val="auto"/>
              </w:rPr>
            </w:pPr>
            <w:r>
              <w:rPr>
                <w:rFonts w:ascii="Arial" w:cs="Arial" w:eastAsia="Arial" w:hAnsi="Arial"/>
                <w:sz w:val="16"/>
                <w:szCs w:val="16"/>
                <w:color w:val="auto"/>
                <w:w w:val="99"/>
              </w:rPr>
              <w:t>1934, as Adopted Pursuant to Section 302 of the Sarbanes</w:t>
            </w:r>
          </w:p>
        </w:tc>
        <w:tc>
          <w:tcPr>
            <w:tcW w:w="100" w:type="dxa"/>
            <w:vAlign w:val="bottom"/>
            <w:tcBorders>
              <w:bottom w:val="single" w:sz="8" w:color="auto"/>
            </w:tcBorders>
            <w:gridSpan w:val="3"/>
          </w:tcPr>
          <w:p>
            <w:pPr>
              <w:jc w:val="right"/>
              <w:spacing w:after="0" w:line="169"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80" w:type="dxa"/>
            <w:vAlign w:val="bottom"/>
          </w:tcPr>
          <w:p>
            <w:pPr>
              <w:jc w:val="center"/>
              <w:spacing w:after="0" w:line="183" w:lineRule="exact"/>
              <w:rPr>
                <w:sz w:val="20"/>
                <w:szCs w:val="20"/>
                <w:color w:val="auto"/>
              </w:rPr>
            </w:pPr>
            <w:r>
              <w:rPr>
                <w:rFonts w:ascii="Arial" w:cs="Arial" w:eastAsia="Arial" w:hAnsi="Arial"/>
                <w:sz w:val="16"/>
                <w:szCs w:val="16"/>
                <w:color w:val="131E29"/>
              </w:rPr>
              <w:t>31.1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gridSpan w:val="18"/>
          </w:tcPr>
          <w:p>
            <w:pPr>
              <w:spacing w:after="0" w:line="183" w:lineRule="exact"/>
              <w:rPr>
                <w:sz w:val="20"/>
                <w:szCs w:val="20"/>
                <w:color w:val="auto"/>
              </w:rPr>
            </w:pPr>
            <w:r>
              <w:rPr>
                <w:rFonts w:ascii="Arial" w:cs="Arial" w:eastAsia="Arial" w:hAnsi="Arial"/>
                <w:sz w:val="16"/>
                <w:szCs w:val="16"/>
                <w:color w:val="auto"/>
              </w:rPr>
              <w:t>Oxley Act of 2002</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line="183" w:lineRule="exact"/>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0" w:type="dxa"/>
            <w:vAlign w:val="bottom"/>
            <w:tcBorders>
              <w:bottom w:val="single" w:sz="8" w:color="D2DCE5"/>
            </w:tcBorders>
            <w:shd w:val="clear" w:color="auto" w:fill="D2DCE5"/>
          </w:tcPr>
          <w:p>
            <w:pPr>
              <w:spacing w:after="0"/>
              <w:rPr>
                <w:sz w:val="16"/>
                <w:szCs w:val="16"/>
                <w:color w:val="auto"/>
              </w:rPr>
            </w:pPr>
          </w:p>
        </w:tc>
        <w:tc>
          <w:tcPr>
            <w:tcW w:w="4380" w:type="dxa"/>
            <w:vAlign w:val="bottom"/>
            <w:tcBorders>
              <w:bottom w:val="single" w:sz="8" w:color="auto"/>
            </w:tcBorders>
            <w:gridSpan w:val="16"/>
            <w:shd w:val="clear" w:color="auto" w:fill="D2DCE5"/>
          </w:tcPr>
          <w:p>
            <w:pPr>
              <w:spacing w:after="0"/>
              <w:rPr>
                <w:sz w:val="20"/>
                <w:szCs w:val="20"/>
                <w:color w:val="auto"/>
              </w:rPr>
            </w:pPr>
            <w:r>
              <w:rPr>
                <w:rFonts w:ascii="Arial" w:cs="Arial" w:eastAsia="Arial" w:hAnsi="Arial"/>
                <w:sz w:val="16"/>
                <w:szCs w:val="16"/>
                <w:color w:val="auto"/>
              </w:rPr>
              <w:t>Certification of Chief Financial Officer Pursuant to Rules 13a-</w:t>
            </w:r>
          </w:p>
        </w:tc>
        <w:tc>
          <w:tcPr>
            <w:tcW w:w="140" w:type="dxa"/>
            <w:vAlign w:val="bottom"/>
            <w:tcBorders>
              <w:bottom w:val="single" w:sz="8" w:color="D2DCE5"/>
            </w:tcBorders>
            <w:gridSpan w:val="2"/>
            <w:shd w:val="clear" w:color="auto" w:fill="D2DCE5"/>
          </w:tcPr>
          <w:p>
            <w:pPr>
              <w:spacing w:after="0"/>
              <w:rPr>
                <w:sz w:val="16"/>
                <w:szCs w:val="16"/>
                <w:color w:val="auto"/>
              </w:rPr>
            </w:pPr>
          </w:p>
        </w:tc>
        <w:tc>
          <w:tcPr>
            <w:tcW w:w="760" w:type="dxa"/>
            <w:vAlign w:val="bottom"/>
            <w:tcBorders>
              <w:bottom w:val="single" w:sz="8" w:color="D2DCE5"/>
            </w:tcBorders>
            <w:shd w:val="clear" w:color="auto" w:fill="D2DCE5"/>
          </w:tcPr>
          <w:p>
            <w:pPr>
              <w:spacing w:after="0"/>
              <w:rPr>
                <w:sz w:val="16"/>
                <w:szCs w:val="16"/>
                <w:color w:val="auto"/>
              </w:rPr>
            </w:pPr>
          </w:p>
        </w:tc>
        <w:tc>
          <w:tcPr>
            <w:tcW w:w="1240" w:type="dxa"/>
            <w:vAlign w:val="bottom"/>
            <w:tcBorders>
              <w:bottom w:val="single" w:sz="8" w:color="D2DCE5"/>
            </w:tcBorders>
            <w:shd w:val="clear" w:color="auto" w:fill="D2DCE5"/>
          </w:tcPr>
          <w:p>
            <w:pPr>
              <w:spacing w:after="0"/>
              <w:rPr>
                <w:sz w:val="16"/>
                <w:szCs w:val="16"/>
                <w:color w:val="auto"/>
              </w:rPr>
            </w:pPr>
          </w:p>
        </w:tc>
        <w:tc>
          <w:tcPr>
            <w:tcW w:w="82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56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0" w:type="dxa"/>
            <w:vAlign w:val="bottom"/>
            <w:shd w:val="clear" w:color="auto" w:fill="D2DCE5"/>
          </w:tcPr>
          <w:p>
            <w:pPr>
              <w:spacing w:after="0"/>
              <w:rPr>
                <w:sz w:val="15"/>
                <w:szCs w:val="15"/>
                <w:color w:val="auto"/>
              </w:rPr>
            </w:pPr>
          </w:p>
        </w:tc>
        <w:tc>
          <w:tcPr>
            <w:tcW w:w="4520" w:type="dxa"/>
            <w:vAlign w:val="bottom"/>
            <w:gridSpan w:val="18"/>
            <w:shd w:val="clear" w:color="auto" w:fill="D2DCE5"/>
          </w:tcPr>
          <w:p>
            <w:pPr>
              <w:spacing w:after="0" w:line="183" w:lineRule="exact"/>
              <w:rPr>
                <w:sz w:val="20"/>
                <w:szCs w:val="20"/>
                <w:color w:val="auto"/>
              </w:rPr>
            </w:pPr>
            <w:r>
              <w:rPr>
                <w:rFonts w:ascii="Arial" w:cs="Arial" w:eastAsia="Arial" w:hAnsi="Arial"/>
                <w:sz w:val="16"/>
                <w:szCs w:val="16"/>
                <w:color w:val="auto"/>
              </w:rPr>
              <w:t>14(a) and 15d-14(a) of the Securities Exchange Act of 1934,</w:t>
            </w:r>
          </w:p>
        </w:tc>
        <w:tc>
          <w:tcPr>
            <w:tcW w:w="76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8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80" w:type="dxa"/>
            <w:vAlign w:val="bottom"/>
            <w:tcBorders>
              <w:top w:val="single" w:sz="8" w:color="D2DCE5"/>
              <w:bottom w:val="single" w:sz="8" w:color="D2DCE5"/>
            </w:tcBorders>
            <w:shd w:val="clear" w:color="auto" w:fill="D2DCE5"/>
          </w:tcPr>
          <w:p>
            <w:pPr>
              <w:spacing w:after="0"/>
              <w:rPr>
                <w:sz w:val="14"/>
                <w:szCs w:val="14"/>
                <w:color w:val="auto"/>
              </w:rPr>
            </w:pPr>
          </w:p>
        </w:tc>
        <w:tc>
          <w:tcPr>
            <w:tcW w:w="80" w:type="dxa"/>
            <w:vAlign w:val="bottom"/>
            <w:tcBorders>
              <w:top w:val="single" w:sz="8" w:color="D2DCE5"/>
              <w:bottom w:val="single" w:sz="8" w:color="D2DCE5"/>
            </w:tcBorders>
            <w:shd w:val="clear" w:color="auto" w:fill="D2DCE5"/>
          </w:tcPr>
          <w:p>
            <w:pPr>
              <w:spacing w:after="0"/>
              <w:rPr>
                <w:sz w:val="14"/>
                <w:szCs w:val="14"/>
                <w:color w:val="auto"/>
              </w:rPr>
            </w:pPr>
          </w:p>
        </w:tc>
        <w:tc>
          <w:tcPr>
            <w:tcW w:w="20" w:type="dxa"/>
            <w:vAlign w:val="bottom"/>
            <w:tcBorders>
              <w:top w:val="single" w:sz="8" w:color="D2DCE5"/>
              <w:bottom w:val="single" w:sz="8" w:color="D2DCE5"/>
            </w:tcBorders>
            <w:shd w:val="clear" w:color="auto" w:fill="D2DCE5"/>
          </w:tcPr>
          <w:p>
            <w:pPr>
              <w:spacing w:after="0"/>
              <w:rPr>
                <w:sz w:val="14"/>
                <w:szCs w:val="14"/>
                <w:color w:val="auto"/>
              </w:rPr>
            </w:pPr>
          </w:p>
        </w:tc>
        <w:tc>
          <w:tcPr>
            <w:tcW w:w="4260" w:type="dxa"/>
            <w:vAlign w:val="bottom"/>
            <w:tcBorders>
              <w:top w:val="single" w:sz="8" w:color="auto"/>
              <w:bottom w:val="single" w:sz="8" w:color="auto"/>
            </w:tcBorders>
            <w:gridSpan w:val="13"/>
            <w:shd w:val="clear" w:color="auto" w:fill="D2DCE5"/>
          </w:tcPr>
          <w:p>
            <w:pPr>
              <w:spacing w:after="0" w:line="169" w:lineRule="exact"/>
              <w:rPr>
                <w:sz w:val="20"/>
                <w:szCs w:val="20"/>
                <w:color w:val="auto"/>
              </w:rPr>
            </w:pPr>
            <w:r>
              <w:rPr>
                <w:rFonts w:ascii="Arial" w:cs="Arial" w:eastAsia="Arial" w:hAnsi="Arial"/>
                <w:sz w:val="16"/>
                <w:szCs w:val="16"/>
                <w:color w:val="auto"/>
              </w:rPr>
              <w:t>as Adopted Pursuant to Section 302 of the Sarbanes-Oxley</w:t>
            </w:r>
          </w:p>
        </w:tc>
        <w:tc>
          <w:tcPr>
            <w:tcW w:w="60" w:type="dxa"/>
            <w:vAlign w:val="bottom"/>
            <w:tcBorders>
              <w:top w:val="single" w:sz="8" w:color="auto"/>
              <w:bottom w:val="single" w:sz="8" w:color="D2DCE5"/>
            </w:tcBorders>
            <w:gridSpan w:val="2"/>
            <w:shd w:val="clear" w:color="auto" w:fill="D2DCE5"/>
          </w:tcPr>
          <w:p>
            <w:pPr>
              <w:spacing w:after="0"/>
              <w:rPr>
                <w:sz w:val="14"/>
                <w:szCs w:val="14"/>
                <w:color w:val="auto"/>
              </w:rPr>
            </w:pPr>
          </w:p>
        </w:tc>
        <w:tc>
          <w:tcPr>
            <w:tcW w:w="200" w:type="dxa"/>
            <w:vAlign w:val="bottom"/>
            <w:tcBorders>
              <w:top w:val="single" w:sz="8" w:color="D2DCE5"/>
              <w:bottom w:val="single" w:sz="8" w:color="D2DCE5"/>
            </w:tcBorders>
            <w:gridSpan w:val="3"/>
            <w:shd w:val="clear" w:color="auto" w:fill="D2DCE5"/>
          </w:tcPr>
          <w:p>
            <w:pPr>
              <w:spacing w:after="0"/>
              <w:rPr>
                <w:sz w:val="14"/>
                <w:szCs w:val="14"/>
                <w:color w:val="auto"/>
              </w:rPr>
            </w:pPr>
          </w:p>
        </w:tc>
        <w:tc>
          <w:tcPr>
            <w:tcW w:w="760" w:type="dxa"/>
            <w:vAlign w:val="bottom"/>
            <w:tcBorders>
              <w:top w:val="single" w:sz="8" w:color="D2DCE5"/>
              <w:bottom w:val="single" w:sz="8" w:color="D2DCE5"/>
            </w:tcBorders>
            <w:shd w:val="clear" w:color="auto" w:fill="D2DCE5"/>
          </w:tcPr>
          <w:p>
            <w:pPr>
              <w:spacing w:after="0"/>
              <w:rPr>
                <w:sz w:val="14"/>
                <w:szCs w:val="14"/>
                <w:color w:val="auto"/>
              </w:rPr>
            </w:pPr>
          </w:p>
        </w:tc>
        <w:tc>
          <w:tcPr>
            <w:tcW w:w="1240" w:type="dxa"/>
            <w:vAlign w:val="bottom"/>
            <w:tcBorders>
              <w:top w:val="single" w:sz="8" w:color="D2DCE5"/>
              <w:bottom w:val="single" w:sz="8" w:color="D2DCE5"/>
            </w:tcBorders>
            <w:shd w:val="clear" w:color="auto" w:fill="D2DCE5"/>
          </w:tcPr>
          <w:p>
            <w:pPr>
              <w:spacing w:after="0"/>
              <w:rPr>
                <w:sz w:val="14"/>
                <w:szCs w:val="14"/>
                <w:color w:val="auto"/>
              </w:rPr>
            </w:pPr>
          </w:p>
        </w:tc>
        <w:tc>
          <w:tcPr>
            <w:tcW w:w="820" w:type="dxa"/>
            <w:vAlign w:val="bottom"/>
            <w:tcBorders>
              <w:top w:val="single" w:sz="8" w:color="D2DCE5"/>
              <w:bottom w:val="single" w:sz="8" w:color="D2DCE5"/>
            </w:tcBorders>
            <w:shd w:val="clear" w:color="auto" w:fill="D2DCE5"/>
          </w:tcPr>
          <w:p>
            <w:pPr>
              <w:spacing w:after="0"/>
              <w:rPr>
                <w:sz w:val="14"/>
                <w:szCs w:val="14"/>
                <w:color w:val="auto"/>
              </w:rPr>
            </w:pPr>
          </w:p>
        </w:tc>
        <w:tc>
          <w:tcPr>
            <w:tcW w:w="100" w:type="dxa"/>
            <w:vAlign w:val="bottom"/>
            <w:tcBorders>
              <w:top w:val="single" w:sz="8" w:color="D2DCE5"/>
              <w:bottom w:val="single" w:sz="8" w:color="D2DCE5"/>
            </w:tcBorders>
            <w:shd w:val="clear" w:color="auto" w:fill="D2DCE5"/>
          </w:tcPr>
          <w:p>
            <w:pPr>
              <w:spacing w:after="0"/>
              <w:rPr>
                <w:sz w:val="14"/>
                <w:szCs w:val="14"/>
                <w:color w:val="auto"/>
              </w:rPr>
            </w:pPr>
          </w:p>
        </w:tc>
        <w:tc>
          <w:tcPr>
            <w:tcW w:w="1560" w:type="dxa"/>
            <w:vAlign w:val="bottom"/>
            <w:tcBorders>
              <w:top w:val="single" w:sz="8" w:color="D2DCE5"/>
              <w:bottom w:val="single" w:sz="8" w:color="D2DCE5"/>
            </w:tcBorders>
            <w:shd w:val="clear" w:color="auto" w:fill="D2DCE5"/>
          </w:tcPr>
          <w:p>
            <w:pPr>
              <w:spacing w:after="0"/>
              <w:rPr>
                <w:sz w:val="14"/>
                <w:szCs w:val="14"/>
                <w:color w:val="auto"/>
              </w:rPr>
            </w:pPr>
          </w:p>
        </w:tc>
        <w:tc>
          <w:tcPr>
            <w:tcW w:w="100" w:type="dxa"/>
            <w:vAlign w:val="bottom"/>
            <w:tcBorders>
              <w:top w:val="single" w:sz="8" w:color="D2DCE5"/>
              <w:bottom w:val="single" w:sz="8" w:color="D2DCE5"/>
            </w:tcBorders>
            <w:shd w:val="clear" w:color="auto" w:fill="D2DCE5"/>
          </w:tcPr>
          <w:p>
            <w:pPr>
              <w:spacing w:after="0"/>
              <w:rPr>
                <w:sz w:val="14"/>
                <w:szCs w:val="14"/>
                <w:color w:val="auto"/>
              </w:rPr>
            </w:pPr>
          </w:p>
        </w:tc>
        <w:tc>
          <w:tcPr>
            <w:tcW w:w="960" w:type="dxa"/>
            <w:vAlign w:val="bottom"/>
            <w:tcBorders>
              <w:top w:val="single" w:sz="8" w:color="D2DCE5"/>
              <w:bottom w:val="single" w:sz="8" w:color="D2DCE5"/>
            </w:tcBorders>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80" w:type="dxa"/>
            <w:vAlign w:val="bottom"/>
            <w:shd w:val="clear" w:color="auto" w:fill="D2DCE5"/>
          </w:tcPr>
          <w:p>
            <w:pPr>
              <w:jc w:val="center"/>
              <w:spacing w:after="0" w:line="183" w:lineRule="exact"/>
              <w:rPr>
                <w:sz w:val="20"/>
                <w:szCs w:val="20"/>
                <w:color w:val="auto"/>
              </w:rPr>
            </w:pPr>
            <w:r>
              <w:rPr>
                <w:rFonts w:ascii="Arial" w:cs="Arial" w:eastAsia="Arial" w:hAnsi="Arial"/>
                <w:sz w:val="16"/>
                <w:szCs w:val="16"/>
                <w:color w:val="131E29"/>
              </w:rPr>
              <w:t>31.2</w:t>
            </w:r>
          </w:p>
        </w:tc>
        <w:tc>
          <w:tcPr>
            <w:tcW w:w="80" w:type="dxa"/>
            <w:vAlign w:val="bottom"/>
            <w:shd w:val="clear" w:color="auto" w:fill="D2DCE5"/>
          </w:tcPr>
          <w:p>
            <w:pPr>
              <w:spacing w:after="0"/>
              <w:rPr>
                <w:sz w:val="15"/>
                <w:szCs w:val="15"/>
                <w:color w:val="auto"/>
              </w:rPr>
            </w:pPr>
          </w:p>
        </w:tc>
        <w:tc>
          <w:tcPr>
            <w:tcW w:w="20" w:type="dxa"/>
            <w:vAlign w:val="bottom"/>
            <w:shd w:val="clear" w:color="auto" w:fill="D2DCE5"/>
          </w:tcPr>
          <w:p>
            <w:pPr>
              <w:spacing w:after="0"/>
              <w:rPr>
                <w:sz w:val="15"/>
                <w:szCs w:val="15"/>
                <w:color w:val="auto"/>
              </w:rPr>
            </w:pPr>
          </w:p>
        </w:tc>
        <w:tc>
          <w:tcPr>
            <w:tcW w:w="4520" w:type="dxa"/>
            <w:vAlign w:val="bottom"/>
            <w:gridSpan w:val="18"/>
            <w:shd w:val="clear" w:color="auto" w:fill="D2DCE5"/>
          </w:tcPr>
          <w:p>
            <w:pPr>
              <w:spacing w:after="0" w:line="183" w:lineRule="exact"/>
              <w:rPr>
                <w:sz w:val="20"/>
                <w:szCs w:val="20"/>
                <w:color w:val="auto"/>
              </w:rPr>
            </w:pPr>
            <w:r>
              <w:rPr>
                <w:rFonts w:ascii="Arial" w:cs="Arial" w:eastAsia="Arial" w:hAnsi="Arial"/>
                <w:sz w:val="16"/>
                <w:szCs w:val="16"/>
                <w:color w:val="auto"/>
              </w:rPr>
              <w:t>Act of 2002</w:t>
            </w:r>
          </w:p>
        </w:tc>
        <w:tc>
          <w:tcPr>
            <w:tcW w:w="76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8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jc w:val="center"/>
              <w:spacing w:after="0" w:line="183" w:lineRule="exact"/>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34"/>
        </w:trPr>
        <w:tc>
          <w:tcPr>
            <w:tcW w:w="1080" w:type="dxa"/>
            <w:vAlign w:val="bottom"/>
            <w:tcBorders>
              <w:top w:val="single" w:sz="8" w:color="D2DCE5"/>
            </w:tcBorders>
            <w:shd w:val="clear" w:color="auto" w:fill="D2DCE5"/>
          </w:tcPr>
          <w:p>
            <w:pPr>
              <w:spacing w:after="0"/>
              <w:rPr>
                <w:sz w:val="2"/>
                <w:szCs w:val="2"/>
                <w:color w:val="auto"/>
              </w:rPr>
            </w:pPr>
          </w:p>
        </w:tc>
        <w:tc>
          <w:tcPr>
            <w:tcW w:w="8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740" w:type="dxa"/>
            <w:vAlign w:val="bottom"/>
            <w:tcBorders>
              <w:top w:val="single" w:sz="8" w:color="auto"/>
            </w:tcBorders>
            <w:shd w:val="clear" w:color="auto" w:fill="D2DCE5"/>
          </w:tcPr>
          <w:p>
            <w:pPr>
              <w:spacing w:after="0"/>
              <w:rPr>
                <w:sz w:val="2"/>
                <w:szCs w:val="2"/>
                <w:color w:val="auto"/>
              </w:rPr>
            </w:pPr>
          </w:p>
        </w:tc>
        <w:tc>
          <w:tcPr>
            <w:tcW w:w="80" w:type="dxa"/>
            <w:vAlign w:val="bottom"/>
            <w:tcBorders>
              <w:top w:val="single" w:sz="8" w:color="auto"/>
            </w:tcBorders>
            <w:shd w:val="clear" w:color="auto" w:fill="D2DCE5"/>
          </w:tcPr>
          <w:p>
            <w:pPr>
              <w:spacing w:after="0"/>
              <w:rPr>
                <w:sz w:val="2"/>
                <w:szCs w:val="2"/>
                <w:color w:val="auto"/>
              </w:rPr>
            </w:pPr>
          </w:p>
        </w:tc>
        <w:tc>
          <w:tcPr>
            <w:tcW w:w="460" w:type="dxa"/>
            <w:vAlign w:val="bottom"/>
            <w:tcBorders>
              <w:top w:val="single" w:sz="8" w:color="D2DCE5"/>
            </w:tcBorders>
            <w:shd w:val="clear" w:color="auto" w:fill="D2DCE5"/>
          </w:tcPr>
          <w:p>
            <w:pPr>
              <w:spacing w:after="0"/>
              <w:rPr>
                <w:sz w:val="2"/>
                <w:szCs w:val="2"/>
                <w:color w:val="auto"/>
              </w:rPr>
            </w:pPr>
          </w:p>
        </w:tc>
        <w:tc>
          <w:tcPr>
            <w:tcW w:w="1220" w:type="dxa"/>
            <w:vAlign w:val="bottom"/>
            <w:tcBorders>
              <w:top w:val="single" w:sz="8" w:color="D2DCE5"/>
            </w:tcBorders>
            <w:shd w:val="clear" w:color="auto" w:fill="D2DCE5"/>
          </w:tcPr>
          <w:p>
            <w:pPr>
              <w:spacing w:after="0"/>
              <w:rPr>
                <w:sz w:val="2"/>
                <w:szCs w:val="2"/>
                <w:color w:val="auto"/>
              </w:rPr>
            </w:pPr>
          </w:p>
        </w:tc>
        <w:tc>
          <w:tcPr>
            <w:tcW w:w="200" w:type="dxa"/>
            <w:vAlign w:val="bottom"/>
            <w:tcBorders>
              <w:top w:val="single" w:sz="8" w:color="D2DCE5"/>
            </w:tcBorders>
            <w:shd w:val="clear" w:color="auto" w:fill="D2DCE5"/>
          </w:tcPr>
          <w:p>
            <w:pPr>
              <w:spacing w:after="0"/>
              <w:rPr>
                <w:sz w:val="2"/>
                <w:szCs w:val="2"/>
                <w:color w:val="auto"/>
              </w:rPr>
            </w:pPr>
          </w:p>
        </w:tc>
        <w:tc>
          <w:tcPr>
            <w:tcW w:w="540" w:type="dxa"/>
            <w:vAlign w:val="bottom"/>
            <w:tcBorders>
              <w:top w:val="single" w:sz="8" w:color="D2DCE5"/>
            </w:tcBorders>
            <w:shd w:val="clear" w:color="auto" w:fill="D2DCE5"/>
          </w:tcPr>
          <w:p>
            <w:pPr>
              <w:spacing w:after="0"/>
              <w:rPr>
                <w:sz w:val="2"/>
                <w:szCs w:val="2"/>
                <w:color w:val="auto"/>
              </w:rPr>
            </w:pPr>
          </w:p>
        </w:tc>
        <w:tc>
          <w:tcPr>
            <w:tcW w:w="600" w:type="dxa"/>
            <w:vAlign w:val="bottom"/>
            <w:tcBorders>
              <w:top w:val="single" w:sz="8" w:color="D2DCE5"/>
            </w:tcBorders>
            <w:shd w:val="clear" w:color="auto" w:fill="D2DCE5"/>
          </w:tcPr>
          <w:p>
            <w:pPr>
              <w:spacing w:after="0"/>
              <w:rPr>
                <w:sz w:val="2"/>
                <w:szCs w:val="2"/>
                <w:color w:val="auto"/>
              </w:rPr>
            </w:pPr>
          </w:p>
        </w:tc>
        <w:tc>
          <w:tcPr>
            <w:tcW w:w="12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left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20" w:type="dxa"/>
            <w:vAlign w:val="bottom"/>
            <w:tcBorders>
              <w:top w:val="single" w:sz="8" w:color="D2DCE5"/>
            </w:tcBorders>
            <w:shd w:val="clear" w:color="auto" w:fill="D2DCE5"/>
          </w:tcPr>
          <w:p>
            <w:pPr>
              <w:spacing w:after="0"/>
              <w:rPr>
                <w:sz w:val="2"/>
                <w:szCs w:val="2"/>
                <w:color w:val="auto"/>
              </w:rPr>
            </w:pPr>
          </w:p>
        </w:tc>
        <w:tc>
          <w:tcPr>
            <w:tcW w:w="60" w:type="dxa"/>
            <w:vAlign w:val="bottom"/>
            <w:tcBorders>
              <w:top w:val="single" w:sz="8" w:color="D2DCE5"/>
            </w:tcBorders>
            <w:shd w:val="clear" w:color="auto" w:fill="D2DCE5"/>
          </w:tcPr>
          <w:p>
            <w:pPr>
              <w:spacing w:after="0"/>
              <w:rPr>
                <w:sz w:val="2"/>
                <w:szCs w:val="2"/>
                <w:color w:val="auto"/>
              </w:rPr>
            </w:pPr>
          </w:p>
        </w:tc>
        <w:tc>
          <w:tcPr>
            <w:tcW w:w="60" w:type="dxa"/>
            <w:vAlign w:val="bottom"/>
            <w:tcBorders>
              <w:top w:val="single" w:sz="8" w:color="D2DCE5"/>
            </w:tcBorders>
            <w:shd w:val="clear" w:color="auto" w:fill="D2DCE5"/>
          </w:tcPr>
          <w:p>
            <w:pPr>
              <w:spacing w:after="0"/>
              <w:rPr>
                <w:sz w:val="2"/>
                <w:szCs w:val="2"/>
                <w:color w:val="auto"/>
              </w:rPr>
            </w:pPr>
          </w:p>
        </w:tc>
        <w:tc>
          <w:tcPr>
            <w:tcW w:w="80" w:type="dxa"/>
            <w:vAlign w:val="bottom"/>
            <w:tcBorders>
              <w:top w:val="single" w:sz="8" w:color="D2DCE5"/>
            </w:tcBorders>
            <w:shd w:val="clear" w:color="auto" w:fill="D2DCE5"/>
          </w:tcPr>
          <w:p>
            <w:pPr>
              <w:spacing w:after="0"/>
              <w:rPr>
                <w:sz w:val="2"/>
                <w:szCs w:val="2"/>
                <w:color w:val="auto"/>
              </w:rPr>
            </w:pPr>
          </w:p>
        </w:tc>
        <w:tc>
          <w:tcPr>
            <w:tcW w:w="760" w:type="dxa"/>
            <w:vAlign w:val="bottom"/>
            <w:tcBorders>
              <w:top w:val="single" w:sz="8" w:color="D2DCE5"/>
            </w:tcBorders>
            <w:shd w:val="clear" w:color="auto" w:fill="D2DCE5"/>
          </w:tcPr>
          <w:p>
            <w:pPr>
              <w:spacing w:after="0"/>
              <w:rPr>
                <w:sz w:val="2"/>
                <w:szCs w:val="2"/>
                <w:color w:val="auto"/>
              </w:rPr>
            </w:pPr>
          </w:p>
        </w:tc>
        <w:tc>
          <w:tcPr>
            <w:tcW w:w="1240" w:type="dxa"/>
            <w:vAlign w:val="bottom"/>
            <w:tcBorders>
              <w:top w:val="single" w:sz="8" w:color="D2DCE5"/>
            </w:tcBorders>
            <w:shd w:val="clear" w:color="auto" w:fill="D2DCE5"/>
          </w:tcPr>
          <w:p>
            <w:pPr>
              <w:spacing w:after="0"/>
              <w:rPr>
                <w:sz w:val="2"/>
                <w:szCs w:val="2"/>
                <w:color w:val="auto"/>
              </w:rPr>
            </w:pPr>
          </w:p>
        </w:tc>
        <w:tc>
          <w:tcPr>
            <w:tcW w:w="82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156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960" w:type="dxa"/>
            <w:vAlign w:val="bottom"/>
            <w:tcBorders>
              <w:top w:val="single" w:sz="8" w:color="D2DCE5"/>
            </w:tcBorders>
            <w:shd w:val="clear" w:color="auto" w:fill="D2DC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20" w:type="dxa"/>
            <w:vAlign w:val="bottom"/>
            <w:gridSpan w:val="18"/>
          </w:tcPr>
          <w:p>
            <w:pPr>
              <w:spacing w:after="0"/>
              <w:rPr>
                <w:sz w:val="20"/>
                <w:szCs w:val="20"/>
                <w:color w:val="auto"/>
              </w:rPr>
            </w:pPr>
            <w:r>
              <w:rPr>
                <w:rFonts w:ascii="Arial" w:cs="Arial" w:eastAsia="Arial" w:hAnsi="Arial"/>
                <w:sz w:val="16"/>
                <w:szCs w:val="16"/>
                <w:color w:val="auto"/>
              </w:rPr>
              <w:t>Certifications of Chief Executive Officer and Chief Financial</w:t>
            </w: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jc w:val="center"/>
              <w:spacing w:after="0"/>
              <w:rPr>
                <w:sz w:val="20"/>
                <w:szCs w:val="20"/>
                <w:color w:val="auto"/>
              </w:rPr>
            </w:pPr>
            <w:r>
              <w:rPr>
                <w:rFonts w:ascii="Arial" w:cs="Arial" w:eastAsia="Arial" w:hAnsi="Arial"/>
                <w:sz w:val="16"/>
                <w:szCs w:val="16"/>
                <w:color w:val="131E29"/>
              </w:rPr>
              <w:t>32.1*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tcBorders>
              <w:top w:val="single" w:sz="8" w:color="auto"/>
            </w:tcBorders>
            <w:gridSpan w:val="12"/>
          </w:tcPr>
          <w:p>
            <w:pPr>
              <w:spacing w:after="0" w:line="183" w:lineRule="exact"/>
              <w:rPr>
                <w:sz w:val="20"/>
                <w:szCs w:val="20"/>
                <w:color w:val="auto"/>
              </w:rPr>
            </w:pPr>
            <w:r>
              <w:rPr>
                <w:rFonts w:ascii="Arial" w:cs="Arial" w:eastAsia="Arial" w:hAnsi="Arial"/>
                <w:sz w:val="16"/>
                <w:szCs w:val="16"/>
                <w:color w:val="auto"/>
              </w:rPr>
              <w:t>Officer Pursuant to 18 U.S.C. Section 1350, as Adopted</w:t>
            </w:r>
          </w:p>
        </w:tc>
        <w:tc>
          <w:tcPr>
            <w:tcW w:w="280" w:type="dxa"/>
            <w:vAlign w:val="bottom"/>
            <w:gridSpan w:val="6"/>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9"/>
            <w:shd w:val="clear" w:color="auto" w:fill="000000"/>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gridSpan w:val="18"/>
          </w:tcPr>
          <w:p>
            <w:pPr>
              <w:spacing w:after="0" w:line="169" w:lineRule="exact"/>
              <w:rPr>
                <w:sz w:val="20"/>
                <w:szCs w:val="20"/>
                <w:color w:val="auto"/>
              </w:rPr>
            </w:pPr>
            <w:r>
              <w:rPr>
                <w:rFonts w:ascii="Arial" w:cs="Arial" w:eastAsia="Arial" w:hAnsi="Arial"/>
                <w:sz w:val="16"/>
                <w:szCs w:val="16"/>
                <w:color w:val="auto"/>
              </w:rPr>
              <w:t>Pursuant to Section 906 of the Sarbanes-Oxley Act of 2002</w:t>
            </w: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160" w:type="dxa"/>
            <w:vAlign w:val="bottom"/>
            <w:gridSpan w:val="2"/>
            <w:shd w:val="clear" w:color="auto" w:fill="D2DCE5"/>
          </w:tcPr>
          <w:p>
            <w:pPr>
              <w:jc w:val="center"/>
              <w:ind w:right="80"/>
              <w:spacing w:after="0"/>
              <w:rPr>
                <w:sz w:val="20"/>
                <w:szCs w:val="20"/>
                <w:color w:val="auto"/>
              </w:rPr>
            </w:pPr>
            <w:r>
              <w:rPr>
                <w:rFonts w:ascii="Arial" w:cs="Arial" w:eastAsia="Arial" w:hAnsi="Arial"/>
                <w:sz w:val="16"/>
                <w:szCs w:val="16"/>
                <w:color w:val="131E29"/>
              </w:rPr>
              <w:t>101.INS</w:t>
            </w:r>
          </w:p>
        </w:tc>
        <w:tc>
          <w:tcPr>
            <w:tcW w:w="20" w:type="dxa"/>
            <w:vAlign w:val="bottom"/>
            <w:shd w:val="clear" w:color="auto" w:fill="D2DCE5"/>
          </w:tcPr>
          <w:p>
            <w:pPr>
              <w:spacing w:after="0"/>
              <w:rPr>
                <w:sz w:val="21"/>
                <w:szCs w:val="21"/>
                <w:color w:val="auto"/>
              </w:rPr>
            </w:pPr>
          </w:p>
        </w:tc>
        <w:tc>
          <w:tcPr>
            <w:tcW w:w="4520" w:type="dxa"/>
            <w:vAlign w:val="bottom"/>
            <w:gridSpan w:val="18"/>
            <w:shd w:val="clear" w:color="auto" w:fill="D2DCE5"/>
          </w:tcPr>
          <w:p>
            <w:pPr>
              <w:spacing w:after="0"/>
              <w:rPr>
                <w:sz w:val="20"/>
                <w:szCs w:val="20"/>
                <w:color w:val="auto"/>
              </w:rPr>
            </w:pPr>
            <w:r>
              <w:rPr>
                <w:rFonts w:ascii="Arial" w:cs="Arial" w:eastAsia="Arial" w:hAnsi="Arial"/>
                <w:sz w:val="16"/>
                <w:szCs w:val="16"/>
                <w:color w:val="131E29"/>
              </w:rPr>
              <w:t>XBRL Instance Document</w:t>
            </w:r>
          </w:p>
        </w:tc>
        <w:tc>
          <w:tcPr>
            <w:tcW w:w="7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8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5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35"/>
        </w:trPr>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131E29"/>
                <w:w w:val="98"/>
              </w:rPr>
              <w:t>101.SCH</w:t>
            </w:r>
          </w:p>
        </w:tc>
        <w:tc>
          <w:tcPr>
            <w:tcW w:w="20" w:type="dxa"/>
            <w:vAlign w:val="bottom"/>
          </w:tcPr>
          <w:p>
            <w:pPr>
              <w:spacing w:after="0"/>
              <w:rPr>
                <w:sz w:val="20"/>
                <w:szCs w:val="20"/>
                <w:color w:val="auto"/>
              </w:rPr>
            </w:pPr>
          </w:p>
        </w:tc>
        <w:tc>
          <w:tcPr>
            <w:tcW w:w="4520" w:type="dxa"/>
            <w:vAlign w:val="bottom"/>
            <w:gridSpan w:val="18"/>
          </w:tcPr>
          <w:p>
            <w:pPr>
              <w:spacing w:after="0"/>
              <w:rPr>
                <w:sz w:val="20"/>
                <w:szCs w:val="20"/>
                <w:color w:val="auto"/>
              </w:rPr>
            </w:pPr>
            <w:r>
              <w:rPr>
                <w:rFonts w:ascii="Arial" w:cs="Arial" w:eastAsia="Arial" w:hAnsi="Arial"/>
                <w:sz w:val="16"/>
                <w:szCs w:val="16"/>
                <w:color w:val="131E29"/>
              </w:rPr>
              <w:t>XBRL Taxonomy Extension Schema Document</w:t>
            </w: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51"/>
        </w:trPr>
        <w:tc>
          <w:tcPr>
            <w:tcW w:w="1160" w:type="dxa"/>
            <w:vAlign w:val="bottom"/>
            <w:gridSpan w:val="2"/>
            <w:shd w:val="clear" w:color="auto" w:fill="D2DCE5"/>
          </w:tcPr>
          <w:p>
            <w:pPr>
              <w:jc w:val="center"/>
              <w:ind w:right="80"/>
              <w:spacing w:after="0"/>
              <w:rPr>
                <w:sz w:val="20"/>
                <w:szCs w:val="20"/>
                <w:color w:val="auto"/>
              </w:rPr>
            </w:pPr>
            <w:r>
              <w:rPr>
                <w:rFonts w:ascii="Arial" w:cs="Arial" w:eastAsia="Arial" w:hAnsi="Arial"/>
                <w:sz w:val="16"/>
                <w:szCs w:val="16"/>
                <w:color w:val="131E29"/>
              </w:rPr>
              <w:t>101.CAL</w:t>
            </w:r>
          </w:p>
        </w:tc>
        <w:tc>
          <w:tcPr>
            <w:tcW w:w="20" w:type="dxa"/>
            <w:vAlign w:val="bottom"/>
            <w:shd w:val="clear" w:color="auto" w:fill="D2DCE5"/>
          </w:tcPr>
          <w:p>
            <w:pPr>
              <w:spacing w:after="0"/>
              <w:rPr>
                <w:sz w:val="21"/>
                <w:szCs w:val="21"/>
                <w:color w:val="auto"/>
              </w:rPr>
            </w:pPr>
          </w:p>
        </w:tc>
        <w:tc>
          <w:tcPr>
            <w:tcW w:w="4520" w:type="dxa"/>
            <w:vAlign w:val="bottom"/>
            <w:gridSpan w:val="18"/>
            <w:shd w:val="clear" w:color="auto" w:fill="D2DCE5"/>
          </w:tcPr>
          <w:p>
            <w:pPr>
              <w:spacing w:after="0"/>
              <w:rPr>
                <w:sz w:val="20"/>
                <w:szCs w:val="20"/>
                <w:color w:val="auto"/>
              </w:rPr>
            </w:pPr>
            <w:r>
              <w:rPr>
                <w:rFonts w:ascii="Arial" w:cs="Arial" w:eastAsia="Arial" w:hAnsi="Arial"/>
                <w:sz w:val="16"/>
                <w:szCs w:val="16"/>
                <w:color w:val="131E29"/>
              </w:rPr>
              <w:t>XBRL Taxonomy Extension Calculation Linkbase Document</w:t>
            </w:r>
          </w:p>
        </w:tc>
        <w:tc>
          <w:tcPr>
            <w:tcW w:w="7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8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5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35"/>
        </w:trPr>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131E29"/>
              </w:rPr>
              <w:t>101.DEF</w:t>
            </w:r>
          </w:p>
        </w:tc>
        <w:tc>
          <w:tcPr>
            <w:tcW w:w="20" w:type="dxa"/>
            <w:vAlign w:val="bottom"/>
          </w:tcPr>
          <w:p>
            <w:pPr>
              <w:spacing w:after="0"/>
              <w:rPr>
                <w:sz w:val="20"/>
                <w:szCs w:val="20"/>
                <w:color w:val="auto"/>
              </w:rPr>
            </w:pPr>
          </w:p>
        </w:tc>
        <w:tc>
          <w:tcPr>
            <w:tcW w:w="4520" w:type="dxa"/>
            <w:vAlign w:val="bottom"/>
            <w:gridSpan w:val="18"/>
          </w:tcPr>
          <w:p>
            <w:pPr>
              <w:spacing w:after="0"/>
              <w:rPr>
                <w:sz w:val="20"/>
                <w:szCs w:val="20"/>
                <w:color w:val="auto"/>
              </w:rPr>
            </w:pPr>
            <w:r>
              <w:rPr>
                <w:rFonts w:ascii="Arial" w:cs="Arial" w:eastAsia="Arial" w:hAnsi="Arial"/>
                <w:sz w:val="16"/>
                <w:szCs w:val="16"/>
                <w:color w:val="131E29"/>
              </w:rPr>
              <w:t>XBRL Taxonomy Extension Definition Linkbase Document</w:t>
            </w: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51"/>
        </w:trPr>
        <w:tc>
          <w:tcPr>
            <w:tcW w:w="1160" w:type="dxa"/>
            <w:vAlign w:val="bottom"/>
            <w:gridSpan w:val="2"/>
            <w:shd w:val="clear" w:color="auto" w:fill="D2DCE5"/>
          </w:tcPr>
          <w:p>
            <w:pPr>
              <w:jc w:val="center"/>
              <w:ind w:right="60"/>
              <w:spacing w:after="0"/>
              <w:rPr>
                <w:sz w:val="20"/>
                <w:szCs w:val="20"/>
                <w:color w:val="auto"/>
              </w:rPr>
            </w:pPr>
            <w:r>
              <w:rPr>
                <w:rFonts w:ascii="Arial" w:cs="Arial" w:eastAsia="Arial" w:hAnsi="Arial"/>
                <w:sz w:val="16"/>
                <w:szCs w:val="16"/>
                <w:color w:val="131E29"/>
              </w:rPr>
              <w:t>101.LAB</w:t>
            </w:r>
          </w:p>
        </w:tc>
        <w:tc>
          <w:tcPr>
            <w:tcW w:w="20" w:type="dxa"/>
            <w:vAlign w:val="bottom"/>
            <w:shd w:val="clear" w:color="auto" w:fill="D2DCE5"/>
          </w:tcPr>
          <w:p>
            <w:pPr>
              <w:spacing w:after="0"/>
              <w:rPr>
                <w:sz w:val="21"/>
                <w:szCs w:val="21"/>
                <w:color w:val="auto"/>
              </w:rPr>
            </w:pPr>
          </w:p>
        </w:tc>
        <w:tc>
          <w:tcPr>
            <w:tcW w:w="4520" w:type="dxa"/>
            <w:vAlign w:val="bottom"/>
            <w:gridSpan w:val="18"/>
            <w:shd w:val="clear" w:color="auto" w:fill="D2DCE5"/>
          </w:tcPr>
          <w:p>
            <w:pPr>
              <w:spacing w:after="0"/>
              <w:rPr>
                <w:sz w:val="20"/>
                <w:szCs w:val="20"/>
                <w:color w:val="auto"/>
              </w:rPr>
            </w:pPr>
            <w:r>
              <w:rPr>
                <w:rFonts w:ascii="Arial" w:cs="Arial" w:eastAsia="Arial" w:hAnsi="Arial"/>
                <w:sz w:val="16"/>
                <w:szCs w:val="16"/>
                <w:color w:val="131E29"/>
              </w:rPr>
              <w:t>XBRL Taxonomy Extension Label Linkbase Document</w:t>
            </w:r>
          </w:p>
        </w:tc>
        <w:tc>
          <w:tcPr>
            <w:tcW w:w="7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8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5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35"/>
        </w:trPr>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131E29"/>
                <w:w w:val="99"/>
              </w:rPr>
              <w:t>101.PRE</w:t>
            </w:r>
          </w:p>
        </w:tc>
        <w:tc>
          <w:tcPr>
            <w:tcW w:w="20" w:type="dxa"/>
            <w:vAlign w:val="bottom"/>
          </w:tcPr>
          <w:p>
            <w:pPr>
              <w:spacing w:after="0"/>
              <w:rPr>
                <w:sz w:val="20"/>
                <w:szCs w:val="20"/>
                <w:color w:val="auto"/>
              </w:rPr>
            </w:pPr>
          </w:p>
        </w:tc>
        <w:tc>
          <w:tcPr>
            <w:tcW w:w="4520" w:type="dxa"/>
            <w:vAlign w:val="bottom"/>
            <w:gridSpan w:val="18"/>
          </w:tcPr>
          <w:p>
            <w:pPr>
              <w:spacing w:after="0"/>
              <w:rPr>
                <w:sz w:val="20"/>
                <w:szCs w:val="20"/>
                <w:color w:val="auto"/>
              </w:rPr>
            </w:pPr>
            <w:r>
              <w:rPr>
                <w:rFonts w:ascii="Arial" w:cs="Arial" w:eastAsia="Arial" w:hAnsi="Arial"/>
                <w:sz w:val="16"/>
                <w:szCs w:val="16"/>
                <w:color w:val="131E29"/>
              </w:rPr>
              <w:t>XBRL Taxonomy Extension Presentation Linkbase Document</w:t>
            </w: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196"/>
        </w:trPr>
        <w:tc>
          <w:tcPr>
            <w:tcW w:w="10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4520" w:type="dxa"/>
            <w:vAlign w:val="bottom"/>
            <w:gridSpan w:val="18"/>
            <w:shd w:val="clear" w:color="auto" w:fill="D2DCE5"/>
          </w:tcPr>
          <w:p>
            <w:pPr>
              <w:spacing w:after="0"/>
              <w:rPr>
                <w:sz w:val="20"/>
                <w:szCs w:val="20"/>
                <w:color w:val="auto"/>
              </w:rPr>
            </w:pPr>
            <w:r>
              <w:rPr>
                <w:rFonts w:ascii="Arial" w:cs="Arial" w:eastAsia="Arial" w:hAnsi="Arial"/>
                <w:sz w:val="16"/>
                <w:szCs w:val="16"/>
                <w:color w:val="131E29"/>
              </w:rPr>
              <w:t>Cover Page with Interactive Data File (formatted as Inline</w:t>
            </w:r>
          </w:p>
        </w:tc>
        <w:tc>
          <w:tcPr>
            <w:tcW w:w="760" w:type="dxa"/>
            <w:vAlign w:val="bottom"/>
            <w:shd w:val="clear" w:color="auto" w:fill="D2DCE5"/>
          </w:tcPr>
          <w:p>
            <w:pPr>
              <w:spacing w:after="0"/>
              <w:rPr>
                <w:sz w:val="17"/>
                <w:szCs w:val="17"/>
                <w:color w:val="auto"/>
              </w:rPr>
            </w:pPr>
          </w:p>
        </w:tc>
        <w:tc>
          <w:tcPr>
            <w:tcW w:w="1240" w:type="dxa"/>
            <w:vAlign w:val="bottom"/>
            <w:shd w:val="clear" w:color="auto" w:fill="D2DCE5"/>
          </w:tcPr>
          <w:p>
            <w:pPr>
              <w:spacing w:after="0"/>
              <w:rPr>
                <w:sz w:val="17"/>
                <w:szCs w:val="17"/>
                <w:color w:val="auto"/>
              </w:rPr>
            </w:pPr>
          </w:p>
        </w:tc>
        <w:tc>
          <w:tcPr>
            <w:tcW w:w="82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5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0" w:type="dxa"/>
            <w:vAlign w:val="bottom"/>
            <w:shd w:val="clear" w:color="auto" w:fill="D2DCE5"/>
          </w:tcPr>
          <w:p>
            <w:pPr>
              <w:spacing w:after="0"/>
              <w:rPr>
                <w:sz w:val="15"/>
                <w:szCs w:val="15"/>
                <w:color w:val="auto"/>
              </w:rPr>
            </w:pPr>
          </w:p>
        </w:tc>
        <w:tc>
          <w:tcPr>
            <w:tcW w:w="4520" w:type="dxa"/>
            <w:vAlign w:val="bottom"/>
            <w:gridSpan w:val="18"/>
            <w:shd w:val="clear" w:color="auto" w:fill="D2DCE5"/>
          </w:tcPr>
          <w:p>
            <w:pPr>
              <w:spacing w:after="0" w:line="175" w:lineRule="exact"/>
              <w:rPr>
                <w:sz w:val="20"/>
                <w:szCs w:val="20"/>
                <w:color w:val="auto"/>
              </w:rPr>
            </w:pPr>
            <w:r>
              <w:rPr>
                <w:rFonts w:ascii="Arial" w:cs="Arial" w:eastAsia="Arial" w:hAnsi="Arial"/>
                <w:sz w:val="16"/>
                <w:szCs w:val="16"/>
                <w:color w:val="131E29"/>
              </w:rPr>
              <w:t>XBRL with applicable taxonomy extension information</w:t>
            </w:r>
          </w:p>
        </w:tc>
        <w:tc>
          <w:tcPr>
            <w:tcW w:w="76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8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104</w:t>
            </w:r>
          </w:p>
        </w:tc>
        <w:tc>
          <w:tcPr>
            <w:tcW w:w="80" w:type="dxa"/>
            <w:vAlign w:val="bottom"/>
            <w:shd w:val="clear" w:color="auto" w:fill="D2DCE5"/>
          </w:tcPr>
          <w:p>
            <w:pPr>
              <w:spacing w:after="0"/>
              <w:rPr>
                <w:sz w:val="20"/>
                <w:szCs w:val="20"/>
                <w:color w:val="auto"/>
              </w:rPr>
            </w:pPr>
          </w:p>
        </w:tc>
        <w:tc>
          <w:tcPr>
            <w:tcW w:w="20" w:type="dxa"/>
            <w:vAlign w:val="bottom"/>
            <w:shd w:val="clear" w:color="auto" w:fill="D2DCE5"/>
          </w:tcPr>
          <w:p>
            <w:pPr>
              <w:spacing w:after="0"/>
              <w:rPr>
                <w:sz w:val="20"/>
                <w:szCs w:val="20"/>
                <w:color w:val="auto"/>
              </w:rPr>
            </w:pPr>
          </w:p>
        </w:tc>
        <w:tc>
          <w:tcPr>
            <w:tcW w:w="4520" w:type="dxa"/>
            <w:vAlign w:val="bottom"/>
            <w:gridSpan w:val="18"/>
            <w:shd w:val="clear" w:color="auto" w:fill="D2DCE5"/>
          </w:tcPr>
          <w:p>
            <w:pPr>
              <w:spacing w:after="0"/>
              <w:rPr>
                <w:sz w:val="20"/>
                <w:szCs w:val="20"/>
                <w:color w:val="auto"/>
              </w:rPr>
            </w:pPr>
            <w:r>
              <w:rPr>
                <w:rFonts w:ascii="Arial" w:cs="Arial" w:eastAsia="Arial" w:hAnsi="Arial"/>
                <w:sz w:val="16"/>
                <w:szCs w:val="16"/>
                <w:color w:val="131E29"/>
              </w:rPr>
              <w:t>contained in Exhibits 101)</w:t>
            </w:r>
          </w:p>
        </w:tc>
        <w:tc>
          <w:tcPr>
            <w:tcW w:w="760" w:type="dxa"/>
            <w:vAlign w:val="bottom"/>
            <w:shd w:val="clear" w:color="auto" w:fill="D2DCE5"/>
          </w:tcPr>
          <w:p>
            <w:pPr>
              <w:spacing w:after="0"/>
              <w:rPr>
                <w:sz w:val="20"/>
                <w:szCs w:val="20"/>
                <w:color w:val="auto"/>
              </w:rPr>
            </w:pPr>
          </w:p>
        </w:tc>
        <w:tc>
          <w:tcPr>
            <w:tcW w:w="1240" w:type="dxa"/>
            <w:vAlign w:val="bottom"/>
            <w:shd w:val="clear" w:color="auto" w:fill="D2DCE5"/>
          </w:tcPr>
          <w:p>
            <w:pPr>
              <w:spacing w:after="0"/>
              <w:rPr>
                <w:sz w:val="20"/>
                <w:szCs w:val="20"/>
                <w:color w:val="auto"/>
              </w:rPr>
            </w:pPr>
          </w:p>
        </w:tc>
        <w:tc>
          <w:tcPr>
            <w:tcW w:w="8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5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 or arrangement.</w:t>
      </w:r>
    </w:p>
    <w:p>
      <w:pPr>
        <w:spacing w:after="0" w:line="69" w:lineRule="exact"/>
        <w:rPr>
          <w:sz w:val="20"/>
          <w:szCs w:val="20"/>
          <w:color w:val="auto"/>
        </w:rPr>
      </w:pPr>
    </w:p>
    <w:p>
      <w:pPr>
        <w:ind w:left="180" w:hanging="172"/>
        <w:spacing w:after="0" w:line="285" w:lineRule="auto"/>
        <w:tabs>
          <w:tab w:leader="none" w:pos="238"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028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660" w:type="dxa"/>
            <w:vAlign w:val="bottom"/>
          </w:tcPr>
          <w:p>
            <w:pPr>
              <w:spacing w:after="0"/>
              <w:rPr>
                <w:sz w:val="21"/>
                <w:szCs w:val="21"/>
                <w:color w:val="auto"/>
              </w:rPr>
            </w:pPr>
          </w:p>
        </w:tc>
        <w:tc>
          <w:tcPr>
            <w:tcW w:w="8580" w:type="dxa"/>
            <w:vAlign w:val="bottom"/>
            <w:gridSpan w:val="3"/>
          </w:tcPr>
          <w:p>
            <w:pPr>
              <w:ind w:left="3260"/>
              <w:spacing w:after="0"/>
              <w:rPr>
                <w:sz w:val="20"/>
                <w:szCs w:val="20"/>
                <w:color w:val="auto"/>
              </w:rPr>
            </w:pPr>
            <w:r>
              <w:rPr>
                <w:rFonts w:ascii="Arial" w:cs="Arial" w:eastAsia="Arial" w:hAnsi="Arial"/>
                <w:sz w:val="18"/>
                <w:szCs w:val="18"/>
                <w:b w:val="1"/>
                <w:bCs w:val="1"/>
                <w:color w:val="131E29"/>
              </w:rPr>
              <w:t>DUTCH BROS INC.</w:t>
            </w:r>
          </w:p>
        </w:tc>
      </w:tr>
      <w:tr>
        <w:trPr>
          <w:trHeight w:val="262"/>
        </w:trPr>
        <w:tc>
          <w:tcPr>
            <w:tcW w:w="2660" w:type="dxa"/>
            <w:vAlign w:val="bottom"/>
          </w:tcPr>
          <w:p>
            <w:pPr>
              <w:spacing w:after="0"/>
              <w:rPr>
                <w:sz w:val="22"/>
                <w:szCs w:val="22"/>
                <w:color w:val="auto"/>
              </w:rPr>
            </w:pPr>
          </w:p>
        </w:tc>
        <w:tc>
          <w:tcPr>
            <w:tcW w:w="4440" w:type="dxa"/>
            <w:vAlign w:val="bottom"/>
            <w:gridSpan w:val="2"/>
          </w:tcPr>
          <w:p>
            <w:pPr>
              <w:ind w:left="3260"/>
              <w:spacing w:after="0"/>
              <w:rPr>
                <w:sz w:val="20"/>
                <w:szCs w:val="20"/>
                <w:color w:val="auto"/>
              </w:rPr>
            </w:pPr>
            <w:r>
              <w:rPr>
                <w:rFonts w:ascii="Arial" w:cs="Arial" w:eastAsia="Arial" w:hAnsi="Arial"/>
                <w:sz w:val="18"/>
                <w:szCs w:val="18"/>
                <w:color w:val="131E29"/>
              </w:rPr>
              <w:t>(Registrant)</w:t>
            </w:r>
          </w:p>
        </w:tc>
        <w:tc>
          <w:tcPr>
            <w:tcW w:w="4140" w:type="dxa"/>
            <w:vAlign w:val="bottom"/>
          </w:tcPr>
          <w:p>
            <w:pPr>
              <w:spacing w:after="0"/>
              <w:rPr>
                <w:sz w:val="22"/>
                <w:szCs w:val="22"/>
                <w:color w:val="auto"/>
              </w:rPr>
            </w:pPr>
          </w:p>
        </w:tc>
      </w:tr>
      <w:tr>
        <w:trPr>
          <w:trHeight w:val="597"/>
        </w:trPr>
        <w:tc>
          <w:tcPr>
            <w:tcW w:w="2660" w:type="dxa"/>
            <w:vAlign w:val="bottom"/>
          </w:tcPr>
          <w:p>
            <w:pPr>
              <w:ind w:left="20"/>
              <w:spacing w:after="0"/>
              <w:rPr>
                <w:sz w:val="20"/>
                <w:szCs w:val="20"/>
                <w:color w:val="auto"/>
              </w:rPr>
            </w:pPr>
            <w:r>
              <w:rPr>
                <w:rFonts w:ascii="Arial" w:cs="Arial" w:eastAsia="Arial" w:hAnsi="Arial"/>
                <w:sz w:val="18"/>
                <w:szCs w:val="18"/>
                <w:color w:val="131E29"/>
              </w:rPr>
              <w:t>May 7, 2025</w:t>
            </w:r>
          </w:p>
        </w:tc>
        <w:tc>
          <w:tcPr>
            <w:tcW w:w="4440" w:type="dxa"/>
            <w:vAlign w:val="bottom"/>
            <w:gridSpan w:val="2"/>
          </w:tcPr>
          <w:p>
            <w:pPr>
              <w:ind w:left="3260"/>
              <w:spacing w:after="0"/>
              <w:rPr>
                <w:sz w:val="20"/>
                <w:szCs w:val="20"/>
                <w:color w:val="auto"/>
              </w:rPr>
            </w:pPr>
            <w:r>
              <w:rPr>
                <w:rFonts w:ascii="Arial" w:cs="Arial" w:eastAsia="Arial" w:hAnsi="Arial"/>
                <w:sz w:val="18"/>
                <w:szCs w:val="18"/>
                <w:color w:val="131E29"/>
              </w:rPr>
              <w:t>By:</w:t>
            </w:r>
          </w:p>
        </w:tc>
        <w:tc>
          <w:tcPr>
            <w:tcW w:w="4140" w:type="dxa"/>
            <w:vAlign w:val="bottom"/>
          </w:tcPr>
          <w:p>
            <w:pPr>
              <w:jc w:val="center"/>
              <w:ind w:right="550"/>
              <w:spacing w:after="0"/>
              <w:rPr>
                <w:sz w:val="20"/>
                <w:szCs w:val="20"/>
                <w:color w:val="auto"/>
              </w:rPr>
            </w:pPr>
            <w:r>
              <w:rPr>
                <w:rFonts w:ascii="Arial" w:cs="Arial" w:eastAsia="Arial" w:hAnsi="Arial"/>
                <w:sz w:val="18"/>
                <w:szCs w:val="18"/>
                <w:b w:val="1"/>
                <w:bCs w:val="1"/>
                <w:color w:val="131E29"/>
                <w:w w:val="99"/>
              </w:rPr>
              <w:t>/s/ Christine Barone</w:t>
            </w:r>
          </w:p>
        </w:tc>
      </w:tr>
      <w:tr>
        <w:trPr>
          <w:trHeight w:val="247"/>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131E29"/>
              </w:rPr>
              <w:t>Date</w:t>
            </w:r>
          </w:p>
        </w:tc>
        <w:tc>
          <w:tcPr>
            <w:tcW w:w="38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140" w:type="dxa"/>
            <w:vAlign w:val="bottom"/>
            <w:tcBorders>
              <w:top w:val="single" w:sz="8" w:color="auto"/>
            </w:tcBorders>
          </w:tcPr>
          <w:p>
            <w:pPr>
              <w:jc w:val="center"/>
              <w:ind w:right="550"/>
              <w:spacing w:after="0"/>
              <w:rPr>
                <w:sz w:val="20"/>
                <w:szCs w:val="20"/>
                <w:color w:val="auto"/>
              </w:rPr>
            </w:pPr>
            <w:r>
              <w:rPr>
                <w:rFonts w:ascii="Arial" w:cs="Arial" w:eastAsia="Arial" w:hAnsi="Arial"/>
                <w:sz w:val="18"/>
                <w:szCs w:val="18"/>
                <w:color w:val="131E29"/>
                <w:w w:val="99"/>
              </w:rPr>
              <w:t>Christine Barone</w:t>
            </w:r>
          </w:p>
        </w:tc>
      </w:tr>
      <w:tr>
        <w:trPr>
          <w:trHeight w:val="270"/>
        </w:trPr>
        <w:tc>
          <w:tcPr>
            <w:tcW w:w="26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40" w:type="dxa"/>
            <w:vAlign w:val="bottom"/>
          </w:tcPr>
          <w:p>
            <w:pPr>
              <w:jc w:val="center"/>
              <w:ind w:right="550"/>
              <w:spacing w:after="0"/>
              <w:rPr>
                <w:sz w:val="20"/>
                <w:szCs w:val="20"/>
                <w:color w:val="auto"/>
              </w:rPr>
            </w:pPr>
            <w:r>
              <w:rPr>
                <w:rFonts w:ascii="Arial" w:cs="Arial" w:eastAsia="Arial" w:hAnsi="Arial"/>
                <w:sz w:val="18"/>
                <w:szCs w:val="18"/>
                <w:color w:val="131E29"/>
                <w:w w:val="99"/>
              </w:rPr>
              <w:t>Chief Executive Officer and President</w:t>
            </w:r>
          </w:p>
        </w:tc>
      </w:tr>
      <w:tr>
        <w:trPr>
          <w:trHeight w:val="270"/>
        </w:trPr>
        <w:tc>
          <w:tcPr>
            <w:tcW w:w="26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40" w:type="dxa"/>
            <w:vAlign w:val="bottom"/>
          </w:tcPr>
          <w:p>
            <w:pPr>
              <w:jc w:val="center"/>
              <w:ind w:right="550"/>
              <w:spacing w:after="0"/>
              <w:rPr>
                <w:sz w:val="20"/>
                <w:szCs w:val="20"/>
                <w:color w:val="auto"/>
              </w:rPr>
            </w:pPr>
            <w:r>
              <w:rPr>
                <w:rFonts w:ascii="Arial" w:cs="Arial" w:eastAsia="Arial" w:hAnsi="Arial"/>
                <w:sz w:val="18"/>
                <w:szCs w:val="18"/>
                <w:i w:val="1"/>
                <w:iCs w:val="1"/>
                <w:color w:val="131E29"/>
                <w:w w:val="99"/>
              </w:rPr>
              <w:t>(Principal Executive Officer)</w:t>
            </w:r>
          </w:p>
        </w:tc>
      </w:tr>
      <w:tr>
        <w:trPr>
          <w:trHeight w:val="799"/>
        </w:trPr>
        <w:tc>
          <w:tcPr>
            <w:tcW w:w="2660" w:type="dxa"/>
            <w:vAlign w:val="bottom"/>
          </w:tcPr>
          <w:p>
            <w:pPr>
              <w:ind w:left="20"/>
              <w:spacing w:after="0"/>
              <w:rPr>
                <w:sz w:val="20"/>
                <w:szCs w:val="20"/>
                <w:color w:val="auto"/>
              </w:rPr>
            </w:pPr>
            <w:r>
              <w:rPr>
                <w:rFonts w:ascii="Arial" w:cs="Arial" w:eastAsia="Arial" w:hAnsi="Arial"/>
                <w:sz w:val="18"/>
                <w:szCs w:val="18"/>
                <w:color w:val="131E29"/>
              </w:rPr>
              <w:t>May 7, 2025</w:t>
            </w:r>
          </w:p>
        </w:tc>
        <w:tc>
          <w:tcPr>
            <w:tcW w:w="4440" w:type="dxa"/>
            <w:vAlign w:val="bottom"/>
            <w:gridSpan w:val="2"/>
          </w:tcPr>
          <w:p>
            <w:pPr>
              <w:ind w:left="3260"/>
              <w:spacing w:after="0"/>
              <w:rPr>
                <w:sz w:val="20"/>
                <w:szCs w:val="20"/>
                <w:color w:val="auto"/>
              </w:rPr>
            </w:pPr>
            <w:r>
              <w:rPr>
                <w:rFonts w:ascii="Arial" w:cs="Arial" w:eastAsia="Arial" w:hAnsi="Arial"/>
                <w:sz w:val="18"/>
                <w:szCs w:val="18"/>
                <w:color w:val="131E29"/>
              </w:rPr>
              <w:t>By:</w:t>
            </w:r>
          </w:p>
        </w:tc>
        <w:tc>
          <w:tcPr>
            <w:tcW w:w="4140" w:type="dxa"/>
            <w:vAlign w:val="bottom"/>
          </w:tcPr>
          <w:p>
            <w:pPr>
              <w:jc w:val="center"/>
              <w:ind w:right="550"/>
              <w:spacing w:after="0"/>
              <w:rPr>
                <w:sz w:val="20"/>
                <w:szCs w:val="20"/>
                <w:color w:val="auto"/>
              </w:rPr>
            </w:pPr>
            <w:r>
              <w:rPr>
                <w:rFonts w:ascii="Arial" w:cs="Arial" w:eastAsia="Arial" w:hAnsi="Arial"/>
                <w:sz w:val="18"/>
                <w:szCs w:val="18"/>
                <w:b w:val="1"/>
                <w:bCs w:val="1"/>
                <w:color w:val="131E29"/>
                <w:w w:val="99"/>
              </w:rPr>
              <w:t>/s/ Joshua Guenser</w:t>
            </w:r>
          </w:p>
        </w:tc>
      </w:tr>
      <w:tr>
        <w:trPr>
          <w:trHeight w:val="247"/>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131E29"/>
              </w:rPr>
              <w:t>Date</w:t>
            </w:r>
          </w:p>
        </w:tc>
        <w:tc>
          <w:tcPr>
            <w:tcW w:w="38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140" w:type="dxa"/>
            <w:vAlign w:val="bottom"/>
            <w:tcBorders>
              <w:top w:val="single" w:sz="8" w:color="auto"/>
            </w:tcBorders>
          </w:tcPr>
          <w:p>
            <w:pPr>
              <w:jc w:val="center"/>
              <w:ind w:right="530"/>
              <w:spacing w:after="0"/>
              <w:rPr>
                <w:sz w:val="20"/>
                <w:szCs w:val="20"/>
                <w:color w:val="auto"/>
              </w:rPr>
            </w:pPr>
            <w:r>
              <w:rPr>
                <w:rFonts w:ascii="Arial" w:cs="Arial" w:eastAsia="Arial" w:hAnsi="Arial"/>
                <w:sz w:val="18"/>
                <w:szCs w:val="18"/>
                <w:color w:val="131E29"/>
                <w:w w:val="99"/>
              </w:rPr>
              <w:t>Joshua Guenser</w:t>
            </w:r>
          </w:p>
        </w:tc>
      </w:tr>
      <w:tr>
        <w:trPr>
          <w:trHeight w:val="270"/>
        </w:trPr>
        <w:tc>
          <w:tcPr>
            <w:tcW w:w="26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40" w:type="dxa"/>
            <w:vAlign w:val="bottom"/>
          </w:tcPr>
          <w:p>
            <w:pPr>
              <w:jc w:val="center"/>
              <w:ind w:right="550"/>
              <w:spacing w:after="0"/>
              <w:rPr>
                <w:sz w:val="20"/>
                <w:szCs w:val="20"/>
                <w:color w:val="auto"/>
              </w:rPr>
            </w:pPr>
            <w:r>
              <w:rPr>
                <w:rFonts w:ascii="Arial" w:cs="Arial" w:eastAsia="Arial" w:hAnsi="Arial"/>
                <w:sz w:val="18"/>
                <w:szCs w:val="18"/>
                <w:color w:val="131E29"/>
              </w:rPr>
              <w:t>Chief Financial Officer</w:t>
            </w:r>
          </w:p>
        </w:tc>
      </w:tr>
    </w:tbl>
    <w:p>
      <w:pPr>
        <w:spacing w:after="0" w:line="3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131E29"/>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48</w:t>
      </w:r>
    </w:p>
    <w:p>
      <w:pPr>
        <w:sectPr>
          <w:pgSz w:w="11900" w:h="16838" w:orient="portrait"/>
          <w:cols w:equalWidth="0" w:num="1">
            <w:col w:w="11240"/>
          </w:cols>
          <w:pgMar w:left="320" w:top="130"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131E29"/>
        </w:rPr>
        <w:t>Exhibit 31.1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131E29"/>
        </w:rPr>
        <w:t>I, Christine Barone, certify that:</w:t>
      </w:r>
    </w:p>
    <w:p>
      <w:pPr>
        <w:spacing w:after="0" w:line="171"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I have reviewed this Quarterly Report on Form 10-Q for the period ended March 31, 2025 of Dutch Bros Inc.;</w:t>
      </w:r>
    </w:p>
    <w:p>
      <w:pPr>
        <w:spacing w:after="0" w:line="117"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4"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131E29"/>
        </w:rPr>
      </w:pPr>
    </w:p>
    <w:p>
      <w:pPr>
        <w:ind w:left="980" w:hanging="324"/>
        <w:spacing w:after="0" w:line="287" w:lineRule="auto"/>
        <w:tabs>
          <w:tab w:leader="none" w:pos="970"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May 7, 2025</w:t>
            </w:r>
          </w:p>
        </w:tc>
        <w:tc>
          <w:tcPr>
            <w:tcW w:w="49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/s/ Christine Barone</w:t>
            </w:r>
          </w:p>
        </w:tc>
      </w:tr>
      <w:tr>
        <w:trPr>
          <w:trHeight w:val="218"/>
        </w:trPr>
        <w:tc>
          <w:tcPr>
            <w:tcW w:w="2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3460" w:type="dxa"/>
            <w:vAlign w:val="bottom"/>
          </w:tcPr>
          <w:p>
            <w:pPr>
              <w:spacing w:after="0"/>
              <w:rPr>
                <w:sz w:val="18"/>
                <w:szCs w:val="18"/>
                <w:color w:val="auto"/>
              </w:rPr>
            </w:pPr>
          </w:p>
        </w:tc>
        <w:tc>
          <w:tcPr>
            <w:tcW w:w="4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Christine Barone</w:t>
            </w:r>
          </w:p>
        </w:tc>
        <w:tc>
          <w:tcPr>
            <w:tcW w:w="20" w:type="dxa"/>
            <w:vAlign w:val="bottom"/>
          </w:tcPr>
          <w:p>
            <w:pPr>
              <w:spacing w:after="0"/>
              <w:rPr>
                <w:sz w:val="18"/>
                <w:szCs w:val="18"/>
                <w:color w:val="auto"/>
              </w:rPr>
            </w:pPr>
          </w:p>
        </w:tc>
      </w:tr>
      <w:tr>
        <w:trPr>
          <w:trHeight w:val="232"/>
        </w:trPr>
        <w:tc>
          <w:tcPr>
            <w:tcW w:w="28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9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Chief Executive Officer and President</w:t>
            </w:r>
          </w:p>
        </w:tc>
      </w:tr>
      <w:tr>
        <w:trPr>
          <w:trHeight w:val="237"/>
        </w:trPr>
        <w:tc>
          <w:tcPr>
            <w:tcW w:w="28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920" w:type="dxa"/>
            <w:vAlign w:val="bottom"/>
            <w:gridSpan w:val="2"/>
          </w:tcPr>
          <w:p>
            <w:pPr>
              <w:jc w:val="center"/>
              <w:ind w:right="20"/>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1074"/>
        </w:trPr>
        <w:tc>
          <w:tcPr>
            <w:tcW w:w="2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20" w:type="dxa"/>
            <w:vAlign w:val="bottom"/>
            <w:gridSpan w:val="2"/>
          </w:tcPr>
          <w:p>
            <w:pPr>
              <w:ind w:left="3080"/>
              <w:spacing w:after="0"/>
              <w:rPr>
                <w:sz w:val="20"/>
                <w:szCs w:val="20"/>
                <w:color w:val="auto"/>
              </w:rPr>
            </w:pP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Exhibit 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-306705</wp:posOffset>
            </wp:positionV>
            <wp:extent cx="171450" cy="2400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171450" cy="2400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131E29"/>
        </w:rPr>
        <w:t>Exhibit 31.2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131E29"/>
        </w:rPr>
        <w:t>I, Joshua Guenser, certify that:</w:t>
      </w:r>
    </w:p>
    <w:p>
      <w:pPr>
        <w:spacing w:after="0" w:line="252"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8"/>
          <w:szCs w:val="18"/>
          <w:color w:val="131E29"/>
        </w:rPr>
      </w:pPr>
      <w:r>
        <w:rPr>
          <w:rFonts w:ascii="Arial" w:cs="Arial" w:eastAsia="Arial" w:hAnsi="Arial"/>
          <w:sz w:val="18"/>
          <w:szCs w:val="18"/>
          <w:color w:val="131E29"/>
        </w:rPr>
        <w:t>I have reviewed this Quarterly Report on Form 10-Q for the period ended March 31, 2025 of Dutch Bros Inc.;</w:t>
      </w:r>
    </w:p>
    <w:p>
      <w:pPr>
        <w:spacing w:after="0" w:line="117"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131E29"/>
        </w:rPr>
      </w:pPr>
      <w:r>
        <w:rPr>
          <w:rFonts w:ascii="Arial" w:cs="Arial" w:eastAsia="Arial" w:hAnsi="Arial"/>
          <w:sz w:val="18"/>
          <w:szCs w:val="18"/>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131E29"/>
        </w:rPr>
      </w:pPr>
      <w:r>
        <w:rPr>
          <w:rFonts w:ascii="Arial" w:cs="Arial" w:eastAsia="Arial" w:hAnsi="Arial"/>
          <w:sz w:val="18"/>
          <w:szCs w:val="18"/>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131E29"/>
        </w:rPr>
      </w:pPr>
    </w:p>
    <w:p>
      <w:pPr>
        <w:jc w:val="both"/>
        <w:ind w:left="660" w:hanging="328"/>
        <w:spacing w:after="0" w:line="292" w:lineRule="auto"/>
        <w:tabs>
          <w:tab w:leader="none" w:pos="648" w:val="left"/>
        </w:tabs>
        <w:numPr>
          <w:ilvl w:val="0"/>
          <w:numId w:val="27"/>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7"/>
        </w:numPr>
        <w:rPr>
          <w:rFonts w:ascii="Arial" w:cs="Arial" w:eastAsia="Arial" w:hAnsi="Arial"/>
          <w:sz w:val="18"/>
          <w:szCs w:val="18"/>
          <w:color w:val="131E29"/>
        </w:rPr>
      </w:pPr>
      <w:r>
        <w:rPr>
          <w:rFonts w:ascii="Arial" w:cs="Arial" w:eastAsia="Arial" w:hAnsi="Arial"/>
          <w:sz w:val="18"/>
          <w:szCs w:val="18"/>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7"/>
        </w:numPr>
        <w:rPr>
          <w:rFonts w:ascii="Arial" w:cs="Arial" w:eastAsia="Arial" w:hAnsi="Arial"/>
          <w:sz w:val="18"/>
          <w:szCs w:val="18"/>
          <w:color w:val="131E29"/>
        </w:rPr>
      </w:pPr>
      <w:r>
        <w:rPr>
          <w:rFonts w:ascii="Arial" w:cs="Arial" w:eastAsia="Arial" w:hAnsi="Arial"/>
          <w:sz w:val="18"/>
          <w:szCs w:val="18"/>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4" w:val="left"/>
        </w:tabs>
        <w:numPr>
          <w:ilvl w:val="1"/>
          <w:numId w:val="27"/>
        </w:numPr>
        <w:rPr>
          <w:rFonts w:ascii="Arial" w:cs="Arial" w:eastAsia="Arial" w:hAnsi="Arial"/>
          <w:sz w:val="18"/>
          <w:szCs w:val="18"/>
          <w:color w:val="131E29"/>
        </w:rPr>
      </w:pPr>
      <w:r>
        <w:rPr>
          <w:rFonts w:ascii="Arial" w:cs="Arial" w:eastAsia="Arial" w:hAnsi="Arial"/>
          <w:sz w:val="18"/>
          <w:szCs w:val="18"/>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7"/>
        </w:numPr>
        <w:rPr>
          <w:rFonts w:ascii="Arial" w:cs="Arial" w:eastAsia="Arial" w:hAnsi="Arial"/>
          <w:sz w:val="18"/>
          <w:szCs w:val="18"/>
          <w:color w:val="131E29"/>
        </w:rPr>
      </w:pPr>
      <w:r>
        <w:rPr>
          <w:rFonts w:ascii="Arial" w:cs="Arial" w:eastAsia="Arial" w:hAnsi="Arial"/>
          <w:sz w:val="18"/>
          <w:szCs w:val="18"/>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7"/>
        </w:numPr>
        <w:rPr>
          <w:rFonts w:ascii="Arial" w:cs="Arial" w:eastAsia="Arial" w:hAnsi="Arial"/>
          <w:sz w:val="18"/>
          <w:szCs w:val="18"/>
          <w:color w:val="131E29"/>
        </w:rPr>
      </w:pPr>
      <w:r>
        <w:rPr>
          <w:rFonts w:ascii="Arial" w:cs="Arial" w:eastAsia="Arial" w:hAnsi="Arial"/>
          <w:sz w:val="18"/>
          <w:szCs w:val="18"/>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131E29"/>
        </w:rPr>
      </w:pPr>
    </w:p>
    <w:p>
      <w:pPr>
        <w:ind w:left="980" w:hanging="324"/>
        <w:spacing w:after="0" w:line="287" w:lineRule="auto"/>
        <w:tabs>
          <w:tab w:leader="none" w:pos="970" w:val="left"/>
        </w:tabs>
        <w:numPr>
          <w:ilvl w:val="1"/>
          <w:numId w:val="27"/>
        </w:numPr>
        <w:rPr>
          <w:rFonts w:ascii="Arial" w:cs="Arial" w:eastAsia="Arial" w:hAnsi="Arial"/>
          <w:sz w:val="18"/>
          <w:szCs w:val="18"/>
          <w:color w:val="131E29"/>
        </w:rPr>
      </w:pPr>
      <w:r>
        <w:rPr>
          <w:rFonts w:ascii="Arial" w:cs="Arial" w:eastAsia="Arial" w:hAnsi="Arial"/>
          <w:sz w:val="18"/>
          <w:szCs w:val="18"/>
          <w:color w:val="131E29"/>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May 7, 2025</w:t>
            </w:r>
          </w:p>
        </w:tc>
        <w:tc>
          <w:tcPr>
            <w:tcW w:w="57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/s/ Joshua Guenser</w:t>
            </w:r>
          </w:p>
        </w:tc>
      </w:tr>
      <w:tr>
        <w:trPr>
          <w:trHeight w:val="218"/>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2740" w:type="dxa"/>
            <w:vAlign w:val="bottom"/>
          </w:tcPr>
          <w:p>
            <w:pPr>
              <w:spacing w:after="0"/>
              <w:rPr>
                <w:sz w:val="18"/>
                <w:szCs w:val="18"/>
                <w:color w:val="auto"/>
              </w:rPr>
            </w:pPr>
          </w:p>
        </w:tc>
        <w:tc>
          <w:tcPr>
            <w:tcW w:w="5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Joshua Guenser</w:t>
            </w:r>
          </w:p>
        </w:tc>
        <w:tc>
          <w:tcPr>
            <w:tcW w:w="60" w:type="dxa"/>
            <w:vAlign w:val="bottom"/>
          </w:tcPr>
          <w:p>
            <w:pPr>
              <w:spacing w:after="0"/>
              <w:rPr>
                <w:sz w:val="18"/>
                <w:szCs w:val="18"/>
                <w:color w:val="auto"/>
              </w:rPr>
            </w:pPr>
          </w:p>
        </w:tc>
      </w:tr>
      <w:tr>
        <w:trPr>
          <w:trHeight w:val="231"/>
        </w:trPr>
        <w:tc>
          <w:tcPr>
            <w:tcW w:w="27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Chief Financial Officer</w:t>
            </w:r>
          </w:p>
        </w:tc>
      </w:tr>
      <w:tr>
        <w:trPr>
          <w:trHeight w:val="237"/>
        </w:trPr>
        <w:tc>
          <w:tcPr>
            <w:tcW w:w="27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99"/>
              </w:rPr>
              <w:t>(Principal Financial and Accounting Officer)</w:t>
            </w:r>
          </w:p>
        </w:tc>
      </w:tr>
      <w:tr>
        <w:trPr>
          <w:trHeight w:val="1061"/>
        </w:trPr>
        <w:tc>
          <w:tcPr>
            <w:tcW w:w="2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720" w:type="dxa"/>
            <w:vAlign w:val="bottom"/>
            <w:gridSpan w:val="2"/>
          </w:tcPr>
          <w:p>
            <w:pPr>
              <w:ind w:left="3900"/>
              <w:spacing w:after="0"/>
              <w:rPr>
                <w:sz w:val="20"/>
                <w:szCs w:val="20"/>
                <w:color w:val="auto"/>
              </w:rPr>
            </w:pP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Exhibit 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-298450</wp:posOffset>
            </wp:positionV>
            <wp:extent cx="171450" cy="2400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171450" cy="2400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131E29"/>
        </w:rPr>
        <w:t>Exhibit 32.1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In connection with the Quarterly Report of Dutch Bros Inc. (the Company) on Form 10-Q for the period ended March 31, 2025, as filed with the Securities and Exchange Commission on the date of the signatures below (the Report), Christine Barone, Chief Executive Officer and President of the Company, and Joshua Guenser, Chief Financial Officer of the Company, each hereby certifies, pursuant to 18 U.S.C. Section 1350, as adopted pursuant to Section 906 of the Sarbanes-Oxley Act of 2002, that, to the best of their respective knowledge:</w:t>
      </w:r>
    </w:p>
    <w:p>
      <w:pPr>
        <w:spacing w:after="0" w:line="203"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131E29"/>
        </w:rPr>
      </w:pPr>
      <w:r>
        <w:rPr>
          <w:rFonts w:ascii="Arial" w:cs="Arial" w:eastAsia="Arial" w:hAnsi="Arial"/>
          <w:sz w:val="18"/>
          <w:szCs w:val="18"/>
          <w:color w:val="131E29"/>
        </w:rPr>
        <w:t>the Report fully complies with the requirements of Section 13(a) or Section 15(d) of the Securities Exchange Act of 1934; and</w:t>
      </w:r>
    </w:p>
    <w:p>
      <w:pPr>
        <w:spacing w:after="0" w:line="27" w:lineRule="exact"/>
        <w:rPr>
          <w:rFonts w:ascii="Arial" w:cs="Arial" w:eastAsia="Arial" w:hAnsi="Arial"/>
          <w:sz w:val="18"/>
          <w:szCs w:val="18"/>
          <w:color w:val="131E29"/>
        </w:rPr>
      </w:pPr>
    </w:p>
    <w:p>
      <w:pPr>
        <w:ind w:left="660" w:hanging="328"/>
        <w:spacing w:after="0" w:line="266" w:lineRule="auto"/>
        <w:tabs>
          <w:tab w:leader="none" w:pos="648" w:val="left"/>
        </w:tabs>
        <w:numPr>
          <w:ilvl w:val="0"/>
          <w:numId w:val="28"/>
        </w:numPr>
        <w:rPr>
          <w:rFonts w:ascii="Arial" w:cs="Arial" w:eastAsia="Arial" w:hAnsi="Arial"/>
          <w:sz w:val="18"/>
          <w:szCs w:val="18"/>
          <w:color w:val="131E29"/>
        </w:rPr>
      </w:pPr>
      <w:r>
        <w:rPr>
          <w:rFonts w:ascii="Arial" w:cs="Arial" w:eastAsia="Arial" w:hAnsi="Arial"/>
          <w:sz w:val="18"/>
          <w:szCs w:val="18"/>
          <w:color w:val="131E29"/>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May 7, 2025</w:t>
            </w:r>
          </w:p>
        </w:tc>
        <w:tc>
          <w:tcPr>
            <w:tcW w:w="5680" w:type="dxa"/>
            <w:vAlign w:val="bottom"/>
          </w:tcPr>
          <w:p>
            <w:pPr>
              <w:jc w:val="center"/>
              <w:spacing w:after="0"/>
              <w:rPr>
                <w:sz w:val="20"/>
                <w:szCs w:val="20"/>
                <w:color w:val="auto"/>
              </w:rPr>
            </w:pPr>
            <w:r>
              <w:rPr>
                <w:rFonts w:ascii="Arial" w:cs="Arial" w:eastAsia="Arial" w:hAnsi="Arial"/>
                <w:sz w:val="18"/>
                <w:szCs w:val="18"/>
                <w:b w:val="1"/>
                <w:bCs w:val="1"/>
                <w:color w:val="auto"/>
                <w:w w:val="99"/>
              </w:rPr>
              <w:t>/s/ Christine Barone</w:t>
            </w:r>
          </w:p>
        </w:tc>
      </w:tr>
      <w:tr>
        <w:trPr>
          <w:trHeight w:val="218"/>
        </w:trPr>
        <w:tc>
          <w:tcPr>
            <w:tcW w:w="2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2700" w:type="dxa"/>
            <w:vAlign w:val="bottom"/>
          </w:tcPr>
          <w:p>
            <w:pPr>
              <w:spacing w:after="0"/>
              <w:rPr>
                <w:sz w:val="18"/>
                <w:szCs w:val="18"/>
                <w:color w:val="auto"/>
              </w:rPr>
            </w:pPr>
          </w:p>
        </w:tc>
        <w:tc>
          <w:tcPr>
            <w:tcW w:w="5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Christine Barone</w:t>
            </w:r>
          </w:p>
        </w:tc>
      </w:tr>
      <w:tr>
        <w:trPr>
          <w:trHeight w:val="232"/>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President</w:t>
            </w:r>
          </w:p>
        </w:tc>
      </w:tr>
      <w:tr>
        <w:trPr>
          <w:trHeight w:val="237"/>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May 7, 2025</w:t>
            </w:r>
          </w:p>
        </w:tc>
        <w:tc>
          <w:tcPr>
            <w:tcW w:w="5680" w:type="dxa"/>
            <w:vAlign w:val="bottom"/>
          </w:tcPr>
          <w:p>
            <w:pPr>
              <w:jc w:val="center"/>
              <w:spacing w:after="0"/>
              <w:rPr>
                <w:sz w:val="20"/>
                <w:szCs w:val="20"/>
                <w:color w:val="auto"/>
              </w:rPr>
            </w:pPr>
            <w:r>
              <w:rPr>
                <w:rFonts w:ascii="Arial" w:cs="Arial" w:eastAsia="Arial" w:hAnsi="Arial"/>
                <w:sz w:val="18"/>
                <w:szCs w:val="18"/>
                <w:b w:val="1"/>
                <w:bCs w:val="1"/>
                <w:color w:val="auto"/>
                <w:w w:val="99"/>
              </w:rPr>
              <w:t>/s/ Joshua Guenser</w:t>
            </w:r>
          </w:p>
        </w:tc>
      </w:tr>
      <w:tr>
        <w:trPr>
          <w:trHeight w:val="218"/>
        </w:trPr>
        <w:tc>
          <w:tcPr>
            <w:tcW w:w="2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2700" w:type="dxa"/>
            <w:vAlign w:val="bottom"/>
          </w:tcPr>
          <w:p>
            <w:pPr>
              <w:spacing w:after="0"/>
              <w:rPr>
                <w:sz w:val="18"/>
                <w:szCs w:val="18"/>
                <w:color w:val="auto"/>
              </w:rPr>
            </w:pPr>
          </w:p>
        </w:tc>
        <w:tc>
          <w:tcPr>
            <w:tcW w:w="5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Joshua Guenser</w:t>
            </w:r>
          </w:p>
        </w:tc>
      </w:tr>
      <w:tr>
        <w:trPr>
          <w:trHeight w:val="232"/>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color w:val="auto"/>
                <w:w w:val="99"/>
              </w:rPr>
              <w:t>Chief Financial Officer</w:t>
            </w:r>
          </w:p>
        </w:tc>
      </w:tr>
      <w:tr>
        <w:trPr>
          <w:trHeight w:val="237"/>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3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160"/>
        <w:spacing w:after="0"/>
        <w:rPr>
          <w:sz w:val="20"/>
          <w:szCs w:val="20"/>
          <w:color w:val="auto"/>
        </w:rPr>
      </w:pPr>
      <w:r>
        <w:rPr>
          <w:sz w:val="1"/>
          <w:szCs w:val="1"/>
          <w:color w:val="auto"/>
        </w:rPr>
        <w:drawing>
          <wp:inline distT="0" distB="0" distL="0" distR="0">
            <wp:extent cx="171450" cy="24003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Exhibit 32.1</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bullet"/>
      <w:start w:val="1"/>
    </w:lvl>
  </w:abstractNum>
  <w:abstractNum w:abstractNumId="3">
    <w:nsid w:val="6B68079A"/>
    <w:multiLevelType w:val="hybridMultilevel"/>
    <w:lvl w:ilvl="0">
      <w:lvlJc w:val="left"/>
      <w:lvlText w:val="1"/>
      <w:numFmt w:val="bullet"/>
      <w:start w:val="1"/>
    </w:lvl>
  </w:abstractNum>
  <w:abstractNum w:abstractNumId="4">
    <w:nsid w:val="4E6AFB66"/>
    <w:multiLevelType w:val="hybridMultilevel"/>
    <w:lvl w:ilvl="0">
      <w:lvlJc w:val="left"/>
      <w:lvlText w:val="1"/>
      <w:numFmt w:val="bullet"/>
      <w:start w:val="1"/>
    </w:lvl>
  </w:abstractNum>
  <w:abstractNum w:abstractNumId="5">
    <w:nsid w:val="25E45D32"/>
    <w:multiLevelType w:val="hybridMultilevel"/>
    <w:lvl w:ilvl="0">
      <w:lvlJc w:val="left"/>
      <w:lvlText w:val="1"/>
      <w:numFmt w:val="bullet"/>
      <w:start w:val="1"/>
    </w:lvl>
  </w:abstractNum>
  <w:abstractNum w:abstractNumId="6">
    <w:nsid w:val="519B500D"/>
    <w:multiLevelType w:val="hybridMultilevel"/>
    <w:lvl w:ilvl="0">
      <w:lvlJc w:val="left"/>
      <w:lvlText w:val="1"/>
      <w:numFmt w:val="bullet"/>
      <w:start w:val="1"/>
    </w:lvl>
  </w:abstractNum>
  <w:abstractNum w:abstractNumId="7">
    <w:nsid w:val="431BD7B7"/>
    <w:multiLevelType w:val="hybridMultilevel"/>
    <w:lvl w:ilvl="0">
      <w:lvlJc w:val="left"/>
      <w:lvlText w:val="1"/>
      <w:numFmt w:val="bullet"/>
      <w:start w:val="1"/>
    </w:lvl>
  </w:abstractNum>
  <w:abstractNum w:abstractNumId="8">
    <w:nsid w:val="3F2DBA31"/>
    <w:multiLevelType w:val="hybridMultilevel"/>
    <w:lvl w:ilvl="0">
      <w:lvlJc w:val="left"/>
      <w:lvlText w:val="1"/>
      <w:numFmt w:val="bullet"/>
      <w:start w:val="1"/>
    </w:lvl>
  </w:abstractNum>
  <w:abstractNum w:abstractNumId="9">
    <w:nsid w:val="7C83E458"/>
    <w:multiLevelType w:val="hybridMultilevel"/>
    <w:lvl w:ilvl="0">
      <w:lvlJc w:val="left"/>
      <w:lvlText w:val="1"/>
      <w:numFmt w:val="bullet"/>
      <w:start w:val="1"/>
    </w:lvl>
  </w:abstractNum>
  <w:abstractNum w:abstractNumId="10">
    <w:nsid w:val="257130A3"/>
    <w:multiLevelType w:val="hybridMultilevel"/>
    <w:lvl w:ilvl="0">
      <w:lvlJc w:val="left"/>
      <w:lvlText w:val="1"/>
      <w:numFmt w:val="bullet"/>
      <w:start w:val="1"/>
    </w:lvl>
  </w:abstractNum>
  <w:abstractNum w:abstractNumId="11">
    <w:nsid w:val="62BBD95A"/>
    <w:multiLevelType w:val="hybridMultilevel"/>
    <w:lvl w:ilvl="0">
      <w:lvlJc w:val="left"/>
      <w:lvlText w:val="1"/>
      <w:numFmt w:val="bullet"/>
      <w:start w:val="1"/>
    </w:lvl>
  </w:abstractNum>
  <w:abstractNum w:abstractNumId="12">
    <w:nsid w:val="436C6125"/>
    <w:multiLevelType w:val="hybridMultilevel"/>
    <w:lvl w:ilvl="0">
      <w:lvlJc w:val="left"/>
      <w:lvlText w:val="1"/>
      <w:numFmt w:val="bullet"/>
      <w:start w:val="1"/>
    </w:lvl>
  </w:abstractNum>
  <w:abstractNum w:abstractNumId="13">
    <w:nsid w:val="628C895D"/>
    <w:multiLevelType w:val="hybridMultilevel"/>
    <w:lvl w:ilvl="0">
      <w:lvlJc w:val="left"/>
      <w:lvlText w:val="1"/>
      <w:numFmt w:val="bullet"/>
      <w:start w:val="1"/>
    </w:lvl>
  </w:abstractNum>
  <w:abstractNum w:abstractNumId="14">
    <w:nsid w:val="333AB105"/>
    <w:multiLevelType w:val="hybridMultilevel"/>
    <w:lvl w:ilvl="0">
      <w:lvlJc w:val="left"/>
      <w:lvlText w:val="2"/>
      <w:numFmt w:val="bullet"/>
      <w:start w:val="1"/>
    </w:lvl>
  </w:abstractNum>
  <w:abstractNum w:abstractNumId="15">
    <w:nsid w:val="721DA317"/>
    <w:multiLevelType w:val="hybridMultilevel"/>
    <w:lvl w:ilvl="0">
      <w:lvlJc w:val="left"/>
      <w:lvlText w:val="3"/>
      <w:numFmt w:val="bullet"/>
      <w:start w:val="1"/>
    </w:lvl>
  </w:abstractNum>
  <w:abstractNum w:abstractNumId="16">
    <w:nsid w:val="2443A858"/>
    <w:multiLevelType w:val="hybridMultilevel"/>
    <w:lvl w:ilvl="0">
      <w:lvlJc w:val="left"/>
      <w:lvlText w:val="4"/>
      <w:numFmt w:val="bullet"/>
      <w:start w:val="1"/>
    </w:lvl>
  </w:abstractNum>
  <w:abstractNum w:abstractNumId="17">
    <w:nsid w:val="2D1D5AE9"/>
    <w:multiLevelType w:val="hybridMultilevel"/>
    <w:lvl w:ilvl="0">
      <w:lvlJc w:val="left"/>
      <w:lvlText w:val="5"/>
      <w:numFmt w:val="bullet"/>
      <w:start w:val="1"/>
    </w:lvl>
  </w:abstractNum>
  <w:abstractNum w:abstractNumId="18">
    <w:nsid w:val="6763845E"/>
    <w:multiLevelType w:val="hybridMultilevel"/>
    <w:lvl w:ilvl="0">
      <w:lvlJc w:val="left"/>
      <w:lvlText w:val="6"/>
      <w:numFmt w:val="bullet"/>
      <w:start w:val="1"/>
    </w:lvl>
  </w:abstractNum>
  <w:abstractNum w:abstractNumId="19">
    <w:nsid w:val="75A2A8D4"/>
    <w:multiLevelType w:val="hybridMultilevel"/>
    <w:lvl w:ilvl="0">
      <w:lvlJc w:val="left"/>
      <w:lvlText w:val="1"/>
      <w:numFmt w:val="bullet"/>
      <w:start w:val="1"/>
    </w:lvl>
  </w:abstractNum>
  <w:abstractNum w:abstractNumId="20">
    <w:nsid w:val="8EDBDAB"/>
    <w:multiLevelType w:val="hybridMultilevel"/>
    <w:lvl w:ilvl="0">
      <w:lvlJc w:val="left"/>
      <w:lvlText w:val="1"/>
      <w:numFmt w:val="bullet"/>
      <w:start w:val="1"/>
    </w:lvl>
  </w:abstractNum>
  <w:abstractNum w:abstractNumId="21">
    <w:nsid w:val="79838CB2"/>
    <w:multiLevelType w:val="hybridMultilevel"/>
    <w:lvl w:ilvl="0">
      <w:lvlJc w:val="left"/>
      <w:lvlText w:val="1"/>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8" Type="http://schemas.openxmlformats.org/officeDocument/2006/relationships/image" Target="media/image166.jpe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jpeg"/><Relationship Id="rId182" Type="http://schemas.openxmlformats.org/officeDocument/2006/relationships/image" Target="media/image170.jpeg"/><Relationship Id="rId183" Type="http://schemas.openxmlformats.org/officeDocument/2006/relationships/image" Target="media/image171.jpeg"/><Relationship Id="rId184" Type="http://schemas.openxmlformats.org/officeDocument/2006/relationships/image" Target="media/image172.jpeg"/><Relationship Id="rId173" Type="http://schemas.openxmlformats.org/officeDocument/2006/relationships/hyperlink" Target="https://www.sec.gov/Archives/edgar/data/0001866581/000162828021018861/exhibit31-8xk.htm" TargetMode="External"/><Relationship Id="rId174" Type="http://schemas.openxmlformats.org/officeDocument/2006/relationships/hyperlink" Target="https://www.sec.gov/Archives/edgar/data/1866581/000162828021017441/exhibit34-sx1.htm" TargetMode="External"/><Relationship Id="rId175" Type="http://schemas.openxmlformats.org/officeDocument/2006/relationships/hyperlink" Target="https://www.sec.gov/Archives/edgar/data/0001866581/000162828021018116/exhibit41.htm" TargetMode="External"/><Relationship Id="rId176" Type="http://schemas.openxmlformats.org/officeDocument/2006/relationships/hyperlink" Target="https://www.sec.gov/Archives/edgar/data/1866581/000186658125000048/exh1012025-02x07dutchmaf.htm" TargetMode="External"/><Relationship Id="rId177" Type="http://schemas.openxmlformats.org/officeDocument/2006/relationships/hyperlink" Target="https://www.sec.gov/Archives/edgar/data/1866581/000186658125000052/filingcopy-korymarchiso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2025-05-08T05:22:18Z</dcterms:created>
  <dcterms:modified xsi:type="dcterms:W3CDTF">2025-05-08T05:22:18Z</dcterms:modified>
</cp:coreProperties>
</file>