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90064.xml.htm"/>
      <w:bookmarkStart w:id="1" w:name="kswkform4_17926900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DM Individual Aggregator,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398</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GRANTS PASS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97526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Dutch Bros Inc.</w:t>
              </w:r>
            </w:hyperlink>
            <w:r>
              <w:rPr/>
              <w:t xml:space="preserve"> [ </w:t>
            </w:r>
            <w:r>
              <w:rPr>
                <w:rFonts w:ascii="Times;serif" w:hAnsi="Times;serif"/>
                <w:color w:val="0000FF"/>
                <w:sz w:val="24"/>
                <w:shd w:fill="FFFFFF" w:val="clear"/>
              </w:rPr>
              <w:t>BROS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50,709</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44.008</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2,360,091</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As indicated by the checkbox above, this transaction was effected automatically pursuant to a Rule 10b5-1 trading plan adopted by DM Individual Aggregator, LLC on February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These shares were sold in multiple transactions at prices ranging from $44.0000 to $44.0900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P. Conaghan, Attorney-in-Fact for Travis Boersma,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3096" TargetMode="External"/><Relationship Id="rId5" Type="http://schemas.openxmlformats.org/officeDocument/2006/relationships/hyperlink" Target="http://www.sec.gov/cgi-bin/browse-edgar?action=getcompany&amp;CIK=000186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3612</Characters>
  <CharactersWithSpaces>4207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