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right"/>
        <w:rPr>
          <w:rFonts w:ascii="Arial;sans-serif" w:hAnsi="Arial;sans-serif"/>
          <w:b/>
          <w:color w:val="000000"/>
          <w:sz w:val="16"/>
        </w:rPr>
      </w:pPr>
      <w:r>
        <w:rPr>
          <w:rFonts w:ascii="Arial;sans-serif" w:hAnsi="Arial;sans-serif"/>
          <w:b/>
          <w:color w:val="000000"/>
          <w:sz w:val="16"/>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S-3</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REGISTRATION STATEMENT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UNDER</w:t>
      </w:r>
    </w:p>
    <w:p>
      <w:pPr>
        <w:pStyle w:val="TextBody"/>
        <w:bidi w:val="0"/>
        <w:spacing w:lineRule="auto" w:line="288" w:before="0" w:after="120"/>
        <w:jc w:val="center"/>
        <w:rPr>
          <w:rFonts w:ascii="Arial;sans-serif" w:hAnsi="Arial;sans-serif"/>
          <w:b/>
          <w:i/>
          <w:color w:val="000000"/>
          <w:sz w:val="18"/>
        </w:rPr>
      </w:pPr>
      <w:r>
        <w:rPr>
          <w:rFonts w:ascii="Arial;sans-serif" w:hAnsi="Arial;sans-serif"/>
          <w:b/>
          <w:i/>
          <w:color w:val="000000"/>
          <w:sz w:val="18"/>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Dutch Bros Inc.</w:t>
      </w:r>
    </w:p>
    <w:p>
      <w:pPr>
        <w:pStyle w:val="TextBody"/>
        <w:bidi w:val="0"/>
        <w:spacing w:lineRule="auto" w:line="288" w:before="0" w:after="80"/>
        <w:jc w:val="center"/>
        <w:rPr>
          <w:rFonts w:ascii="Arial;sans-serif" w:hAnsi="Arial;sans-serif"/>
          <w:b/>
          <w:color w:val="000000"/>
          <w:sz w:val="14"/>
        </w:rPr>
      </w:pPr>
      <w:r>
        <w:rPr>
          <w:rFonts w:ascii="Arial;sans-serif" w:hAnsi="Arial;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86" w:type="dxa"/>
        <w:jc w:val="center"/>
        <w:tblInd w:w="0" w:type="dxa"/>
        <w:tblLayout w:type="fixed"/>
        <w:tblCellMar>
          <w:top w:w="28" w:type="dxa"/>
          <w:left w:w="28" w:type="dxa"/>
          <w:bottom w:w="28" w:type="dxa"/>
          <w:right w:w="28" w:type="dxa"/>
        </w:tblCellMar>
      </w:tblPr>
      <w:tblGrid>
        <w:gridCol w:w="1432"/>
        <w:gridCol w:w="1254"/>
        <w:gridCol w:w="1274"/>
        <w:gridCol w:w="109"/>
        <w:gridCol w:w="109"/>
        <w:gridCol w:w="109"/>
        <w:gridCol w:w="702"/>
        <w:gridCol w:w="702"/>
        <w:gridCol w:w="995"/>
      </w:tblGrid>
      <w:tr>
        <w:trPr/>
        <w:tc>
          <w:tcPr>
            <w:tcW w:w="143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87-1041305</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 Identification No.)</w:t>
            </w:r>
          </w:p>
        </w:tc>
      </w:tr>
    </w:tbl>
    <w:p>
      <w:pPr>
        <w:pStyle w:val="TextBody"/>
        <w:bidi w:val="0"/>
        <w:spacing w:lineRule="auto" w:line="288" w:before="0" w:after="0"/>
        <w:jc w:val="center"/>
        <w:rPr>
          <w:rFonts w:ascii="Arial;sans-serif" w:hAnsi="Arial;sans-serif"/>
          <w:b/>
          <w:color w:val="006098"/>
          <w:sz w:val="14"/>
        </w:rPr>
      </w:pPr>
      <w:r>
        <w:rPr>
          <w:rFonts w:ascii="Arial;sans-serif" w:hAnsi="Arial;sans-serif"/>
          <w:b/>
          <w:color w:val="006098"/>
          <w:sz w:val="14"/>
        </w:rPr>
        <w:t>1930 W. Rio Salado Pkwy</w:t>
      </w:r>
    </w:p>
    <w:p>
      <w:pPr>
        <w:pStyle w:val="TextBody"/>
        <w:bidi w:val="0"/>
        <w:spacing w:lineRule="auto" w:line="288" w:before="0" w:after="0"/>
        <w:jc w:val="center"/>
        <w:rPr>
          <w:rFonts w:ascii="Arial;sans-serif" w:hAnsi="Arial;sans-serif"/>
          <w:b/>
          <w:color w:val="006098"/>
          <w:sz w:val="14"/>
        </w:rPr>
      </w:pPr>
      <w:r>
        <w:rPr>
          <w:rFonts w:ascii="Arial;sans-serif" w:hAnsi="Arial;sans-serif"/>
          <w:b/>
          <w:color w:val="006098"/>
          <w:sz w:val="14"/>
        </w:rPr>
        <w:t>Tempe, Arizona, 85281</w:t>
      </w:r>
    </w:p>
    <w:p>
      <w:pPr>
        <w:pStyle w:val="TextBody"/>
        <w:bidi w:val="0"/>
        <w:spacing w:lineRule="auto" w:line="288" w:before="0" w:after="0"/>
        <w:jc w:val="center"/>
        <w:rPr>
          <w:rFonts w:ascii="Arial;sans-serif" w:hAnsi="Arial;sans-serif"/>
          <w:b/>
          <w:color w:val="006098"/>
          <w:sz w:val="14"/>
        </w:rPr>
      </w:pPr>
      <w:r>
        <w:rPr>
          <w:rFonts w:ascii="Arial;sans-serif" w:hAnsi="Arial;sans-serif"/>
          <w:b/>
          <w:color w:val="006098"/>
          <w:sz w:val="14"/>
        </w:rPr>
        <w:t>(877) 899-2767</w:t>
      </w:r>
    </w:p>
    <w:p>
      <w:pPr>
        <w:pStyle w:val="TextBody"/>
        <w:bidi w:val="0"/>
        <w:spacing w:lineRule="auto" w:line="288" w:before="0" w:after="80"/>
        <w:jc w:val="center"/>
        <w:rPr>
          <w:rFonts w:ascii="Arial;sans-serif" w:hAnsi="Arial;sans-serif"/>
          <w:b/>
          <w:color w:val="000000"/>
          <w:sz w:val="14"/>
        </w:rPr>
      </w:pPr>
      <w:r>
        <w:rPr>
          <w:rFonts w:ascii="Arial;sans-serif" w:hAnsi="Arial;sans-serif"/>
          <w:b/>
          <w:color w:val="000000"/>
          <w:sz w:val="14"/>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Christine Barone</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Chief Executive Officer</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Dutch Bros Inc.</w:t>
      </w:r>
    </w:p>
    <w:p>
      <w:pPr>
        <w:pStyle w:val="TextBody"/>
        <w:bidi w:val="0"/>
        <w:spacing w:lineRule="auto" w:line="288" w:before="0" w:after="0"/>
        <w:jc w:val="center"/>
        <w:rPr>
          <w:rFonts w:ascii="Arial;sans-serif" w:hAnsi="Arial;sans-serif"/>
          <w:b/>
          <w:color w:val="006098"/>
          <w:sz w:val="14"/>
        </w:rPr>
      </w:pPr>
      <w:r>
        <w:rPr>
          <w:rFonts w:ascii="Arial;sans-serif" w:hAnsi="Arial;sans-serif"/>
          <w:b/>
          <w:color w:val="006098"/>
          <w:sz w:val="14"/>
        </w:rPr>
        <w:t>1930 W. Rio Salado Pkwy</w:t>
      </w:r>
    </w:p>
    <w:p>
      <w:pPr>
        <w:pStyle w:val="TextBody"/>
        <w:bidi w:val="0"/>
        <w:spacing w:lineRule="auto" w:line="288" w:before="0" w:after="0"/>
        <w:jc w:val="center"/>
        <w:rPr>
          <w:rFonts w:ascii="Arial;sans-serif" w:hAnsi="Arial;sans-serif"/>
          <w:b/>
          <w:color w:val="006098"/>
          <w:sz w:val="14"/>
        </w:rPr>
      </w:pPr>
      <w:r>
        <w:rPr>
          <w:rFonts w:ascii="Arial;sans-serif" w:hAnsi="Arial;sans-serif"/>
          <w:b/>
          <w:color w:val="006098"/>
          <w:sz w:val="14"/>
        </w:rPr>
        <w:t>Tempe, Arizona, 85281</w:t>
      </w:r>
    </w:p>
    <w:p>
      <w:pPr>
        <w:pStyle w:val="TextBody"/>
        <w:bidi w:val="0"/>
        <w:spacing w:lineRule="auto" w:line="288" w:before="0" w:after="0"/>
        <w:jc w:val="center"/>
        <w:rPr>
          <w:rFonts w:ascii="Arial;sans-serif" w:hAnsi="Arial;sans-serif"/>
          <w:b/>
          <w:color w:val="006098"/>
          <w:sz w:val="14"/>
        </w:rPr>
      </w:pPr>
      <w:r>
        <w:rPr>
          <w:rFonts w:ascii="Arial;sans-serif" w:hAnsi="Arial;sans-serif"/>
          <w:b/>
          <w:color w:val="006098"/>
          <w:sz w:val="14"/>
        </w:rPr>
        <w:t>(877) 899-2767</w:t>
      </w:r>
    </w:p>
    <w:p>
      <w:pPr>
        <w:pStyle w:val="TextBody"/>
        <w:bidi w:val="0"/>
        <w:spacing w:lineRule="auto" w:line="288" w:before="0" w:after="80"/>
        <w:jc w:val="center"/>
        <w:rPr>
          <w:rFonts w:ascii="Arial;sans-serif" w:hAnsi="Arial;sans-serif"/>
          <w:b/>
          <w:color w:val="000000"/>
          <w:sz w:val="14"/>
        </w:rPr>
      </w:pPr>
      <w:r>
        <w:rPr>
          <w:rFonts w:ascii="Arial;sans-serif" w:hAnsi="Arial;sans-serif"/>
          <w:b/>
          <w:color w:val="000000"/>
          <w:sz w:val="14"/>
        </w:rPr>
        <w:t>(Name, address,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i/>
          <w:color w:val="000000"/>
          <w:sz w:val="20"/>
        </w:rPr>
      </w:pPr>
      <w:r>
        <w:rPr>
          <w:rFonts w:ascii="Arial;sans-serif" w:hAnsi="Arial;sans-serif"/>
          <w:b/>
          <w:i/>
          <w:color w:val="000000"/>
          <w:sz w:val="20"/>
        </w:rPr>
        <w:t>Copies to:</w:t>
      </w:r>
    </w:p>
    <w:tbl>
      <w:tblPr>
        <w:tblW w:w="3672" w:type="dxa"/>
        <w:jc w:val="center"/>
        <w:tblInd w:w="0" w:type="dxa"/>
        <w:tblLayout w:type="fixed"/>
        <w:tblCellMar>
          <w:top w:w="28" w:type="dxa"/>
          <w:left w:w="28" w:type="dxa"/>
          <w:bottom w:w="28" w:type="dxa"/>
          <w:right w:w="28" w:type="dxa"/>
        </w:tblCellMar>
      </w:tblPr>
      <w:tblGrid>
        <w:gridCol w:w="564"/>
        <w:gridCol w:w="497"/>
        <w:gridCol w:w="499"/>
        <w:gridCol w:w="109"/>
        <w:gridCol w:w="109"/>
        <w:gridCol w:w="109"/>
        <w:gridCol w:w="521"/>
        <w:gridCol w:w="521"/>
        <w:gridCol w:w="743"/>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David Peinsipp</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Alan Hambelton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Cooley LLP</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 Embarcadero Center</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20th Floor</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San Francisco, CA</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(415) 693-2000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Victoria Tullett</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Chief Legal Officer</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Dutch Bros Inc.</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1930 W. Rio Salado Pkwy</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Tempe, Arizona, 85281</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(877) 899-2767</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color w:val="000000"/>
          <w:sz w:val="14"/>
        </w:rPr>
        <w:t>Approximate date of commencement of proposed sale to the public:</w:t>
      </w:r>
      <w:r>
        <w:rPr>
          <w:color w:val="000000"/>
        </w:rPr>
        <w:t xml:space="preserve"> </w:t>
      </w:r>
      <w:r>
        <w:rPr>
          <w:rFonts w:ascii="Arial;sans-serif" w:hAnsi="Arial;sans-serif"/>
          <w:b w:val="false"/>
          <w:color w:val="000000"/>
          <w:sz w:val="14"/>
        </w:rPr>
        <w:t xml:space="preserve">From time to time after the effective date of this Registration Statement. 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180"/>
        <w:jc w:val="left"/>
        <w:rPr/>
      </w:pPr>
      <w:r>
        <w:rPr>
          <w:rFonts w:ascii="Arial;sans-serif" w:hAnsi="Arial;sans-serif"/>
          <w:b w:val="false"/>
          <w:color w:val="000000"/>
          <w:sz w:val="14"/>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sans-serif" w:hAnsi="Wingdings;sans-serif"/>
          <w:b w:val="false"/>
          <w:color w:val="000000"/>
          <w:sz w:val="14"/>
        </w:rPr>
        <w:t>x</w:t>
      </w:r>
    </w:p>
    <w:p>
      <w:pPr>
        <w:pStyle w:val="TextBody"/>
        <w:bidi w:val="0"/>
        <w:spacing w:lineRule="auto" w:line="288" w:before="0" w:after="180"/>
        <w:jc w:val="left"/>
        <w:rPr/>
      </w:pPr>
      <w:r>
        <w:rPr>
          <w:rFonts w:ascii="Arial;sans-serif" w:hAnsi="Arial;sans-serif"/>
          <w:b w:val="false"/>
          <w:color w:val="000000"/>
          <w:sz w:val="14"/>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sans-serif" w:hAnsi="Wingdings;sans-serif"/>
          <w:b w:val="false"/>
          <w:color w:val="000000"/>
          <w:sz w:val="14"/>
        </w:rPr>
        <w:t>o</w:t>
      </w:r>
      <w:r>
        <w:rPr>
          <w:color w:val="000000"/>
        </w:rPr>
        <w:t xml:space="preserve"> </w:t>
      </w:r>
    </w:p>
    <w:p>
      <w:pPr>
        <w:pStyle w:val="TextBody"/>
        <w:bidi w:val="0"/>
        <w:spacing w:lineRule="auto" w:line="288" w:before="0" w:after="180"/>
        <w:jc w:val="left"/>
        <w:rPr/>
      </w:pPr>
      <w:r>
        <w:rPr>
          <w:rFonts w:ascii="Arial;sans-serif" w:hAnsi="Arial;sans-serif"/>
          <w:b w:val="false"/>
          <w:color w:val="000000"/>
          <w:sz w:val="14"/>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14"/>
        </w:rPr>
        <w:t>o</w:t>
      </w:r>
      <w:r>
        <w:rPr>
          <w:color w:val="000000"/>
        </w:rPr>
        <w:t xml:space="preserve"> </w:t>
      </w:r>
    </w:p>
    <w:p>
      <w:pPr>
        <w:pStyle w:val="TextBody"/>
        <w:bidi w:val="0"/>
        <w:spacing w:lineRule="auto" w:line="288" w:before="0" w:after="180"/>
        <w:jc w:val="left"/>
        <w:rPr/>
      </w:pPr>
      <w:r>
        <w:rPr>
          <w:rFonts w:ascii="Arial;sans-serif" w:hAnsi="Arial;sans-serif"/>
          <w:b w:val="false"/>
          <w:color w:val="000000"/>
          <w:sz w:val="14"/>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sans-serif" w:hAnsi="Wingdings;sans-serif"/>
          <w:b w:val="false"/>
          <w:color w:val="000000"/>
          <w:sz w:val="14"/>
        </w:rPr>
        <w:t>x</w:t>
      </w:r>
    </w:p>
    <w:p>
      <w:pPr>
        <w:pStyle w:val="TextBody"/>
        <w:bidi w:val="0"/>
        <w:spacing w:lineRule="auto" w:line="288" w:before="0" w:after="180"/>
        <w:jc w:val="left"/>
        <w:rPr/>
      </w:pPr>
      <w:r>
        <w:rPr>
          <w:rFonts w:ascii="Arial;sans-serif" w:hAnsi="Arial;sans-serif"/>
          <w:b w:val="false"/>
          <w:color w:val="000000"/>
          <w:sz w:val="14"/>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sans-serif" w:hAnsi="Wingdings;sans-serif"/>
          <w:b w:val="false"/>
          <w:color w:val="000000"/>
          <w:sz w:val="14"/>
        </w:rPr>
        <w:t>o</w:t>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939"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579"/>
        <w:gridCol w:w="579"/>
        <w:gridCol w:w="582"/>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left"/>
        <w:rPr/>
      </w:pPr>
      <w:r>
        <w:rPr>
          <w:rFonts w:ascii="Arial;sans-serif" w:hAnsi="Arial;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1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PROSPECTUS</w:t>
      </w:r>
    </w:p>
    <w:p>
      <w:pPr>
        <w:pStyle w:val="TextBody"/>
        <w:bidi w:val="0"/>
        <w:spacing w:before="0" w:after="0"/>
        <w:jc w:val="center"/>
        <w:rPr/>
      </w:pPr>
      <w:r>
        <w:rPr/>
        <w:drawing>
          <wp:inline distT="0" distB="0" distL="0" distR="0">
            <wp:extent cx="1600200" cy="8286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00200" cy="82867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6098"/>
          <w:sz w:val="28"/>
        </w:rPr>
      </w:pPr>
      <w:r>
        <w:rPr>
          <w:rFonts w:ascii="Arial;sans-serif" w:hAnsi="Arial;sans-serif"/>
          <w:b/>
          <w:color w:val="006098"/>
          <w:sz w:val="28"/>
        </w:rPr>
        <w:t>Class A Common Stock</w:t>
      </w:r>
    </w:p>
    <w:p>
      <w:pPr>
        <w:pStyle w:val="TextBody"/>
        <w:bidi w:val="0"/>
        <w:spacing w:lineRule="auto" w:line="288" w:before="0" w:after="0"/>
        <w:jc w:val="center"/>
        <w:rPr>
          <w:rFonts w:ascii="Arial;sans-serif" w:hAnsi="Arial;sans-serif"/>
          <w:b/>
          <w:color w:val="006098"/>
          <w:sz w:val="28"/>
        </w:rPr>
      </w:pPr>
      <w:r>
        <w:rPr>
          <w:rFonts w:ascii="Arial;sans-serif" w:hAnsi="Arial;sans-serif"/>
          <w:b/>
          <w:color w:val="006098"/>
          <w:sz w:val="28"/>
        </w:rPr>
        <w:t>Preferred Stock</w:t>
      </w:r>
    </w:p>
    <w:p>
      <w:pPr>
        <w:pStyle w:val="TextBody"/>
        <w:bidi w:val="0"/>
        <w:spacing w:lineRule="auto" w:line="288" w:before="0" w:after="0"/>
        <w:jc w:val="center"/>
        <w:rPr>
          <w:rFonts w:ascii="Arial;sans-serif" w:hAnsi="Arial;sans-serif"/>
          <w:b/>
          <w:color w:val="006098"/>
          <w:sz w:val="24"/>
        </w:rPr>
      </w:pPr>
      <w:r>
        <w:rPr>
          <w:rFonts w:ascii="Arial;sans-serif" w:hAnsi="Arial;sans-serif"/>
          <w:b/>
          <w:color w:val="006098"/>
          <w:sz w:val="24"/>
        </w:rPr>
        <w:t>Debt Securities</w:t>
      </w:r>
    </w:p>
    <w:p>
      <w:pPr>
        <w:pStyle w:val="TextBody"/>
        <w:bidi w:val="0"/>
        <w:spacing w:lineRule="auto" w:line="288" w:before="0" w:after="0"/>
        <w:jc w:val="center"/>
        <w:rPr>
          <w:rFonts w:ascii="Arial;sans-serif" w:hAnsi="Arial;sans-serif"/>
          <w:b/>
          <w:color w:val="006098"/>
          <w:sz w:val="24"/>
        </w:rPr>
      </w:pPr>
      <w:r>
        <w:rPr>
          <w:rFonts w:ascii="Arial;sans-serif" w:hAnsi="Arial;sans-serif"/>
          <w:b/>
          <w:color w:val="006098"/>
          <w:sz w:val="24"/>
        </w:rPr>
        <w:t>Warrants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From time to time, Dutch Bros Inc. or selling securityholders may offer and sell any combination of the securities described in this prospectus and any prospectus supplement, either individually or in combination with other securities in one or more offerings. We may offer Class A common stock upon conversion of preferred stock, Class A common stock or preferred stock upon conversion of debt securities, or Class A common stock, preferred stock or debt securities upon the exercise of warrants. Selling securityholders may also offer Class A common stock upon redemption or exchange of Class A common units of Dutch Bros OpCo (as defined below) pursuant to the terms of the Fifth Amended and Restated Limited Liability Company Agreement of Dutch Bros OpCo (the Fifth LLC Agreement).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This prospectus provides a general description of the securities we may offer. Each time securities are sold pursuant to this prospectus,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Class A common stock is listed on the New York Stock Exchange under the trading symbol “BROS.” On September 2, 2026, the last reported sale price of our Class A common stock was $48.13 per share. The applicable prospectus supplement will contain information, where applicable, as to other listings, if any, on The New York Stock Exchange or other securities exchange of the securities covered by the applicable prospectus supplement.</w:t>
      </w:r>
    </w:p>
    <w:p>
      <w:pPr>
        <w:pStyle w:val="TextBody"/>
        <w:bidi w:val="0"/>
        <w:spacing w:lineRule="auto" w:line="288" w:before="0" w:after="180"/>
        <w:jc w:val="both"/>
        <w:rPr/>
      </w:pPr>
      <w:r>
        <w:rPr>
          <w:rFonts w:ascii="Arial;sans-serif" w:hAnsi="Arial;sans-serif"/>
          <w:b/>
          <w:i/>
          <w:color w:val="000000"/>
          <w:sz w:val="20"/>
        </w:rPr>
        <w:t>Investing in our securities involves a high degree of risk. Before making an investment decision, you should review carefully the risks and uncertainties described under the section titled “</w:t>
      </w:r>
      <w:hyperlink w:anchor="i81cfe8e3fce943dcacf52318a32b5406_16">
        <w:r>
          <w:rPr>
            <w:rStyle w:val="InternetLink"/>
            <w:rFonts w:ascii="Arial;sans-serif" w:hAnsi="Arial;sans-serif"/>
            <w:b/>
            <w:i/>
            <w:color w:val="0000FF"/>
            <w:sz w:val="20"/>
            <w:u w:val="single"/>
          </w:rPr>
          <w:t>Risk Factors</w:t>
        </w:r>
      </w:hyperlink>
      <w:r>
        <w:rPr>
          <w:color w:val="000000"/>
        </w:rPr>
        <w:t xml:space="preserve">” </w:t>
      </w:r>
      <w:r>
        <w:rPr>
          <w:rFonts w:ascii="Arial;sans-serif" w:hAnsi="Arial;sans-serif"/>
          <w:b/>
          <w:i/>
          <w:color w:val="000000"/>
          <w:sz w:val="20"/>
        </w:rPr>
        <w:t>contained in this prospectus, our most recent Annual Report on Form 10-K and subsequently filed Quarterly Reports on Form 10-Q incorporated by reference into this prospectus, and any similar section contained in the applicable prospectus supplement and in any free writing prospectuses we have authorized for use in connection with a specific offering, and under similar headings in the other documents that are incorporated by reference into this prospectus or any applicable prospectus supplement.</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This prospectus may not be used to consummate a sale of any securities unless accompanied by a prospectus supplement.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securities may be sold by us or selling security holders, directly to investors, through agents designated from time to time or to or through underwriters or dealers, on a continuous or delayed basis. The supplements to this prospectus will provide the specific terms of the plan of distribution. If any agents, underwriters or dealers are involved in the sale of any securities with respect to which this prospectus is being delivered, the names of such agents, underwriters or dealers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The date of this prospectus is September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TABLE OF CONTENTS</w:t>
      </w:r>
    </w:p>
    <w:tbl>
      <w:tblPr>
        <w:tblW w:w="6721" w:type="dxa"/>
        <w:jc w:val="left"/>
        <w:tblInd w:w="0" w:type="dxa"/>
        <w:tblLayout w:type="fixed"/>
        <w:tblCellMar>
          <w:top w:w="28" w:type="dxa"/>
          <w:left w:w="28" w:type="dxa"/>
          <w:bottom w:w="28" w:type="dxa"/>
          <w:right w:w="28" w:type="dxa"/>
        </w:tblCellMar>
      </w:tblPr>
      <w:tblGrid>
        <w:gridCol w:w="2241"/>
        <w:gridCol w:w="1967"/>
        <w:gridCol w:w="1972"/>
        <w:gridCol w:w="158"/>
        <w:gridCol w:w="158"/>
        <w:gridCol w:w="225"/>
      </w:tblGrid>
      <w:tr>
        <w:trPr/>
        <w:tc>
          <w:tcPr>
            <w:tcW w:w="2241"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618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10">
              <w:r>
                <w:rPr>
                  <w:rStyle w:val="InternetLink"/>
                  <w:rFonts w:ascii="Arial;sans-serif" w:hAnsi="Arial;sans-serif"/>
                  <w:b w:val="false"/>
                  <w:color w:val="0000FF"/>
                  <w:sz w:val="20"/>
                  <w:u w:val="single"/>
                </w:rPr>
                <w:t>ABOUT THIS PROSPECTUS</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10">
              <w:r>
                <w:rPr>
                  <w:rStyle w:val="InternetLink"/>
                  <w:rFonts w:ascii="Arial;sans-serif" w:hAnsi="Arial;sans-serif"/>
                  <w:b w:val="false"/>
                  <w:color w:val="0000FF"/>
                  <w:sz w:val="20"/>
                  <w:u w:val="single"/>
                </w:rPr>
                <w:t>1</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13">
              <w:r>
                <w:rPr>
                  <w:rStyle w:val="InternetLink"/>
                  <w:rFonts w:ascii="Arial;sans-serif" w:hAnsi="Arial;sans-serif"/>
                  <w:b w:val="false"/>
                  <w:color w:val="0000FF"/>
                  <w:sz w:val="20"/>
                  <w:u w:val="single"/>
                </w:rPr>
                <w:t>PROSPECTUS SUMMARY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13">
              <w:r>
                <w:rPr>
                  <w:rStyle w:val="InternetLink"/>
                  <w:rFonts w:ascii="Arial;sans-serif" w:hAnsi="Arial;sans-serif"/>
                  <w:b w:val="false"/>
                  <w:color w:val="0000FF"/>
                  <w:sz w:val="20"/>
                  <w:u w:val="single"/>
                </w:rPr>
                <w:t>3</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16">
              <w:r>
                <w:rPr>
                  <w:rStyle w:val="InternetLink"/>
                  <w:rFonts w:ascii="Arial;sans-serif" w:hAnsi="Arial;sans-serif"/>
                  <w:b w:val="false"/>
                  <w:color w:val="0000FF"/>
                  <w:sz w:val="20"/>
                  <w:u w:val="single"/>
                </w:rPr>
                <w:t>RISK FACTORS</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16">
              <w:r>
                <w:rPr>
                  <w:rStyle w:val="InternetLink"/>
                  <w:rFonts w:ascii="Arial;sans-serif" w:hAnsi="Arial;sans-serif"/>
                  <w:b w:val="false"/>
                  <w:color w:val="0000FF"/>
                  <w:sz w:val="20"/>
                  <w:u w:val="single"/>
                </w:rPr>
                <w:t>7</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19">
              <w:r>
                <w:rPr>
                  <w:rStyle w:val="InternetLink"/>
                  <w:rFonts w:ascii="Arial;sans-serif" w:hAnsi="Arial;sans-serif"/>
                  <w:b w:val="false"/>
                  <w:color w:val="0000FF"/>
                  <w:sz w:val="20"/>
                  <w:u w:val="single"/>
                </w:rPr>
                <w:t>SPECIAL NOTE REGARDING FORWARD-LOOKING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19">
              <w:r>
                <w:rPr>
                  <w:rStyle w:val="InternetLink"/>
                  <w:rFonts w:ascii="Arial;sans-serif" w:hAnsi="Arial;sans-serif"/>
                  <w:b w:val="false"/>
                  <w:color w:val="0000FF"/>
                  <w:sz w:val="20"/>
                  <w:u w:val="single"/>
                </w:rPr>
                <w:t>7</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22">
              <w:r>
                <w:rPr>
                  <w:rStyle w:val="InternetLink"/>
                  <w:rFonts w:ascii="Arial;sans-serif" w:hAnsi="Arial;sans-serif"/>
                  <w:b w:val="false"/>
                  <w:color w:val="0000FF"/>
                  <w:sz w:val="20"/>
                  <w:u w:val="single"/>
                </w:rPr>
                <w:t>USE OF PROCEEDS</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22">
              <w:r>
                <w:rPr>
                  <w:rStyle w:val="InternetLink"/>
                  <w:rFonts w:ascii="Arial;sans-serif" w:hAnsi="Arial;sans-serif"/>
                  <w:b w:val="false"/>
                  <w:color w:val="0000FF"/>
                  <w:sz w:val="20"/>
                  <w:u w:val="single"/>
                </w:rPr>
                <w:t>9</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25">
              <w:r>
                <w:rPr>
                  <w:rStyle w:val="InternetLink"/>
                  <w:rFonts w:ascii="Arial;sans-serif" w:hAnsi="Arial;sans-serif"/>
                  <w:b w:val="false"/>
                  <w:color w:val="0000FF"/>
                  <w:sz w:val="20"/>
                  <w:u w:val="single"/>
                </w:rPr>
                <w:t>DESCRIPTION OF CAPITAL STOCK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25">
              <w:r>
                <w:rPr>
                  <w:rStyle w:val="InternetLink"/>
                  <w:rFonts w:ascii="Arial;sans-serif" w:hAnsi="Arial;sans-serif"/>
                  <w:b w:val="false"/>
                  <w:color w:val="0000FF"/>
                  <w:sz w:val="20"/>
                  <w:u w:val="single"/>
                </w:rPr>
                <w:t>9</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28">
              <w:r>
                <w:rPr>
                  <w:rStyle w:val="InternetLink"/>
                  <w:rFonts w:ascii="Arial;sans-serif" w:hAnsi="Arial;sans-serif"/>
                  <w:b w:val="false"/>
                  <w:color w:val="0000FF"/>
                  <w:sz w:val="20"/>
                  <w:u w:val="single"/>
                </w:rPr>
                <w:t>DESCRIPTION OF DEBT SECURITIES</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28">
              <w:r>
                <w:rPr>
                  <w:rStyle w:val="InternetLink"/>
                  <w:rFonts w:ascii="Arial;sans-serif" w:hAnsi="Arial;sans-serif"/>
                  <w:b w:val="false"/>
                  <w:color w:val="0000FF"/>
                  <w:sz w:val="20"/>
                  <w:u w:val="single"/>
                </w:rPr>
                <w:t>16</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31">
              <w:r>
                <w:rPr>
                  <w:rStyle w:val="InternetLink"/>
                  <w:rFonts w:ascii="Arial;sans-serif" w:hAnsi="Arial;sans-serif"/>
                  <w:b w:val="false"/>
                  <w:color w:val="0000FF"/>
                  <w:sz w:val="20"/>
                  <w:u w:val="single"/>
                </w:rPr>
                <w:t>DESCRIPTION OF WARRANTS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31">
              <w:r>
                <w:rPr>
                  <w:rStyle w:val="InternetLink"/>
                  <w:rFonts w:ascii="Arial;sans-serif" w:hAnsi="Arial;sans-serif"/>
                  <w:b w:val="false"/>
                  <w:color w:val="0000FF"/>
                  <w:sz w:val="20"/>
                  <w:u w:val="single"/>
                </w:rPr>
                <w:t>23</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34">
              <w:r>
                <w:rPr>
                  <w:rStyle w:val="InternetLink"/>
                  <w:rFonts w:ascii="Arial;sans-serif" w:hAnsi="Arial;sans-serif"/>
                  <w:b w:val="false"/>
                  <w:color w:val="0000FF"/>
                  <w:sz w:val="20"/>
                  <w:u w:val="single"/>
                </w:rPr>
                <w:t>LEGAL OWNERSHIP OF SECURITIES</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34">
              <w:r>
                <w:rPr>
                  <w:rStyle w:val="InternetLink"/>
                  <w:rFonts w:ascii="Arial;sans-serif" w:hAnsi="Arial;sans-serif"/>
                  <w:b w:val="false"/>
                  <w:color w:val="0000FF"/>
                  <w:sz w:val="20"/>
                  <w:u w:val="single"/>
                </w:rPr>
                <w:t>26</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37">
              <w:r>
                <w:rPr>
                  <w:rStyle w:val="InternetLink"/>
                  <w:rFonts w:ascii="Arial;sans-serif" w:hAnsi="Arial;sans-serif"/>
                  <w:b w:val="false"/>
                  <w:color w:val="0000FF"/>
                  <w:sz w:val="20"/>
                  <w:u w:val="single"/>
                </w:rPr>
                <w:t>SELLING SECURITYHOLDERS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37">
              <w:r>
                <w:rPr>
                  <w:rStyle w:val="InternetLink"/>
                  <w:rFonts w:ascii="Arial;sans-serif" w:hAnsi="Arial;sans-serif"/>
                  <w:b w:val="false"/>
                  <w:color w:val="0000FF"/>
                  <w:sz w:val="20"/>
                  <w:u w:val="single"/>
                </w:rPr>
                <w:t>29</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40">
              <w:r>
                <w:rPr>
                  <w:rStyle w:val="InternetLink"/>
                  <w:rFonts w:ascii="Arial;sans-serif" w:hAnsi="Arial;sans-serif"/>
                  <w:b w:val="false"/>
                  <w:color w:val="0000FF"/>
                  <w:sz w:val="20"/>
                  <w:u w:val="single"/>
                </w:rPr>
                <w:t>PLAN OF DISTRIBUTION</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40">
              <w:r>
                <w:rPr>
                  <w:rStyle w:val="InternetLink"/>
                  <w:rFonts w:ascii="Arial;sans-serif" w:hAnsi="Arial;sans-serif"/>
                  <w:b w:val="false"/>
                  <w:color w:val="0000FF"/>
                  <w:sz w:val="20"/>
                  <w:u w:val="single"/>
                </w:rPr>
                <w:t>29</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43">
              <w:r>
                <w:rPr>
                  <w:rStyle w:val="InternetLink"/>
                  <w:rFonts w:ascii="Arial;sans-serif" w:hAnsi="Arial;sans-serif"/>
                  <w:b w:val="false"/>
                  <w:color w:val="0000FF"/>
                  <w:sz w:val="20"/>
                  <w:u w:val="single"/>
                </w:rPr>
                <w:t>LEGAL MATTERS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43">
              <w:r>
                <w:rPr>
                  <w:rStyle w:val="InternetLink"/>
                  <w:rFonts w:ascii="Arial;sans-serif" w:hAnsi="Arial;sans-serif"/>
                  <w:b w:val="false"/>
                  <w:color w:val="0000FF"/>
                  <w:sz w:val="20"/>
                  <w:u w:val="single"/>
                </w:rPr>
                <w:t>31</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46">
              <w:r>
                <w:rPr>
                  <w:rStyle w:val="InternetLink"/>
                  <w:rFonts w:ascii="Arial;sans-serif" w:hAnsi="Arial;sans-serif"/>
                  <w:b w:val="false"/>
                  <w:color w:val="0000FF"/>
                  <w:sz w:val="20"/>
                  <w:u w:val="single"/>
                </w:rPr>
                <w:t>EXPERTS</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46">
              <w:r>
                <w:rPr>
                  <w:rStyle w:val="InternetLink"/>
                  <w:rFonts w:ascii="Arial;sans-serif" w:hAnsi="Arial;sans-serif"/>
                  <w:b w:val="false"/>
                  <w:color w:val="0000FF"/>
                  <w:sz w:val="20"/>
                  <w:u w:val="single"/>
                </w:rPr>
                <w:t>31</w:t>
              </w:r>
            </w:hyperlink>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49">
              <w:r>
                <w:rPr>
                  <w:rStyle w:val="InternetLink"/>
                  <w:rFonts w:ascii="Arial;sans-serif" w:hAnsi="Arial;sans-serif"/>
                  <w:b w:val="false"/>
                  <w:color w:val="0000FF"/>
                  <w:sz w:val="20"/>
                  <w:u w:val="single"/>
                </w:rPr>
                <w:t>WHERE YOU CAN FIND MORE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49">
              <w:r>
                <w:rPr>
                  <w:rStyle w:val="InternetLink"/>
                  <w:rFonts w:ascii="Arial;sans-serif" w:hAnsi="Arial;sans-serif"/>
                  <w:b w:val="false"/>
                  <w:color w:val="0000FF"/>
                  <w:sz w:val="20"/>
                  <w:u w:val="single"/>
                </w:rPr>
                <w:t>31</w:t>
              </w:r>
            </w:hyperlink>
          </w:p>
        </w:tc>
      </w:tr>
      <w:tr>
        <w:trPr/>
        <w:tc>
          <w:tcPr>
            <w:tcW w:w="618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cfe8e3fce943dcacf52318a32b5406_52">
              <w:r>
                <w:rPr>
                  <w:rStyle w:val="InternetLink"/>
                  <w:rFonts w:ascii="Arial;sans-serif" w:hAnsi="Arial;sans-serif"/>
                  <w:b w:val="false"/>
                  <w:color w:val="0000FF"/>
                  <w:sz w:val="20"/>
                  <w:u w:val="single"/>
                </w:rPr>
                <w:t>INCORPORATION OF CERTAIN INFORMATION BY REFERENCE</w:t>
              </w:r>
            </w:hyperlink>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pPr>
            <w:hyperlink w:anchor="i81cfe8e3fce943dcacf52318a32b5406_52">
              <w:r>
                <w:rPr>
                  <w:rStyle w:val="InternetLink"/>
                  <w:rFonts w:ascii="Arial;sans-serif" w:hAnsi="Arial;sans-serif"/>
                  <w:b w:val="false"/>
                  <w:color w:val="0000FF"/>
                  <w:sz w:val="20"/>
                  <w:u w:val="single"/>
                </w:rPr>
                <w:t>32</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790"/>
                <wp:effectExtent l="0" t="0" r="0" b="0"/>
                <wp:wrapNone/>
                <wp:docPr id="5" name="Frame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ABOUT THIS PROSPECTUS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This prospectus is part of an automatic registration statement on Form S-3 that we filed with the Securities and Exchange Commission (the SEC), utilizing a “shelf” registration process as a “well-known seasoned issuer,” as defined in Rule 405 under the Securities Act of 1933, as amended. Under this shelf registration statement, we or selling securityholders may, from time to time, offer and sell shares of our Class A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or in any applicable prospectus supplement by reference as described under the section titled “Incorporation of Certain Information by Reference,” before buying any of the securities being offered.</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This prospectus may not be used to consummate a sale of securities unless it is accompanied by a prospectus supplement.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You should rely only on the information contained in, or incorporated by reference into, this prospectus, any related prospectus supplement and in any free writing prospectus that we may authorize for use in connection with an offering. We have not authorized any other person to provide you with different or additional information. If anyone provides you with different or inconsistent information, you should not rely on it. We take no responsibility for, and can provide no assurance as to the reliability of, any other information that others may give you. You should assume that the information appearing in this prospectus, any related prospectus supplement and the documents incorporated by reference into this prospectus, any related prospectus supplement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any related prospectus supplement,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titled “Where You Can Find More Information” and “Incorporation of Certain Information by Reference.”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and the selling securityholders are offering to sell, and seeking offers to buy, our securities only in jurisdictions where offers and sales are permitted. The distribution of this prospectus, any related prospectus supplement and any free writing prospectus we may authorize for use in connection with the offering of our securities in certain jurisdictions may be restricted by law. Persons outside the United </w:t>
      </w:r>
    </w:p>
    <w:p>
      <w:pPr>
        <w:pStyle w:val="TextBody"/>
        <w:bidi w:val="0"/>
        <w:spacing w:before="0" w:after="18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790"/>
                <wp:effectExtent l="0" t="0" r="0" b="0"/>
                <wp:wrapNone/>
                <wp:docPr id="8" name="Frame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States who come into possession of this prospectus, any related prospectus supplement and any free writing prospectus we may authorize must inform themselves about, and observe any restrictions relating to, the offering of our securities and the distribution of this prospectus, any related prospectus supplement and any free writing prospectus we may authorize outside the United States. This prospectus, any related prospectus supplement and any free writing prospectus we may authorize does not constitute, and may not be used in connection with, an offer to sell, or a solicitation of an offer to buy, any securities offered by this prospectus and any related prospectus supplement by any person in any jurisdiction in which it is unlawful for such person to make such an offer or solicitation.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obtained the industry and market data included or incorporated by reference in this prospectus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any related prospectus supplement and documents incorporated by reference into this prospectus and any related prospectus supplement. These and other factors could cause results to differ materially from those expressed in the estimates made by the independent parties and by us.</w:t>
      </w:r>
    </w:p>
    <w:p>
      <w:pPr>
        <w:pStyle w:val="TextBody"/>
        <w:bidi w:val="0"/>
        <w:spacing w:lineRule="auto" w:line="288" w:before="0" w:after="180"/>
        <w:jc w:val="both"/>
        <w:rPr/>
      </w:pPr>
      <w:r>
        <w:rPr>
          <w:rFonts w:ascii="Arial;sans-serif" w:hAnsi="Arial;sans-serif"/>
          <w:b w:val="false"/>
          <w:i/>
          <w:color w:val="000000"/>
          <w:sz w:val="20"/>
        </w:rPr>
        <w:t>Dutch Bros</w:t>
      </w:r>
      <w:r>
        <w:rPr>
          <w:rFonts w:ascii="Arial;sans-serif" w:hAnsi="Arial;sans-serif"/>
          <w:b w:val="false"/>
          <w:color w:val="000000"/>
          <w:sz w:val="20"/>
        </w:rPr>
        <w:t>, our Windmill logo (</w:t>
      </w:r>
      <w:r>
        <w:rPr/>
        <w:drawing>
          <wp:inline distT="0" distB="0" distL="0" distR="0">
            <wp:extent cx="190500" cy="2667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20"/>
        </w:rPr>
        <w:t xml:space="preserve">), </w:t>
      </w:r>
      <w:r>
        <w:rPr>
          <w:rFonts w:ascii="Arial;sans-serif" w:hAnsi="Arial;sans-serif"/>
          <w:b w:val="false"/>
          <w:i/>
          <w:color w:val="000000"/>
          <w:sz w:val="20"/>
        </w:rPr>
        <w:t>Dutch Bros Rebel</w:t>
      </w:r>
      <w:r>
        <w:rPr>
          <w:color w:val="000000"/>
        </w:rPr>
        <w:t xml:space="preserve"> </w:t>
      </w:r>
      <w:r>
        <w:rPr>
          <w:rFonts w:ascii="Arial;sans-serif" w:hAnsi="Arial;sans-serif"/>
          <w:b w:val="false"/>
          <w:color w:val="000000"/>
          <w:sz w:val="20"/>
        </w:rPr>
        <w:t xml:space="preserve">and our other registered and common law trade names, trademarks and service marks are the property of Dutch Bros Inc. </w:t>
      </w:r>
      <w:r>
        <w:rPr>
          <w:rFonts w:ascii="Arial;sans-serif" w:hAnsi="Arial;sans-serif"/>
          <w:b w:val="false"/>
          <w:color w:val="000000"/>
          <w:sz w:val="20"/>
          <w:shd w:fill="FFFFFF" w:val="clear"/>
        </w:rPr>
        <w:t>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the context requires otherwise, references in this prospectus to “Dutch Bros,” the “Company,” “we,” “us” and “our” refer to Dutch Bros Inc. and its consolidated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790"/>
                <wp:effectExtent l="0" t="0" r="0" b="0"/>
                <wp:wrapNone/>
                <wp:docPr id="12" name="Frame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PROSPECTUS SUMMARY</w:t>
      </w:r>
    </w:p>
    <w:p>
      <w:pPr>
        <w:pStyle w:val="TextBody"/>
        <w:bidi w:val="0"/>
        <w:spacing w:lineRule="auto" w:line="288" w:before="0" w:after="180"/>
        <w:jc w:val="both"/>
        <w:rPr>
          <w:rFonts w:ascii="Arial;sans-serif" w:hAnsi="Arial;sans-serif"/>
          <w:b w:val="false"/>
          <w:i/>
          <w:color w:val="000000"/>
          <w:sz w:val="20"/>
          <w:bdr w:val="single" w:sz="8" w:space="36" w:color="000000"/>
        </w:rPr>
      </w:pPr>
      <w:r>
        <w:rPr>
          <w:rFonts w:ascii="Arial;sans-serif" w:hAnsi="Arial;sans-serif"/>
          <w:b w:val="false"/>
          <w:i/>
          <w:color w:val="000000"/>
          <w:sz w:val="20"/>
          <w:bdr w:val="single" w:sz="8" w:space="36" w:color="000000"/>
        </w:rPr>
        <w:t xml:space="preserve">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 titled “Risk Factors” contained in the applicable prospectus supplement and any related free writing prospectus, and under similar headings in the other documents that are incorporated by reference into this prospectus, any applicable prospectus supplement or any free writing prospectus we may authorize. You should also carefully read the information incorporated by reference into this prospectus, any applicable prospectus supplement or any free writing prospectus we may authorize, including our financial statements, and the exhibits to the registration statement of which this prospectus is a part. </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Overview</w:t>
      </w:r>
    </w:p>
    <w:p>
      <w:pPr>
        <w:pStyle w:val="TextBody"/>
        <w:bidi w:val="0"/>
        <w:spacing w:lineRule="auto" w:line="288" w:before="0" w:after="180"/>
        <w:jc w:val="both"/>
        <w:rPr>
          <w:bdr w:val="single" w:sz="8" w:space="36" w:color="000000"/>
        </w:rPr>
      </w:pPr>
      <w:r>
        <w:rPr>
          <w:rFonts w:ascii="Arial;sans-serif" w:hAnsi="Arial;sans-serif"/>
          <w:b w:val="false"/>
          <w:color w:val="000000"/>
          <w:sz w:val="20"/>
          <w:bdr w:val="single" w:sz="8" w:space="36" w:color="000000"/>
        </w:rPr>
        <w:t>Dutch Bros Inc. (NYSE: BROS) is a fun-loving, mind-blowing drive-thru specialty beverage leader dedicated to making a massive difference, one cup at a time. It was founded in Grants Pass, Oregon, in 1992. Dutch Bros serves a wide variety of unique, handcrafted beverages such as its exclusive Dutch Bros Rebel® energy drink, Myst Energy Refresher</w:t>
      </w:r>
      <w:r>
        <w:rPr>
          <w:rFonts w:ascii="Arial;sans-serif" w:hAnsi="Arial;sans-serif"/>
          <w:b w:val="false"/>
          <w:color w:val="000000"/>
          <w:sz w:val="13"/>
          <w:bdr w:val="single" w:sz="8" w:space="36" w:color="000000"/>
        </w:rPr>
        <w:t>TM</w:t>
      </w:r>
      <w:r>
        <w:rPr>
          <w:rFonts w:ascii="Arial;sans-serif" w:hAnsi="Arial;sans-serif"/>
          <w:b w:val="false"/>
          <w:color w:val="000000"/>
          <w:sz w:val="20"/>
          <w:bdr w:val="single" w:sz="8" w:space="36" w:color="000000"/>
        </w:rPr>
        <w:t>, specialty coffee, nitrogen-infused cold brew, tea, lemonade, soda and more.</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Corporate Information</w:t>
      </w:r>
    </w:p>
    <w:p>
      <w:pPr>
        <w:pStyle w:val="TextBody"/>
        <w:bidi w:val="0"/>
        <w:spacing w:lineRule="auto" w:line="288" w:before="0" w:after="180"/>
        <w:jc w:val="both"/>
        <w:rPr>
          <w:rFonts w:ascii="Arial;sans-serif" w:hAnsi="Arial;sans-serif"/>
          <w:b w:val="false"/>
          <w:color w:val="000000"/>
          <w:sz w:val="20"/>
          <w:bdr w:val="single" w:sz="8" w:space="36" w:color="000000"/>
          <w:shd w:fill="FFFFFF" w:val="clear"/>
        </w:rPr>
      </w:pPr>
      <w:r>
        <w:rPr>
          <w:rFonts w:ascii="Arial;sans-serif" w:hAnsi="Arial;sans-serif"/>
          <w:b w:val="false"/>
          <w:color w:val="000000"/>
          <w:sz w:val="20"/>
          <w:bdr w:val="single" w:sz="8" w:space="36" w:color="000000"/>
          <w:shd w:fill="FFFFFF" w:val="clear"/>
        </w:rPr>
        <w:t xml:space="preserve">Dutch Bros Inc. was formed on June 4, 2021 as a Delaware corporation for the purpose of facilitating our initial public offering (IPO) and other related transactions in order to carry on the business of Dutch Mafia, LLC, a Delaware limited liability company and the operating company of Dutch Bros Inc. (Dutch Bros OpCo). Dutch Bros Inc. is the sole managing member of Dutch Bros OpCo and operates and controls all of the business and affairs of Dutch Bros OpCo. </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principal executive offices are located at 1930 W. Rio Salado Pkwy, Tempe, Arizona 85281. Our telephone number is (877) 899-2767. Our website address is http://www.dutchbros.com. Information contained on, or that can be accessed through, our website is not incorporated by reference into this prospectus, and you should not consider information on our website to be part of this prospectus. Our website address is included in this prospectus as an inactive textual reference only.</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The Securities We or the Selling Securityholders May Offer</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or selling securityholders may offer shares of our Class A common stock and preferred stock, various series of debt securities and/or warrants to purchase any of such securities, either individually or in combination with other securities, from time to time in one or more offerings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There is no limit on the aggregate number or amount of securities we or selling securityholders may sell pursuant to the registration statement of which this prospectus is a part.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designation or classification;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aggregate principal amount or aggregate offering price;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maturity date, if applicable;</w:t>
      </w:r>
    </w:p>
    <w:p>
      <w:pPr>
        <w:pStyle w:val="TextBody"/>
        <w:bidi w:val="0"/>
        <w:spacing w:before="0" w:after="18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790"/>
                <wp:effectExtent l="0" t="0" r="0" b="0"/>
                <wp:wrapNone/>
                <wp:docPr id="15" name="Frame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original issue discount,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rates and times of payment of interest or dividends,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redemption, conversion, exercise, exchange or sinking fund terms,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ranking, if applicable;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restrictive covenants,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voting or other rights, if any;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material or special U.S. federal income tax considerations, if any.</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THIS PROSPECTUS MAY NOT BE USED TO CONSUMMATE A SALE OF SECURITIES UNLESS IT IS ACCOMPANIED BY A PROSPECTUS SUPPLEMENT.</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or selling securityholders may sell the securities directly to investors or to or through agents, underwriters or dealers. We and our agents or underwriters reserve the right to accept or reject all or part of any proposed purchase of securities. If we or selling securityholders do offer securities to or through agents or underwriters, we will include in the applicable prospectus supplement: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names of those agents or underwriters;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applicable fees, discounts and commissions to be paid to them;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details regarding options to purchase additional shares or other options, if any;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estimated net proceeds to us, if any.</w:t>
      </w:r>
    </w:p>
    <w:p>
      <w:pPr>
        <w:pStyle w:val="TextBody"/>
        <w:bidi w:val="0"/>
        <w:spacing w:lineRule="auto" w:line="288" w:before="0" w:after="180"/>
        <w:jc w:val="both"/>
        <w:rPr>
          <w:bdr w:val="single" w:sz="8" w:space="36" w:color="000000"/>
        </w:rPr>
      </w:pPr>
      <w:r>
        <w:rPr>
          <w:rFonts w:ascii="Arial;sans-serif" w:hAnsi="Arial;sans-serif"/>
          <w:b w:val="false"/>
          <w:i/>
          <w:color w:val="000000"/>
          <w:sz w:val="20"/>
          <w:bdr w:val="single" w:sz="8" w:space="36" w:color="000000"/>
        </w:rPr>
        <w:t>Class A Common Stock</w:t>
      </w:r>
      <w:r>
        <w:rPr>
          <w:rFonts w:ascii="Arial;sans-serif" w:hAnsi="Arial;sans-serif"/>
          <w:b w:val="false"/>
          <w:color w:val="000000"/>
          <w:sz w:val="20"/>
          <w:bdr w:val="single" w:sz="8" w:space="36" w:color="000000"/>
        </w:rPr>
        <w:t xml:space="preserve">. We may issue, and the selling securityholders may sell, shares of our Class A common stock from time to time. The holders of our Class A common stock are entitled to one vote for each share held of record on all matters submitted to a vote of stockholders. Subject to preferences that may be applicable to any outstanding shares of preferred stock, the holders of Class A common stock and Class D common stock are entitled to receive ratably such dividends as may be declared by our board of directors out of legally available funds. If we pay a dividend or distribution on the Class A common stock then-outstanding, payable in shares of Class A common stock, we also will be required to pay a pro rata and simultaneous dividend or distribution on the Class D common stock then-outstanding, payable in shares of Class D common stock. Similarly, if we pay a dividend or distribution on the Class D common stock then-outstanding, payable in shares of Class D common stock, we also will be required to make a pro rata and simultaneous dividend or distribution on the Class A common stock then-outstanding, payable in shares of Class A common stock. 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D common stock will be entitled to receive pro rata our remaining assets available for distribution. Holders of Class A common stock have no preemptive rights and no right to convert their Class A common stock into any other securities. There are no redemption or sinking fund </w:t>
      </w:r>
    </w:p>
    <w:p>
      <w:pPr>
        <w:pStyle w:val="TextBody"/>
        <w:bidi w:val="0"/>
        <w:spacing w:before="0" w:after="18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790"/>
                <wp:effectExtent l="0" t="0" r="0" b="0"/>
                <wp:wrapNone/>
                <wp:docPr id="18" name="Frame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4</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provisions applicable to our Class A common stock. In this prospectus, we have summarized certain general features of the Class A common stock under the section titled “Description of Capital Stock—Common Stock.” We urge you, however, to read the applicable prospectus supplement (and any related free writing prospectus that we may authorize to be provided to you) related to any Class A common stock being offered.</w:t>
      </w:r>
    </w:p>
    <w:p>
      <w:pPr>
        <w:pStyle w:val="TextBody"/>
        <w:bidi w:val="0"/>
        <w:spacing w:lineRule="auto" w:line="288" w:before="0" w:after="180"/>
        <w:jc w:val="both"/>
        <w:rPr>
          <w:bdr w:val="single" w:sz="8" w:space="36" w:color="000000"/>
        </w:rPr>
      </w:pPr>
      <w:r>
        <w:rPr>
          <w:rFonts w:ascii="Arial;sans-serif" w:hAnsi="Arial;sans-serif"/>
          <w:b w:val="false"/>
          <w:i/>
          <w:color w:val="000000"/>
          <w:sz w:val="20"/>
          <w:bdr w:val="single" w:sz="8" w:space="36" w:color="000000"/>
        </w:rPr>
        <w:t xml:space="preserve">Preferred Stock. </w:t>
      </w:r>
      <w:r>
        <w:rPr>
          <w:rFonts w:ascii="Arial;sans-serif" w:hAnsi="Arial;sans-serif"/>
          <w:b w:val="false"/>
          <w:color w:val="000000"/>
          <w:sz w:val="20"/>
          <w:bdr w:val="single" w:sz="8" w:space="36" w:color="000000"/>
        </w:rPr>
        <w:t>We may issue shares of our preferred stock from time to time, in one or more series, and any selling securityholder may sell such shares from time to time. Under our amended and restated certificate of incorporation (the Restated Certificate), our board of directors has the authority to designate up to 20,000,000 shares of preferred stock in one or more series and determine or alter the designation, rights, preferences, privileges and restrictions granted to or imposed upon any series of preferred stock, any or all of which may be greater than the rights of the Class A common stock. If we sell any new series of preferred stock under this prospectus and any applicable prospectus supplement, our board of directors will determine the designations, voting powers, preferences and rights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Class A common stock or other securities of ours or may be exchangeable for debt securities. Conversion may be mandatory or at your option and would be at prescribed conversion rates.</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If we sell any series of preferred stock under this prospectus and any applicable prospectus supplement,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section titled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lineRule="auto" w:line="288" w:before="0" w:after="180"/>
        <w:jc w:val="both"/>
        <w:rPr>
          <w:bdr w:val="single" w:sz="8" w:space="36" w:color="000000"/>
        </w:rPr>
      </w:pPr>
      <w:r>
        <w:rPr>
          <w:rFonts w:ascii="Arial;sans-serif" w:hAnsi="Arial;sans-serif"/>
          <w:b w:val="false"/>
          <w:i/>
          <w:color w:val="000000"/>
          <w:sz w:val="20"/>
          <w:bdr w:val="single" w:sz="8" w:space="36" w:color="000000"/>
        </w:rPr>
        <w:t xml:space="preserve">Debt Securities. </w:t>
      </w:r>
      <w:r>
        <w:rPr>
          <w:rFonts w:ascii="Arial;sans-serif" w:hAnsi="Arial;sans-serif"/>
          <w:b w:val="false"/>
          <w:color w:val="000000"/>
          <w:sz w:val="20"/>
          <w:bdr w:val="single" w:sz="8" w:space="36" w:color="00000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at your option and would be at prescribed conversion rates or exchange prices.</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Any debt securities issued under this prospectus and any applicable prospectus supplement will be issued under one or more documents called indentures, which are contracts between us and a national banking association or other eligible party, as trustee. In this prospectus, we have summarized certain general features of the debt securities under the section titled “Description of Debt Securities.” We urge you, however, to read the applicable prospectus supplement (and any related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18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790"/>
                <wp:effectExtent l="0" t="0" r="0" b="0"/>
                <wp:wrapNone/>
                <wp:docPr id="21" name="Frame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5</w:t>
                      </w:r>
                    </w:p>
                  </w:txbxContent>
                </v:textbox>
                <w10:wrap type="none"/>
              </v:rect>
            </w:pict>
          </mc:Fallback>
        </mc:AlternateContent>
      </w:r>
    </w:p>
    <w:p>
      <w:pPr>
        <w:pStyle w:val="TextBody"/>
        <w:bidi w:val="0"/>
        <w:spacing w:lineRule="auto" w:line="288" w:before="0" w:after="180"/>
        <w:jc w:val="both"/>
        <w:rPr>
          <w:bdr w:val="single" w:sz="8" w:space="36" w:color="000000"/>
        </w:rPr>
      </w:pPr>
      <w:r>
        <w:rPr>
          <w:rFonts w:ascii="Arial;sans-serif" w:hAnsi="Arial;sans-serif"/>
          <w:b w:val="false"/>
          <w:i/>
          <w:color w:val="000000"/>
          <w:sz w:val="20"/>
          <w:bdr w:val="single" w:sz="8" w:space="36" w:color="000000"/>
        </w:rPr>
        <w:t xml:space="preserve">Warrants. </w:t>
      </w:r>
      <w:r>
        <w:rPr>
          <w:rFonts w:ascii="Arial;sans-serif" w:hAnsi="Arial;sans-serif"/>
          <w:b w:val="false"/>
          <w:color w:val="000000"/>
          <w:sz w:val="20"/>
          <w:bdr w:val="single" w:sz="8" w:space="36" w:color="000000"/>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section titled “Description of Warrants.” We urge you, however, to read the applicable prospectus supplement (and any related free writing prospectus that we may authorize to be provided to you) related to the particular series of warrants being offered, as well as the form of warrant and/or any warrant agreements and warrant certificates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Any warrants issued under this prospectus and any applicable prospectus supplement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Selling Securityholders</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Selling securityholders are persons or entities that, directly or indirectly, have acquired or will from time to time acquire from us, our securities. Information about selling securityholders, if any, will be set forth in a prospectus supplement. See section titled “Selling Securityholders” in this prospectus.</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Use of Proceeds</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Except as described in any applicable prospectus supplement or in any free writing prospectuses we have authorized for use in connection with a specific offering, we currently expect to use the net proceeds from the sale of the securities offered by us hereunder, if any, to purchase that number of Class A common units from Dutch Bros OpCo equal to the number of shares of Class A common stock sold by us pursuant to the applicable offering and that Dutch Bros OpCo intends to use the proceeds it receives from us for such purchase of Class A common units for working capital and general corporate purposes, including repayment of indebtedness and capital expenditures, or for any other purpose we describe in the applicable prospectus supplement. See the section titled “Use of Proceeds” in this prospectus. Unless the applicable prospectus supplement provides otherwise, we will not receive any of the proceeds from the sale of our securities by selling securityholders.</w:t>
      </w:r>
    </w:p>
    <w:p>
      <w:pPr>
        <w:pStyle w:val="TextBody"/>
        <w:bidi w:val="0"/>
        <w:spacing w:lineRule="auto" w:line="288" w:before="0" w:after="180"/>
        <w:jc w:val="left"/>
        <w:rPr>
          <w:rFonts w:ascii="Arial;sans-serif" w:hAnsi="Arial;sans-serif"/>
          <w:b/>
          <w:color w:val="006098"/>
          <w:sz w:val="20"/>
          <w:bdr w:val="single" w:sz="8" w:space="36" w:color="000000"/>
        </w:rPr>
      </w:pPr>
      <w:r>
        <w:rPr>
          <w:rFonts w:ascii="Arial;sans-serif" w:hAnsi="Arial;sans-serif"/>
          <w:b/>
          <w:color w:val="006098"/>
          <w:sz w:val="20"/>
          <w:bdr w:val="single" w:sz="8" w:space="36" w:color="000000"/>
        </w:rPr>
        <w:t>The New York Stock Exchange</w:t>
      </w:r>
    </w:p>
    <w:p>
      <w:pPr>
        <w:pStyle w:val="TextBody"/>
        <w:bidi w:val="0"/>
        <w:spacing w:lineRule="auto" w:line="288" w:before="0" w:after="180"/>
        <w:jc w:val="both"/>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Class A common stock is listed on the New York Stock Exchange under the symbol “BROS.” The applicable prospectus supplement will contain information, where applicable, as to other listings, if any, on The New York Stock Exchange or other securities exchange of the securities covered by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790"/>
                <wp:effectExtent l="0" t="0" r="0" b="0"/>
                <wp:wrapNone/>
                <wp:docPr id="24" name="Frame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6</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RISK FACTORS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any applicable prospectus supplement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securities to decline, resulting in a loss of all or part of your investment. Please also read carefully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SPECIAL NOTE REGARDING FORWARD-LOOKING STATEMENTS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This prospectus and any accompanying prospectus supplement, as well as the documents incorporated by reference in this prospectus, any accompanying prospectus supplement or any free writing prospectus that we may authorize for use in connection with a specific offering, contain “forward-looking statements” within the meaning of Section 27A of the Securities Act of 1933, as amended (the Securities Act), and Section 21E of the Securities Exchange Act of 1934, as amended (the Exchange Act). These statements relate to our future events, including statements regarding our future results of operations or financial condition, business strategy and plans, and objectives of management for future operations. These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effects of inflation, changes in minimum wage, increased interest rates, and an economic downturn, on our business, including on labor rates and supply chain costs, as well as any future pricing actions taken in an effort to mitigate the effects of inflation;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future operating and financial performance, including our expectations to generate positive cash flow in the foreseeable future;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effectively manage and scale our supply chain;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successfully identify and secure appropriate sites and timely develop and expand our operations;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number of new shops we may open;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protect our brand and reputation;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protect against security breaches of confidential customer information;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size of our addressable markets, market share, and market trends;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compete effectively in our industry;</w:t>
      </w: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790"/>
                <wp:effectExtent l="0" t="0" r="0" b="0"/>
                <wp:wrapNone/>
                <wp:docPr id="27" name="Frame1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consumer demand, including tastes and nutritional and dietary trends;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effectively manage the continued growth of our workforce and operations;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open profitable shops;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generate projected same shop sales growth;</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sufficiency of our cash, cash equivalents, and investments to meet our liquidity needs;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maintain good relationships with our franchising partners;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effects of seasonal trends on our results of operations;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attract, retain, and motivate skilled personnel, including key members of our senior management;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vulnerability to adverse weather conditions or natural disasters in local or regional areas where our shops are located;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realization of any benefit from our tax receivables agreements and our organizational structure;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the potential impact of actions we have taken to mitigate the impact of unforeseen circumstances, taxes and tax rates;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our intended use of the net proceeds from offerings of our securities under this prospectus; and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impact of general macroeconomic conditions on our results of operations, supply chain, or liquidity, the potential impact of actions we have taken to mitigate the impact of unforeseen circumstances.</w:t>
      </w:r>
    </w:p>
    <w:p>
      <w:pPr>
        <w:pStyle w:val="TextBody"/>
        <w:bidi w:val="0"/>
        <w:spacing w:lineRule="auto" w:line="288" w:before="0" w:after="180"/>
        <w:jc w:val="both"/>
        <w:rPr/>
      </w:pPr>
      <w:r>
        <w:rPr>
          <w:rFonts w:ascii="Arial;sans-serif" w:hAnsi="Arial;sans-serif"/>
          <w:b w:val="false"/>
          <w:color w:val="000000"/>
          <w:sz w:val="20"/>
        </w:rPr>
        <w:t xml:space="preserve">In some cases, you can identify forward-looking statements by use of future dates or by terms such as: </w:t>
      </w:r>
      <w:r>
        <w:rPr>
          <w:color w:val="000000"/>
          <w:shd w:fill="FFFFFF" w:val="clear"/>
        </w:rPr>
        <w:t>“</w:t>
      </w:r>
      <w:r>
        <w:rPr>
          <w:rFonts w:ascii="Arial;sans-serif" w:hAnsi="Arial;sans-serif"/>
          <w:b w:val="false"/>
          <w:color w:val="000000"/>
          <w:sz w:val="20"/>
          <w:shd w:fill="FFFFFF" w:val="clear"/>
        </w:rPr>
        <w:t>anticipate,” “believe,” “could,” “should,” “estimate,” “expect,” “intend,” “may,” “predict,” “project,” “target,” and similar terms and phrases, including references to assumptions, to identify forward-looking statements</w:t>
      </w:r>
      <w:r>
        <w:rPr>
          <w:rFonts w:ascii="Arial;sans-serif" w:hAnsi="Arial;sans-serif"/>
          <w:b w:val="false"/>
          <w:color w:val="000000"/>
          <w:sz w:val="20"/>
        </w:rPr>
        <w:t>. These statements reflect our current views with respect to future events, are based on assumptions and are subject to risks and uncertainties. Given these assumptions, risks and uncertainties, you should not place undue reliance on these forward-looking statements. We cannot guarantee that any forward-looking statement will be realized. We discuss in greater detail, and incorporate by reference into this prospectus in their entirety, many of these risks and uncertainties under the section titled “Risk Factors” contained in the applicable prospectus supplement, in any free writing prospectus we may authorize for use in connection with a specific offering, and in our most recent Annual Report on Form 10-K and in our most recent Quarterly Report on Form 10-Q, as well as any amendments thereto reflected in subsequent filings with the SEC.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that information provides a reasonable basis for these statements, that </w:t>
      </w: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790"/>
                <wp:effectExtent l="0" t="0" r="0" b="0"/>
                <wp:wrapNone/>
                <wp:docPr id="30" name="Frame1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8</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USE OF PROCEEDS</w:t>
      </w:r>
    </w:p>
    <w:p>
      <w:pPr>
        <w:pStyle w:val="TextBody"/>
        <w:bidi w:val="0"/>
        <w:spacing w:lineRule="auto" w:line="288" w:before="0" w:after="180"/>
        <w:jc w:val="both"/>
        <w:rPr/>
      </w:pPr>
      <w:r>
        <w:rPr>
          <w:rFonts w:ascii="Arial;sans-serif" w:hAnsi="Arial;sans-serif"/>
          <w:b w:val="false"/>
          <w:color w:val="000000"/>
          <w:sz w:val="20"/>
        </w:rPr>
        <w:t xml:space="preserve">Except as described in any applicable prospectus supplement or in any free writing prospectuses we have authorized for use in connection with a specific offering, we currently expect to use the net proceeds from the sale of the securities offered by us hereunder, if any, to purchase that number of Class A common units from Dutch Bros OpCo equal to the number of shares of Class A common stock sold by us pursuant to the applicable offering and that Dutch Bros OpCo intends to use the proceeds it receives from us for such purchase of Class A common units for working capital and general corporate purposes, including </w:t>
      </w:r>
      <w:r>
        <w:rPr>
          <w:rFonts w:ascii="Arial;sans-serif" w:hAnsi="Arial;sans-serif"/>
          <w:b w:val="false"/>
          <w:color w:val="000000"/>
          <w:sz w:val="20"/>
          <w:shd w:fill="FFFFFF" w:val="clear"/>
        </w:rPr>
        <w:t xml:space="preserve">repayment of indebtedness and </w:t>
      </w:r>
      <w:r>
        <w:rPr>
          <w:rFonts w:ascii="Arial;sans-serif" w:hAnsi="Arial;sans-serif"/>
          <w:b w:val="false"/>
          <w:color w:val="000000"/>
          <w:sz w:val="20"/>
        </w:rPr>
        <w:t>capital expenditures, or for any other purpose we describe in the applicable prospectus supplement. Additional information on the use of net proceeds we receive from the sale of securities covered by this prospectus may be set forth in the prospectus supplement or any free writing prospectus that we may authorize relating to the specific offering.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the applicable prospectus supplement provides otherwise, we will not receive any of the proceeds from the sale of our securities by selling securityholders.</w:t>
      </w:r>
    </w:p>
    <w:p>
      <w:pPr>
        <w:pStyle w:val="TextBody"/>
        <w:bidi w:val="0"/>
        <w:spacing w:lineRule="auto" w:line="288" w:before="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bear the out-of-pocket costs, expenses and fees incurred in connection with the registration of the shares to be sold by the selling stockholders pursuant to this prospectus. Other than registration expenses, the selling stockholders will bear underwriting discounts, commissions, placement agent fees or other similar expenses payable with respect to sales of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DESCRIPTION OF CAPITAL STOCK</w:t>
      </w:r>
    </w:p>
    <w:p>
      <w:pPr>
        <w:pStyle w:val="TextBody"/>
        <w:bidi w:val="0"/>
        <w:spacing w:lineRule="auto" w:line="288" w:before="0" w:after="180"/>
        <w:jc w:val="both"/>
        <w:rPr/>
      </w:pPr>
      <w:r>
        <w:rPr>
          <w:rFonts w:ascii="Arial;sans-serif" w:hAnsi="Arial;sans-serif"/>
          <w:b w:val="false"/>
          <w:color w:val="000000"/>
          <w:sz w:val="20"/>
        </w:rPr>
        <w:t xml:space="preserve">Under “Description of Capital Stock,” “we,” “us,” “our,” the “Company” and “our Company” refer to Dutch Bros Inc. and not to any of its subsidiaries. </w:t>
      </w:r>
      <w:r>
        <w:rPr>
          <w:rFonts w:ascii="Arial;sans-serif" w:hAnsi="Arial;sans-serif"/>
          <w:b w:val="false"/>
          <w:color w:val="000000"/>
          <w:sz w:val="20"/>
          <w:shd w:fill="FFFFFF" w:val="clear"/>
        </w:rPr>
        <w:t>This information may not be complete in all respects and is qualified entirely by reference to the provisions of the Restated Certificate and our amended and restated bylaws (Bylaws), and the General Corporation Law of the State of Delaware. For information on how to obtain copies of the Restated Certificate and our Bylaws, which are exhibits to the registration statement of which this prospectus forms a part, see the section titled “Where You Can Find More Information.”</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General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June 30, 2026, our authorized capital stock consists of 711,000,000 shares, of which:</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400,000,000 shares are designated Class A common stock, par value $0.00001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144,000,000 shares are designated Class B common stock, par value $0.00001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105,000,000 shares are designated Class C common stock, par value $0.00001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42,000,000 shares are designated Class D common stock, par value $0.00001 per share;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20,000,000 shares are undesignated preferred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June 30, 2026, only our Class A common stock was registered under Section 12 of the Exchange Act.</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Common Stock</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Voting Rights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holders of our common stock do not have cumulative voting rights in the election of directors. Generally, all matters to be voted on by stockholders must be approved by a majority of the votes entitled </w:t>
      </w:r>
    </w:p>
    <w:p>
      <w:pPr>
        <w:pStyle w:val="TextBody"/>
        <w:bidi w:val="0"/>
        <w:spacing w:before="0" w:after="18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790"/>
                <wp:effectExtent l="0" t="0" r="0" b="0"/>
                <wp:wrapNone/>
                <wp:docPr id="33" name="Frame1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9</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to be cast by all holders of our common stock present in person or represented by proxy, voting together as a single class.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Except as otherwise provided by law, amendments to the Restated Certificate must be approved by a majority of the outstanding voting power of the common stock, voting together as a single class. Additionally, except as otherwise provided by law, amendments or waivers of the provisions of the Restated Certificate that affect holders of the Class B common stock, Class C common stock and Class D common stock in a manner that is adverse and disproportionate to any other class of common stock must be approved by a majority of the outstanding shares of the impacted class of common stock. </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Holders of shares of our Class A common stock are entitled to one vote for each share held of record on all matters on which stockholders are entitled to vote generally, including the election or removal of directors. </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B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Holders of shares of our Class B common stock are entitled to ten votes for each share held of record on all matters on which stockholders are entitled to vote generally, including the election or removal of directors.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voting power afforded to the holders of Class B common stock will automatically be reduced to one vote per share pursuant to certain provisions of the Restated Certificate when the aggregate number of outstanding shares of our Class B common stock no longer represent at least 5% of the aggregate number of our outstanding shares of common stock, upon the occurrence of certain transfers of Class B common stock or upon the death or incapacity of the Founder (as defined in the Restated Certificate), provided that the number of votes per share of Class B common stock may also be adjusted from time to time in accordance with Restated Certificate, as required to prevent the holders of Class B common stock from holding, in the aggregate, 80% or more of our aggregate voting power at any time. </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C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Holders of shares of our Class C common stock are entitled to one vote for each share held of record on all matters on which stockholders are entitled to vote generally, including the election or removal of directors.</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D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Holders of shares of our Class D common stock are entitled to one vote for each share held of record on all matters on which stockholders are entitled to vote generally, including the election or removal of directors.</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Rights and Preferences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No shares of common stock have preemptive rights to purchase additional shares of any class of common stock. Except as set forth below in “Common Stock—Conversion and Transfer Restrictions,” holders of shares of any class of common stock do not have subscription, redemption or conversion rights. There will be no redemption or sinking fund provisions applicable to any class of common stock.</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Dividends and Other Distributions</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A Common Stock and Class D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Holders of shares of our Class A common stock and Class D common stock are entitled to receive dividends pro rata on an equal priority, pari passu basis as and if declared by our board of directors out of funds legally available therefor, subject to any statutory or contractual restrictions on the payment of </w:t>
      </w:r>
    </w:p>
    <w:p>
      <w:pPr>
        <w:pStyle w:val="TextBody"/>
        <w:bidi w:val="0"/>
        <w:spacing w:before="0" w:after="18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790"/>
                <wp:effectExtent l="0" t="0" r="0" b="0"/>
                <wp:wrapNone/>
                <wp:docPr id="36" name="Frame1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10</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dividends and to the rights of the holders of one or more outstanding series of our preferred stock. If we pay a dividend or distribution on the Class A common stock then-outstanding, payable in shares of Class A common stock, we also will be required to pay a pro rata dividend or distribution on equal priority on the Class D common stock then-outstanding, payable in shares of Class D common stock. Similarly, if we pay a dividend or distribution on the Class D common stock then-outstanding, payable in shares of Class D common stock, we also will be required to make a pro rata dividend or distribution on an equal priority on the Class A common stock then-outstanding, payable in shares of 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the event of our liquidation, dissolution or winding up, subject to the distributions required with respect to any series of preferred stock that may then be outstanding, our remaining assets legally available for distribution to stockholders shall be distributed on an equal priority, pro rata basis to the holders of Class A common stock and Class D common stock, unless different treatment is approved by the majority of the voting power of the outstanding shares of Class A common stock and Class D common stock.</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B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Holders of our Class B common stock do not have any right to receive dividends or to receive a distribution upon a liquidation, dissolution or winding up of Dutch Bros. Certain shares of Class B common stock are paired with a Class A common unit held by a member of Dutch Bros OpCo affiliated with the Founder and certain affiliated entities over which he maintains voting control (the Founder Affiliates). Subject to the terms of the Fifth LLC Agreement, holders of Class B common stock may elect to have Dutch Bros OpCo redeem and/or exchange their Class A common units for shares of Class A common stock on a one-for-one basis or, in certain circumstances a corresponding amount of cash, in either case, contributed to Dutch Bros OpCo by Dutch Bros, unless Dutch Bros. elects, in its sole discretion, to effect such transaction as a direct exchange with such holder of Class B common stock. Upon any such redemption or exchange of paired Class A common units, the corresponding shares of paired Class B common stock will be surrendered and immediately canceled. </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C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Holders of our Class C common stock do not have any right to receive dividends or to receive a distribution upon a liquidation, dissolution or winding up of Dutch Bros. Certain shares of Class C common stock are paired with a Class A common unit held by a member of Dutch Bros OpCo affiliated with our TSG Consumer Partners, L.P. and certain of its affiliates (our Sponsor). Subject to the terms of the Fifth LLC Agreement, holders of Class C common stock may elect to have Dutch Bros OpCo redeem and/or exchange their Class A common units for shares of Class A common stock on a one-for-one basis or, in certain circumstances, a corresponding amount of cash, in either case, contributed to Dutch Bros OpCo by Dutch Bros, unless Dutch Bros elects, in its sole discretion, to effect such transaction as a direct exchange with such holder of Class C common stock. Upon any such redemption or exchange of paired Class A common units, the corresponding shares of paired Class C common stock will be surrendered and immediately canceled.</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Conversion and Transfer Restrictions</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Class A common stock is not convertible. </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B Common Stock and Class C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To the extent that any holder of Class B common stock or Class C common stock exercises its right pursuant to the Fifth LLC Agreement to have its Class A common units redeemed and/or exchanged by Dutch Bros OpCo, then simultaneous with the payment of cash by Dutch Bros OpCo (in the case of redemption) and/or issuance of shares Class A common stock by Dutch Bros, pursuant to the terms of the Fifth LLC Agreement, Dutch Bros shall cancel for no consideration a corresponding number of shares of paired Class B common stock or paired Class C common stock, as applicable, registered in the name of </w:t>
      </w:r>
    </w:p>
    <w:p>
      <w:pPr>
        <w:pStyle w:val="TextBody"/>
        <w:bidi w:val="0"/>
        <w:spacing w:before="0" w:after="18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790"/>
                <wp:effectExtent l="0" t="0" r="0" b="0"/>
                <wp:wrapNone/>
                <wp:docPr id="39" name="Frame1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11</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exchanging holder equal to the number of such holder’s paired Class A common units that are redeemed or exchanged in such transaction.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Shares of paired Class B common stock and Class C common stock are not transferable except together with the transfer of an identical number of paired Class A common units made to the permitted transferee of such paired Class A common units made in compliance with the Fifth LLC Agreement.</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Class D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outstanding shares of Class D common stock are convertible at the option of the holder into shares of Class A common stock on a one-for-one basis. All shares of Class D common stock were converted into an equal number of shares of Class A common stock in June 2024. Following such conversion into Class A common stock, no shares of Class D common stock will be reissued.</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Preferred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Restated Certificate authorizes our board of directors to,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any class of our common stock.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board of directors will determine the rights, preferences, privileges and restrictions of each series of the preferred stock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title and stated value;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number of shares we are offering;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liquidation preference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purchase price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dividend rate per share, dividend period and payment dates and method of calculation for dividends;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dividends will be cumulative or non-cumulative and, if cumulative, the date from which dividends will accumulate;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right, if any, to defer payment of dividends and the maximum length of any such deferral period;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procedures for any auction and remarketing,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provisions for a sinking fund, if any;</w:t>
      </w:r>
    </w:p>
    <w:p>
      <w:pPr>
        <w:pStyle w:val="TextBody"/>
        <w:bidi w:val="0"/>
        <w:spacing w:before="0" w:after="18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790"/>
                <wp:effectExtent l="0" t="0" r="0" b="0"/>
                <wp:wrapNone/>
                <wp:docPr id="42" name="Frame1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provisions for redemption or repurchase, if applicable, and any restrictions on our ability to exercise those redemption and repurchase rights;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listing of the preferred stock on any securities exchange or market;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the preferred stock will be exchangeable for debt securities, and, if applicable, the exchange period, the exchange price, or how it will be calculated, and under what circumstances it may be adjusted;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voting rights, if any, of the preferred stock;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preemption rights,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restrictions on transfer, sale or other assignment,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 discussion of any material U.S. federal income tax considerations applicable to purchasing, holding or disposing of the preferred stock;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relative ranking and preferences of the preferred stock as to dividend rights and rights if we liquidate, dissolve or wind up our affairs;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limitations on issuances of any class or series of preferred stock ranking senior to or on a parity with the series of any other specific terms, rights, preferences, privileges, qualifications or restrictions of the preferred stock;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other specific terms, rights, preferences, privileges, qualifications or restrictions of the preferred stock.</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Voting Rights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Delaware General Corporation Law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Rights and Preferences; Dividends and Other Distributions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Unless we specify otherwise in the applicable prospectus supplement, the preferred stock will rank, with respect to dividends and upon our liquidation, dissolution or winding up:</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senior to all classes or series of our common stock and to all of our equity securities ranking junior to the preferred stock;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on a parity with all of our equity securities the terms of which specifically provide that the equity securities rank on a parity with the preferred stock;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junior to all of our equity securities the terms of which specifically provide that the equity securities rank senior to the preferred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term “equity securities” does not include convertible debt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issuance of our preferred stock could adversely affect the voting power of holders of our common stock and the likelihood that such holders would receive dividend payments and payments upon </w:t>
      </w:r>
    </w:p>
    <w:p>
      <w:pPr>
        <w:pStyle w:val="TextBody"/>
        <w:bidi w:val="0"/>
        <w:spacing w:before="0" w:after="18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790"/>
                <wp:effectExtent l="0" t="0" r="0" b="0"/>
                <wp:wrapNone/>
                <wp:docPr id="45" name="Frame1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13</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liquidation. In addition, the issuance of preferred stock could have the effect of delaying, deferring or preventing a change of control or other corporate action.</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Anti-Takeover Provisions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Some provisions of the DGCL, our Restated Certificate and our Bylaws contain provisions that could make the following transactions more difficult: (1) an acquisition of us by means of a tender offer; (2) an acquisition of us by means of a proxy contest or otherwise; (3)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These provisions are intended to preserve our pre-IPO control structure, facilitate our continued shop expansion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and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Multi-Class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described above in “Common Stock—Voting Rights,” our Restated Certificate establishes a multi-class common stock structure, which provides our Founder and Sponsor with significant influence over all matters requiring stockholder approval, including the election of directors and significant corporate transactions, such as a merger or other sale of our company or our assets.</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No Cumulative Voting; Action by Written Consent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Because our stockholders do not have cumulative voting rights, stockholders holding a majority of the voting power of our shares of all classes of common stock are able to elect all our members of our board of directors.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Restated Certificate also provides that any action required or permitted to be taken at any annual or special meeting of stockholders of the corporation may be taken without a meeting, without prior notice and without a vote only to the extent permitted by applicable law.</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 xml:space="preserve">Election of Directors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holders of a majority of the voting power of the then-outstanding capital stock entitled to vote in an election of directors, voting together as a single class, shall be entitled to elect all remaining members of the board of directors at each meeting or pursuant to each stockholder action by written consent of the Company’s stockholders.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Requirements for Advance Notification of Stockholder Nominations and Proposals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Bylaws establish advance notice procedures with respect to stockholder proposals to be brought before a stockholder meeting and the nomination of candidates for election as directors, other than </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790"/>
                <wp:effectExtent l="0" t="0" r="0" b="0"/>
                <wp:wrapNone/>
                <wp:docPr id="48" name="Frame1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5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8"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14</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nominations made by or at the direction of the board of directors, a committee of the board of directors or pursuant to the rights of that holders of Class C common stock had to elect a director.</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Stockholder Meetings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Bylaws provide that a special meeting of stockholders may be called only by the chairperson of the board of directors, our Chief Executive Officer or a majority of the directors currently serving on the board of directors (but in no event less than one-third of the total authorized number of directors).</w:t>
      </w:r>
    </w:p>
    <w:p>
      <w:pPr>
        <w:pStyle w:val="TextBody"/>
        <w:bidi w:val="0"/>
        <w:spacing w:lineRule="auto" w:line="288" w:before="0" w:after="180"/>
        <w:jc w:val="left"/>
        <w:rPr>
          <w:rFonts w:ascii="Arial;sans-serif" w:hAnsi="Arial;sans-serif"/>
          <w:b/>
          <w:i/>
          <w:color w:val="006098"/>
          <w:sz w:val="20"/>
        </w:rPr>
      </w:pPr>
      <w:r>
        <w:rPr>
          <w:rFonts w:ascii="Arial;sans-serif" w:hAnsi="Arial;sans-serif"/>
          <w:b/>
          <w:i/>
          <w:color w:val="006098"/>
          <w:sz w:val="20"/>
        </w:rPr>
        <w:t>Preferred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issuance of preferred stock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 xml:space="preserve">Section 203 of the Delaware General Corporation Law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subject to the provisions of Section 203 of the DGCL, which prohibits a publicly held Delaware corporation from engaging in a “business combination” with persons deemed to be “interested stockholders”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lineRule="auto" w:line="288" w:before="0" w:after="180"/>
        <w:jc w:val="left"/>
        <w:rPr>
          <w:rFonts w:ascii="Arial;sans-serif" w:hAnsi="Arial;sans-serif"/>
          <w:b w:val="false"/>
          <w:i/>
          <w:color w:val="006098"/>
          <w:sz w:val="20"/>
        </w:rPr>
      </w:pPr>
      <w:r>
        <w:rPr>
          <w:rFonts w:ascii="Arial;sans-serif" w:hAnsi="Arial;sans-serif"/>
          <w:b w:val="false"/>
          <w:i/>
          <w:color w:val="006098"/>
          <w:sz w:val="20"/>
        </w:rPr>
        <w:t>Choice of Forum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Restated Certificate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our behalf; (B) any claim or cause of action for breach of a fiduciary duty owed by any of our current or former directors, officers or other employees to us or our stockholders; (C) any claim or cause of action against us or any of our current or former directors, officers or other employees arising out of or pursuant to any provision of the DGCL, Restated Certificate or Bylaws (as each may be amended from time to time); (D) any claim or cause of action seeking to interpret, apply, enforce or determine the validity of our Restated Certificate or Bylaws (as each may be amended from time to time, including any right, obligation or remedy thereunder); (E) any claim or cause of action as to which the DGCL confers jurisdiction on the Court of Chancery of the State of Delaware; and (F) any claim or cause of action against us or any of our current or former directors, officers or other employees governed by the internal-affairs doctrine or otherwise related to our internal affairs, in all cases to the fullest extent permitted by law and subject to the court having personal jurisdiction over the indispensable parties named as defendants; provided, that, this Delaware forum provision set forth in our Restated Certificate shall not apply to claims or causes of action brought to enforce a duty or liability created by the Securities Act or the Exchange Act, or any other claim for which the federal courts have exclusive jurisdiction.</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790"/>
                <wp:effectExtent l="0" t="0" r="0" b="0"/>
                <wp:wrapNone/>
                <wp:docPr id="51" name="Frame1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9"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15</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Further, our Restated Certificate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our Restated Certificate provides that any person or entity holding, owning or otherwise acquiring any interest in any of our securities shall be deemed to have notice of and consented to these provisions.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Corporate Opportunities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Restated Certificate provides that we renounce any interest or expectancy in the business opportunities of our Sponsor and of its officers, directors, agents, stockholders, members, partners, affiliates and subsidiaries and that each such party shall not have any obligation to offer us those opportunities unless presented to one of our directors or officers in his or her capacity as a director or officer.</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Exchange Listing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Class A common stock is listed on the New York Stock Exchange under the symbol “BROS.”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Transfer Agent and Registrar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transfer agent and registrar for our common stock is Equiniti Trust Company, LLC. The transfer agent’s address is 28 Liberty Street, Floor 53, New York, New York 10005 and the telephone number is (718) 921-8200.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DESCRIPTION OF DEBT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or any applicable free writing prospectus we may authorize.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790"/>
                <wp:effectExtent l="0" t="0" r="0" b="0"/>
                <wp:wrapNone/>
                <wp:docPr id="54" name="Frame1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5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0"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16</w:t>
                      </w:r>
                    </w:p>
                  </w:txbxContent>
                </v:textbox>
                <w10:wrap type="none"/>
              </v:rect>
            </w:pict>
          </mc:Fallback>
        </mc:AlternateConten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General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describe in the applicable prospectus supplement the terms of the series of debt securities being offered, including: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title of the series of debt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limit upon the aggregate principal amount that may be issued;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maturity date or dates;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form of the debt securities of the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applicability of any guarantees;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or not the debt securities will be secured or unsecured, and the terms of any secured debt;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the debt securities rank as senior debt, senior subordinated debt, subordinated debt or any combination thereof, and the terms of any subordination;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right, if any, to defer payment of interest and the maximum length of any such deferral period;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denominations in which we will issue the series of debt securities, if other than denominations of $1,000 and any integral multiple thereof;</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790"/>
                <wp:effectExtent l="0" t="0" r="0" b="0"/>
                <wp:wrapNone/>
                <wp:docPr id="57" name="Frame2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5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1"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the debt securities of the series shall be issued in whole or in part in the form of a global security or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terms and conditions, if any, upon which such global security or securities may be exchanged in whole or in part for other individual securities, and the depositary for such global security or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other than the full principal amount thereof, the portion of the principal amount of debt securities of the series which shall be payable upon declaration of acceleration of the maturity thereof;</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additions to or changes in the covenants applicable to the particular debt securities being issued, including, among others, the consolidation, merger or sale covenant;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additions to or changes in or deletions of the provisions relating to covenant defeasance and legal defeasance;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additions to or changes in the provisions relating to satisfaction and discharge of the indenture;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additions to or changes in the provisions relating to the modification of the indenture both with and without the consent of holders of debt securities issued under the indenture;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currency of payment of debt securities if other than U.S. dollars and the manner of determining the equivalent amount in U.S. dollars;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interest will be payable in cash or additional debt securities at our or the holders’ option and the terms and conditions upon which the election may be made;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terms and conditions, if any, upon which we will pay amounts in addition to the stated interest, premium, if any and principal amounts of the debt securities of the series to any holder that is not a “United States person” for federal income tax purposes;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 discussion of any material U.S. federal income tax considerations applicable to the debt securities of the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restrictions on transfer, sale or assignment of the debt securities of the series;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790"/>
                <wp:effectExtent l="0" t="0" r="0" b="0"/>
                <wp:wrapNone/>
                <wp:docPr id="60" name="Frame2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18</w:t>
                      </w:r>
                    </w:p>
                  </w:txbxContent>
                </v:textbox>
                <w10:wrap type="none"/>
              </v:rect>
            </w:pict>
          </mc:Fallback>
        </mc:AlternateConten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Conversion or Exchange Rights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Consolidation, Merger or Sale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Events of Default under the Indenture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specified events of bankruptcy, insolvency or reorganization occur.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holders of a majority in principal amount of the outstanding debt securities of an affected series may waive any default or event of default with respect to the series and its consequences, except defaults or </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790"/>
                <wp:effectExtent l="0" t="0" r="0" b="0"/>
                <wp:wrapNone/>
                <wp:docPr id="63" name="Frame2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6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19</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events of default regarding payment of principal, premium, if any, or interest, unless we have cured the default or event of default in accordance with the indenture. Any waiver shall cure the default or event of default.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direction so given by the holder is not in conflict with any law or the applicable indenture;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holder of the debt securities of any series will have the right to institute a proceeding under the indenture or to appoint a receiver or trustee, or to seek other remedies only if:</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holder has given written notice to the trustee of a continuing event of default with respect to that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holders of at least 25% in aggregate principal amount of the outstanding debt securities of that series have made written request;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such holders have offered to the trustee indemnity satisfactory to it against the costs, expenses and liabilities to be incurred by the trustee in compliance with the request;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These limitations do not apply to a suit instituted by a holder of debt securities if we default in the payment of the principal, premium, if any, or interest on the debt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periodically file statements with the trustee regarding our compliance with specified covenants in the indenture.</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Modification of Indenture; Waiver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and the trustee may change an indenture without the consent of any holders with respect to specific matters: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cure any ambiguity, defect or inconsistency in the indenture or in the debt securities of any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comply with the provisions described above under the section titled “Description of Debt Securities—Consolidation, Merger or Sale;”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provide for uncertificated debt securities in addition to or in place of certificated debt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790"/>
                <wp:effectExtent l="0" t="0" r="0" b="0"/>
                <wp:wrapNone/>
                <wp:docPr id="66" name="Frame2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6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4"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make any change that does not adversely affect the interests of any holder of debt securities of any series in any material respect;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provide for the issuance of and establish the form and terms and conditions of the debt securities of any series as provided above under the section titled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evidence and provide for the acceptance of appointment under any indenture by a successor trustee;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to comply with any requirements of the SEC in connection with the qualification of any indenture under the Trust Indenture Act.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extending the fixed maturity of any debt securities of any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reducing the percentage of debt securities, the holders of which are required to consent to any amendment, supplement, modification or waiver.</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Discharge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Each indenture provides that we can elect to be discharged from our obligations with respect to one or more series of debt securities, except for specified obligations, including obligations to:</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provide for payment;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register the transfer or exchange of debt securities of the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replace stolen, lost or mutilated debt securities of the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pay principal of and premium and interest on any debt securities of the series;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maintain paying agencies;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hold monies for payment in trust;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recover excess money held by the trustee;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compensate and indemnify the trustee;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appoint any successor trustee.</w:t>
      </w: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1790"/>
                <wp:effectExtent l="0" t="0" r="0" b="0"/>
                <wp:wrapNone/>
                <wp:docPr id="69" name="Frame2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7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5"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21</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Form, Exchange and Transfer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If we elect to redeem the debt securities of any series, we will not be required to:</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register the transfer of or exchange any debt securities so selected for redemption, in whole or in part, except the unredeemed portion of any debt securities we are redeeming in part.</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Information Concerning the Trustee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790"/>
                <wp:effectExtent l="0" t="0" r="0" b="0"/>
                <wp:wrapNone/>
                <wp:docPr id="72" name="Frame2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22</w:t>
                      </w:r>
                    </w:p>
                  </w:txbxContent>
                </v:textbox>
                <w10:wrap type="none"/>
              </v:rect>
            </w:pict>
          </mc:Fallback>
        </mc:AlternateConten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Payment and Paying Agents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Governing Law</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indenture and the debt securities will be governed by and construed in accordance with the internal laws of the State of New York, except to the extent that the Trust Indenture Act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DESCRIPTION OF WARRANTS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or any applicable free writing prospectus we may authorize.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prospectuses, and the complete form of warrant and/or the warrant agreement and warrant certificate, as applicable, and any supplemental agreements, that contain the terms of the warrants.</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790"/>
                <wp:effectExtent l="0" t="0" r="0" b="0"/>
                <wp:wrapNone/>
                <wp:docPr id="75" name="Frame2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7"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23</w:t>
                      </w:r>
                    </w:p>
                  </w:txbxContent>
                </v:textbox>
                <w10:wrap type="none"/>
              </v:rect>
            </w:pict>
          </mc:Fallback>
        </mc:AlternateConten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General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describe in the applicable prospectus supplement the terms of the series of warrants being offered, including: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title of such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offering price or prices and aggregate number of warrants offered;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currency for which the warrants may be purchased;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applicable, the date on and after which the warrants and the related securities will be separately transferable;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applicable, the minimum or maximum amount of such warrants which may be exercised at any one time;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 of any merger, consolidation, sale or other disposition of our business on the warrant agreements and the warrants;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terms of any rights to redeem or call the warrants;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terms of any rights to force the exercise of the warrants;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provisions for changes to or adjustments in the exercise price or number of securities issuable upon exercise of the warrants;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dates on which the right to exercise the warrants will commence and expire;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manner in which the warrant agreements and warrants may be modified;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 discussion of any material or special U.S. federal income tax considerations of holding or exercising the warrants;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terms of the securities issuable upon exercise of the warrants;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other specific terms, preferences, rights or limitations of or restrictions on the warrants.</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790"/>
                <wp:effectExtent l="0" t="0" r="0" b="0"/>
                <wp:wrapNone/>
                <wp:docPr id="78" name="Frame2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8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24</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Before exercising their warrants, holders of warrants will not have any of the rights of holders of the securities purchasable upon such exercise, including: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 the case of warrants to purchase Class A common stock or preferred stock, the right to receive dividends, if any, or, payments upon our liquidation, dissolution or winding up or to exercise voting rights, if any.</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Exercise of Warrants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If we so indicate in the applicable prospectus supplement or free writing prospectus, holders of the warrants may surrender securities as all or part of the exercise price for warrants.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Governing Law</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we otherwise specify in the applicable prospectus supplement, the warrants and any warrant agreements will be governed by and construed in accordance with the laws of the State of New York.</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Enforceability of Rights by Holders of Warrants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790"/>
                <wp:effectExtent l="0" t="0" r="0" b="0"/>
                <wp:wrapNone/>
                <wp:docPr id="81" name="Frame2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8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9"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25</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LEGAL OWNERSHIP OF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Book-Entry 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Street Name 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Legal 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790"/>
                <wp:effectExtent l="0" t="0" r="0" b="0"/>
                <wp:wrapNone/>
                <wp:docPr id="84" name="Frame2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8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0"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26</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For example, once we make a payment or give a notice to the legal holder, we have no further responsibility for the payment or notice even if that legal holder is required, under agreements with depositary participants or customers or by law, to pass it along to the indirect holders but does not do so. Similarly, we may want to obtain the approval of the legal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holders is up to the legal holders.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Special Considerations for Indirect 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If you hold securities through a bank, broker or other financial institution, either in book-entry form or in street name, you should check with your own institution to find out: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performance of third party service providers;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how it handles securities payments and notices;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it imposes fees or charges;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how it would handle a request for the holders’ consent, if ever required;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whether and how you can instruct it to send you securities registered in your own name so you can be a holder, if that is permitted in the future;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how it would exercise rights under the securities if there were a default or other event triggering the need for holders to act to protect their interests;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the securities are in book-entry form, how the depositary’s rules and procedures will affect these matters.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Global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790"/>
                <wp:effectExtent l="0" t="0" r="0" b="0"/>
                <wp:wrapNone/>
                <wp:docPr id="87" name="Frame3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8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1"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8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1"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27</w:t>
                      </w:r>
                    </w:p>
                  </w:txbxContent>
                </v:textbox>
                <w10:wrap type="none"/>
              </v:rect>
            </w:pict>
          </mc:Fallback>
        </mc:AlternateConten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Special Considerations for Global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If securities are issued only in the form of a global security, an investor should be aware of the following: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depositary’s policies, which may change from time to time, will govern payments, transfers, exchanges and other matters relating to an investor’s interest in a global security;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we and any applicable trustee have no responsibility for any aspect of the depositary’s actions or for its records of ownership interests in a global security, nor do we or any applicable trustee supervise the depositary in any way;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securities.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There may be more than one financial intermediary in the chain of ownership for an investor. We do not monitor and are not responsible for the actions of any of those intermediaries.</w:t>
      </w: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Special Situations When a Global Security Will Be Terminated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brokers or other financial institutions to find out how to have their interests in securities transferred to their own name, so that they will be direct holders. We have described the rights of holders and street name investors above.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we provide otherwise in the applicable prospectus supplement or free writing prospectus, the global security will terminate when the following special situations occur: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the depositary notifies us that it is unwilling, unable or no longer qualified to continue as depositary for that global security;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we notify any applicable trustee that we wish to terminate that global security; or</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790"/>
                <wp:effectExtent l="0" t="0" r="0" b="0"/>
                <wp:wrapNone/>
                <wp:docPr id="90" name="Frame3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9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2"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28</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SELLING SECURITYHOLDERS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 in a post-effective amendment or in other filings we make with the SEC under the Exchange Act that are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PLAN OF DISTRIBUTION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or the selling securityholders may sell the securities from time to time pursuant to underwritten public offerings, direct sales to the public, “at-the-market” offerings, negotiated transactions, block trades or a combination of these methods. A distribution of these securities offered by this prospectus may also be effected through the issuance of derivative securities, including without limitation, warrants. We or the selling securityholders may sell the securities to or through one or more underwriters or dealers, through agents, or directly (acting as principal or agent), to one or more purchasers or through a combination of any of these methods of sale. We or the selling securityholders may distribute securities from time to time in one or more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at a fixed price or prices, which may be changed;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at negotiated prices.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name or names of the underwriters dealers or agents,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name or names of the selling securityholders, if 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purchase price of the securities or other consideration therefor, and the proceeds, if any, we will receive from the sale;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options to purchase additional shares or other options under which underwriters may purchase additional securities from us or any selling securityholders;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public offering price;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discounts or concessions allowed or reallowed or paid to dealers; and</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790"/>
                <wp:effectExtent l="0" t="0" r="0" b="0"/>
                <wp:wrapNone/>
                <wp:docPr id="93" name="Frame3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9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29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any securities exchange or market on which the securities may be listed.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or selling securityholders may use underwriters, dealers or agents with whom we have a material relationship. We will describe in the prospectus supplement, naming the underwriter, dealer or agent and the nature of any such relationship.</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or the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our agent will act on a best-efforts basis for the period of its appointment.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or the selling securityholders may authorize underwriters, dealers or agents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or the selling securityholders may provide underwriters, dealers or agents with indemnification against civil liabilities, including liabilities under the Securities Act, or contribution with respect to payments that the underwriters, dealers or agents may make with respect to these liabilities. Agents and underwriters, dealers or agents or their affiliates may engage in transactions with, or perform services for, us in the ordinary course of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Selling securityholders may be deemed to be underwriters under the Securities Act in connection with the securities they resell and any profits on the sales may be deemed to be underwriting discounts and commissions under the Securities Act.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Class A common stock, which is listed on The New York Stock Exchange.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790"/>
                <wp:effectExtent l="0" t="0" r="0" b="0"/>
                <wp:wrapNone/>
                <wp:docPr id="96" name="Frame3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9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4"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30</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underwriter may be granted an option to purchase additional shares and may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underwriters, dealers or agents that are qualified market makers on The New York Stock Exchange may engage in passive market making transactions in the Class A common stock on The New York Stock Exchange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any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LEGAL MATTERS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otherwise indicated in the applicable prospectus supplement, Cooley LLP will pass upon certain legal matters in connection with this offering and the validity of the securities offered by this prospectus, and any supplement thereto.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EXPERTS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consolidated financial statements of the Company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WHERE YOU CAN FIND MORE INFORMATION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This prospectus is part of the registration statement on Form S-3 that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790"/>
                <wp:effectExtent l="0" t="0" r="0" b="0"/>
                <wp:wrapNone/>
                <wp:docPr id="99" name="Frame3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1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5"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31</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INCORPORATION OF CERTAIN INFORMATION BY REFERENCE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SEC allows us to incorporate by reference information into this prospectus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001-40798):</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our Annual Report on Form 10-K for the year ended December 31, 2025, filed with the SEC on </w:t>
      </w:r>
      <w:hyperlink r:id="rId69">
        <w:r>
          <w:rPr>
            <w:rStyle w:val="InternetLink"/>
            <w:rFonts w:ascii="Arial;sans-serif" w:hAnsi="Arial;sans-serif"/>
            <w:b w:val="false"/>
            <w:color w:val="0000FF"/>
            <w:sz w:val="20"/>
            <w:u w:val="single"/>
          </w:rPr>
          <w:t>February 13, 2026</w:t>
        </w:r>
      </w:hyperlink>
      <w:r>
        <w:rPr>
          <w:color w:val="000000"/>
        </w:rPr>
        <w:t xml:space="preserve"> </w:t>
      </w:r>
      <w:r>
        <w:rPr>
          <w:rFonts w:ascii="Arial;sans-serif" w:hAnsi="Arial;sans-serif"/>
          <w:b w:val="false"/>
          <w:color w:val="000000"/>
          <w:sz w:val="20"/>
        </w:rPr>
        <w:t>(the Form 10-K);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the information specifically incorporated by reference into the Form 10-K from our definitive proxy statement on Schedule 14A, which was filed with the SEC on </w:t>
      </w:r>
      <w:hyperlink r:id="rId70">
        <w:r>
          <w:rPr>
            <w:rStyle w:val="InternetLink"/>
            <w:rFonts w:ascii="Arial;sans-serif" w:hAnsi="Arial;sans-serif"/>
            <w:b w:val="false"/>
            <w:color w:val="0000FF"/>
            <w:sz w:val="20"/>
            <w:u w:val="single"/>
          </w:rPr>
          <w:t>March 31, 2026</w:t>
        </w:r>
      </w:hyperlink>
      <w:r>
        <w:rPr>
          <w:rFonts w:ascii="Arial;sans-serif" w:hAnsi="Arial;sans-serif"/>
          <w:b w:val="false"/>
          <w:color w:val="000000"/>
          <w:sz w:val="20"/>
        </w:rPr>
        <w: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our Quarterly Reports on Form 10-Q for the quarters ended March 31, 2026 and June 30, 2026, filed with the SEC on </w:t>
      </w:r>
      <w:hyperlink r:id="rId71">
        <w:r>
          <w:rPr>
            <w:rStyle w:val="InternetLink"/>
            <w:rFonts w:ascii="Arial;sans-serif" w:hAnsi="Arial;sans-serif"/>
            <w:b w:val="false"/>
            <w:color w:val="0000FF"/>
            <w:sz w:val="20"/>
            <w:u w:val="single"/>
          </w:rPr>
          <w:t>May 6, 2026</w:t>
        </w:r>
      </w:hyperlink>
      <w:r>
        <w:rPr>
          <w:color w:val="000000"/>
        </w:rPr>
        <w:t xml:space="preserve"> </w:t>
      </w:r>
      <w:r>
        <w:rPr>
          <w:rFonts w:ascii="Arial;sans-serif" w:hAnsi="Arial;sans-serif"/>
          <w:b w:val="false"/>
          <w:color w:val="000000"/>
          <w:sz w:val="20"/>
        </w:rPr>
        <w:t xml:space="preserve">and </w:t>
      </w:r>
      <w:hyperlink r:id="rId72">
        <w:r>
          <w:rPr>
            <w:rStyle w:val="InternetLink"/>
          </w:rPr>
          <w:t xml:space="preserve">August </w:t>
        </w:r>
      </w:hyperlink>
      <w:hyperlink r:id="rId73">
        <w:r>
          <w:rPr>
            <w:rStyle w:val="InternetLink"/>
          </w:rPr>
          <w:t>6</w:t>
        </w:r>
      </w:hyperlink>
      <w:hyperlink r:id="rId74">
        <w:r>
          <w:rPr>
            <w:rStyle w:val="InternetLink"/>
          </w:rPr>
          <w:t>, 2026</w:t>
        </w:r>
      </w:hyperlink>
      <w:r>
        <w:rPr>
          <w:rFonts w:ascii="Arial;sans-serif" w:hAnsi="Arial;sans-serif"/>
          <w:b w:val="false"/>
          <w:color w:val="000000"/>
          <w:sz w:val="20"/>
        </w:rPr>
        <w:t>, respectively;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our Current Reports on Form 8-K filed with the SEC on </w:t>
      </w:r>
      <w:hyperlink r:id="rId75">
        <w:r>
          <w:rPr>
            <w:rStyle w:val="InternetLink"/>
          </w:rPr>
          <w:t xml:space="preserve">May </w:t>
        </w:r>
      </w:hyperlink>
      <w:hyperlink r:id="rId76">
        <w:r>
          <w:rPr>
            <w:rStyle w:val="InternetLink"/>
          </w:rPr>
          <w:t>15</w:t>
        </w:r>
      </w:hyperlink>
      <w:hyperlink r:id="rId77">
        <w:r>
          <w:rPr>
            <w:rStyle w:val="InternetLink"/>
          </w:rPr>
          <w:t xml:space="preserve">, </w:t>
        </w:r>
      </w:hyperlink>
      <w:hyperlink r:id="rId78">
        <w:r>
          <w:rPr>
            <w:rStyle w:val="InternetLink"/>
          </w:rPr>
          <w:t>2026</w:t>
        </w:r>
      </w:hyperlink>
      <w:r>
        <w:rPr>
          <w:color w:val="000000"/>
        </w:rPr>
        <w:t xml:space="preserve"> </w:t>
      </w:r>
      <w:r>
        <w:rPr>
          <w:rFonts w:ascii="Arial;sans-serif" w:hAnsi="Arial;sans-serif"/>
          <w:b w:val="false"/>
          <w:color w:val="000000"/>
          <w:sz w:val="20"/>
        </w:rPr>
        <w:t xml:space="preserve">(as amended, </w:t>
      </w:r>
      <w:hyperlink r:id="rId79">
        <w:r>
          <w:rPr>
            <w:rStyle w:val="InternetLink"/>
            <w:rFonts w:ascii="Arial;sans-serif" w:hAnsi="Arial;sans-serif"/>
            <w:b w:val="false"/>
            <w:color w:val="0000FF"/>
            <w:sz w:val="20"/>
            <w:u w:val="single"/>
          </w:rPr>
          <w:t>May 19, 2026</w:t>
        </w:r>
      </w:hyperlink>
      <w:r>
        <w:rPr>
          <w:rFonts w:ascii="Arial;sans-serif" w:hAnsi="Arial;sans-serif"/>
          <w:b w:val="false"/>
          <w:color w:val="000000"/>
          <w:sz w:val="20"/>
        </w:rPr>
        <w:t xml:space="preserve">) and </w:t>
      </w:r>
      <w:hyperlink r:id="rId80">
        <w:r>
          <w:rPr>
            <w:rStyle w:val="InternetLink"/>
            <w:rFonts w:ascii="Arial;sans-serif" w:hAnsi="Arial;sans-serif"/>
            <w:b w:val="false"/>
            <w:color w:val="0000FF"/>
            <w:sz w:val="20"/>
            <w:u w:val="single"/>
          </w:rPr>
          <w:t>August 5, 2026</w:t>
        </w:r>
      </w:hyperlink>
      <w:r>
        <w:rPr>
          <w:color w:val="000000"/>
        </w:rPr>
        <w:t xml:space="preserve"> </w:t>
      </w:r>
      <w:r>
        <w:rPr>
          <w:rFonts w:ascii="Arial;sans-serif" w:hAnsi="Arial;sans-serif"/>
          <w:b w:val="false"/>
          <w:color w:val="000000"/>
          <w:sz w:val="20"/>
        </w:rPr>
        <w:t>(other than the information furnished under Item 2.02 or Item 7.01 in such filing);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the description of our Class A common stock set forth in our registration statement on </w:t>
      </w:r>
      <w:hyperlink r:id="rId81">
        <w:r>
          <w:rPr>
            <w:rStyle w:val="InternetLink"/>
            <w:rFonts w:ascii="Arial;sans-serif" w:hAnsi="Arial;sans-serif"/>
            <w:b w:val="false"/>
            <w:color w:val="0000FF"/>
            <w:sz w:val="20"/>
            <w:u w:val="single"/>
          </w:rPr>
          <w:t>Form 8-A</w:t>
        </w:r>
      </w:hyperlink>
      <w:r>
        <w:rPr>
          <w:rFonts w:ascii="Arial;sans-serif" w:hAnsi="Arial;sans-serif"/>
          <w:b w:val="false"/>
          <w:color w:val="000000"/>
          <w:sz w:val="20"/>
        </w:rPr>
        <w:t xml:space="preserve">, filed with the SEC on September 10, 2021, as the description therein has been updated and superseded by the description of our capital stock contained in </w:t>
      </w:r>
      <w:hyperlink r:id="rId82">
        <w:r>
          <w:rPr>
            <w:rStyle w:val="InternetLink"/>
            <w:rFonts w:ascii="Arial;sans-serif" w:hAnsi="Arial;sans-serif"/>
            <w:b w:val="false"/>
            <w:color w:val="0000FF"/>
            <w:sz w:val="20"/>
            <w:u w:val="single"/>
          </w:rPr>
          <w:t>Exhibit 4.2</w:t>
        </w:r>
      </w:hyperlink>
      <w:r>
        <w:rPr>
          <w:color w:val="000000"/>
        </w:rPr>
        <w:t xml:space="preserve"> </w:t>
      </w:r>
      <w:r>
        <w:rPr>
          <w:rFonts w:ascii="Arial;sans-serif" w:hAnsi="Arial;sans-serif"/>
          <w:b w:val="false"/>
          <w:color w:val="000000"/>
          <w:sz w:val="20"/>
        </w:rPr>
        <w:t>to the Form 10-K, and including any amendments and reports filed for the purpose of updating such description.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DUTCH BROS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Attn: Chief Financial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1930 W Rio Salado Pkwy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Tempe, Arizona 85281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(877) 899-2767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790"/>
                <wp:effectExtent l="0" t="0" r="0" b="0"/>
                <wp:wrapNone/>
                <wp:docPr id="102" name="Frame3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333" w:before="0" w:after="0"/>
                              <w:jc w:val="right"/>
                              <w:rPr/>
                            </w:pPr>
                            <w:r>
                              <w:rPr/>
                              <w:drawing>
                                <wp:inline distT="0" distB="0" distL="0" distR="0">
                                  <wp:extent cx="190500" cy="266700"/>
                                  <wp:effectExtent l="0" t="0" r="0" b="0"/>
                                  <wp:docPr id="10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6"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pPr>
                      <w:r>
                        <w:rPr/>
                        <w:drawing>
                          <wp:inline distT="0" distB="0" distL="0" distR="0">
                            <wp:extent cx="190500" cy="266700"/>
                            <wp:effectExtent l="0" t="0" r="0" b="0"/>
                            <wp:docPr id="10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6"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32</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PART II</w: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INFORMATION NOT REQUIRED IN THE PROSPECTUS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Item 14. Other Expenses of Issuance and Distribution.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sets forth an estimate of the fees and expenses, other than the underwriting discounts and commissions, payable by the registrant in connection with the issuance and distribution of the securities being registered. All the amounts shown are estimates.</w:t>
      </w:r>
    </w:p>
    <w:tbl>
      <w:tblPr>
        <w:tblW w:w="5026" w:type="dxa"/>
        <w:jc w:val="left"/>
        <w:tblInd w:w="0" w:type="dxa"/>
        <w:tblLayout w:type="fixed"/>
        <w:tblCellMar>
          <w:top w:w="28" w:type="dxa"/>
          <w:left w:w="28" w:type="dxa"/>
          <w:bottom w:w="28" w:type="dxa"/>
          <w:right w:w="28" w:type="dxa"/>
        </w:tblCellMar>
      </w:tblPr>
      <w:tblGrid>
        <w:gridCol w:w="1531"/>
        <w:gridCol w:w="1347"/>
        <w:gridCol w:w="1352"/>
        <w:gridCol w:w="264"/>
        <w:gridCol w:w="339"/>
        <w:gridCol w:w="193"/>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4230" w:type="dxa"/>
            <w:gridSpan w:val="3"/>
            <w:tcBorders/>
            <w:shd w:fill="D2DCE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SEC registration fee</w:t>
            </w:r>
          </w:p>
        </w:tc>
        <w:tc>
          <w:tcPr>
            <w:tcW w:w="264"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3"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New York Stock Exchange listing fee</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FINRA filing fee</w:t>
            </w:r>
          </w:p>
        </w:tc>
        <w:tc>
          <w:tcPr>
            <w:tcW w:w="6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D2DC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fees and expenses</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fees and expenses</w:t>
            </w:r>
          </w:p>
        </w:tc>
        <w:tc>
          <w:tcPr>
            <w:tcW w:w="6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D2DC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 agent and registrar fees and expenses</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Printing and miscellaneous fees and expenses</w:t>
            </w:r>
          </w:p>
        </w:tc>
        <w:tc>
          <w:tcPr>
            <w:tcW w:w="6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In accordance with Rules 456(b) and 457(r), the Registrant is deferring payment of all applicable registration fees for the securities offered by this prospectus.</w:t>
      </w:r>
    </w:p>
    <w:p>
      <w:pPr>
        <w:pStyle w:val="TextBody"/>
        <w:bidi w:val="0"/>
        <w:spacing w:lineRule="auto" w:line="288" w:before="0" w:after="180"/>
        <w:ind w:left="0" w:right="0" w:hanging="360"/>
        <w:jc w:val="left"/>
        <w:rPr/>
      </w:pPr>
      <w:r>
        <w:rPr>
          <w:rFonts w:ascii="Arial;sans-serif" w:hAnsi="Arial;sans-serif"/>
          <w:b w:val="false"/>
          <w:color w:val="000000"/>
          <w:sz w:val="10"/>
        </w:rPr>
        <w:t>(2)</w:t>
      </w:r>
      <w:r>
        <w:rPr>
          <w:rFonts w:ascii="Arial;sans-serif" w:hAnsi="Arial;sans-serif"/>
          <w:b w:val="false"/>
          <w:color w:val="000000"/>
          <w:sz w:val="16"/>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Item 15. Indemnification of Directors and Officers.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Restated Certificate permits indemnification of our directors, officers, employees and other agents to the maximum extent permitted by the DGCL, and our Bylaws provide that we will indemnify our directors and executive officers and permit us to indemnify our other officers, employees and other agents, in each case to the maximum extent permitted by the DGCL.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Dutch Bros Inc., provided that such director or executive officer acted in good faith and in a manner that the director or executive officer reasonably believed to be in, or not opposed to, the best interest of Dutch Bros Inc. At present, there is no pending litigation or proceeding involving a director or executive officer of Dutch Bros Inc. regarding which indemnification is sought, nor is the registrant aware of any threatened litigation that may result in claims for indemnification.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maintain insurance policies that indemnify our directors and officers against various liabilities arising under the Securities Act and the Exchange Act that might be incurred by any director or officer in his capacity as such.</w:t>
      </w:r>
    </w:p>
    <w:p>
      <w:pPr>
        <w:pStyle w:val="TextBody"/>
        <w:bidi w:val="0"/>
        <w:spacing w:before="0" w:after="18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790"/>
                <wp:effectExtent l="0" t="0" r="0" b="0"/>
                <wp:wrapNone/>
                <wp:docPr id="105" name="Frame3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10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7"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10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7"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II-1</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underwriters will be obligated, under certain circumstances, pursuant to any underwriting agreements we enter into in connection with the sale of any securities being registered hereby, to indemnify us and our officers and directors against certain liabilities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6098"/>
          <w:sz w:val="20"/>
        </w:rPr>
      </w:pPr>
      <w:r>
        <w:rPr>
          <w:rFonts w:ascii="Arial;sans-serif" w:hAnsi="Arial;sans-serif"/>
          <w:b/>
          <w:color w:val="006098"/>
          <w:sz w:val="20"/>
        </w:rPr>
        <w:t>Item 16. Exhibits</w: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EXHIBIT INDEX</w:t>
      </w:r>
    </w:p>
    <w:tbl>
      <w:tblPr>
        <w:tblW w:w="10205"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1246"/>
        <w:gridCol w:w="971"/>
        <w:gridCol w:w="980"/>
        <w:gridCol w:w="109"/>
        <w:gridCol w:w="109"/>
        <w:gridCol w:w="109"/>
        <w:gridCol w:w="179"/>
        <w:gridCol w:w="179"/>
        <w:gridCol w:w="181"/>
        <w:gridCol w:w="109"/>
        <w:gridCol w:w="109"/>
        <w:gridCol w:w="109"/>
        <w:gridCol w:w="341"/>
        <w:gridCol w:w="265"/>
        <w:gridCol w:w="205"/>
        <w:gridCol w:w="109"/>
        <w:gridCol w:w="109"/>
        <w:gridCol w:w="109"/>
        <w:gridCol w:w="220"/>
        <w:gridCol w:w="220"/>
        <w:gridCol w:w="221"/>
        <w:gridCol w:w="109"/>
        <w:gridCol w:w="109"/>
        <w:gridCol w:w="109"/>
        <w:gridCol w:w="403"/>
        <w:gridCol w:w="403"/>
        <w:gridCol w:w="408"/>
        <w:gridCol w:w="109"/>
        <w:gridCol w:w="109"/>
        <w:gridCol w:w="109"/>
        <w:gridCol w:w="275"/>
        <w:gridCol w:w="275"/>
        <w:gridCol w:w="401"/>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Underwriting Agreement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Arial;sans-serif" w:hAnsi="Arial;sans-serif"/>
                  <w:b w:val="false"/>
                  <w:color w:val="0000FF"/>
                  <w:sz w:val="20"/>
                  <w:u w:val="single"/>
                </w:rPr>
                <w:t>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001-40798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FF"/>
                  <w:sz w:val="20"/>
                  <w:u w:val="single"/>
                </w:rPr>
                <w:t>Amended and Restated Bylaws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001-40798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Reference is made to Exhibits 3.1 and 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FF"/>
                  <w:sz w:val="20"/>
                  <w:u w:val="single"/>
                </w:rPr>
                <w:t>Form of Class A Common Stock Certificate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333-258988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Specimen Preferred Stock Certificate and Form of Certificate of Designation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w:anchor="exhibit44-sx3asrsept2026.htm">
              <w:r>
                <w:rPr>
                  <w:rStyle w:val="InternetLink"/>
                  <w:rFonts w:ascii="Arial;sans-serif" w:hAnsi="Arial;sans-serif"/>
                  <w:b w:val="false"/>
                  <w:color w:val="0000FF"/>
                  <w:sz w:val="20"/>
                  <w:u w:val="single"/>
                </w:rPr>
                <w:t>Form of Debt Indenture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w:anchor="exhibit46-sx3asrsept2026.htm">
              <w:r>
                <w:rPr>
                  <w:rStyle w:val="InternetLink"/>
                  <w:rFonts w:ascii="Arial;sans-serif" w:hAnsi="Arial;sans-serif"/>
                  <w:b w:val="false"/>
                  <w:color w:val="0000FF"/>
                  <w:sz w:val="20"/>
                  <w:u w:val="single"/>
                </w:rPr>
                <w:t>Form of Class A Common Stock Warrant Agreement and Warrant Certificate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47-sx3asrsept2026.htm">
              <w:r>
                <w:rPr>
                  <w:rStyle w:val="InternetLink"/>
                  <w:rFonts w:ascii="Arial;sans-serif" w:hAnsi="Arial;sans-serif"/>
                  <w:b w:val="false"/>
                  <w:color w:val="0000FF"/>
                  <w:sz w:val="20"/>
                  <w:u w:val="single"/>
                </w:rPr>
                <w:t>Form of Preferred Stock Warrant Agreement and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w:anchor="exhibit48-sx3asrsept2026.htm">
              <w:r>
                <w:rPr>
                  <w:rStyle w:val="InternetLink"/>
                  <w:rFonts w:ascii="Arial;sans-serif" w:hAnsi="Arial;sans-serif"/>
                  <w:b w:val="false"/>
                  <w:color w:val="0000FF"/>
                  <w:sz w:val="20"/>
                  <w:u w:val="single"/>
                </w:rPr>
                <w:t>Form of Debt Securities Warrant Agreement and Warrant Certificate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Arial;sans-serif" w:hAnsi="Arial;sans-serif"/>
                  <w:b w:val="false"/>
                  <w:color w:val="0000FF"/>
                  <w:sz w:val="20"/>
                  <w:u w:val="single"/>
                </w:rPr>
                <w:t>Fifth Amended and Restated Limited Liability Company Agreement of Dutch Mafia, LLC, dated February 7,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001-40798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Arial;sans-serif" w:hAnsi="Arial;sans-serif"/>
                  <w:b w:val="false"/>
                  <w:color w:val="0000FF"/>
                  <w:sz w:val="20"/>
                  <w:u w:val="single"/>
                </w:rPr>
                <w:t>Tax Receivable Agreement (Reorganization), dated September 14, 2021</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001-40798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Arial;sans-serif" w:hAnsi="Arial;sans-serif"/>
                  <w:b w:val="false"/>
                  <w:color w:val="0000FF"/>
                  <w:sz w:val="20"/>
                  <w:u w:val="single"/>
                </w:rPr>
                <w:t>Tax Receivable Agreement (Exchanges), dated September 14,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001-40798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w:anchor="exhibit51-sx3asrsept2026.htm">
              <w:r>
                <w:rPr>
                  <w:rStyle w:val="InternetLink"/>
                  <w:rFonts w:ascii="Arial;sans-serif" w:hAnsi="Arial;sans-serif"/>
                  <w:b w:val="false"/>
                  <w:color w:val="0000FF"/>
                  <w:sz w:val="20"/>
                  <w:u w:val="single"/>
                </w:rPr>
                <w:t>Opinion of Cooley LLP</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1-sx3asrsept2026.htm">
              <w:r>
                <w:rPr>
                  <w:rStyle w:val="InternetLink"/>
                  <w:rFonts w:ascii="Arial;sans-serif" w:hAnsi="Arial;sans-serif"/>
                  <w:b w:val="false"/>
                  <w:color w:val="0000FF"/>
                  <w:sz w:val="20"/>
                  <w:u w:val="single"/>
                </w:rPr>
                <w:t>Consent of KPMG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left"/>
              <w:rPr/>
            </w:pPr>
            <w:hyperlink w:anchor="exhibit51-sx3asrsept2026.htm">
              <w:r>
                <w:rPr>
                  <w:rStyle w:val="InternetLink"/>
                  <w:rFonts w:ascii="Arial;sans-serif" w:hAnsi="Arial;sans-serif"/>
                  <w:b w:val="false"/>
                  <w:color w:val="0000FF"/>
                  <w:sz w:val="20"/>
                  <w:u w:val="single"/>
                </w:rPr>
                <w:t>Consent of Cooley LLP (see Exhibit 5.1)</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1cfe8e3fce943dcacf52318a32b5406_70">
              <w:r>
                <w:rPr>
                  <w:rStyle w:val="InternetLink"/>
                  <w:rFonts w:ascii="Arial;sans-serif" w:hAnsi="Arial;sans-serif"/>
                  <w:b w:val="false"/>
                  <w:color w:val="0000FF"/>
                  <w:sz w:val="20"/>
                  <w:u w:val="single"/>
                </w:rPr>
                <w:t xml:space="preserve">Power of Attorney (see signature page)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25.1</w:t>
            </w:r>
            <w:r>
              <w:rPr>
                <w:rFonts w:ascii="Arial;sans-serif" w:hAnsi="Arial;sans-serif"/>
                <w:b w:val="false"/>
                <w:color w:val="000000"/>
                <w:sz w:val="13"/>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Statement of Eligibility of Trustee under the Debt Indenture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ros92exfilingfees.htm">
              <w:r>
                <w:rPr>
                  <w:rStyle w:val="InternetLink"/>
                  <w:rFonts w:ascii="Arial;sans-serif" w:hAnsi="Arial;sans-serif"/>
                  <w:b w:val="false"/>
                  <w:color w:val="0000FF"/>
                  <w:sz w:val="20"/>
                  <w:u w:val="single"/>
                </w:rPr>
                <w:t>Filing Fee Table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790"/>
                <wp:effectExtent l="0" t="0" r="0" b="0"/>
                <wp:wrapNone/>
                <wp:docPr id="108" name="Frame3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10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8"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11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8"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II-2</w:t>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*To be filed by amendment or as an exhibit to a Current Report on Form 8-K and incorporated herein by reference, if applicable.</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+To be filed in accordance with the requirements of Section 305(b)(2) of the Trust Indenture Act of 1939, as amended, and the applicable rules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098"/>
          <w:sz w:val="20"/>
        </w:rPr>
      </w:pPr>
      <w:r>
        <w:rPr>
          <w:rFonts w:ascii="Arial;sans-serif" w:hAnsi="Arial;sans-serif"/>
          <w:b/>
          <w:color w:val="006098"/>
          <w:sz w:val="20"/>
        </w:rPr>
        <w:t>Item 17. Undertakings.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undersigned registrant hereby undertakes:</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(i)to include any prospectus required by Section 10(a)(3) of the Securities Act;</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both"/>
        <w:rPr/>
      </w:pPr>
      <w:r>
        <w:rPr>
          <w:rFonts w:ascii="Arial;sans-serif" w:hAnsi="Arial;sans-serif"/>
          <w:b w:val="false"/>
          <w:i/>
          <w:color w:val="000000"/>
          <w:sz w:val="20"/>
        </w:rPr>
        <w:t xml:space="preserve">provided, however, </w:t>
      </w:r>
      <w:r>
        <w:rPr>
          <w:rFonts w:ascii="Arial;sans-serif" w:hAnsi="Arial;sans-serif"/>
          <w:b w:val="false"/>
          <w:color w:val="000000"/>
          <w:sz w:val="20"/>
        </w:rPr>
        <w:t>that paragraphs (1)(i), (1)(ii) and (1)(iii)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0" w:after="180"/>
        <w:ind w:left="0" w:right="0" w:hanging="360"/>
        <w:jc w:val="both"/>
        <w:rPr/>
      </w:pPr>
      <w:r>
        <w:rPr>
          <w:rFonts w:ascii="Arial;sans-serif" w:hAnsi="Arial;sans-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sans-serif" w:hAnsi="Arial;sans-serif"/>
          <w:b w:val="false"/>
          <w:i/>
          <w:color w:val="000000"/>
          <w:sz w:val="20"/>
        </w:rPr>
        <w:t>bona fide</w:t>
      </w:r>
      <w:r>
        <w:rPr>
          <w:color w:val="000000"/>
        </w:rPr>
        <w:t xml:space="preserve"> </w:t>
      </w:r>
      <w:r>
        <w:rPr>
          <w:rFonts w:ascii="Arial;sans-serif" w:hAnsi="Arial;sans-serif"/>
          <w:b w:val="false"/>
          <w:color w:val="000000"/>
          <w:sz w:val="20"/>
        </w:rPr>
        <w:t>offering thereof.</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(4)That, for the purpose of determining liability under the Securities Act to any purchaser:</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w:t>
      </w:r>
    </w:p>
    <w:p>
      <w:pPr>
        <w:pStyle w:val="TextBody"/>
        <w:bidi w:val="0"/>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790"/>
                <wp:effectExtent l="0" t="0" r="0" b="0"/>
                <wp:wrapNone/>
                <wp:docPr id="111" name="Frame3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11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9"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11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9"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II-3</w:t>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0"/>
        </w:rPr>
        <w:t xml:space="preserve">relates, and the offering of such securities at that time shall be deemed to be the initial bona fide offering thereof. </w:t>
      </w:r>
      <w:r>
        <w:rPr>
          <w:rFonts w:ascii="Arial;sans-serif" w:hAnsi="Arial;sans-serif"/>
          <w:b w:val="false"/>
          <w:i/>
          <w:color w:val="000000"/>
          <w:sz w:val="20"/>
        </w:rPr>
        <w:t>Provided, however,</w:t>
      </w:r>
      <w:r>
        <w:rPr>
          <w:color w:val="000000"/>
        </w:rPr>
        <w:t xml:space="preserve"> </w:t>
      </w:r>
      <w:r>
        <w:rPr>
          <w:rFonts w:ascii="Arial;sans-serif" w:hAnsi="Arial;sans-serif"/>
          <w:b w:val="false"/>
          <w:color w:val="000000"/>
          <w:sz w:val="20"/>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both"/>
        <w:rPr/>
      </w:pPr>
      <w:r>
        <w:rPr>
          <w:rFonts w:ascii="Arial;sans-serif" w:hAnsi="Arial;sans-serif"/>
          <w:b w:val="false"/>
          <w:color w:val="000000"/>
          <w:sz w:val="20"/>
        </w:rPr>
        <w:t xml:space="preserve">(6)That, for the purpose of determining any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sans-serif" w:hAnsi="Arial;sans-serif"/>
          <w:b w:val="false"/>
          <w:i/>
          <w:color w:val="000000"/>
          <w:sz w:val="20"/>
        </w:rPr>
        <w:t>bona fide</w:t>
      </w:r>
      <w:r>
        <w:rPr>
          <w:color w:val="000000"/>
        </w:rPr>
        <w:t xml:space="preserve"> </w:t>
      </w:r>
      <w:r>
        <w:rPr>
          <w:rFonts w:ascii="Arial;sans-serif" w:hAnsi="Arial;sans-serif"/>
          <w:b w:val="false"/>
          <w:color w:val="000000"/>
          <w:sz w:val="20"/>
        </w:rPr>
        <w:t>offering thereof.</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(7)That,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(8)To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w:t>
      </w:r>
    </w:p>
    <w:p>
      <w:pPr>
        <w:pStyle w:val="TextBody"/>
        <w:bidi w:val="0"/>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790"/>
                <wp:effectExtent l="0" t="0" r="0" b="0"/>
                <wp:wrapNone/>
                <wp:docPr id="114" name="Frame3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11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0"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11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0"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II-4</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790"/>
                <wp:effectExtent l="0" t="0" r="0" b="0"/>
                <wp:wrapNone/>
                <wp:docPr id="117" name="Frame4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11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1"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11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1"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II-5</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Tempe, State of Arizona, on September 3, 2026.</w:t>
      </w:r>
    </w:p>
    <w:tbl>
      <w:tblPr>
        <w:tblW w:w="4958" w:type="dxa"/>
        <w:jc w:val="left"/>
        <w:tblInd w:w="0" w:type="dxa"/>
        <w:tblLayout w:type="fixed"/>
        <w:tblCellMar>
          <w:top w:w="28" w:type="dxa"/>
          <w:left w:w="28" w:type="dxa"/>
          <w:bottom w:w="28" w:type="dxa"/>
          <w:right w:w="28" w:type="dxa"/>
        </w:tblCellMar>
      </w:tblPr>
      <w:tblGrid>
        <w:gridCol w:w="124"/>
        <w:gridCol w:w="109"/>
        <w:gridCol w:w="109"/>
        <w:gridCol w:w="249"/>
        <w:gridCol w:w="212"/>
        <w:gridCol w:w="213"/>
        <w:gridCol w:w="169"/>
        <w:gridCol w:w="169"/>
        <w:gridCol w:w="169"/>
        <w:gridCol w:w="1004"/>
        <w:gridCol w:w="1004"/>
        <w:gridCol w:w="1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Dutch Bros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3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w:t>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790"/>
                <wp:effectExtent l="0" t="0" r="0" b="0"/>
                <wp:wrapNone/>
                <wp:docPr id="120" name="Frame4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12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2"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II-6</w:t>
                      </w:r>
                    </w:p>
                  </w:txbxContent>
                </v:textbox>
                <w10:wrap type="none"/>
              </v:rect>
            </w:pict>
          </mc:Fallback>
        </mc:AlternateContent>
      </w:r>
    </w:p>
    <w:p>
      <w:pPr>
        <w:pStyle w:val="TextBody"/>
        <w:bidi w:val="0"/>
        <w:spacing w:lineRule="auto" w:line="288" w:before="180" w:after="180"/>
        <w:jc w:val="center"/>
        <w:rPr>
          <w:rFonts w:ascii="Arial;sans-serif" w:hAnsi="Arial;sans-serif"/>
          <w:b/>
          <w:color w:val="006098"/>
          <w:sz w:val="20"/>
        </w:rPr>
      </w:pPr>
      <w:r>
        <w:rPr>
          <w:rFonts w:ascii="Arial;sans-serif" w:hAnsi="Arial;sans-serif"/>
          <w:b/>
          <w:color w:val="006098"/>
          <w:sz w:val="20"/>
        </w:rPr>
        <w:t>POWER OF ATTORNEY</w:t>
      </w:r>
    </w:p>
    <w:p>
      <w:pPr>
        <w:pStyle w:val="TextBody"/>
        <w:bidi w:val="0"/>
        <w:spacing w:lineRule="auto" w:line="288" w:before="0" w:after="180"/>
        <w:jc w:val="both"/>
        <w:rPr/>
      </w:pPr>
      <w:r>
        <w:rPr>
          <w:rFonts w:ascii="Arial;sans-serif" w:hAnsi="Arial;sans-serif"/>
          <w:b/>
          <w:color w:val="000000"/>
          <w:sz w:val="20"/>
        </w:rPr>
        <w:t>KNOW ALL PERSONS BY THESE PRESENTS</w:t>
      </w:r>
      <w:r>
        <w:rPr>
          <w:rFonts w:ascii="Arial;sans-serif" w:hAnsi="Arial;sans-serif"/>
          <w:b w:val="false"/>
          <w:color w:val="000000"/>
          <w:sz w:val="20"/>
        </w:rPr>
        <w:t>, that each person whose signature appears below constitutes and appoints Christine Barone and Joshua Guenser, and each of them, as true and lawful attorneys-in-fact and agents, with full powers of substitution and resubstitution, for them and in their name, place and stead, in any and all capacities, to sign any and all amendments to this registration statement, and to file the same, with all exhibits thereto, and other documents in connection therewith, with the SEC, and generally to do all such things in their names and behalf in their capacities as officers and directors to enable Dutch Bros Inc. to comply with the provisions of the Securities Act of 1933, as amended,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Pursuant to the requirements of the Securities Act of 1933, as amended, this registration statement has been signed below by the following persons in the capacities and on the dates indicated.</w:t>
      </w:r>
    </w:p>
    <w:tbl>
      <w:tblPr>
        <w:tblW w:w="7822"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125"/>
        <w:gridCol w:w="1125"/>
        <w:gridCol w:w="1139"/>
        <w:gridCol w:w="109"/>
        <w:gridCol w:w="109"/>
        <w:gridCol w:w="109"/>
        <w:gridCol w:w="524"/>
        <w:gridCol w:w="524"/>
        <w:gridCol w:w="75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1979"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Christine Barone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i/>
                <w:color w:val="000000"/>
                <w:sz w:val="20"/>
              </w:rPr>
              <w:t>Principal Executive Officer</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Christine Barone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Travis Boersma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Travis Boersma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Joshua Guenser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i/>
                <w:color w:val="000000"/>
                <w:sz w:val="20"/>
              </w:rPr>
              <w:t>Principal Financial Officer</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Joshua Guenser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Nicholas Daddario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Accounting Officer</w:t>
            </w:r>
          </w:p>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i/>
                <w:color w:val="000000"/>
                <w:sz w:val="20"/>
              </w:rPr>
              <w:t>Principal Accounting Officer</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Nicholas Daddario</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C. David Cone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C. David Cone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Gillett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Stephen Gillett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G. J.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 J.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Kory Marchisotto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Kory Marchisotto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Scott Maw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Scott Maw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Ann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Todd Penegor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3, 2026</w:t>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Todd Penegor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80"/>
        <w:jc w:val="both"/>
        <w:rPr/>
      </w:pPr>
      <w:r>
        <w:rPr/>
      </w:r>
    </w:p>
    <w:p>
      <w:pPr>
        <w:pStyle w:val="Normal"/>
        <w:bidi w:val="0"/>
        <w:spacing w:before="0" w:after="0"/>
        <w:jc w:val="left"/>
        <w:rPr>
          <w:sz w:val="4"/>
          <w:szCs w:val="4"/>
        </w:rPr>
      </w:pPr>
      <w:r>
        <w:rPr>
          <w:sz w:val="4"/>
          <w:szCs w:val="4"/>
        </w:rPr>
      </w:r>
      <w:bookmarkStart w:id="0" w:name="bros92exfilingfees.htm"/>
      <w:bookmarkStart w:id="1" w:name="ksbros92exfilingfees"/>
      <w:bookmarkStart w:id="2" w:name="bros92exfilingfees.htm"/>
      <w:bookmarkStart w:id="3" w:name="ksbros92exfilingfees"/>
      <w:bookmarkEnd w:id="2"/>
      <w:bookmarkEnd w:id="3"/>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790"/>
                <wp:effectExtent l="0" t="0" r="0" b="0"/>
                <wp:wrapNone/>
                <wp:docPr id="123" name="Frame4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lineRule="auto" w:line="288" w:before="0" w:after="180"/>
                              <w:jc w:val="right"/>
                              <w:rPr/>
                            </w:pPr>
                            <w:r>
                              <w:rPr/>
                              <w:drawing>
                                <wp:inline distT="0" distB="0" distL="0" distR="0">
                                  <wp:extent cx="190500" cy="266700"/>
                                  <wp:effectExtent l="0" t="0" r="0" b="0"/>
                                  <wp:docPr id="12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3"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pPr>
                      <w:r>
                        <w:rPr/>
                        <w:drawing>
                          <wp:inline distT="0" distB="0" distL="0" distR="0">
                            <wp:extent cx="190500" cy="266700"/>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000000"/>
                          <w:sz w:val="16"/>
                        </w:rPr>
                        <w:t xml:space="preserve">Dutch Bros Inc. </w:t>
                      </w:r>
                      <w:r>
                        <w:rPr>
                          <w:rFonts w:ascii="Arial;sans-serif" w:hAnsi="Arial;sans-serif"/>
                          <w:b w:val="false"/>
                          <w:color w:val="006098"/>
                          <w:sz w:val="16"/>
                        </w:rPr>
                        <w:t xml:space="preserve">| S-3 | </w:t>
                      </w:r>
                      <w:r>
                        <w:rPr>
                          <w:rFonts w:ascii="Arial;sans-serif" w:hAnsi="Arial;sans-serif"/>
                          <w:b w:val="false"/>
                          <w:color w:val="D7286B"/>
                          <w:sz w:val="16"/>
                        </w:rPr>
                        <w:t>II-7</w:t>
                      </w:r>
                    </w:p>
                  </w:txbxContent>
                </v:textbox>
                <w10:wrap type="none"/>
              </v:rect>
            </w:pict>
          </mc:Fallback>
        </mc:AlternateContent>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Dutch Bros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Class A Common Stock, par value $0.00001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6"/>
        <w:gridCol w:w="8711"/>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Note 1) There are being registered hereunder such indeterminate number of shares of Class A common stock, such indeterminate number of shares of preferred stock, such indeterminate principal amount of debt securities and such indeterminate number of warrants to purchase common stock, preferred stock or debt securities as may be sold from time to time by the registrant. The securities registered also include such indeterminate number of shares of Class A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The registrant is relying on Rules 456(b) and 457(r) under the Securities Act, to defer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See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940"/>
        <w:jc w:val="right"/>
        <w:rPr>
          <w:rFonts w:ascii="Times New Roman;serif" w:hAnsi="Times New Roman;serif"/>
          <w:b/>
          <w:color w:val="000000"/>
          <w:sz w:val="20"/>
        </w:rPr>
      </w:pPr>
      <w:r>
        <w:rPr>
          <w:rFonts w:ascii="Times New Roman;serif" w:hAnsi="Times New Roman;serif"/>
          <w:b/>
          <w:color w:val="000000"/>
          <w:sz w:val="20"/>
        </w:rPr>
        <w:t>Exhibit 4.4</w:t>
      </w:r>
    </w:p>
    <w:p>
      <w:pPr>
        <w:pStyle w:val="TextBody"/>
        <w:bidi w:val="0"/>
        <w:spacing w:before="0" w:after="19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DUTCH BROS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 , AS TRUSTEE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INDENTURE</w:t>
      </w:r>
    </w:p>
    <w:p>
      <w:pPr>
        <w:pStyle w:val="TextBody"/>
        <w:bidi w:val="0"/>
        <w:spacing w:lineRule="auto" w:line="288" w:before="0" w:after="460"/>
        <w:jc w:val="center"/>
        <w:rPr>
          <w:rFonts w:ascii="Times New Roman;serif" w:hAnsi="Times New Roman;serif"/>
          <w:b/>
          <w:color w:val="000000"/>
          <w:sz w:val="24"/>
        </w:rPr>
      </w:pPr>
      <w:r>
        <w:rPr>
          <w:rFonts w:ascii="Times New Roman;serif" w:hAnsi="Times New Roman;serif"/>
          <w:b/>
          <w:color w:val="000000"/>
          <w:sz w:val="24"/>
        </w:rPr>
        <w:t>DATED AS OF  ____________</w:t>
      </w:r>
    </w:p>
    <w:p>
      <w:pPr>
        <w:pStyle w:val="TextBody"/>
        <w:bidi w:val="0"/>
        <w:spacing w:lineRule="auto" w:line="288" w:before="0" w:after="220"/>
        <w:jc w:val="center"/>
        <w:rPr>
          <w:rFonts w:ascii="Times New Roman;serif" w:hAnsi="Times New Roman;serif"/>
          <w:b/>
          <w:color w:val="000000"/>
          <w:sz w:val="24"/>
        </w:rPr>
      </w:pPr>
      <w:r>
        <w:rPr>
          <w:rFonts w:ascii="Times New Roman;serif" w:hAnsi="Times New Roman;serif"/>
          <w:b/>
          <w:color w:val="000000"/>
          <w:sz w:val="24"/>
        </w:rPr>
        <w:t>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12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DUTCH BROS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INDENTURE</w:t>
      </w:r>
    </w:p>
    <w:p>
      <w:pPr>
        <w:pStyle w:val="TextBody"/>
        <w:bidi w:val="0"/>
        <w:spacing w:lineRule="auto" w:line="288" w:before="0" w:after="240"/>
        <w:ind w:left="0" w:right="0" w:firstLine="740"/>
        <w:jc w:val="both"/>
        <w:rPr/>
      </w:pPr>
      <w:r>
        <w:rPr>
          <w:rFonts w:ascii="Times New Roman;serif" w:hAnsi="Times New Roman;serif"/>
          <w:b/>
          <w:color w:val="000000"/>
          <w:sz w:val="24"/>
        </w:rPr>
        <w:t>THIS INDENTURE</w:t>
      </w:r>
      <w:r>
        <w:rPr>
          <w:rFonts w:ascii="Times New Roman;serif" w:hAnsi="Times New Roman;serif"/>
          <w:b w:val="false"/>
          <w:color w:val="000000"/>
          <w:sz w:val="24"/>
        </w:rPr>
        <w:t xml:space="preserve">, dated as of [], between </w:t>
      </w:r>
      <w:r>
        <w:rPr>
          <w:rFonts w:ascii="Times New Roman;serif" w:hAnsi="Times New Roman;serif"/>
          <w:b/>
          <w:color w:val="000000"/>
          <w:sz w:val="24"/>
        </w:rPr>
        <w:t>DUTCH BROS INC.</w:t>
      </w:r>
      <w:r>
        <w:rPr>
          <w:rFonts w:ascii="Times New Roman;serif" w:hAnsi="Times New Roman;serif"/>
          <w:b w:val="false"/>
          <w:color w:val="000000"/>
          <w:sz w:val="24"/>
        </w:rPr>
        <w:t>,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w:t>
      </w:r>
      <w:r>
        <w:rPr>
          <w:rFonts w:ascii="Times New Roman;serif" w:hAnsi="Times New Roman;serif"/>
          <w:b/>
          <w:color w:val="000000"/>
          <w:sz w:val="24"/>
        </w:rPr>
        <w:t>TRUSTEE</w:t>
      </w:r>
      <w:r>
        <w:rPr>
          <w:rFonts w:ascii="Times New Roman;serif" w:hAnsi="Times New Roman;serif"/>
          <w:b w:val="false"/>
          <w:color w:val="000000"/>
          <w:sz w:val="24"/>
        </w:rPr>
        <w:t>], as trustee (the “</w:t>
      </w:r>
      <w:r>
        <w:rPr>
          <w:rFonts w:ascii="Times New Roman;serif" w:hAnsi="Times New Roman;serif"/>
          <w:b/>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40"/>
        <w:jc w:val="both"/>
        <w:rPr/>
      </w:pPr>
      <w:r>
        <w:rPr>
          <w:rFonts w:ascii="Times New Roman;serif" w:hAnsi="Times New Roman;serif"/>
          <w:b/>
          <w:color w:val="000000"/>
          <w:sz w:val="24"/>
        </w:rPr>
        <w:t>WHEREAS</w:t>
      </w:r>
      <w:r>
        <w:rPr>
          <w:rFonts w:ascii="Times New Roman;serif" w:hAnsi="Times New Roman;serif"/>
          <w:b w:val="false"/>
          <w:color w:val="000000"/>
          <w:sz w:val="24"/>
        </w:rPr>
        <w:t>, for its lawful corporate purposes, the Company has duly authorized the execution and delivery of this Indenture to provide for the issuance of debt securities (hereinafter referred to as the “</w:t>
      </w:r>
      <w:r>
        <w:rPr>
          <w:rFonts w:ascii="Times New Roman;serif" w:hAnsi="Times New Roman;serif"/>
          <w:b/>
          <w:i/>
          <w:color w:val="000000"/>
          <w:sz w:val="24"/>
        </w:rPr>
        <w:t>Securities</w:t>
      </w:r>
      <w:r>
        <w:rPr>
          <w:color w:val="000000"/>
        </w:rPr>
        <w:t>”</w:t>
      </w:r>
      <w:r>
        <w:rPr>
          <w:rFonts w:ascii="Times New Roman;serif" w:hAnsi="Times New Roman;serif"/>
          <w:b w:val="false"/>
          <w:color w:val="000000"/>
          <w:sz w:val="24"/>
        </w:rPr>
        <w:t>),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lineRule="auto" w:line="288" w:before="0" w:after="240"/>
        <w:ind w:left="0" w:right="0" w:firstLine="740"/>
        <w:jc w:val="both"/>
        <w:rPr/>
      </w:pPr>
      <w:r>
        <w:rPr>
          <w:rFonts w:ascii="Times New Roman;serif" w:hAnsi="Times New Roman;serif"/>
          <w:b/>
          <w:color w:val="000000"/>
          <w:sz w:val="24"/>
        </w:rPr>
        <w:t>WHEREAS</w:t>
      </w:r>
      <w:r>
        <w:rPr>
          <w:rFonts w:ascii="Times New Roman;serif" w:hAnsi="Times New Roman;serif"/>
          <w:b w:val="false"/>
          <w:color w:val="000000"/>
          <w:sz w:val="24"/>
        </w:rPr>
        <w:t>, to provide the terms and conditions upon which the Securities are to be authenticated, issued and delivered, the Company has duly authorized the execution of this Indenture; and</w:t>
      </w:r>
    </w:p>
    <w:p>
      <w:pPr>
        <w:pStyle w:val="TextBody"/>
        <w:bidi w:val="0"/>
        <w:spacing w:lineRule="auto" w:line="288" w:before="0" w:after="240"/>
        <w:ind w:left="0" w:right="0" w:firstLine="740"/>
        <w:jc w:val="both"/>
        <w:rPr/>
      </w:pPr>
      <w:r>
        <w:rPr>
          <w:rFonts w:ascii="Times New Roman;serif" w:hAnsi="Times New Roman;serif"/>
          <w:b/>
          <w:color w:val="000000"/>
          <w:sz w:val="24"/>
        </w:rPr>
        <w:t>WHEREAS</w:t>
      </w:r>
      <w:r>
        <w:rPr>
          <w:rFonts w:ascii="Times New Roman;serif" w:hAnsi="Times New Roman;serif"/>
          <w:b w:val="false"/>
          <w:color w:val="000000"/>
          <w:sz w:val="24"/>
        </w:rPr>
        <w:t>, all things necessary to make this Indenture a valid agreement of the Company, in accordance with its terms, have been done.</w:t>
      </w:r>
    </w:p>
    <w:p>
      <w:pPr>
        <w:pStyle w:val="TextBody"/>
        <w:bidi w:val="0"/>
        <w:spacing w:lineRule="auto" w:line="288" w:before="0" w:after="240"/>
        <w:ind w:left="0" w:right="0" w:firstLine="74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purchase of the Securities by the holders thereof, it is mutually covenanted and agreed as follows for the equal and ratable benefit of the holders of Securities: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1.01    Definitions of Terms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Authenticating Agent</w:t>
      </w:r>
      <w:r>
        <w:rPr>
          <w:color w:val="000000"/>
        </w:rPr>
        <w:t xml:space="preserve">” </w:t>
      </w:r>
      <w:r>
        <w:rPr>
          <w:rFonts w:ascii="Times New Roman;serif" w:hAnsi="Times New Roman;serif"/>
          <w:b w:val="false"/>
          <w:color w:val="000000"/>
          <w:sz w:val="24"/>
        </w:rPr>
        <w:t>means the Trustee or an authenticating agent with respect to all or any of the series of Securities appointed by the Trustee pursuant to Section 2.10.</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Bankruptcy Law</w:t>
      </w:r>
      <w:r>
        <w:rPr>
          <w:color w:val="000000"/>
        </w:rPr>
        <w:t xml:space="preserve">” </w:t>
      </w:r>
      <w:r>
        <w:rPr>
          <w:rFonts w:ascii="Times New Roman;serif" w:hAnsi="Times New Roman;serif"/>
          <w:b w:val="false"/>
          <w:color w:val="000000"/>
          <w:sz w:val="24"/>
        </w:rPr>
        <w:t>means Title 11, U.S. Code, or any similar federal or state law for the relief of debtors.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127"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Board of Directors</w:t>
      </w:r>
      <w:r>
        <w:rPr>
          <w:color w:val="000000"/>
        </w:rPr>
        <w:t xml:space="preserve">” </w:t>
      </w:r>
      <w:r>
        <w:rPr>
          <w:rFonts w:ascii="Times New Roman;serif" w:hAnsi="Times New Roman;serif"/>
          <w:b w:val="false"/>
          <w:color w:val="000000"/>
          <w:sz w:val="24"/>
        </w:rPr>
        <w:t>means the Board of Directors (or the functional equivalent thereof) of the Company or any duly authorized committee of such Board.</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Board Resolution</w:t>
      </w:r>
      <w:r>
        <w:rPr>
          <w:color w:val="000000"/>
        </w:rPr>
        <w:t xml:space="preserve">” </w:t>
      </w:r>
      <w:r>
        <w:rPr>
          <w:rFonts w:ascii="Times New Roman;serif" w:hAnsi="Times New Roman;serif"/>
          <w:b w:val="false"/>
          <w:color w:val="000000"/>
          <w:sz w:val="24"/>
        </w:rPr>
        <w:t>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Commission</w:t>
      </w:r>
      <w:r>
        <w:rPr>
          <w:color w:val="000000"/>
        </w:rPr>
        <w:t xml:space="preserve">” </w:t>
      </w:r>
      <w:r>
        <w:rPr>
          <w:rFonts w:ascii="Times New Roman;serif" w:hAnsi="Times New Roman;serif"/>
          <w:b w:val="false"/>
          <w:color w:val="000000"/>
          <w:sz w:val="24"/>
        </w:rPr>
        <w:t>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Dutch Bros Inc., a corporation duly organized and existing under the laws of the State of Delaware, and, subject to the provisions of Article Ten, shall also include its successors and assigns.</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Corporate Trust Office</w:t>
      </w:r>
      <w:r>
        <w:rPr>
          <w:color w:val="000000"/>
        </w:rPr>
        <w:t xml:space="preserve">” </w:t>
      </w:r>
      <w:r>
        <w:rPr>
          <w:rFonts w:ascii="Times New Roman;serif" w:hAnsi="Times New Roman;serif"/>
          <w:b w:val="false"/>
          <w:color w:val="000000"/>
          <w:sz w:val="24"/>
        </w:rPr>
        <w:t>means the office of the Trustee at which, at any particular time, its corporate trust business shall be principally administered, which office at the date hereof is located at _______________________________________________________.</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Custodian</w:t>
      </w:r>
      <w:r>
        <w:rPr>
          <w:color w:val="000000"/>
        </w:rPr>
        <w:t xml:space="preserve">” </w:t>
      </w:r>
      <w:r>
        <w:rPr>
          <w:rFonts w:ascii="Times New Roman;serif" w:hAnsi="Times New Roman;serif"/>
          <w:b w:val="false"/>
          <w:color w:val="000000"/>
          <w:sz w:val="24"/>
        </w:rPr>
        <w:t>means any receiver, trustee, assignee, liquidator or similar official under any Bankruptcy Law.</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Defaulted Interest</w:t>
      </w:r>
      <w:r>
        <w:rPr>
          <w:color w:val="000000"/>
        </w:rPr>
        <w:t xml:space="preserve">” </w:t>
      </w:r>
      <w:r>
        <w:rPr>
          <w:rFonts w:ascii="Times New Roman;serif" w:hAnsi="Times New Roman;serif"/>
          <w:b w:val="false"/>
          <w:color w:val="000000"/>
          <w:sz w:val="24"/>
        </w:rPr>
        <w:t>has the meaning set forth in Section 2.03.</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Depositary</w:t>
      </w:r>
      <w:r>
        <w:rPr>
          <w:color w:val="000000"/>
        </w:rPr>
        <w:t xml:space="preserve">” </w:t>
      </w:r>
      <w:r>
        <w:rPr>
          <w:rFonts w:ascii="Times New Roman;serif" w:hAnsi="Times New Roman;serif"/>
          <w:b w:val="false"/>
          <w:color w:val="000000"/>
          <w:sz w:val="24"/>
        </w:rPr>
        <w:t>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means, with respect to Securities of a particular series, any event specified in Section 6.01, continued for the period of time, if any, therein designated.</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United States Securities and Exchange Act of 1934, as amended, and the rules and regulations promulgated by the Commission thereunder.</w:t>
      </w:r>
    </w:p>
    <w:p>
      <w:pPr>
        <w:pStyle w:val="TextBody"/>
        <w:bidi w:val="0"/>
        <w:spacing w:lineRule="auto" w:line="288" w:before="0" w:after="240"/>
        <w:ind w:left="0" w:right="0" w:firstLine="740"/>
        <w:jc w:val="both"/>
        <w:rPr/>
      </w:pPr>
      <w:r>
        <w:rPr>
          <w:rFonts w:ascii="Times New Roman;serif" w:hAnsi="Times New Roman;serif"/>
          <w:b w:val="false"/>
          <w:color w:val="000000"/>
          <w:sz w:val="24"/>
        </w:rPr>
        <w:t>The term “</w:t>
      </w:r>
      <w:r>
        <w:rPr>
          <w:rFonts w:ascii="Times New Roman;serif" w:hAnsi="Times New Roman;serif"/>
          <w:b/>
          <w:i/>
          <w:color w:val="000000"/>
          <w:sz w:val="24"/>
        </w:rPr>
        <w:t>given</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mailed</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notify</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sent</w:t>
      </w:r>
      <w:r>
        <w:rPr>
          <w:color w:val="000000"/>
        </w:rPr>
        <w:t xml:space="preserve">” </w:t>
      </w:r>
      <w:r>
        <w:rPr>
          <w:rFonts w:ascii="Times New Roman;serif" w:hAnsi="Times New Roman;serif"/>
          <w:b w:val="false"/>
          <w:color w:val="000000"/>
          <w:sz w:val="24"/>
        </w:rPr>
        <w:t xml:space="preserve">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12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Global Security</w:t>
      </w:r>
      <w:r>
        <w:rPr>
          <w:color w:val="000000"/>
        </w:rPr>
        <w:t xml:space="preserve">” </w:t>
      </w:r>
      <w:r>
        <w:rPr>
          <w:rFonts w:ascii="Times New Roman;serif" w:hAnsi="Times New Roman;serif"/>
          <w:b w:val="false"/>
          <w:color w:val="000000"/>
          <w:sz w:val="24"/>
        </w:rPr>
        <w:t>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Governmental Obligations</w:t>
      </w:r>
      <w:r>
        <w:rPr>
          <w:color w:val="000000"/>
        </w:rPr>
        <w:t xml:space="preserve">” </w:t>
      </w:r>
      <w:r>
        <w:rPr>
          <w:rFonts w:ascii="Times New Roman;serif" w:hAnsi="Times New Roman;serif"/>
          <w:b w:val="false"/>
          <w:color w:val="000000"/>
          <w:sz w:val="24"/>
        </w:rPr>
        <w:t>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herein</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hereof</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hereunder</w:t>
      </w:r>
      <w:r>
        <w:rPr>
          <w:color w:val="000000"/>
        </w:rPr>
        <w:t>”</w:t>
      </w:r>
      <w:r>
        <w:rPr>
          <w:rFonts w:ascii="Times New Roman;serif" w:hAnsi="Times New Roman;serif"/>
          <w:b w:val="false"/>
          <w:color w:val="000000"/>
          <w:sz w:val="24"/>
        </w:rPr>
        <w:t>, and other words of similar import, refer to this Indenture as a whole and not to any particular Article, Section or other subdivision.</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Indenture</w:t>
      </w:r>
      <w:r>
        <w:rPr>
          <w:color w:val="000000"/>
        </w:rPr>
        <w:t xml:space="preserve">” </w:t>
      </w:r>
      <w:r>
        <w:rPr>
          <w:rFonts w:ascii="Times New Roman;serif" w:hAnsi="Times New Roman;serif"/>
          <w:b w:val="false"/>
          <w:color w:val="000000"/>
          <w:sz w:val="24"/>
        </w:rPr>
        <w:t>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Interest Payment Date</w:t>
      </w:r>
      <w:r>
        <w:rPr>
          <w:color w:val="000000"/>
        </w:rPr>
        <w:t>”</w:t>
      </w:r>
      <w:r>
        <w:rPr>
          <w:rFonts w:ascii="Times New Roman;serif" w:hAnsi="Times New Roman;serif"/>
          <w:b w:val="false"/>
          <w:color w:val="000000"/>
          <w:sz w:val="24"/>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12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Officer’s Certificate</w:t>
      </w:r>
      <w:r>
        <w:rPr>
          <w:color w:val="000000"/>
        </w:rPr>
        <w:t xml:space="preserve">” </w:t>
      </w:r>
      <w:r>
        <w:rPr>
          <w:rFonts w:ascii="Times New Roman;serif" w:hAnsi="Times New Roman;serif"/>
          <w:b w:val="false"/>
          <w:color w:val="000000"/>
          <w:sz w:val="24"/>
        </w:rPr>
        <w:t>means a certificate signed by any Officer. Each such certificate shall include the statements provided for in Section 13.07, if and to the extent required by the provisions thereof.</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Opinion of Counsel</w:t>
      </w:r>
      <w:r>
        <w:rPr>
          <w:color w:val="000000"/>
        </w:rPr>
        <w:t xml:space="preserve">” </w:t>
      </w:r>
      <w:r>
        <w:rPr>
          <w:rFonts w:ascii="Times New Roman;serif" w:hAnsi="Times New Roman;serif"/>
          <w:b w:val="false"/>
          <w:color w:val="000000"/>
          <w:sz w:val="24"/>
        </w:rPr>
        <w:t>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Outstanding</w:t>
      </w:r>
      <w:r>
        <w:rPr>
          <w:color w:val="000000"/>
        </w:rPr>
        <w:t>”</w:t>
      </w:r>
      <w:r>
        <w:rPr>
          <w:rFonts w:ascii="Times New Roman;serif" w:hAnsi="Times New Roman;serif"/>
          <w:b w:val="false"/>
          <w:color w:val="000000"/>
          <w:sz w:val="24"/>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Predecessor Security</w:t>
      </w:r>
      <w:r>
        <w:rPr>
          <w:color w:val="000000"/>
        </w:rPr>
        <w:t xml:space="preserve">” </w:t>
      </w:r>
      <w:r>
        <w:rPr>
          <w:rFonts w:ascii="Times New Roman;serif" w:hAnsi="Times New Roman;serif"/>
          <w:b w:val="false"/>
          <w:color w:val="000000"/>
          <w:sz w:val="24"/>
        </w:rPr>
        <w:t>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Responsible Officer</w:t>
      </w:r>
      <w:r>
        <w:rPr>
          <w:color w:val="000000"/>
        </w:rPr>
        <w:t xml:space="preserve">” </w:t>
      </w:r>
      <w:r>
        <w:rPr>
          <w:rFonts w:ascii="Times New Roman;serif" w:hAnsi="Times New Roman;serif"/>
          <w:b w:val="false"/>
          <w:color w:val="000000"/>
          <w:sz w:val="24"/>
        </w:rPr>
        <w:t>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Securities</w:t>
      </w:r>
      <w:r>
        <w:rPr>
          <w:color w:val="000000"/>
        </w:rPr>
        <w:t xml:space="preserve">” </w:t>
      </w:r>
      <w:r>
        <w:rPr>
          <w:rFonts w:ascii="Times New Roman;serif" w:hAnsi="Times New Roman;serif"/>
          <w:b w:val="false"/>
          <w:color w:val="000000"/>
          <w:sz w:val="24"/>
        </w:rPr>
        <w:t>has the meaning stated in the first recital of this Indenture and more particularly means any Securities authenticated and delivered under this Indenture.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13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Securityholder</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holder of Securities</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registered holder</w:t>
      </w:r>
      <w:r>
        <w:rPr>
          <w:color w:val="000000"/>
        </w:rPr>
        <w:t>”</w:t>
      </w:r>
      <w:r>
        <w:rPr>
          <w:rFonts w:ascii="Times New Roman;serif" w:hAnsi="Times New Roman;serif"/>
          <w:b w:val="false"/>
          <w:color w:val="000000"/>
          <w:sz w:val="24"/>
        </w:rPr>
        <w:t>, or other similar term, means the Person or Persons in whose name or names a particular Security is registered on the Security Register kept for that purpose in accordance with the terms of this Indenture.</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Security Register</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Security Registrar</w:t>
      </w:r>
      <w:r>
        <w:rPr>
          <w:color w:val="000000"/>
        </w:rPr>
        <w:t xml:space="preserve">” </w:t>
      </w:r>
      <w:r>
        <w:rPr>
          <w:rFonts w:ascii="Times New Roman;serif" w:hAnsi="Times New Roman;serif"/>
          <w:b w:val="false"/>
          <w:color w:val="000000"/>
          <w:sz w:val="24"/>
        </w:rPr>
        <w:t>shall have the meanings as set forth in Section 2.05.</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Trustee</w:t>
      </w:r>
      <w:r>
        <w:rPr>
          <w:color w:val="000000"/>
        </w:rPr>
        <w:t xml:space="preserve">” </w:t>
      </w:r>
      <w:r>
        <w:rPr>
          <w:rFonts w:ascii="Times New Roman;serif" w:hAnsi="Times New Roman;serif"/>
          <w:b w:val="false"/>
          <w:color w:val="000000"/>
          <w:sz w:val="24"/>
        </w:rPr>
        <w:t>means 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Trust Indenture Act</w:t>
      </w:r>
      <w:r>
        <w:rPr>
          <w:color w:val="000000"/>
        </w:rPr>
        <w:t xml:space="preserve">” </w:t>
      </w:r>
      <w:r>
        <w:rPr>
          <w:rFonts w:ascii="Times New Roman;serif" w:hAnsi="Times New Roman;serif"/>
          <w:b w:val="false"/>
          <w:color w:val="000000"/>
          <w:sz w:val="24"/>
        </w:rPr>
        <w:t>means the Trust Indenture Act of 1939, as amended.</w:t>
      </w:r>
    </w:p>
    <w:p>
      <w:pPr>
        <w:pStyle w:val="TextBody"/>
        <w:bidi w:val="0"/>
        <w:spacing w:lineRule="auto" w:line="288" w:before="0" w:after="240"/>
        <w:ind w:left="0" w:right="0" w:firstLine="740"/>
        <w:jc w:val="both"/>
        <w:rPr/>
      </w:pPr>
      <w:r>
        <w:rPr>
          <w:color w:val="000000"/>
        </w:rPr>
        <w:t>“</w:t>
      </w:r>
      <w:r>
        <w:rPr>
          <w:rFonts w:ascii="Times New Roman;serif" w:hAnsi="Times New Roman;serif"/>
          <w:b/>
          <w:i/>
          <w:color w:val="000000"/>
          <w:sz w:val="24"/>
        </w:rPr>
        <w:t>U.S.A. Patriot Act”</w:t>
      </w:r>
      <w:r>
        <w:rPr>
          <w:color w:val="000000"/>
        </w:rPr>
        <w:t xml:space="preserve"> </w:t>
      </w:r>
      <w:r>
        <w:rPr>
          <w:rFonts w:ascii="Times New Roman;serif" w:hAnsi="Times New Roman;serif"/>
          <w:b w:val="false"/>
          <w:color w:val="000000"/>
          <w:sz w:val="24"/>
        </w:rPr>
        <w:t>means the Uniting and Strengthening America by Providing Appropriate Tools Required to Intercept and Obstruct Terrorism Act of 2001, Pub. L. 107-56, as amended and signed into law October 26, 2001.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ISSUE, DESCRIPTION, TERMS, EXECUTION, REGISTRATION AND EXCHANGE OF SECURITIES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2.01     Designation and Terms of Securities</w:t>
      </w:r>
    </w:p>
    <w:p>
      <w:pPr>
        <w:pStyle w:val="TextBody"/>
        <w:bidi w:val="0"/>
        <w:spacing w:lineRule="auto" w:line="288" w:before="0" w:after="240"/>
        <w:ind w:left="0" w:right="0" w:firstLine="1460"/>
        <w:jc w:val="both"/>
        <w:rPr/>
      </w:pPr>
      <w:r>
        <w:rPr>
          <w:rFonts w:ascii="Times New Roman;serif" w:hAnsi="Times New Roman;serif"/>
          <w:b/>
          <w:color w:val="000000"/>
          <w:sz w:val="24"/>
        </w:rPr>
        <w:t xml:space="preserve">(a) </w:t>
      </w:r>
      <w:r>
        <w:rPr>
          <w:rFonts w:ascii="Times New Roman;serif" w:hAnsi="Times New Roman;serif"/>
          <w:b w:val="false"/>
          <w:color w:val="000000"/>
          <w:sz w:val="24"/>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lineRule="auto" w:line="288" w:before="0" w:after="240"/>
        <w:ind w:left="0" w:right="0" w:firstLine="2180"/>
        <w:jc w:val="both"/>
        <w:rPr/>
      </w:pPr>
      <w:r>
        <w:rPr>
          <w:rFonts w:ascii="Times New Roman;serif" w:hAnsi="Times New Roman;serif"/>
          <w:b/>
          <w:color w:val="000000"/>
          <w:sz w:val="24"/>
        </w:rPr>
        <w:t>(1)    </w:t>
      </w:r>
      <w:r>
        <w:rPr>
          <w:rFonts w:ascii="Times New Roman;serif" w:hAnsi="Times New Roman;serif"/>
          <w:b w:val="false"/>
          <w:color w:val="000000"/>
          <w:sz w:val="24"/>
        </w:rPr>
        <w:t>the title of the Securities of the series (which shall distinguish the Securities of that series from all other Securities);</w:t>
      </w:r>
    </w:p>
    <w:p>
      <w:pPr>
        <w:pStyle w:val="TextBody"/>
        <w:bidi w:val="0"/>
        <w:spacing w:lineRule="auto" w:line="288" w:before="0" w:after="240"/>
        <w:ind w:left="0" w:right="0" w:firstLine="2180"/>
        <w:jc w:val="both"/>
        <w:rPr/>
      </w:pPr>
      <w:r>
        <w:rPr>
          <w:rFonts w:ascii="Times New Roman;serif" w:hAnsi="Times New Roman;serif"/>
          <w:b/>
          <w:color w:val="000000"/>
          <w:sz w:val="24"/>
        </w:rPr>
        <w:t>(2)    </w:t>
      </w:r>
      <w:r>
        <w:rPr>
          <w:rFonts w:ascii="Times New Roman;serif" w:hAnsi="Times New Roman;serif"/>
          <w:b w:val="false"/>
          <w:color w:val="000000"/>
          <w:sz w:val="24"/>
        </w:rPr>
        <w:t xml:space="preserve">any limit upon the aggregate principal amount of the Securities of that series that may be authenticated and delivered under this Indenture (except for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13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authenticated and delivered upon registration of transfer of, or in exchange for, or in lieu of, other Securities of that series);</w:t>
      </w:r>
    </w:p>
    <w:p>
      <w:pPr>
        <w:pStyle w:val="TextBody"/>
        <w:bidi w:val="0"/>
        <w:spacing w:lineRule="auto" w:line="288" w:before="0" w:after="240"/>
        <w:ind w:left="0" w:right="0" w:firstLine="2180"/>
        <w:jc w:val="both"/>
        <w:rPr/>
      </w:pPr>
      <w:r>
        <w:rPr>
          <w:rFonts w:ascii="Times New Roman;serif" w:hAnsi="Times New Roman;serif"/>
          <w:b/>
          <w:color w:val="000000"/>
          <w:sz w:val="24"/>
        </w:rPr>
        <w:t>(3)    </w:t>
      </w:r>
      <w:r>
        <w:rPr>
          <w:rFonts w:ascii="Times New Roman;serif" w:hAnsi="Times New Roman;serif"/>
          <w:b w:val="false"/>
          <w:color w:val="000000"/>
          <w:sz w:val="24"/>
        </w:rPr>
        <w:t>the maturity date or dates on which the principal of the Securities of the series is payable;</w:t>
      </w:r>
    </w:p>
    <w:p>
      <w:pPr>
        <w:pStyle w:val="TextBody"/>
        <w:bidi w:val="0"/>
        <w:spacing w:lineRule="auto" w:line="288" w:before="0" w:after="240"/>
        <w:ind w:left="0" w:right="0" w:firstLine="2180"/>
        <w:jc w:val="both"/>
        <w:rPr/>
      </w:pPr>
      <w:r>
        <w:rPr>
          <w:rFonts w:ascii="Times New Roman;serif" w:hAnsi="Times New Roman;serif"/>
          <w:b/>
          <w:color w:val="000000"/>
          <w:sz w:val="24"/>
        </w:rPr>
        <w:t>(4)    </w:t>
      </w:r>
      <w:r>
        <w:rPr>
          <w:rFonts w:ascii="Times New Roman;serif" w:hAnsi="Times New Roman;serif"/>
          <w:b w:val="false"/>
          <w:color w:val="000000"/>
          <w:sz w:val="24"/>
        </w:rPr>
        <w:t>the form of the Securities of the series including the form of the certificate of authentication for such series;</w:t>
      </w:r>
    </w:p>
    <w:p>
      <w:pPr>
        <w:pStyle w:val="TextBody"/>
        <w:bidi w:val="0"/>
        <w:spacing w:lineRule="auto" w:line="288" w:before="0" w:after="240"/>
        <w:ind w:left="0" w:right="0" w:firstLine="2180"/>
        <w:jc w:val="both"/>
        <w:rPr/>
      </w:pPr>
      <w:r>
        <w:rPr>
          <w:rFonts w:ascii="Times New Roman;serif" w:hAnsi="Times New Roman;serif"/>
          <w:b/>
          <w:color w:val="000000"/>
          <w:sz w:val="24"/>
        </w:rPr>
        <w:t>(5)    </w:t>
      </w:r>
      <w:r>
        <w:rPr>
          <w:rFonts w:ascii="Times New Roman;serif" w:hAnsi="Times New Roman;serif"/>
          <w:b w:val="false"/>
          <w:color w:val="000000"/>
          <w:sz w:val="24"/>
        </w:rPr>
        <w:t>the applicability of any guarantees;</w:t>
      </w:r>
    </w:p>
    <w:p>
      <w:pPr>
        <w:pStyle w:val="TextBody"/>
        <w:bidi w:val="0"/>
        <w:spacing w:lineRule="auto" w:line="288" w:before="0" w:after="240"/>
        <w:ind w:left="0" w:right="0" w:firstLine="2180"/>
        <w:jc w:val="both"/>
        <w:rPr/>
      </w:pPr>
      <w:r>
        <w:rPr>
          <w:rFonts w:ascii="Times New Roman;serif" w:hAnsi="Times New Roman;serif"/>
          <w:b/>
          <w:color w:val="000000"/>
          <w:sz w:val="24"/>
        </w:rPr>
        <w:t>(6)    </w:t>
      </w:r>
      <w:r>
        <w:rPr>
          <w:rFonts w:ascii="Times New Roman;serif" w:hAnsi="Times New Roman;serif"/>
          <w:b w:val="false"/>
          <w:color w:val="000000"/>
          <w:sz w:val="24"/>
        </w:rPr>
        <w:t>whether or not the Securities will be secured or unsecured, and the terms of any secured debt;</w:t>
      </w:r>
    </w:p>
    <w:p>
      <w:pPr>
        <w:pStyle w:val="TextBody"/>
        <w:bidi w:val="0"/>
        <w:spacing w:lineRule="auto" w:line="288" w:before="0" w:after="240"/>
        <w:ind w:left="0" w:right="0" w:firstLine="2180"/>
        <w:jc w:val="both"/>
        <w:rPr/>
      </w:pPr>
      <w:r>
        <w:rPr>
          <w:rFonts w:ascii="Times New Roman;serif" w:hAnsi="Times New Roman;serif"/>
          <w:b/>
          <w:color w:val="000000"/>
          <w:sz w:val="24"/>
        </w:rPr>
        <w:t>(7)    </w:t>
      </w:r>
      <w:r>
        <w:rPr>
          <w:rFonts w:ascii="Times New Roman;serif" w:hAnsi="Times New Roman;serif"/>
          <w:b w:val="false"/>
          <w:color w:val="000000"/>
          <w:sz w:val="24"/>
        </w:rPr>
        <w:t>whether the Securities rank as senior debt, senior subordinated debt, subordinated debt or any combination thereof, and the terms of any subordination;</w:t>
      </w:r>
    </w:p>
    <w:p>
      <w:pPr>
        <w:pStyle w:val="TextBody"/>
        <w:bidi w:val="0"/>
        <w:spacing w:lineRule="auto" w:line="288" w:before="0" w:after="240"/>
        <w:ind w:left="0" w:right="0" w:firstLine="2180"/>
        <w:jc w:val="both"/>
        <w:rPr/>
      </w:pPr>
      <w:r>
        <w:rPr>
          <w:rFonts w:ascii="Times New Roman;serif" w:hAnsi="Times New Roman;serif"/>
          <w:b/>
          <w:color w:val="000000"/>
          <w:sz w:val="24"/>
        </w:rPr>
        <w:t>(8)    </w:t>
      </w:r>
      <w:r>
        <w:rPr>
          <w:rFonts w:ascii="Times New Roman;serif" w:hAnsi="Times New Roman;serif"/>
          <w:b w:val="false"/>
          <w:color w:val="000000"/>
          <w:sz w:val="24"/>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lineRule="auto" w:line="288" w:before="0" w:after="240"/>
        <w:ind w:left="0" w:right="0" w:firstLine="2180"/>
        <w:jc w:val="both"/>
        <w:rPr/>
      </w:pPr>
      <w:r>
        <w:rPr>
          <w:rFonts w:ascii="Times New Roman;serif" w:hAnsi="Times New Roman;serif"/>
          <w:b/>
          <w:color w:val="000000"/>
          <w:sz w:val="24"/>
        </w:rPr>
        <w:t>(9)    </w:t>
      </w:r>
      <w:r>
        <w:rPr>
          <w:rFonts w:ascii="Times New Roman;serif" w:hAnsi="Times New Roman;serif"/>
          <w:b w:val="false"/>
          <w:color w:val="000000"/>
          <w:sz w:val="24"/>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240"/>
        <w:ind w:left="0" w:right="0" w:firstLine="2180"/>
        <w:jc w:val="both"/>
        <w:rPr/>
      </w:pPr>
      <w:r>
        <w:rPr>
          <w:rFonts w:ascii="Times New Roman;serif" w:hAnsi="Times New Roman;serif"/>
          <w:b/>
          <w:color w:val="000000"/>
          <w:sz w:val="24"/>
        </w:rPr>
        <w:t>(10)    </w:t>
      </w:r>
      <w:r>
        <w:rPr>
          <w:rFonts w:ascii="Times New Roman;serif" w:hAnsi="Times New Roman;serif"/>
          <w:b w:val="false"/>
          <w:color w:val="000000"/>
          <w:sz w:val="24"/>
        </w:rPr>
        <w:t>the Company’s right, if any, to defer the payment of interest and the maximum length of any such deferral period;</w:t>
      </w:r>
    </w:p>
    <w:p>
      <w:pPr>
        <w:pStyle w:val="TextBody"/>
        <w:bidi w:val="0"/>
        <w:spacing w:lineRule="auto" w:line="288" w:before="0" w:after="240"/>
        <w:ind w:left="0" w:right="0" w:firstLine="2180"/>
        <w:jc w:val="both"/>
        <w:rPr/>
      </w:pPr>
      <w:r>
        <w:rPr>
          <w:rFonts w:ascii="Times New Roman;serif" w:hAnsi="Times New Roman;serif"/>
          <w:b/>
          <w:color w:val="000000"/>
          <w:sz w:val="24"/>
        </w:rPr>
        <w:t>(11)    </w:t>
      </w:r>
      <w:r>
        <w:rPr>
          <w:rFonts w:ascii="Times New Roman;serif" w:hAnsi="Times New Roman;serif"/>
          <w:b w:val="false"/>
          <w:color w:val="000000"/>
          <w:sz w:val="24"/>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lineRule="auto" w:line="288" w:before="0" w:after="240"/>
        <w:ind w:left="0" w:right="0" w:firstLine="2180"/>
        <w:jc w:val="both"/>
        <w:rPr/>
      </w:pPr>
      <w:r>
        <w:rPr>
          <w:rFonts w:ascii="Times New Roman;serif" w:hAnsi="Times New Roman;serif"/>
          <w:b/>
          <w:color w:val="000000"/>
          <w:sz w:val="24"/>
        </w:rPr>
        <w:t>(12)    </w:t>
      </w:r>
      <w:r>
        <w:rPr>
          <w:rFonts w:ascii="Times New Roman;serif" w:hAnsi="Times New Roman;serif"/>
          <w:b w:val="false"/>
          <w:color w:val="000000"/>
          <w:sz w:val="24"/>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pStyle w:val="TextBody"/>
        <w:bidi w:val="0"/>
        <w:spacing w:lineRule="auto" w:line="288" w:before="0" w:after="240"/>
        <w:ind w:left="0" w:right="0" w:firstLine="2180"/>
        <w:jc w:val="both"/>
        <w:rPr/>
      </w:pPr>
      <w:r>
        <w:rPr>
          <w:rFonts w:ascii="Times New Roman;serif" w:hAnsi="Times New Roman;serif"/>
          <w:b/>
          <w:color w:val="000000"/>
          <w:sz w:val="24"/>
        </w:rPr>
        <w:t>(13)    </w:t>
      </w:r>
      <w:r>
        <w:rPr>
          <w:rFonts w:ascii="Times New Roman;serif" w:hAnsi="Times New Roman;serif"/>
          <w:b w:val="false"/>
          <w:color w:val="000000"/>
          <w:sz w:val="24"/>
        </w:rPr>
        <w:t>the denominations in which the Securities of the series shall be issuable, if other than denominations of one thousand U.S. dollars ($1,000) or any integral multiple thereof;</w:t>
      </w:r>
    </w:p>
    <w:p>
      <w:pPr>
        <w:pStyle w:val="TextBody"/>
        <w:bidi w:val="0"/>
        <w:spacing w:lineRule="auto" w:line="288" w:before="0" w:after="240"/>
        <w:ind w:left="0" w:right="0" w:firstLine="2180"/>
        <w:jc w:val="both"/>
        <w:rPr/>
      </w:pPr>
      <w:r>
        <w:rPr>
          <w:rFonts w:ascii="Times New Roman;serif" w:hAnsi="Times New Roman;serif"/>
          <w:b/>
          <w:color w:val="000000"/>
          <w:sz w:val="24"/>
        </w:rPr>
        <w:t>(14)    </w:t>
      </w:r>
      <w:r>
        <w:rPr>
          <w:rFonts w:ascii="Times New Roman;serif" w:hAnsi="Times New Roman;serif"/>
          <w:b w:val="false"/>
          <w:color w:val="000000"/>
          <w:sz w:val="24"/>
        </w:rPr>
        <w:t xml:space="preserve">any and all terms, if applicable, relating to any auction or remarketing of the Securities of that series and any security for the obligations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13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such Securities and any other terms which may be advisable in connection with the marketing of Securities of that series;</w:t>
      </w:r>
    </w:p>
    <w:p>
      <w:pPr>
        <w:pStyle w:val="TextBody"/>
        <w:bidi w:val="0"/>
        <w:spacing w:lineRule="auto" w:line="288" w:before="0" w:after="240"/>
        <w:ind w:left="0" w:right="0" w:firstLine="2180"/>
        <w:jc w:val="both"/>
        <w:rPr/>
      </w:pPr>
      <w:r>
        <w:rPr>
          <w:rFonts w:ascii="Times New Roman;serif" w:hAnsi="Times New Roman;serif"/>
          <w:b/>
          <w:color w:val="000000"/>
          <w:sz w:val="24"/>
        </w:rPr>
        <w:t>(15)    </w:t>
      </w:r>
      <w:r>
        <w:rPr>
          <w:rFonts w:ascii="Times New Roman;serif" w:hAnsi="Times New Roman;serif"/>
          <w:b w:val="false"/>
          <w:color w:val="000000"/>
          <w:sz w:val="24"/>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lineRule="auto" w:line="288" w:before="0" w:after="240"/>
        <w:ind w:left="0" w:right="0" w:firstLine="2180"/>
        <w:jc w:val="both"/>
        <w:rPr/>
      </w:pPr>
      <w:r>
        <w:rPr>
          <w:rFonts w:ascii="Times New Roman;serif" w:hAnsi="Times New Roman;serif"/>
          <w:b/>
          <w:color w:val="000000"/>
          <w:sz w:val="24"/>
        </w:rPr>
        <w:t>(16)    </w:t>
      </w:r>
      <w:r>
        <w:rPr>
          <w:rFonts w:ascii="Times New Roman;serif" w:hAnsi="Times New Roman;serif"/>
          <w:b w:val="false"/>
          <w:color w:val="000000"/>
          <w:sz w:val="24"/>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lineRule="auto" w:line="288" w:before="0" w:after="240"/>
        <w:ind w:left="0" w:right="0" w:firstLine="2180"/>
        <w:jc w:val="both"/>
        <w:rPr/>
      </w:pPr>
      <w:r>
        <w:rPr>
          <w:rFonts w:ascii="Times New Roman;serif" w:hAnsi="Times New Roman;serif"/>
          <w:b/>
          <w:color w:val="000000"/>
          <w:sz w:val="24"/>
        </w:rPr>
        <w:t>(17)    </w:t>
      </w:r>
      <w:r>
        <w:rPr>
          <w:rFonts w:ascii="Times New Roman;serif" w:hAnsi="Times New Roman;serif"/>
          <w:b w:val="false"/>
          <w:color w:val="000000"/>
          <w:sz w:val="24"/>
        </w:rPr>
        <w:t>if other than the full principal amount thereof, the portion of the principal amount of Securities of the series which shall be payable upon declaration of acceleration of the maturity thereof pursuant to Section 6.01;</w:t>
      </w:r>
    </w:p>
    <w:p>
      <w:pPr>
        <w:pStyle w:val="TextBody"/>
        <w:bidi w:val="0"/>
        <w:spacing w:lineRule="auto" w:line="288" w:before="0" w:after="240"/>
        <w:ind w:left="0" w:right="0" w:firstLine="2180"/>
        <w:jc w:val="both"/>
        <w:rPr/>
      </w:pPr>
      <w:r>
        <w:rPr>
          <w:rFonts w:ascii="Times New Roman;serif" w:hAnsi="Times New Roman;serif"/>
          <w:b/>
          <w:color w:val="000000"/>
          <w:sz w:val="24"/>
        </w:rPr>
        <w:t>(18)    </w:t>
      </w:r>
      <w:r>
        <w:rPr>
          <w:rFonts w:ascii="Times New Roman;serif" w:hAnsi="Times New Roman;serif"/>
          <w:b w:val="false"/>
          <w:color w:val="000000"/>
          <w:sz w:val="24"/>
        </w:rPr>
        <w:t>additions to or changes in the covenants applicable to the series of Securities being issued, including, among others, the consolidation, merger or sale covenant;</w:t>
      </w:r>
    </w:p>
    <w:p>
      <w:pPr>
        <w:pStyle w:val="TextBody"/>
        <w:bidi w:val="0"/>
        <w:spacing w:lineRule="auto" w:line="288" w:before="0" w:after="240"/>
        <w:ind w:left="0" w:right="0" w:firstLine="2180"/>
        <w:jc w:val="both"/>
        <w:rPr/>
      </w:pPr>
      <w:r>
        <w:rPr>
          <w:rFonts w:ascii="Times New Roman;serif" w:hAnsi="Times New Roman;serif"/>
          <w:b/>
          <w:color w:val="000000"/>
          <w:sz w:val="24"/>
        </w:rPr>
        <w:t>(19)    </w:t>
      </w:r>
      <w:r>
        <w:rPr>
          <w:rFonts w:ascii="Times New Roman;serif" w:hAnsi="Times New Roman;serif"/>
          <w:b w:val="false"/>
          <w:color w:val="000000"/>
          <w:sz w:val="24"/>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lineRule="auto" w:line="288" w:before="0" w:after="240"/>
        <w:ind w:left="0" w:right="0" w:firstLine="2180"/>
        <w:jc w:val="both"/>
        <w:rPr/>
      </w:pPr>
      <w:r>
        <w:rPr>
          <w:rFonts w:ascii="Times New Roman;serif" w:hAnsi="Times New Roman;serif"/>
          <w:b/>
          <w:color w:val="000000"/>
          <w:sz w:val="24"/>
        </w:rPr>
        <w:t>(20)    </w:t>
      </w:r>
      <w:r>
        <w:rPr>
          <w:rFonts w:ascii="Times New Roman;serif" w:hAnsi="Times New Roman;serif"/>
          <w:b w:val="false"/>
          <w:color w:val="000000"/>
          <w:sz w:val="24"/>
        </w:rPr>
        <w:t>additions to or changes in or deletions of the provisions relating to covenant defeasance and legal defeasance;</w:t>
      </w:r>
    </w:p>
    <w:p>
      <w:pPr>
        <w:pStyle w:val="TextBody"/>
        <w:bidi w:val="0"/>
        <w:spacing w:lineRule="auto" w:line="288" w:before="0" w:after="240"/>
        <w:ind w:left="0" w:right="0" w:firstLine="2180"/>
        <w:jc w:val="both"/>
        <w:rPr/>
      </w:pPr>
      <w:r>
        <w:rPr>
          <w:rFonts w:ascii="Times New Roman;serif" w:hAnsi="Times New Roman;serif"/>
          <w:b/>
          <w:color w:val="000000"/>
          <w:sz w:val="24"/>
        </w:rPr>
        <w:t>(21)    </w:t>
      </w:r>
      <w:r>
        <w:rPr>
          <w:rFonts w:ascii="Times New Roman;serif" w:hAnsi="Times New Roman;serif"/>
          <w:b w:val="false"/>
          <w:color w:val="000000"/>
          <w:sz w:val="24"/>
        </w:rPr>
        <w:t>additions to or changes in the provisions relating to satisfaction and discharge of this Indenture;</w:t>
      </w:r>
    </w:p>
    <w:p>
      <w:pPr>
        <w:pStyle w:val="TextBody"/>
        <w:bidi w:val="0"/>
        <w:spacing w:lineRule="auto" w:line="288" w:before="0" w:after="240"/>
        <w:ind w:left="0" w:right="0" w:firstLine="2180"/>
        <w:jc w:val="both"/>
        <w:rPr/>
      </w:pPr>
      <w:r>
        <w:rPr>
          <w:rFonts w:ascii="Times New Roman;serif" w:hAnsi="Times New Roman;serif"/>
          <w:b/>
          <w:color w:val="000000"/>
          <w:sz w:val="24"/>
        </w:rPr>
        <w:t>(22)    </w:t>
      </w:r>
      <w:r>
        <w:rPr>
          <w:rFonts w:ascii="Times New Roman;serif" w:hAnsi="Times New Roman;serif"/>
          <w:b w:val="false"/>
          <w:color w:val="000000"/>
          <w:sz w:val="24"/>
        </w:rPr>
        <w:t>additions to or changes in the provisions relating to the modification of this Indenture both with and without the consent of Securityholders of Securities issued under this Indenture;</w:t>
      </w:r>
    </w:p>
    <w:p>
      <w:pPr>
        <w:pStyle w:val="TextBody"/>
        <w:bidi w:val="0"/>
        <w:spacing w:lineRule="auto" w:line="288" w:before="0" w:after="240"/>
        <w:ind w:left="0" w:right="0" w:firstLine="2180"/>
        <w:jc w:val="both"/>
        <w:rPr/>
      </w:pPr>
      <w:r>
        <w:rPr>
          <w:rFonts w:ascii="Times New Roman;serif" w:hAnsi="Times New Roman;serif"/>
          <w:b/>
          <w:color w:val="000000"/>
          <w:sz w:val="24"/>
        </w:rPr>
        <w:t>(23)    </w:t>
      </w:r>
      <w:r>
        <w:rPr>
          <w:rFonts w:ascii="Times New Roman;serif" w:hAnsi="Times New Roman;serif"/>
          <w:b w:val="false"/>
          <w:color w:val="000000"/>
          <w:sz w:val="24"/>
        </w:rPr>
        <w:t>the currency of payment of Securities if other than U.S. dollars and the manner of determining the equivalent amount in U.S. dollars;</w:t>
      </w:r>
    </w:p>
    <w:p>
      <w:pPr>
        <w:pStyle w:val="TextBody"/>
        <w:bidi w:val="0"/>
        <w:spacing w:lineRule="auto" w:line="288" w:before="0" w:after="240"/>
        <w:ind w:left="0" w:right="0" w:firstLine="2180"/>
        <w:jc w:val="both"/>
        <w:rPr/>
      </w:pPr>
      <w:r>
        <w:rPr>
          <w:rFonts w:ascii="Times New Roman;serif" w:hAnsi="Times New Roman;serif"/>
          <w:b/>
          <w:color w:val="000000"/>
          <w:sz w:val="24"/>
        </w:rPr>
        <w:t>(24)    </w:t>
      </w:r>
      <w:r>
        <w:rPr>
          <w:rFonts w:ascii="Times New Roman;serif" w:hAnsi="Times New Roman;serif"/>
          <w:b w:val="false"/>
          <w:color w:val="000000"/>
          <w:sz w:val="24"/>
        </w:rPr>
        <w:t>whether interest will be payable in cash or additional Securities at the Company’s or the Securityholders’ option and the terms and conditions upon which the election may be made;</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3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2180"/>
        <w:jc w:val="both"/>
        <w:rPr/>
      </w:pPr>
      <w:r>
        <w:rPr>
          <w:rFonts w:ascii="Times New Roman;serif" w:hAnsi="Times New Roman;serif"/>
          <w:b/>
          <w:color w:val="000000"/>
          <w:sz w:val="24"/>
        </w:rPr>
        <w:t>(25)    </w:t>
      </w:r>
      <w:r>
        <w:rPr>
          <w:rFonts w:ascii="Times New Roman;serif" w:hAnsi="Times New Roman;serif"/>
          <w:b w:val="false"/>
          <w:color w:val="000000"/>
          <w:sz w:val="24"/>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lineRule="auto" w:line="288" w:before="0" w:after="240"/>
        <w:ind w:left="0" w:right="0" w:firstLine="2180"/>
        <w:jc w:val="both"/>
        <w:rPr/>
      </w:pPr>
      <w:r>
        <w:rPr>
          <w:rFonts w:ascii="Times New Roman;serif" w:hAnsi="Times New Roman;serif"/>
          <w:b/>
          <w:color w:val="000000"/>
          <w:sz w:val="24"/>
        </w:rPr>
        <w:t>(26)    </w:t>
      </w:r>
      <w:r>
        <w:rPr>
          <w:rFonts w:ascii="Times New Roman;serif" w:hAnsi="Times New Roman;serif"/>
          <w:b w:val="false"/>
          <w:color w:val="000000"/>
          <w:sz w:val="24"/>
        </w:rPr>
        <w:t>any restrictions on transfer, sale or assignment of the Securities of the series; and</w:t>
      </w:r>
    </w:p>
    <w:p>
      <w:pPr>
        <w:pStyle w:val="TextBody"/>
        <w:bidi w:val="0"/>
        <w:spacing w:lineRule="auto" w:line="288" w:before="0" w:after="240"/>
        <w:ind w:left="0" w:right="0" w:firstLine="2180"/>
        <w:jc w:val="both"/>
        <w:rPr/>
      </w:pPr>
      <w:r>
        <w:rPr>
          <w:rFonts w:ascii="Times New Roman;serif" w:hAnsi="Times New Roman;serif"/>
          <w:b/>
          <w:color w:val="000000"/>
          <w:sz w:val="24"/>
        </w:rPr>
        <w:t>(27)    </w:t>
      </w:r>
      <w:r>
        <w:rPr>
          <w:rFonts w:ascii="Times New Roman;serif" w:hAnsi="Times New Roman;serif"/>
          <w:b w:val="false"/>
          <w:color w:val="000000"/>
          <w:sz w:val="24"/>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All Securities of any one series shall be substantially identical except as may otherwise be provided in or pursuant to any such Board Resolution or in any indentures supplemental hereto.</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2.02     Form of Securities and Trustee’s Certificate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2.03     Denominations: Provisions for Payment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34"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lineRule="auto" w:line="288" w:before="0" w:after="240"/>
        <w:ind w:left="0" w:right="0" w:firstLine="740"/>
        <w:jc w:val="both"/>
        <w:rPr/>
      </w:pPr>
      <w:r>
        <w:rPr>
          <w:rFonts w:ascii="Times New Roman;serif" w:hAnsi="Times New Roman;serif"/>
          <w:b w:val="false"/>
          <w:color w:val="000000"/>
          <w:sz w:val="24"/>
        </w:rPr>
        <w:t>Any interest on any Security that is payable, but is not punctually paid or duly provided for, on any Interest Payment Date for Securities of the same series (herein called “</w:t>
      </w:r>
      <w:r>
        <w:rPr>
          <w:rFonts w:ascii="Times New Roman;serif" w:hAnsi="Times New Roman;serif"/>
          <w:b/>
          <w:i/>
          <w:color w:val="000000"/>
          <w:sz w:val="24"/>
        </w:rPr>
        <w:t>Defaulted Interest</w:t>
      </w:r>
      <w:r>
        <w:rPr>
          <w:color w:val="000000"/>
        </w:rPr>
        <w:t>”</w:t>
      </w:r>
      <w:r>
        <w:rPr>
          <w:rFonts w:ascii="Times New Roman;serif" w:hAnsi="Times New Roman;serif"/>
          <w:b w:val="false"/>
          <w:color w:val="000000"/>
          <w:sz w:val="24"/>
        </w:rPr>
        <w: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lineRule="auto" w:line="288" w:before="0" w:after="240"/>
        <w:ind w:left="0" w:right="0" w:firstLine="2180"/>
        <w:jc w:val="both"/>
        <w:rPr/>
      </w:pPr>
      <w:r>
        <w:rPr>
          <w:rFonts w:ascii="Times New Roman;serif" w:hAnsi="Times New Roman;serif"/>
          <w:b/>
          <w:color w:val="000000"/>
          <w:sz w:val="24"/>
        </w:rPr>
        <w:t>(1)    </w:t>
      </w:r>
      <w:r>
        <w:rPr>
          <w:rFonts w:ascii="Times New Roman;serif" w:hAnsi="Times New Roman;serif"/>
          <w:b w:val="false"/>
          <w:color w:val="000000"/>
          <w:sz w:val="24"/>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lineRule="auto" w:line="288" w:before="0" w:after="240"/>
        <w:ind w:left="0" w:right="0" w:firstLine="2180"/>
        <w:jc w:val="both"/>
        <w:rPr/>
      </w:pPr>
      <w:r>
        <w:rPr>
          <w:rFonts w:ascii="Times New Roman;serif" w:hAnsi="Times New Roman;serif"/>
          <w:b/>
          <w:color w:val="000000"/>
          <w:sz w:val="24"/>
        </w:rPr>
        <w:t>(2)    </w:t>
      </w:r>
      <w:r>
        <w:rPr>
          <w:rFonts w:ascii="Times New Roman;serif" w:hAnsi="Times New Roman;serif"/>
          <w:b w:val="false"/>
          <w:color w:val="000000"/>
          <w:sz w:val="24"/>
        </w:rPr>
        <w:t xml:space="preserve">The Company may make payment of any Defaulted Interest on any Securities in any other lawful manner not inconsistent with the requirements of any securities exchange on which such Securities may be listed, and upon such notice as may be required by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3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exchange, if, after notice given by the Company to the Trustee of the proposed payment pursuant to this clause, such manner of payment shall be deemed practicable by the Trustee.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2.04     Execution and Authentications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Securities shall be signed on behalf of the Company by one of its Officers. Signatures may be in the form of a manual or facsimile signature.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3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2.05     Registration of Transfer and Exchange</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The Company shall keep, or cause to be kept, at its office or agency designated for such purpose a register or registers (herein referred to as the “</w:t>
      </w:r>
      <w:r>
        <w:rPr>
          <w:rFonts w:ascii="Times New Roman;serif" w:hAnsi="Times New Roman;serif"/>
          <w:b/>
          <w:i/>
          <w:color w:val="000000"/>
          <w:sz w:val="24"/>
        </w:rPr>
        <w:t>Security Register</w:t>
      </w:r>
      <w:r>
        <w:rPr>
          <w:color w:val="000000"/>
        </w:rPr>
        <w:t>”</w:t>
      </w:r>
      <w:r>
        <w:rPr>
          <w:rFonts w:ascii="Times New Roman;serif" w:hAnsi="Times New Roman;serif"/>
          <w:b w:val="false"/>
          <w:color w:val="000000"/>
          <w:sz w:val="24"/>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Times New Roman;serif" w:hAnsi="Times New Roman;serif"/>
          <w:b/>
          <w:i/>
          <w:color w:val="000000"/>
          <w:sz w:val="24"/>
        </w:rPr>
        <w:t>Security Registrar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initially appoints the Trustee as the initial Security Registrar for each series of Securities.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3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2.06     Temporary Securities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2.07     Mutilated, Destroyed, Lost or Stolen Securities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3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2.08     Cancellation</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39"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2.09     Benefits of Indenture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2.10     Authenticating Agent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2.11     Global Securities</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 xml:space="preserve">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40"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2.12     CUSIP Numbers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41"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defect in or omission of such numbers. The Company will promptly notify the Trustee of any change in the “CUSIP” numbers.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REDEMPTION OF SECURITIES AND SINKING FUND PROVISIONS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3.01     Redemption</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may redeem the Securities of any series issued hereunder on and after the dates and in accordance with the terms established for such series pursuant to Section 2.01 hereof.</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3.02     Notice of Redemption</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4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3.03     Payment Upon Redemption</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4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3.04     Sinking Fund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3.05     Satisfaction of Sinking Fund Payments with Securities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3.06     Redemption of Securities for Sinking Fund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4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COVENANTS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4.01     Payment of Principal, Premium and Interest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4.02     Maintenance of Office or Agency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4.03     Paying Agents</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4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2180"/>
        <w:jc w:val="both"/>
        <w:rPr/>
      </w:pPr>
      <w:r>
        <w:rPr>
          <w:rFonts w:ascii="Times New Roman;serif" w:hAnsi="Times New Roman;serif"/>
          <w:b/>
          <w:color w:val="000000"/>
          <w:sz w:val="24"/>
        </w:rPr>
        <w:t>(1)    </w:t>
      </w:r>
      <w:r>
        <w:rPr>
          <w:rFonts w:ascii="Times New Roman;serif" w:hAnsi="Times New Roman;serif"/>
          <w:b w:val="false"/>
          <w:color w:val="000000"/>
          <w:sz w:val="24"/>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lineRule="auto" w:line="288" w:before="0" w:after="240"/>
        <w:ind w:left="0" w:right="0" w:firstLine="2180"/>
        <w:jc w:val="both"/>
        <w:rPr/>
      </w:pPr>
      <w:r>
        <w:rPr>
          <w:rFonts w:ascii="Times New Roman;serif" w:hAnsi="Times New Roman;serif"/>
          <w:b/>
          <w:color w:val="000000"/>
          <w:sz w:val="24"/>
        </w:rPr>
        <w:t>(2)    </w:t>
      </w:r>
      <w:r>
        <w:rPr>
          <w:rFonts w:ascii="Times New Roman;serif" w:hAnsi="Times New Roman;serif"/>
          <w:b w:val="false"/>
          <w:color w:val="000000"/>
          <w:sz w:val="24"/>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lineRule="auto" w:line="288" w:before="0" w:after="240"/>
        <w:ind w:left="0" w:right="0" w:firstLine="2180"/>
        <w:jc w:val="both"/>
        <w:rPr/>
      </w:pPr>
      <w:r>
        <w:rPr>
          <w:rFonts w:ascii="Times New Roman;serif" w:hAnsi="Times New Roman;serif"/>
          <w:b/>
          <w:color w:val="000000"/>
          <w:sz w:val="24"/>
        </w:rPr>
        <w:t>(3)    </w:t>
      </w:r>
      <w:r>
        <w:rPr>
          <w:rFonts w:ascii="Times New Roman;serif" w:hAnsi="Times New Roman;serif"/>
          <w:b w:val="false"/>
          <w:color w:val="000000"/>
          <w:sz w:val="24"/>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lineRule="auto" w:line="288" w:before="0" w:after="240"/>
        <w:ind w:left="0" w:right="0" w:firstLine="2180"/>
        <w:jc w:val="both"/>
        <w:rPr/>
      </w:pPr>
      <w:r>
        <w:rPr>
          <w:rFonts w:ascii="Times New Roman;serif" w:hAnsi="Times New Roman;serif"/>
          <w:b/>
          <w:color w:val="000000"/>
          <w:sz w:val="24"/>
        </w:rPr>
        <w:t>(4)    </w:t>
      </w:r>
      <w:r>
        <w:rPr>
          <w:rFonts w:ascii="Times New Roman;serif" w:hAnsi="Times New Roman;serif"/>
          <w:b w:val="false"/>
          <w:color w:val="000000"/>
          <w:sz w:val="24"/>
        </w:rPr>
        <w:t>that it will perform all other duties of paying agent as set forth in this Indenture.</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4.04     Appointment to Fill Vacancy in Office of Trustee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4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lineRule="auto" w:line="288" w:before="0" w:after="240"/>
        <w:ind w:left="0" w:right="0" w:firstLine="700"/>
        <w:jc w:val="center"/>
        <w:rPr>
          <w:rFonts w:ascii="Times New Roman;serif" w:hAnsi="Times New Roman;serif"/>
          <w:b/>
          <w:color w:val="000000"/>
          <w:sz w:val="24"/>
        </w:rPr>
      </w:pPr>
      <w:r>
        <w:rPr>
          <w:rFonts w:ascii="Times New Roman;serif" w:hAnsi="Times New Roman;serif"/>
          <w:b/>
          <w:color w:val="000000"/>
          <w:sz w:val="24"/>
        </w:rPr>
        <w:t>SECURITYHOLDERS’ LISTS AND REPORTS BY THE COMPANY AND THE TRUSTEE</w:t>
      </w:r>
    </w:p>
    <w:p>
      <w:pPr>
        <w:pStyle w:val="TextBody"/>
        <w:bidi w:val="0"/>
        <w:spacing w:lineRule="auto" w:line="288" w:before="0" w:after="240"/>
        <w:ind w:left="0" w:right="0" w:firstLine="700"/>
        <w:jc w:val="both"/>
        <w:rPr>
          <w:rFonts w:ascii="Times New Roman;serif" w:hAnsi="Times New Roman;serif"/>
          <w:b/>
          <w:color w:val="000000"/>
          <w:sz w:val="24"/>
        </w:rPr>
      </w:pPr>
      <w:r>
        <w:rPr>
          <w:rFonts w:ascii="Times New Roman;serif" w:hAnsi="Times New Roman;serif"/>
          <w:b/>
          <w:color w:val="000000"/>
          <w:sz w:val="24"/>
        </w:rPr>
        <w:t>Section 5.01     Company to Furnish Trustee Names and Addresses of Securityholders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lineRule="auto" w:line="288" w:before="0" w:after="240"/>
        <w:ind w:left="0" w:right="0" w:firstLine="700"/>
        <w:jc w:val="both"/>
        <w:rPr>
          <w:rFonts w:ascii="Times New Roman;serif" w:hAnsi="Times New Roman;serif"/>
          <w:b/>
          <w:color w:val="000000"/>
          <w:sz w:val="24"/>
        </w:rPr>
      </w:pPr>
      <w:r>
        <w:rPr>
          <w:rFonts w:ascii="Times New Roman;serif" w:hAnsi="Times New Roman;serif"/>
          <w:b/>
          <w:color w:val="000000"/>
          <w:sz w:val="24"/>
        </w:rPr>
        <w:t>Section 5.02     Preservation Of Information; Communications With Securityholders</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The Trustee may destroy any list furnished to it as provided in Section 5.01 upon receipt of a new list so furnished.</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lineRule="auto" w:line="288" w:before="0" w:after="240"/>
        <w:ind w:left="0" w:right="0" w:firstLine="700"/>
        <w:jc w:val="both"/>
        <w:rPr>
          <w:rFonts w:ascii="Times New Roman;serif" w:hAnsi="Times New Roman;serif"/>
          <w:b/>
          <w:color w:val="000000"/>
          <w:sz w:val="24"/>
        </w:rPr>
      </w:pPr>
      <w:r>
        <w:rPr>
          <w:rFonts w:ascii="Times New Roman;serif" w:hAnsi="Times New Roman;serif"/>
          <w:b/>
          <w:color w:val="000000"/>
          <w:sz w:val="24"/>
        </w:rPr>
        <w:t>Section 5.03     Reports by the Company</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4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5.04     Reports by the Trustee</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The Trustee shall comply with Section 313(b) and 313(c) of the Trust Indenture Act.</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4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REMEDIES OF THE TRUSTEE AND SECURITYHOLDERS ON EVENT OF DEFAULT</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6.01     Events of Default</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Whenever used herein with respect to Securities of a particular series, “</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means any one or more of the following events that has occurred and is continuing:</w:t>
      </w:r>
    </w:p>
    <w:p>
      <w:pPr>
        <w:pStyle w:val="TextBody"/>
        <w:bidi w:val="0"/>
        <w:spacing w:lineRule="auto" w:line="288" w:before="0" w:after="240"/>
        <w:ind w:left="0" w:right="0" w:firstLine="2180"/>
        <w:jc w:val="both"/>
        <w:rPr/>
      </w:pPr>
      <w:r>
        <w:rPr>
          <w:rFonts w:ascii="Times New Roman;serif" w:hAnsi="Times New Roman;serif"/>
          <w:b/>
          <w:color w:val="000000"/>
          <w:sz w:val="24"/>
        </w:rPr>
        <w:t>(1)    </w:t>
      </w:r>
      <w:r>
        <w:rPr>
          <w:rFonts w:ascii="Times New Roman;serif" w:hAnsi="Times New Roman;serif"/>
          <w:b w:val="false"/>
          <w:color w:val="000000"/>
          <w:sz w:val="24"/>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lineRule="auto" w:line="288" w:before="0" w:after="240"/>
        <w:ind w:left="0" w:right="0" w:firstLine="2180"/>
        <w:jc w:val="both"/>
        <w:rPr/>
      </w:pPr>
      <w:r>
        <w:rPr>
          <w:rFonts w:ascii="Times New Roman;serif" w:hAnsi="Times New Roman;serif"/>
          <w:b/>
          <w:color w:val="000000"/>
          <w:sz w:val="24"/>
        </w:rPr>
        <w:t>(2)    </w:t>
      </w:r>
      <w:r>
        <w:rPr>
          <w:rFonts w:ascii="Times New Roman;serif" w:hAnsi="Times New Roman;serif"/>
          <w:b w:val="false"/>
          <w:color w:val="000000"/>
          <w:sz w:val="24"/>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lineRule="auto" w:line="288" w:before="0" w:after="240"/>
        <w:ind w:left="0" w:right="0" w:firstLine="2180"/>
        <w:jc w:val="both"/>
        <w:rPr/>
      </w:pPr>
      <w:r>
        <w:rPr>
          <w:rFonts w:ascii="Times New Roman;serif" w:hAnsi="Times New Roman;serif"/>
          <w:b/>
          <w:color w:val="000000"/>
          <w:sz w:val="24"/>
        </w:rPr>
        <w:t>(3)    </w:t>
      </w:r>
      <w:r>
        <w:rPr>
          <w:rFonts w:ascii="Times New Roman;serif" w:hAnsi="Times New Roman;serif"/>
          <w:b w:val="false"/>
          <w:color w:val="000000"/>
          <w:sz w:val="24"/>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serif" w:hAnsi="Times New Roman;serif"/>
          <w:b/>
          <w:i/>
          <w:color w:val="000000"/>
          <w:sz w:val="24"/>
        </w:rPr>
        <w:t>Notice of Default</w:t>
      </w:r>
      <w:r>
        <w:rPr>
          <w:color w:val="000000"/>
        </w:rPr>
        <w:t xml:space="preserve">” </w:t>
      </w:r>
      <w:r>
        <w:rPr>
          <w:rFonts w:ascii="Times New Roman;serif" w:hAnsi="Times New Roman;serif"/>
          <w:b w:val="false"/>
          <w:color w:val="000000"/>
          <w:sz w:val="24"/>
        </w:rPr>
        <w:t>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lineRule="auto" w:line="288" w:before="0" w:after="240"/>
        <w:ind w:left="0" w:right="0" w:firstLine="2180"/>
        <w:jc w:val="both"/>
        <w:rPr/>
      </w:pPr>
      <w:r>
        <w:rPr>
          <w:rFonts w:ascii="Times New Roman;serif" w:hAnsi="Times New Roman;serif"/>
          <w:b/>
          <w:color w:val="000000"/>
          <w:sz w:val="24"/>
        </w:rPr>
        <w:t>(4)    </w:t>
      </w:r>
      <w:r>
        <w:rPr>
          <w:rFonts w:ascii="Times New Roman;serif" w:hAnsi="Times New Roman;serif"/>
          <w:b w:val="false"/>
          <w:color w:val="000000"/>
          <w:sz w:val="24"/>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lineRule="auto" w:line="288" w:before="0" w:after="240"/>
        <w:ind w:left="0" w:right="0" w:firstLine="2180"/>
        <w:jc w:val="both"/>
        <w:rPr/>
      </w:pPr>
      <w:r>
        <w:rPr>
          <w:rFonts w:ascii="Times New Roman;serif" w:hAnsi="Times New Roman;serif"/>
          <w:b/>
          <w:color w:val="000000"/>
          <w:sz w:val="24"/>
        </w:rPr>
        <w:t>(5)    </w:t>
      </w:r>
      <w:r>
        <w:rPr>
          <w:rFonts w:ascii="Times New Roman;serif" w:hAnsi="Times New Roman;serif"/>
          <w:b w:val="false"/>
          <w:color w:val="000000"/>
          <w:sz w:val="24"/>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4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No such rescission and annulment shall extend to or shall affect any subsequent default or impair any right consequent thereon.</w: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6.02     Collection of Indebtedness and Suits for Enforcement by Trustee</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 xml:space="preserve">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5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lineRule="auto" w:line="288" w:before="0" w:after="200"/>
        <w:ind w:left="0" w:right="0" w:firstLine="1460"/>
        <w:jc w:val="both"/>
        <w:rPr/>
      </w:pPr>
      <w:r>
        <w:rPr>
          <w:rFonts w:ascii="Times New Roman;serif" w:hAnsi="Times New Roman;serif"/>
          <w:b/>
          <w:color w:val="000000"/>
          <w:sz w:val="24"/>
        </w:rPr>
        <w:t>(c)</w:t>
      </w:r>
      <w:r>
        <w:rPr>
          <w:color w:val="000000"/>
        </w:rPr>
        <w:t>    </w:t>
      </w:r>
      <w:r>
        <w:rPr>
          <w:rFonts w:ascii="Times New Roman;serif" w:hAnsi="Times New Roman;serif"/>
          <w:b w:val="false"/>
          <w:color w:val="000000"/>
          <w:sz w:val="24"/>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5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6.03     Application of Moneys Collected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FIRST: To the payment of costs and expenses of collection and of all amounts payable to the Trustee under Section 7.06;</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THIRD: To the payment of the remainder, if any, to the Company or any other Person lawfully entitled thereto.</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6.04     Limitation on Suits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5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6.05     Rights and Remedies Cumulative; Delay or Omission Not Waiver</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6.06     Control by Securityholders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53"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6.07     Undertaking to Pay Costs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CONCERNING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7.01     Certain Duties and Responsibilities of Trustee</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 xml:space="preserve">The Trustee, prior to the occurrence of an Event of Default with respect to the Securities of a series and after the curing of all Events of Default with respect to the Securities of that series that may have occurred, shall undertake to perform with respect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54"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lineRule="auto" w:line="288" w:before="0" w:after="240"/>
        <w:ind w:left="0" w:right="0" w:firstLine="1480"/>
        <w:jc w:val="both"/>
        <w:rPr/>
      </w:pPr>
      <w:r>
        <w:rPr>
          <w:rFonts w:ascii="Times New Roman;serif" w:hAnsi="Times New Roman;serif"/>
          <w:b/>
          <w:color w:val="000000"/>
          <w:sz w:val="24"/>
        </w:rPr>
        <w:t>(b)    </w:t>
      </w:r>
      <w:r>
        <w:rPr>
          <w:rFonts w:ascii="Times New Roman;serif" w:hAnsi="Times New Roman;serif"/>
          <w:b w:val="false"/>
          <w:color w:val="000000"/>
          <w:sz w:val="24"/>
        </w:rPr>
        <w:t>No provision of this Indenture shall be construed to relieve the Trustee from liability for its own negligent action, its own negligent failure to act, or its own willful misconduct, except that:</w:t>
      </w:r>
    </w:p>
    <w:p>
      <w:pPr>
        <w:pStyle w:val="TextBody"/>
        <w:bidi w:val="0"/>
        <w:spacing w:lineRule="auto" w:line="288" w:before="0" w:after="240"/>
        <w:ind w:left="0" w:right="0" w:firstLine="1480"/>
        <w:jc w:val="both"/>
        <w:rPr/>
      </w:pPr>
      <w:r>
        <w:rPr>
          <w:rFonts w:ascii="Times New Roman;serif" w:hAnsi="Times New Roman;serif"/>
          <w:b/>
          <w:color w:val="000000"/>
          <w:sz w:val="24"/>
        </w:rPr>
        <w:t>(i)    </w:t>
      </w:r>
      <w:r>
        <w:rPr>
          <w:rFonts w:ascii="Times New Roman;serif" w:hAnsi="Times New Roman;serif"/>
          <w:b w:val="false"/>
          <w:color w:val="000000"/>
          <w:sz w:val="24"/>
        </w:rPr>
        <w:t>prior to the occurrence of an Event of Default with respect to the Securities of a series and after the curing or waiving of all such Events of Default with respect to that series that may have occurred:</w:t>
      </w:r>
    </w:p>
    <w:p>
      <w:pPr>
        <w:pStyle w:val="TextBody"/>
        <w:bidi w:val="0"/>
        <w:spacing w:lineRule="auto" w:line="288" w:before="0" w:after="240"/>
        <w:ind w:left="0" w:right="0" w:firstLine="2200"/>
        <w:jc w:val="both"/>
        <w:rPr/>
      </w:pPr>
      <w:r>
        <w:rPr>
          <w:rFonts w:ascii="Times New Roman;serif" w:hAnsi="Times New Roman;serif"/>
          <w:b/>
          <w:color w:val="000000"/>
          <w:sz w:val="24"/>
        </w:rPr>
        <w:t>(A)    </w:t>
      </w:r>
      <w:r>
        <w:rPr>
          <w:rFonts w:ascii="Times New Roman;serif" w:hAnsi="Times New Roman;serif"/>
          <w:b w:val="false"/>
          <w:color w:val="000000"/>
          <w:sz w:val="24"/>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lineRule="auto" w:line="288" w:before="0" w:after="240"/>
        <w:ind w:left="0" w:right="0" w:firstLine="2200"/>
        <w:jc w:val="both"/>
        <w:rPr/>
      </w:pPr>
      <w:r>
        <w:rPr>
          <w:rFonts w:ascii="Times New Roman;serif" w:hAnsi="Times New Roman;serif"/>
          <w:b/>
          <w:color w:val="000000"/>
          <w:sz w:val="24"/>
        </w:rPr>
        <w:t>(B)    </w:t>
      </w:r>
      <w:r>
        <w:rPr>
          <w:rFonts w:ascii="Times New Roman;serif" w:hAnsi="Times New Roman;serif"/>
          <w:b w:val="false"/>
          <w:color w:val="000000"/>
          <w:sz w:val="24"/>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lineRule="auto" w:line="288" w:before="0" w:after="240"/>
        <w:ind w:left="0" w:right="0" w:firstLine="1480"/>
        <w:jc w:val="both"/>
        <w:rPr/>
      </w:pPr>
      <w:r>
        <w:rPr>
          <w:rFonts w:ascii="Times New Roman;serif" w:hAnsi="Times New Roman;serif"/>
          <w:b/>
          <w:color w:val="000000"/>
          <w:sz w:val="24"/>
        </w:rPr>
        <w:t>(ii)    </w:t>
      </w:r>
      <w:r>
        <w:rPr>
          <w:rFonts w:ascii="Times New Roman;serif" w:hAnsi="Times New Roman;serif"/>
          <w:b w:val="false"/>
          <w:color w:val="000000"/>
          <w:sz w:val="24"/>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lineRule="auto" w:line="288" w:before="0" w:after="240"/>
        <w:ind w:left="0" w:right="0" w:firstLine="1480"/>
        <w:jc w:val="both"/>
        <w:rPr/>
      </w:pPr>
      <w:r>
        <w:rPr>
          <w:rFonts w:ascii="Times New Roman;serif" w:hAnsi="Times New Roman;serif"/>
          <w:b/>
          <w:color w:val="000000"/>
          <w:sz w:val="24"/>
        </w:rPr>
        <w:t>(iii)    </w:t>
      </w:r>
      <w:r>
        <w:rPr>
          <w:rFonts w:ascii="Times New Roman;serif" w:hAnsi="Times New Roman;serif"/>
          <w:b w:val="false"/>
          <w:color w:val="000000"/>
          <w:sz w:val="24"/>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lineRule="auto" w:line="288" w:before="0" w:after="240"/>
        <w:ind w:left="0" w:right="0" w:firstLine="1480"/>
        <w:jc w:val="both"/>
        <w:rPr/>
      </w:pPr>
      <w:r>
        <w:rPr>
          <w:rFonts w:ascii="Times New Roman;serif" w:hAnsi="Times New Roman;serif"/>
          <w:b/>
          <w:color w:val="000000"/>
          <w:sz w:val="24"/>
        </w:rPr>
        <w:t>(iv)    </w:t>
      </w:r>
      <w:r>
        <w:rPr>
          <w:rFonts w:ascii="Times New Roman;serif" w:hAnsi="Times New Roman;serif"/>
          <w:b w:val="false"/>
          <w:color w:val="000000"/>
          <w:sz w:val="24"/>
        </w:rPr>
        <w:t xml:space="preserve">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55"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believing that the repayment of such funds or liability is not reasonably assured to it under the terms of this Indenture or adequate indemnity against such risk is not reasonably assured to it;</w:t>
      </w:r>
    </w:p>
    <w:p>
      <w:pPr>
        <w:pStyle w:val="TextBody"/>
        <w:bidi w:val="0"/>
        <w:spacing w:lineRule="auto" w:line="288" w:before="0" w:after="240"/>
        <w:ind w:left="0" w:right="0" w:firstLine="1480"/>
        <w:jc w:val="both"/>
        <w:rPr/>
      </w:pPr>
      <w:r>
        <w:rPr>
          <w:rFonts w:ascii="Times New Roman;serif" w:hAnsi="Times New Roman;serif"/>
          <w:b/>
          <w:color w:val="000000"/>
          <w:sz w:val="24"/>
        </w:rPr>
        <w:t>(v)    </w:t>
      </w:r>
      <w:r>
        <w:rPr>
          <w:rFonts w:ascii="Times New Roman;serif" w:hAnsi="Times New Roman;serif"/>
          <w:b w:val="false"/>
          <w:color w:val="000000"/>
          <w:sz w:val="24"/>
        </w:rPr>
        <w:t>The Trustee shall not be required to give any bond or surety in respect of the performance of its powers or duties hereunder;</w:t>
      </w:r>
    </w:p>
    <w:p>
      <w:pPr>
        <w:pStyle w:val="TextBody"/>
        <w:bidi w:val="0"/>
        <w:spacing w:lineRule="auto" w:line="288" w:before="0" w:after="240"/>
        <w:ind w:left="0" w:right="0" w:firstLine="1480"/>
        <w:jc w:val="both"/>
        <w:rPr/>
      </w:pPr>
      <w:r>
        <w:rPr>
          <w:rFonts w:ascii="Times New Roman;serif" w:hAnsi="Times New Roman;serif"/>
          <w:b/>
          <w:color w:val="000000"/>
          <w:sz w:val="24"/>
        </w:rPr>
        <w:t>(vi)    </w:t>
      </w:r>
      <w:r>
        <w:rPr>
          <w:rFonts w:ascii="Times New Roman;serif" w:hAnsi="Times New Roman;serif"/>
          <w:b w:val="false"/>
          <w:color w:val="000000"/>
          <w:sz w:val="24"/>
        </w:rPr>
        <w:t>The permissive right of the Trustee to do things enumerated in this Indenture shall not be construed as a duty of the Trustee; and</w:t>
      </w:r>
    </w:p>
    <w:p>
      <w:pPr>
        <w:pStyle w:val="TextBody"/>
        <w:bidi w:val="0"/>
        <w:spacing w:lineRule="auto" w:line="288" w:before="0" w:after="240"/>
        <w:ind w:left="0" w:right="0" w:firstLine="1480"/>
        <w:jc w:val="both"/>
        <w:rPr/>
      </w:pPr>
      <w:r>
        <w:rPr>
          <w:rFonts w:ascii="Times New Roman;serif" w:hAnsi="Times New Roman;serif"/>
          <w:b/>
          <w:color w:val="000000"/>
          <w:sz w:val="24"/>
        </w:rPr>
        <w:t>(vii)    </w:t>
      </w:r>
      <w:r>
        <w:rPr>
          <w:rFonts w:ascii="Times New Roman;serif" w:hAnsi="Times New Roman;serif"/>
          <w:b w:val="false"/>
          <w:color w:val="000000"/>
          <w:sz w:val="24"/>
        </w:rPr>
        <w:t>No Trustee shall have any duty or responsibility for any act or omission of any other Trustee appointed with respect to a series of Securities hereunder.</w:t>
      </w:r>
    </w:p>
    <w:p>
      <w:pPr>
        <w:pStyle w:val="TextBody"/>
        <w:bidi w:val="0"/>
        <w:spacing w:lineRule="auto" w:line="288" w:before="0" w:after="240"/>
        <w:ind w:left="0" w:right="0" w:firstLine="760"/>
        <w:jc w:val="both"/>
        <w:rPr>
          <w:rFonts w:ascii="Times New Roman;serif" w:hAnsi="Times New Roman;serif"/>
          <w:b/>
          <w:color w:val="000000"/>
          <w:sz w:val="24"/>
        </w:rPr>
      </w:pPr>
      <w:r>
        <w:rPr>
          <w:rFonts w:ascii="Times New Roman;serif" w:hAnsi="Times New Roman;serif"/>
          <w:b/>
          <w:color w:val="000000"/>
          <w:sz w:val="24"/>
        </w:rPr>
        <w:t>Section 7.02     Certain Rights of Trustee</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Section 7.01:</w:t>
      </w:r>
    </w:p>
    <w:p>
      <w:pPr>
        <w:pStyle w:val="TextBody"/>
        <w:bidi w:val="0"/>
        <w:spacing w:lineRule="auto" w:line="288" w:before="0" w:after="240"/>
        <w:ind w:left="0" w:right="0" w:firstLine="1480"/>
        <w:jc w:val="both"/>
        <w:rPr/>
      </w:pPr>
      <w:r>
        <w:rPr>
          <w:rFonts w:ascii="Times New Roman;serif" w:hAnsi="Times New Roman;serif"/>
          <w:b/>
          <w:color w:val="000000"/>
          <w:sz w:val="24"/>
        </w:rPr>
        <w:t>(a)    </w:t>
      </w:r>
      <w:r>
        <w:rPr>
          <w:rFonts w:ascii="Times New Roman;serif" w:hAnsi="Times New Roman;serif"/>
          <w:b w:val="false"/>
          <w:color w:val="000000"/>
          <w:sz w:val="24"/>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lineRule="auto" w:line="288" w:before="0" w:after="240"/>
        <w:ind w:left="0" w:right="0" w:firstLine="1480"/>
        <w:jc w:val="both"/>
        <w:rPr/>
      </w:pPr>
      <w:r>
        <w:rPr>
          <w:rFonts w:ascii="Times New Roman;serif" w:hAnsi="Times New Roman;serif"/>
          <w:b/>
          <w:color w:val="000000"/>
          <w:sz w:val="24"/>
        </w:rPr>
        <w:t>(b)    </w:t>
      </w:r>
      <w:r>
        <w:rPr>
          <w:rFonts w:ascii="Times New Roman;serif" w:hAnsi="Times New Roman;serif"/>
          <w:b w:val="false"/>
          <w:color w:val="000000"/>
          <w:sz w:val="24"/>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lineRule="auto" w:line="288" w:before="0" w:after="240"/>
        <w:ind w:left="0" w:right="0" w:firstLine="1480"/>
        <w:jc w:val="both"/>
        <w:rPr/>
      </w:pPr>
      <w:r>
        <w:rPr>
          <w:rFonts w:ascii="Times New Roman;serif" w:hAnsi="Times New Roman;serif"/>
          <w:b/>
          <w:color w:val="000000"/>
          <w:sz w:val="24"/>
        </w:rPr>
        <w:t>(c)    </w:t>
      </w:r>
      <w:r>
        <w:rPr>
          <w:rFonts w:ascii="Times New Roman;serif" w:hAnsi="Times New Roman;serif"/>
          <w:b w:val="false"/>
          <w:color w:val="000000"/>
          <w:sz w:val="24"/>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lineRule="auto" w:line="288" w:before="0" w:after="240"/>
        <w:ind w:left="0" w:right="0" w:firstLine="1480"/>
        <w:jc w:val="both"/>
        <w:rPr/>
      </w:pPr>
      <w:r>
        <w:rPr>
          <w:rFonts w:ascii="Times New Roman;serif" w:hAnsi="Times New Roman;serif"/>
          <w:b/>
          <w:color w:val="000000"/>
          <w:sz w:val="24"/>
        </w:rPr>
        <w:t>(d)    </w:t>
      </w:r>
      <w:r>
        <w:rPr>
          <w:rFonts w:ascii="Times New Roman;serif" w:hAnsi="Times New Roman;serif"/>
          <w:b w:val="false"/>
          <w:color w:val="000000"/>
          <w:sz w:val="24"/>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lineRule="auto" w:line="288" w:before="0" w:after="240"/>
        <w:ind w:left="0" w:right="0" w:firstLine="1480"/>
        <w:jc w:val="both"/>
        <w:rPr/>
      </w:pPr>
      <w:r>
        <w:rPr>
          <w:rFonts w:ascii="Times New Roman;serif" w:hAnsi="Times New Roman;serif"/>
          <w:b/>
          <w:color w:val="000000"/>
          <w:sz w:val="24"/>
        </w:rPr>
        <w:t>(e)    </w:t>
      </w:r>
      <w:r>
        <w:rPr>
          <w:rFonts w:ascii="Times New Roman;serif" w:hAnsi="Times New Roman;serif"/>
          <w:b w:val="false"/>
          <w:color w:val="000000"/>
          <w:sz w:val="24"/>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5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ind w:left="0" w:right="0" w:firstLine="1460"/>
        <w:jc w:val="both"/>
        <w:rPr/>
      </w:pPr>
      <w:r>
        <w:rPr>
          <w:rFonts w:ascii="Times New Roman;serif" w:hAnsi="Times New Roman;serif"/>
          <w:b/>
          <w:color w:val="000000"/>
          <w:sz w:val="24"/>
        </w:rPr>
        <w:t>(f)    </w:t>
      </w:r>
      <w:r>
        <w:rPr>
          <w:rFonts w:ascii="Times New Roman;serif" w:hAnsi="Times New Roman;serif"/>
          <w:b w:val="false"/>
          <w:color w:val="000000"/>
          <w:sz w:val="24"/>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lineRule="auto" w:line="288" w:before="0" w:after="240"/>
        <w:ind w:left="0" w:right="0" w:firstLine="1460"/>
        <w:jc w:val="both"/>
        <w:rPr/>
      </w:pPr>
      <w:r>
        <w:rPr>
          <w:rFonts w:ascii="Times New Roman;serif" w:hAnsi="Times New Roman;serif"/>
          <w:b/>
          <w:color w:val="000000"/>
          <w:sz w:val="24"/>
        </w:rPr>
        <w:t>(g)    </w:t>
      </w:r>
      <w:r>
        <w:rPr>
          <w:rFonts w:ascii="Times New Roman;serif" w:hAnsi="Times New Roman;serif"/>
          <w:b w:val="false"/>
          <w:color w:val="000000"/>
          <w:sz w:val="24"/>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before="0" w:after="240"/>
        <w:ind w:left="0" w:right="0" w:firstLine="1460"/>
        <w:jc w:val="both"/>
        <w:rPr/>
      </w:pPr>
      <w:r>
        <w:rPr>
          <w:rFonts w:ascii="Times New Roman;serif" w:hAnsi="Times New Roman;serif"/>
          <w:b/>
          <w:color w:val="000000"/>
          <w:sz w:val="24"/>
        </w:rPr>
        <w:t>(h)    </w:t>
      </w:r>
      <w:r>
        <w:rPr>
          <w:rFonts w:ascii="Times New Roman;serif" w:hAnsi="Times New Roman;serif"/>
          <w:b w:val="false"/>
          <w:color w:val="000000"/>
          <w:sz w:val="24"/>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lineRule="auto" w:line="288" w:before="0" w:after="240"/>
        <w:ind w:left="0" w:right="0" w:firstLine="1460"/>
        <w:jc w:val="both"/>
        <w:rPr/>
      </w:pPr>
      <w:r>
        <w:rPr>
          <w:rFonts w:ascii="Times New Roman;serif" w:hAnsi="Times New Roman;serif"/>
          <w:b/>
          <w:color w:val="000000"/>
          <w:sz w:val="24"/>
        </w:rPr>
        <w:t>(i)    </w:t>
      </w:r>
      <w:r>
        <w:rPr>
          <w:rFonts w:ascii="Times New Roman;serif" w:hAnsi="Times New Roman;serif"/>
          <w:b w:val="false"/>
          <w:color w:val="000000"/>
          <w:sz w:val="24"/>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lineRule="auto" w:line="288" w:before="0" w:after="240"/>
        <w:ind w:left="0" w:right="0" w:firstLine="1460"/>
        <w:jc w:val="both"/>
        <w:rPr/>
      </w:pPr>
      <w:r>
        <w:rPr>
          <w:rFonts w:ascii="Times New Roman;serif" w:hAnsi="Times New Roman;serif"/>
          <w:b/>
          <w:color w:val="000000"/>
          <w:sz w:val="24"/>
        </w:rPr>
        <w:t>(j)    </w:t>
      </w:r>
      <w:r>
        <w:rPr>
          <w:rFonts w:ascii="Times New Roman;serif" w:hAnsi="Times New Roman;serif"/>
          <w:b w:val="false"/>
          <w:color w:val="000000"/>
          <w:sz w:val="24"/>
        </w:rPr>
        <w:t xml:space="preserve">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5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lineRule="auto" w:line="288" w:before="0" w:after="240"/>
        <w:ind w:left="0" w:right="0" w:firstLine="1460"/>
        <w:jc w:val="both"/>
        <w:rPr/>
      </w:pPr>
      <w:r>
        <w:rPr>
          <w:rFonts w:ascii="Times New Roman;serif" w:hAnsi="Times New Roman;serif"/>
          <w:b/>
          <w:color w:val="000000"/>
          <w:sz w:val="24"/>
        </w:rPr>
        <w:t>(k)    </w:t>
      </w:r>
      <w:r>
        <w:rPr>
          <w:rFonts w:ascii="Times New Roman;serif" w:hAnsi="Times New Roman;serif"/>
          <w:b w:val="false"/>
          <w:color w:val="000000"/>
          <w:sz w:val="24"/>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lineRule="auto" w:line="288" w:before="0" w:after="240"/>
        <w:ind w:left="0" w:right="0" w:firstLine="1460"/>
        <w:jc w:val="both"/>
        <w:rPr/>
      </w:pPr>
      <w:r>
        <w:rPr>
          <w:rFonts w:ascii="Times New Roman;serif" w:hAnsi="Times New Roman;serif"/>
          <w:b/>
          <w:color w:val="000000"/>
          <w:sz w:val="24"/>
        </w:rPr>
        <w:t>(l)    </w:t>
      </w:r>
      <w:r>
        <w:rPr>
          <w:rFonts w:ascii="Times New Roman;serif" w:hAnsi="Times New Roman;serif"/>
          <w:b w:val="false"/>
          <w:color w:val="000000"/>
          <w:sz w:val="24"/>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7.03     Trustee Not Responsible for Recitals or Issuance or Securities</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The Trustee makes no representations as to the validity or sufficiency of this Indenture or of the Securities.</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7.04     May Hold Securities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7.05     Moneys Held in Trust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5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7.06     Compensation and Reimbursement</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7.07     Reliance on Officer’s Certificate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5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 08     Disqualification; Conflicting Interests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7.09     Corporate Trustee Required; Eligibility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7.10     Resignation and Removal; Appointment of Successor</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6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(b)    </w:t>
      </w:r>
      <w:r>
        <w:rPr>
          <w:rFonts w:ascii="Times New Roman;serif" w:hAnsi="Times New Roman;serif"/>
          <w:b w:val="false"/>
          <w:color w:val="000000"/>
          <w:sz w:val="24"/>
        </w:rPr>
        <w:t>In case at any time any one of the following shall occur:</w:t>
      </w:r>
    </w:p>
    <w:p>
      <w:pPr>
        <w:pStyle w:val="TextBody"/>
        <w:bidi w:val="0"/>
        <w:spacing w:lineRule="auto" w:line="288" w:before="0" w:after="240"/>
        <w:ind w:left="0" w:right="0" w:firstLine="2180"/>
        <w:jc w:val="both"/>
        <w:rPr/>
      </w:pPr>
      <w:r>
        <w:rPr>
          <w:rFonts w:ascii="Times New Roman;serif" w:hAnsi="Times New Roman;serif"/>
          <w:b/>
          <w:color w:val="000000"/>
          <w:sz w:val="24"/>
        </w:rPr>
        <w:t>(i)    </w:t>
      </w:r>
      <w:r>
        <w:rPr>
          <w:rFonts w:ascii="Times New Roman;serif" w:hAnsi="Times New Roman;serif"/>
          <w:b w:val="false"/>
          <w:color w:val="000000"/>
          <w:sz w:val="24"/>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lineRule="auto" w:line="288" w:before="0" w:after="240"/>
        <w:ind w:left="0" w:right="0" w:firstLine="2180"/>
        <w:jc w:val="both"/>
        <w:rPr/>
      </w:pPr>
      <w:r>
        <w:rPr>
          <w:rFonts w:ascii="Times New Roman;serif" w:hAnsi="Times New Roman;serif"/>
          <w:b/>
          <w:color w:val="000000"/>
          <w:sz w:val="24"/>
        </w:rPr>
        <w:t>(ii)    </w:t>
      </w:r>
      <w:r>
        <w:rPr>
          <w:rFonts w:ascii="Times New Roman;serif" w:hAnsi="Times New Roman;serif"/>
          <w:b w:val="false"/>
          <w:color w:val="000000"/>
          <w:sz w:val="24"/>
        </w:rPr>
        <w:t>the Trustee shall cease to be eligible in accordance with the provisions of Section 7.09 and shall fail to resign after written request therefor by the Company or by any such Securityholder; or</w:t>
      </w:r>
    </w:p>
    <w:p>
      <w:pPr>
        <w:pStyle w:val="TextBody"/>
        <w:bidi w:val="0"/>
        <w:spacing w:lineRule="auto" w:line="288" w:before="0" w:after="240"/>
        <w:ind w:left="0" w:right="0" w:firstLine="2180"/>
        <w:jc w:val="both"/>
        <w:rPr/>
      </w:pPr>
      <w:r>
        <w:rPr>
          <w:rFonts w:ascii="Times New Roman;serif" w:hAnsi="Times New Roman;serif"/>
          <w:b/>
          <w:color w:val="000000"/>
          <w:sz w:val="24"/>
        </w:rPr>
        <w:t>(iii)    </w:t>
      </w:r>
      <w:r>
        <w:rPr>
          <w:rFonts w:ascii="Times New Roman;serif" w:hAnsi="Times New Roman;serif"/>
          <w:b w:val="false"/>
          <w:color w:val="000000"/>
          <w:sz w:val="24"/>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lineRule="auto" w:line="288" w:before="0" w:after="240"/>
        <w:ind w:left="0" w:right="0" w:firstLine="1460"/>
        <w:jc w:val="both"/>
        <w:rPr/>
      </w:pPr>
      <w:r>
        <w:rPr>
          <w:rFonts w:ascii="Times New Roman;serif" w:hAnsi="Times New Roman;serif"/>
          <w:b/>
          <w:color w:val="000000"/>
          <w:sz w:val="24"/>
        </w:rPr>
        <w:t>(e)    </w:t>
      </w:r>
      <w:r>
        <w:rPr>
          <w:rFonts w:ascii="Times New Roman;serif" w:hAnsi="Times New Roman;serif"/>
          <w:b w:val="false"/>
          <w:color w:val="000000"/>
          <w:sz w:val="24"/>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7.11     Acceptance of Appointment By Successor</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6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No successor trustee shall accept its appointment unless at the time of such acceptance such successor trustee shall be qualified and eligible under this Article.</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6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1460"/>
        <w:jc w:val="both"/>
        <w:rPr/>
      </w:pPr>
      <w:r>
        <w:rPr>
          <w:rFonts w:ascii="Times New Roman;serif" w:hAnsi="Times New Roman;serif"/>
          <w:b/>
          <w:color w:val="000000"/>
          <w:sz w:val="24"/>
        </w:rPr>
        <w:t>(e)    </w:t>
      </w:r>
      <w:r>
        <w:rPr>
          <w:rFonts w:ascii="Times New Roman;serif" w:hAnsi="Times New Roman;serif"/>
          <w:b w:val="false"/>
          <w:color w:val="000000"/>
          <w:sz w:val="24"/>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7.12     Merger, Conversion, Consolidation or Succession to Business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7.13     Preferential Collection of Claims Against the Company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lineRule="auto" w:line="288" w:before="0" w:after="240"/>
        <w:ind w:left="0" w:right="0" w:firstLine="740"/>
        <w:jc w:val="both"/>
        <w:rPr/>
      </w:pPr>
      <w:r>
        <w:rPr>
          <w:rFonts w:ascii="Times New Roman;serif" w:hAnsi="Times New Roman;serif"/>
          <w:b/>
          <w:color w:val="000000"/>
          <w:sz w:val="24"/>
        </w:rPr>
        <w:t>Section 7.14     Notice of Default</w:t>
      </w:r>
      <w:r>
        <w:rPr>
          <w:rFonts w:ascii="Times New Roman;serif" w:hAnsi="Times New Roman;serif"/>
          <w:b w:val="false"/>
          <w:color w:val="000000"/>
          <w:sz w:val="24"/>
        </w:rPr>
        <w:t>.</w:t>
      </w:r>
    </w:p>
    <w:p>
      <w:pPr>
        <w:pStyle w:val="TextBody"/>
        <w:bidi w:val="0"/>
        <w:spacing w:lineRule="auto" w:line="288" w:before="0" w:after="240"/>
        <w:ind w:left="0" w:right="0" w:firstLine="740"/>
        <w:jc w:val="both"/>
        <w:rPr/>
      </w:pPr>
      <w:r>
        <w:rPr>
          <w:rFonts w:ascii="Times New Roman;serif" w:hAnsi="Times New Roman;serif"/>
          <w:b w:val="false"/>
          <w:color w:val="000000"/>
          <w:sz w:val="24"/>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serif" w:hAnsi="Times New Roman;serif"/>
          <w:b w:val="false"/>
          <w:i/>
          <w:color w:val="000000"/>
          <w:sz w:val="24"/>
        </w:rPr>
        <w:t>provided, however</w:t>
      </w:r>
      <w:r>
        <w:rPr>
          <w:rFonts w:ascii="Times New Roman;serif" w:hAnsi="Times New Roman;serif"/>
          <w:b w:val="false"/>
          <w:color w:val="000000"/>
          <w:sz w:val="24"/>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6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8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CONCERNING THE SECURITYHOLDERS</w:t>
      </w:r>
    </w:p>
    <w:p>
      <w:pPr>
        <w:pStyle w:val="TextBody"/>
        <w:bidi w:val="0"/>
        <w:spacing w:lineRule="auto" w:line="288" w:before="0" w:after="240"/>
        <w:ind w:left="0" w:right="0" w:firstLine="760"/>
        <w:jc w:val="both"/>
        <w:rPr>
          <w:rFonts w:ascii="Times New Roman;serif" w:hAnsi="Times New Roman;serif"/>
          <w:b/>
          <w:color w:val="000000"/>
          <w:sz w:val="24"/>
        </w:rPr>
      </w:pPr>
      <w:r>
        <w:rPr>
          <w:rFonts w:ascii="Times New Roman;serif" w:hAnsi="Times New Roman;serif"/>
          <w:b/>
          <w:color w:val="000000"/>
          <w:sz w:val="24"/>
        </w:rPr>
        <w:t>Section 8.01     Evidence of Action by Securityholders</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lineRule="auto" w:line="288" w:before="0" w:after="240"/>
        <w:ind w:left="0" w:right="0" w:firstLine="760"/>
        <w:jc w:val="both"/>
        <w:rPr>
          <w:rFonts w:ascii="Times New Roman;serif" w:hAnsi="Times New Roman;serif"/>
          <w:b/>
          <w:color w:val="000000"/>
          <w:sz w:val="24"/>
        </w:rPr>
      </w:pPr>
      <w:r>
        <w:rPr>
          <w:rFonts w:ascii="Times New Roman;serif" w:hAnsi="Times New Roman;serif"/>
          <w:b/>
          <w:color w:val="000000"/>
          <w:sz w:val="24"/>
        </w:rPr>
        <w:t>Section 8.02    Proof of Execution by Securityholders</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lineRule="auto" w:line="288" w:before="0" w:after="240"/>
        <w:ind w:left="0" w:right="0" w:firstLine="1480"/>
        <w:jc w:val="both"/>
        <w:rPr/>
      </w:pPr>
      <w:r>
        <w:rPr>
          <w:rFonts w:ascii="Times New Roman;serif" w:hAnsi="Times New Roman;serif"/>
          <w:b/>
          <w:color w:val="000000"/>
          <w:sz w:val="24"/>
        </w:rPr>
        <w:t>(a)    </w:t>
      </w:r>
      <w:r>
        <w:rPr>
          <w:rFonts w:ascii="Times New Roman;serif" w:hAnsi="Times New Roman;serif"/>
          <w:b w:val="false"/>
          <w:color w:val="000000"/>
          <w:sz w:val="24"/>
        </w:rPr>
        <w:t>The fact and date of the execution by any such Person of any instrument may be proved in any reasonable manner acceptable to the Trustee.</w:t>
      </w:r>
    </w:p>
    <w:p>
      <w:pPr>
        <w:pStyle w:val="TextBody"/>
        <w:bidi w:val="0"/>
        <w:spacing w:lineRule="auto" w:line="288" w:before="0" w:after="240"/>
        <w:ind w:left="0" w:right="0" w:firstLine="1480"/>
        <w:jc w:val="both"/>
        <w:rPr/>
      </w:pPr>
      <w:r>
        <w:rPr>
          <w:rFonts w:ascii="Times New Roman;serif" w:hAnsi="Times New Roman;serif"/>
          <w:b/>
          <w:color w:val="000000"/>
          <w:sz w:val="24"/>
        </w:rPr>
        <w:t>(b)    </w:t>
      </w:r>
      <w:r>
        <w:rPr>
          <w:rFonts w:ascii="Times New Roman;serif" w:hAnsi="Times New Roman;serif"/>
          <w:b w:val="false"/>
          <w:color w:val="000000"/>
          <w:sz w:val="24"/>
        </w:rPr>
        <w:t>The ownership of Securities shall be proved by the Security Register of such Securities or by a certificate of the Security Registrar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may require such additional proof of any matter referred to in this Section as it shall deem necessary.</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6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8.03    Who May be Deemed Owners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8.04    Certain Securities Owned by Company Disregarded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8.05    Actions Binding on Future Securityholders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6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SUPPLEMENTAL INDENTURES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9.01    Supplemental Indentures Without the Consent of Securityholders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to cure any ambiguity, defect, or inconsistency herein or in the Securities of any series;</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to comply with Article Ten;</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to provide for uncertificated Securities in addition to or in place of certificated Securities;</w:t>
      </w:r>
    </w:p>
    <w:p>
      <w:pPr>
        <w:pStyle w:val="TextBody"/>
        <w:bidi w:val="0"/>
        <w:spacing w:lineRule="auto" w:line="288" w:before="0" w:after="240"/>
        <w:ind w:left="0" w:right="0" w:firstLine="1460"/>
        <w:jc w:val="both"/>
        <w:rPr/>
      </w:pPr>
      <w:r>
        <w:rPr>
          <w:rFonts w:ascii="Times New Roman;serif" w:hAnsi="Times New Roman;serif"/>
          <w:b/>
          <w:color w:val="000000"/>
          <w:sz w:val="24"/>
        </w:rPr>
        <w:t>(d)    </w:t>
      </w:r>
      <w:r>
        <w:rPr>
          <w:rFonts w:ascii="Times New Roman;serif" w:hAnsi="Times New Roman;serif"/>
          <w:b w:val="false"/>
          <w:color w:val="000000"/>
          <w:sz w:val="24"/>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lineRule="auto" w:line="288" w:before="0" w:after="240"/>
        <w:ind w:left="0" w:right="0" w:firstLine="1460"/>
        <w:jc w:val="both"/>
        <w:rPr/>
      </w:pPr>
      <w:r>
        <w:rPr>
          <w:rFonts w:ascii="Times New Roman;serif" w:hAnsi="Times New Roman;serif"/>
          <w:b/>
          <w:color w:val="000000"/>
          <w:sz w:val="24"/>
        </w:rPr>
        <w:t>(e)    </w:t>
      </w:r>
      <w:r>
        <w:rPr>
          <w:rFonts w:ascii="Times New Roman;serif" w:hAnsi="Times New Roman;serif"/>
          <w:b w:val="false"/>
          <w:color w:val="000000"/>
          <w:sz w:val="24"/>
        </w:rPr>
        <w:t>to add to, delete from, or revise the conditions, limitations, and restrictions on the authorized amount, terms, or purposes of issue, authentication, and delivery of Securities, as herein set forth;</w:t>
      </w:r>
    </w:p>
    <w:p>
      <w:pPr>
        <w:pStyle w:val="TextBody"/>
        <w:bidi w:val="0"/>
        <w:spacing w:lineRule="auto" w:line="288" w:before="0" w:after="240"/>
        <w:ind w:left="0" w:right="0" w:firstLine="1460"/>
        <w:jc w:val="both"/>
        <w:rPr/>
      </w:pPr>
      <w:r>
        <w:rPr>
          <w:rFonts w:ascii="Times New Roman;serif" w:hAnsi="Times New Roman;serif"/>
          <w:b/>
          <w:color w:val="000000"/>
          <w:sz w:val="24"/>
        </w:rPr>
        <w:t>(f)    </w:t>
      </w:r>
      <w:r>
        <w:rPr>
          <w:rFonts w:ascii="Times New Roman;serif" w:hAnsi="Times New Roman;serif"/>
          <w:b w:val="false"/>
          <w:color w:val="000000"/>
          <w:sz w:val="24"/>
        </w:rPr>
        <w:t>to make any change that does not adversely affect the rights of any Securityholder in any material respect;</w:t>
      </w:r>
    </w:p>
    <w:p>
      <w:pPr>
        <w:pStyle w:val="TextBody"/>
        <w:bidi w:val="0"/>
        <w:spacing w:lineRule="auto" w:line="288" w:before="0" w:after="240"/>
        <w:ind w:left="0" w:right="0" w:firstLine="1460"/>
        <w:jc w:val="both"/>
        <w:rPr/>
      </w:pPr>
      <w:r>
        <w:rPr>
          <w:rFonts w:ascii="Times New Roman;serif" w:hAnsi="Times New Roman;serif"/>
          <w:b/>
          <w:color w:val="000000"/>
          <w:sz w:val="24"/>
        </w:rPr>
        <w:t>(g)    </w:t>
      </w:r>
      <w:r>
        <w:rPr>
          <w:rFonts w:ascii="Times New Roman;serif" w:hAnsi="Times New Roman;serif"/>
          <w:b w:val="false"/>
          <w:color w:val="000000"/>
          <w:sz w:val="24"/>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lineRule="auto" w:line="288" w:before="0" w:after="240"/>
        <w:ind w:left="0" w:right="0" w:firstLine="1460"/>
        <w:jc w:val="both"/>
        <w:rPr/>
      </w:pPr>
      <w:r>
        <w:rPr>
          <w:rFonts w:ascii="Times New Roman;serif" w:hAnsi="Times New Roman;serif"/>
          <w:b/>
          <w:color w:val="000000"/>
          <w:sz w:val="24"/>
        </w:rPr>
        <w:t>(h)    </w:t>
      </w:r>
      <w:r>
        <w:rPr>
          <w:rFonts w:ascii="Times New Roman;serif" w:hAnsi="Times New Roman;serif"/>
          <w:b w:val="false"/>
          <w:color w:val="000000"/>
          <w:sz w:val="24"/>
        </w:rPr>
        <w:t>to evidence and provide for the acceptance of appointment hereunder by a successor trustee; or</w:t>
      </w:r>
    </w:p>
    <w:p>
      <w:pPr>
        <w:pStyle w:val="TextBody"/>
        <w:bidi w:val="0"/>
        <w:spacing w:lineRule="auto" w:line="288" w:before="0" w:after="240"/>
        <w:ind w:left="0" w:right="0" w:firstLine="1460"/>
        <w:jc w:val="both"/>
        <w:rPr/>
      </w:pPr>
      <w:r>
        <w:rPr>
          <w:rFonts w:ascii="Times New Roman;serif" w:hAnsi="Times New Roman;serif"/>
          <w:b/>
          <w:color w:val="000000"/>
          <w:sz w:val="24"/>
        </w:rPr>
        <w:t>(i)    </w:t>
      </w:r>
      <w:r>
        <w:rPr>
          <w:rFonts w:ascii="Times New Roman;serif" w:hAnsi="Times New Roman;serif"/>
          <w:b w:val="false"/>
          <w:color w:val="000000"/>
          <w:sz w:val="24"/>
        </w:rPr>
        <w:t>to comply with any requirements of the Commission or any successor in connection with the qualification of this Indenture under the Trust Indenture Act.</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6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9.02    Supplemental Indentures With Consent of Securityholders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9.03    Effect of Supplemental Indentures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9.04    Securities Affected by Supplemental Indentures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affected by a supplemental indenture, authenticated and delivered after the execution of such supplemental indenture pursuant to the provisions of this Article or of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6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9.05    Execution of Supplemental Indentures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SUCCESSOR ENTITY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10.01    Company May Consolidate, Etc.</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6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10.02    Successor Entity Substituted</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lineRule="auto" w:line="288" w:before="0" w:after="240"/>
        <w:ind w:left="0" w:right="0" w:firstLine="1460"/>
        <w:jc w:val="both"/>
        <w:rPr/>
      </w:pPr>
      <w:r>
        <w:rPr>
          <w:rFonts w:ascii="Times New Roman;serif" w:hAnsi="Times New Roman;serif"/>
          <w:b/>
          <w:color w:val="000000"/>
          <w:sz w:val="24"/>
        </w:rPr>
        <w:t>(c)    </w:t>
      </w:r>
      <w:r>
        <w:rPr>
          <w:rFonts w:ascii="Times New Roman;serif" w:hAnsi="Times New Roman;serif"/>
          <w:b w:val="false"/>
          <w:color w:val="000000"/>
          <w:sz w:val="24"/>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11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SATISFACTION AND DISCHARGE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11.01    Satisfaction and Discharge of Indenture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6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11.02    Discharge of Obligations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Thereafter, Sections 7.06 and 11.05 shall survive.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11.03    Deposited Moneys to be Held in Trust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11.04    Payment of Moneys Held by Paying Agents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satisfaction and discharge of this Indenture all moneys or Governmental Obligations then held by any paying agent under the provisions of this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7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upon demand of the Company, be paid to the Trustee and thereupon such paying agent shall be released from all further liability with respect to such moneys or Governmental Obligations.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11.05    Repayment to Company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12</w:t>
      </w:r>
    </w:p>
    <w:p>
      <w:pPr>
        <w:pStyle w:val="TextBody"/>
        <w:bidi w:val="0"/>
        <w:spacing w:lineRule="auto" w:line="288" w:before="0" w:after="240"/>
        <w:ind w:left="0" w:right="0" w:firstLine="740"/>
        <w:jc w:val="center"/>
        <w:rPr>
          <w:rFonts w:ascii="Times New Roman;serif" w:hAnsi="Times New Roman;serif"/>
          <w:b/>
          <w:color w:val="000000"/>
          <w:sz w:val="24"/>
        </w:rPr>
      </w:pPr>
      <w:r>
        <w:rPr>
          <w:rFonts w:ascii="Times New Roman;serif" w:hAnsi="Times New Roman;serif"/>
          <w:b/>
          <w:color w:val="000000"/>
          <w:sz w:val="24"/>
        </w:rPr>
        <w:t>IMMUNITY OF INCORPORATORS, STOCKHOLDERS, OFFICERS AND DIRECTORS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12.01    No Recourse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7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MISCELLANEOUS PROVISIONS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13.01    Effect on Successors and Assigns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All the covenants, stipulations, promises and agreements in this Indenture made by or on behalf of the Company shall bind its successors and assigns, whether so expressed or not.</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13.02    Actions by Successor</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13.03    Surrender of Company Powers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13.04    Notices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_______________________________________________.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13.05    Governing Law; Jury Trial Waiver</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This Indenture and each Security shall be governed by, and construed in accordance with, the internal laws of the State of New York, except to the extent that the Trust Indenture Act is applicable.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7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13.06    Treatment of Securities as Debt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It is intended that the Securities will be treated as indebtedness and not as equity for federal income tax purposes. The provisions of this Indenture shall be interpreted to further this intention.</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13.07    Certificates and Opinions as to Conditions Precedent</w:t>
      </w:r>
    </w:p>
    <w:p>
      <w:pPr>
        <w:pStyle w:val="TextBody"/>
        <w:bidi w:val="0"/>
        <w:spacing w:lineRule="auto" w:line="288" w:before="0" w:after="240"/>
        <w:ind w:left="0" w:right="0" w:firstLine="1460"/>
        <w:jc w:val="both"/>
        <w:rPr/>
      </w:pPr>
      <w:r>
        <w:rPr>
          <w:rFonts w:ascii="Times New Roman;serif" w:hAnsi="Times New Roman;serif"/>
          <w:b/>
          <w:color w:val="000000"/>
          <w:sz w:val="24"/>
        </w:rPr>
        <w:t>(a)    </w:t>
      </w:r>
      <w:r>
        <w:rPr>
          <w:rFonts w:ascii="Times New Roman;serif" w:hAnsi="Times New Roman;serif"/>
          <w:b w:val="false"/>
          <w:color w:val="000000"/>
          <w:sz w:val="24"/>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lineRule="auto" w:line="288" w:before="0" w:after="240"/>
        <w:ind w:left="0" w:right="0" w:firstLine="1460"/>
        <w:jc w:val="both"/>
        <w:rPr/>
      </w:pPr>
      <w:r>
        <w:rPr>
          <w:rFonts w:ascii="Times New Roman;serif" w:hAnsi="Times New Roman;serif"/>
          <w:b/>
          <w:color w:val="000000"/>
          <w:sz w:val="24"/>
        </w:rPr>
        <w:t>(b)    </w:t>
      </w:r>
      <w:r>
        <w:rPr>
          <w:rFonts w:ascii="Times New Roman;serif" w:hAnsi="Times New Roman;serif"/>
          <w:b w:val="false"/>
          <w:color w:val="000000"/>
          <w:sz w:val="24"/>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13.08    Payments on Business Days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13.09    Conflict with Trust Indenture Act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If and to the extent that any provision of this Indenture limits, qualifies or conflicts with the duties imposed by Section 318(c) of the Trust Indenture Act, such imposed duties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7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13.10    Counterparts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13.11    Separability</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13.12    Compliance Certificates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13.13    U.S.A Patriot Act</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13.14    Force Majeure</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7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lineRule="auto" w:line="288" w:before="0" w:after="240"/>
        <w:ind w:left="0" w:right="0" w:firstLine="740"/>
        <w:jc w:val="both"/>
        <w:rPr>
          <w:rFonts w:ascii="Times New Roman;serif" w:hAnsi="Times New Roman;serif"/>
          <w:b/>
          <w:color w:val="000000"/>
          <w:sz w:val="24"/>
        </w:rPr>
      </w:pPr>
      <w:r>
        <w:rPr>
          <w:rFonts w:ascii="Times New Roman;serif" w:hAnsi="Times New Roman;serif"/>
          <w:b/>
          <w:color w:val="000000"/>
          <w:sz w:val="24"/>
        </w:rPr>
        <w:t>Section 13.15    Table of Contents; Headings</w:t>
      </w:r>
    </w:p>
    <w:p>
      <w:pPr>
        <w:pStyle w:val="TextBody"/>
        <w:bidi w:val="0"/>
        <w:spacing w:lineRule="auto" w:line="288" w:before="0" w:after="24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intended to be considered a part hereof, and will not modify or restrict any of the terms or provisions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7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Indenture to be duly executed all as of the day and year first above written.</w:t>
      </w:r>
    </w:p>
    <w:tbl>
      <w:tblPr>
        <w:tblW w:w="2875" w:type="dxa"/>
        <w:jc w:val="left"/>
        <w:tblInd w:w="0" w:type="dxa"/>
        <w:tblLayout w:type="fixed"/>
        <w:tblCellMar>
          <w:top w:w="28" w:type="dxa"/>
          <w:left w:w="28" w:type="dxa"/>
          <w:bottom w:w="28" w:type="dxa"/>
          <w:right w:w="28" w:type="dxa"/>
        </w:tblCellMar>
      </w:tblPr>
      <w:tblGrid>
        <w:gridCol w:w="124"/>
        <w:gridCol w:w="109"/>
        <w:gridCol w:w="109"/>
        <w:gridCol w:w="330"/>
        <w:gridCol w:w="207"/>
        <w:gridCol w:w="208"/>
        <w:gridCol w:w="190"/>
        <w:gridCol w:w="190"/>
        <w:gridCol w:w="190"/>
        <w:gridCol w:w="190"/>
        <w:gridCol w:w="190"/>
        <w:gridCol w:w="190"/>
        <w:gridCol w:w="190"/>
        <w:gridCol w:w="190"/>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12"/>
            <w:tcBorders/>
            <w:tcMar>
              <w:top w:w="0" w:type="dxa"/>
              <w:left w:w="0" w:type="dxa"/>
              <w:bottom w:w="0" w:type="dxa"/>
              <w:right w:w="0" w:type="dxa"/>
            </w:tcMar>
            <w:vAlign w:val="center"/>
          </w:tcPr>
          <w:p>
            <w:pPr>
              <w:pStyle w:val="TableContents"/>
              <w:bidi w:val="0"/>
              <w:spacing w:lineRule="auto" w:line="240" w:before="0" w:after="220"/>
              <w:jc w:val="left"/>
              <w:rPr>
                <w:rFonts w:ascii="Times New Roman;serif" w:hAnsi="Times New Roman;serif"/>
                <w:b/>
                <w:color w:val="000000"/>
                <w:sz w:val="24"/>
              </w:rPr>
            </w:pPr>
            <w:r>
              <w:rPr>
                <w:rFonts w:ascii="Times New Roman;serif" w:hAnsi="Times New Roman;serif"/>
                <w:b/>
                <w:color w:val="000000"/>
                <w:sz w:val="24"/>
              </w:rPr>
              <w:t>DUTCH BROS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[TRUSTEE]</w:t>
            </w:r>
            <w:r>
              <w:rPr>
                <w:rFonts w:ascii="Times New Roman;serif" w:hAnsi="Times New Roman;serif"/>
                <w:b w:val="false"/>
                <w:color w:val="000000"/>
                <w:sz w:val="24"/>
              </w:rPr>
              <w:t>, 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7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CROSS-REFERENCE TABLE (1)</w:t>
      </w:r>
    </w:p>
    <w:tbl>
      <w:tblPr>
        <w:tblW w:w="7960" w:type="dxa"/>
        <w:jc w:val="left"/>
        <w:tblInd w:w="0" w:type="dxa"/>
        <w:tblLayout w:type="fixed"/>
        <w:tblCellMar>
          <w:top w:w="28" w:type="dxa"/>
          <w:left w:w="28" w:type="dxa"/>
          <w:bottom w:w="28" w:type="dxa"/>
          <w:right w:w="28" w:type="dxa"/>
        </w:tblCellMar>
      </w:tblPr>
      <w:tblGrid>
        <w:gridCol w:w="1001"/>
        <w:gridCol w:w="878"/>
        <w:gridCol w:w="878"/>
        <w:gridCol w:w="878"/>
        <w:gridCol w:w="878"/>
        <w:gridCol w:w="901"/>
        <w:gridCol w:w="109"/>
        <w:gridCol w:w="109"/>
        <w:gridCol w:w="109"/>
        <w:gridCol w:w="650"/>
        <w:gridCol w:w="650"/>
        <w:gridCol w:w="91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Section of Trust Indenture Act of 1939,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Section of Indenture</w:t>
            </w:r>
          </w:p>
        </w:tc>
      </w:tr>
      <w:tr>
        <w:trPr/>
        <w:tc>
          <w:tcPr>
            <w:tcW w:w="2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310(a)</w:t>
            </w:r>
          </w:p>
        </w:tc>
        <w:tc>
          <w:tcPr>
            <w:tcW w:w="2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7.09</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310(b)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7.08</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310(c)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7.13</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7.13</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5.01</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5.02(a)</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5.02(c)</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5.02(c)</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5.04(b)</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5.04(b)</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313(d)</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5.04(c)</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5.03</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13.12</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13.07(a)</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314(d)</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314(e)</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13.07(b)</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314(f)</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7.01(a)</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7.01(b)</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7.14</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7.01</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315(d)</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7.01(b)</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315(e)</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6.07</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316(a)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6.06</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8.04</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316(b)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6.04</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316(c)</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8.01</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317(a)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6.02</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317(b)</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4.03</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318(a)</w:t>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13.09</w:t>
            </w:r>
          </w:p>
        </w:tc>
      </w:tr>
    </w:tbl>
    <w:p>
      <w:pPr>
        <w:pStyle w:val="TextBody"/>
        <w:bidi w:val="0"/>
        <w:spacing w:lineRule="auto" w:line="288" w:before="0" w:after="240"/>
        <w:jc w:val="left"/>
        <w:rPr>
          <w:rFonts w:ascii="Courier New;serif" w:hAnsi="Courier New;serif"/>
          <w:b w:val="false"/>
          <w:color w:val="000000"/>
          <w:sz w:val="24"/>
        </w:rPr>
      </w:pPr>
      <w:r>
        <w:rPr>
          <w:rFonts w:ascii="Courier New;serif" w:hAnsi="Courier New;serif"/>
          <w:b w:val="false"/>
          <w:color w:val="000000"/>
          <w:sz w:val="24"/>
        </w:rPr>
        <w:t>_____________</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(1)This Cross-Reference Table does not constitute part of the Indenture and shall not have any bearing on the interpretation of any of its terms or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4.6</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7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before="0" w:after="220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 AS WARRANT AGENT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CLASS A COMMON STOCK</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AGREEMENT</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DATED AS OF____________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7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CLASS A COMMON STOCK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CLASS A COMMON STOCK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dated as of [●], between </w:t>
      </w:r>
      <w:r>
        <w:rPr>
          <w:rFonts w:ascii="Times New Roman;serif" w:hAnsi="Times New Roman;serif"/>
          <w:b/>
          <w:color w:val="000000"/>
          <w:sz w:val="22"/>
        </w:rPr>
        <w:t xml:space="preserve">DUTCH BROS INC., </w:t>
      </w:r>
      <w:r>
        <w:rPr>
          <w:rFonts w:ascii="Times New Roman;serif" w:hAnsi="Times New Roman;serif"/>
          <w:b w:val="false"/>
          <w:color w:val="000000"/>
          <w:sz w:val="22"/>
        </w:rPr>
        <w:t>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proposes to sell [If Warrants are sold with other securities —[title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Class A Common Stock of the Company, par value $0.00001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NOW THEREFORE, </w:t>
      </w:r>
      <w:r>
        <w:rPr>
          <w:rFonts w:ascii="Times New Roman;serif" w:hAnsi="Times New Roman;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OF WARRANTS AND EXECUTION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DELIVERY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    Issuance of Warrants.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 xml:space="preserve">Exhibit A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7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1.3    Issuance of Warrant Certificates. </w:t>
      </w:r>
      <w:r>
        <w:rPr>
          <w:rFonts w:ascii="Times New Roman;serif" w:hAnsi="Times New Roman;serif"/>
          <w:b w:val="false"/>
          <w:color w:val="000000"/>
          <w:sz w:val="22"/>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Warrant Price. </w:t>
      </w:r>
      <w:r>
        <w:rPr>
          <w:rFonts w:ascii="Times New Roman;serif" w:hAnsi="Times New Roman;serif"/>
          <w:b w:val="false"/>
          <w:color w:val="000000"/>
          <w:sz w:val="22"/>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erif" w:hAnsi="Times New Roman;serif"/>
          <w:b/>
          <w:i/>
          <w:color w:val="000000"/>
          <w:sz w:val="22"/>
        </w:rPr>
        <w:t>Warrant Price.</w:t>
      </w:r>
      <w:r>
        <w:rPr>
          <w:color w:val="000000"/>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2.2    Duration of Warrants. </w:t>
      </w:r>
      <w:r>
        <w:rPr>
          <w:rFonts w:ascii="Times New Roman;serif" w:hAnsi="Times New Roman;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8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2.3    Exercise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8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OTHER PROVISIONS RELATING TO RIGHTS OF HOLDERS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No Rights as Warrant Securityholder Conferred by Warrants or Warrant Certificates. </w:t>
      </w:r>
      <w:r>
        <w:rPr>
          <w:rFonts w:ascii="Times New Roman;serif" w:hAnsi="Times New Roman;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Lost, Stolen, Mutilated or Destroyed Warrant Certificates.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Holder of Warrant Certificate May Enforce Rights. </w:t>
      </w:r>
      <w:r>
        <w:rPr>
          <w:rFonts w:ascii="Times New Roman;serif" w:hAnsi="Times New Roman;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3.4    Adjustments.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In case the Company shall at any time subdivide its outstanding shares of Class A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Class A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8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If at any time or from time to time the holders of Class A Common Stock (or any shares of stock or other securities at the time receivable upon the exercise of the Warrants) shall have received or become entitled to receive, without payment therefor,</w:t>
      </w:r>
    </w:p>
    <w:p>
      <w:pPr>
        <w:pStyle w:val="TextBody"/>
        <w:bidi w:val="0"/>
        <w:spacing w:lineRule="auto" w:line="288" w:before="0" w:after="240"/>
        <w:ind w:left="0" w:right="0" w:firstLine="2160"/>
        <w:jc w:val="both"/>
        <w:rPr/>
      </w:pPr>
      <w:r>
        <w:rPr>
          <w:rFonts w:ascii="Times New Roman;serif" w:hAnsi="Times New Roman;serif"/>
          <w:b/>
          <w:color w:val="000000"/>
          <w:sz w:val="22"/>
        </w:rPr>
        <w:t>(i)    </w:t>
      </w:r>
      <w:r>
        <w:rPr>
          <w:rFonts w:ascii="Times New Roman;serif" w:hAnsi="Times New Roman;serif"/>
          <w:b w:val="false"/>
          <w:color w:val="000000"/>
          <w:sz w:val="22"/>
        </w:rPr>
        <w:t>Class A Common Stock or any shares of stock or other securities which are at any time directly or indirectly convertible into or exchangeable for Class A Common Stock, or any rights or options to subscribe for, purchase or otherwise acquire any of the foregoing by way of dividend or other distribution;</w:t>
      </w:r>
    </w:p>
    <w:p>
      <w:pPr>
        <w:pStyle w:val="TextBody"/>
        <w:bidi w:val="0"/>
        <w:spacing w:lineRule="auto" w:line="288" w:before="0" w:after="240"/>
        <w:ind w:left="0" w:right="0" w:firstLine="2160"/>
        <w:jc w:val="both"/>
        <w:rPr/>
      </w:pPr>
      <w:r>
        <w:rPr>
          <w:rFonts w:ascii="Times New Roman;serif" w:hAnsi="Times New Roman;serif"/>
          <w:b/>
          <w:color w:val="000000"/>
          <w:sz w:val="22"/>
        </w:rPr>
        <w:t>(ii)    </w:t>
      </w:r>
      <w:r>
        <w:rPr>
          <w:rFonts w:ascii="Times New Roman;serif" w:hAnsi="Times New Roman;serif"/>
          <w:b w:val="false"/>
          <w:color w:val="000000"/>
          <w:sz w:val="22"/>
        </w:rPr>
        <w:t>any cash paid or payable otherwise than as a cash dividend paid or payable out of the Company’s current or retained earnings;</w:t>
      </w:r>
    </w:p>
    <w:p>
      <w:pPr>
        <w:pStyle w:val="TextBody"/>
        <w:bidi w:val="0"/>
        <w:spacing w:lineRule="auto" w:line="288" w:before="0" w:after="240"/>
        <w:ind w:left="0" w:right="0" w:firstLine="2160"/>
        <w:jc w:val="both"/>
        <w:rPr/>
      </w:pPr>
      <w:r>
        <w:rPr>
          <w:rFonts w:ascii="Times New Roman;serif" w:hAnsi="Times New Roman;serif"/>
          <w:b/>
          <w:color w:val="000000"/>
          <w:sz w:val="22"/>
        </w:rPr>
        <w:t>(iii)    </w:t>
      </w:r>
      <w:r>
        <w:rPr>
          <w:rFonts w:ascii="Times New Roman;serif" w:hAnsi="Times New Roman;serif"/>
          <w:b w:val="false"/>
          <w:color w:val="000000"/>
          <w:sz w:val="22"/>
        </w:rPr>
        <w:t>any evidence of the Company’s indebtedness or rights to subscribe for or purchase the Company’s indebtedness; or</w:t>
      </w:r>
    </w:p>
    <w:p>
      <w:pPr>
        <w:pStyle w:val="TextBody"/>
        <w:bidi w:val="0"/>
        <w:spacing w:lineRule="auto" w:line="288" w:before="0" w:after="240"/>
        <w:ind w:left="0" w:right="0" w:firstLine="2160"/>
        <w:jc w:val="both"/>
        <w:rPr/>
      </w:pPr>
      <w:r>
        <w:rPr>
          <w:rFonts w:ascii="Times New Roman;serif" w:hAnsi="Times New Roman;serif"/>
          <w:b/>
          <w:color w:val="000000"/>
          <w:sz w:val="22"/>
        </w:rPr>
        <w:t>(iv)    </w:t>
      </w:r>
      <w:r>
        <w:rPr>
          <w:rFonts w:ascii="Times New Roman;serif" w:hAnsi="Times New Roman;serif"/>
          <w:b w:val="false"/>
          <w:color w:val="000000"/>
          <w:sz w:val="22"/>
        </w:rPr>
        <w:t>Class A Common Stock or additional stock or other securities or property (including cash) by way of spinoff, split-up, reclassification, combination of shares or similar corporate rearrangement (other than shares of Class A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 Common Stock received or became entitled to receive such shares or all other additional stock and other securities and property.</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In case of (i) any reclassification, capital reorganization, or change in the Class A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 Common Stock other than the issuance of additional shares of Class A Common Stock) or (iii)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8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Except as herein otherwise expressly provided, no adjustment in the Warrant Price shall be made by reason of the issuance of shares of Class A Common Stock, or securities convertible into or exchangeable for shares of Class A Common Stock, or securities carrying the right to purchase any of the foregoing or for any other reason whatsoever.</w:t>
      </w:r>
    </w:p>
    <w:p>
      <w:pPr>
        <w:pStyle w:val="TextBody"/>
        <w:bidi w:val="0"/>
        <w:spacing w:lineRule="auto" w:line="288" w:before="0" w:after="240"/>
        <w:ind w:left="0" w:right="0" w:firstLine="1440"/>
        <w:jc w:val="both"/>
        <w:rPr/>
      </w:pPr>
      <w:r>
        <w:rPr>
          <w:rFonts w:ascii="Times New Roman;serif" w:hAnsi="Times New Roman;serif"/>
          <w:b/>
          <w:color w:val="000000"/>
          <w:sz w:val="22"/>
        </w:rPr>
        <w:t>(f)    </w:t>
      </w:r>
      <w:r>
        <w:rPr>
          <w:rFonts w:ascii="Times New Roman;serif" w:hAnsi="Times New Roman;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serif" w:hAnsi="Times New Roman;serif"/>
          <w:b/>
          <w:i/>
          <w:color w:val="000000"/>
          <w:sz w:val="22"/>
        </w:rPr>
        <w:t>OTC Bulletin Board</w:t>
      </w:r>
      <w:r>
        <w:rPr>
          <w:color w:val="000000"/>
        </w:rPr>
        <w:t>”</w:t>
      </w:r>
      <w:r>
        <w:rPr>
          <w:rFonts w:ascii="Times New Roman;serif" w:hAnsi="Times New Roman;serif"/>
          <w:b w:val="false"/>
          <w:color w:val="000000"/>
          <w:sz w:val="22"/>
        </w:rPr>
        <w:t>) operated by the Financial Industry Regulatory Authority, Inc. (“</w:t>
      </w:r>
      <w:r>
        <w:rPr>
          <w:rFonts w:ascii="Times New Roman;serif" w:hAnsi="Times New Roman;serif"/>
          <w:b/>
          <w:i/>
          <w:color w:val="000000"/>
          <w:sz w:val="22"/>
        </w:rPr>
        <w:t>FINRA</w:t>
      </w:r>
      <w:r>
        <w:rPr>
          <w:color w:val="000000"/>
        </w:rPr>
        <w:t xml:space="preserve">” </w:t>
      </w:r>
      <w:r>
        <w:rPr>
          <w:rFonts w:ascii="Times New Roman;serif" w:hAnsi="Times New Roman;serif"/>
          <w:b w:val="false"/>
          <w:color w:val="000000"/>
          <w:sz w:val="22"/>
        </w:rPr>
        <w:t>)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lineRule="auto" w:line="288" w:before="0" w:after="240"/>
        <w:ind w:left="0" w:right="0" w:firstLine="1440"/>
        <w:jc w:val="both"/>
        <w:rPr/>
      </w:pPr>
      <w:r>
        <w:rPr>
          <w:rFonts w:ascii="Times New Roman;serif" w:hAnsi="Times New Roman;serif"/>
          <w:b/>
          <w:color w:val="000000"/>
          <w:sz w:val="22"/>
        </w:rPr>
        <w:t>(g)    </w:t>
      </w:r>
      <w:r>
        <w:rPr>
          <w:rFonts w:ascii="Times New Roman;serif" w:hAnsi="Times New Roman;serif"/>
          <w:b w:val="false"/>
          <w:color w:val="000000"/>
          <w:sz w:val="22"/>
        </w:rPr>
        <w:t xml:space="preserve">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8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the provisions hereof, together with the facts, in reasonable detail, upon which such adjustment is based.</w:t>
      </w:r>
    </w:p>
    <w:p>
      <w:pPr>
        <w:pStyle w:val="TextBody"/>
        <w:bidi w:val="0"/>
        <w:spacing w:lineRule="auto" w:line="288" w:before="0" w:after="240"/>
        <w:ind w:left="0" w:right="0" w:firstLine="1440"/>
        <w:jc w:val="both"/>
        <w:rPr/>
      </w:pPr>
      <w:r>
        <w:rPr>
          <w:rFonts w:ascii="Times New Roman;serif" w:hAnsi="Times New Roman;serif"/>
          <w:b/>
          <w:color w:val="000000"/>
          <w:sz w:val="22"/>
        </w:rPr>
        <w:t>(h)    </w:t>
      </w:r>
      <w:r>
        <w:rPr>
          <w:rFonts w:ascii="Times New Roman;serif" w:hAnsi="Times New Roman;serif"/>
          <w:b w:val="false"/>
          <w:color w:val="000000"/>
          <w:sz w:val="22"/>
        </w:rPr>
        <w:t>Notwithstanding anything to the contrary herein, in no event shall the Warrant Price, as adjusted in accordance with the terms hereof, be less than the par value per share of Class A Common Stock.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3.5    Notice to Warrantholders. </w:t>
      </w:r>
      <w:r>
        <w:rPr>
          <w:rFonts w:ascii="Times New Roman;serif" w:hAnsi="Times New Roman;serif"/>
          <w:b w:val="false"/>
          <w:color w:val="000000"/>
          <w:sz w:val="22"/>
        </w:rPr>
        <w:t>In case the Company shall (a) effect any dividend or distribution described in Section 3.4(b), (b) effect any Reorganization Event, (c) make any distribution on or in respect of the Class A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 Common Stock that will be entitled to such dividend or distribution are to be determined, (y) the date on which such Reorganization Event, dissolution, liquidation or winding up is expected to become effective, and the date as of which it is expected that holders of Class A Common Stock of record shall be entitled to exchange their shares of Class A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88" w:before="0" w:after="240"/>
        <w:ind w:left="0" w:right="0" w:firstLine="720"/>
        <w:jc w:val="both"/>
        <w:rPr/>
      </w:pPr>
      <w:r>
        <w:rPr>
          <w:rFonts w:ascii="Times New Roman;serif" w:hAnsi="Times New Roman;serif"/>
          <w:b/>
          <w:color w:val="000000"/>
          <w:sz w:val="22"/>
        </w:rPr>
        <w:t>3.6    </w:t>
      </w:r>
      <w:r>
        <w:rPr>
          <w:rFonts w:ascii="Times New Roman;serif" w:hAnsi="Times New Roman;serif"/>
          <w:b w:val="false"/>
          <w:color w:val="000000"/>
          <w:sz w:val="22"/>
        </w:rPr>
        <w:t>[If the Warrants are Subject to Acceleration by the Company, Insert — Acceleration of Warrants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if the Market Price (as hereinafter defined) of the Class A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(b) </w:t>
      </w:r>
      <w:r>
        <w:rPr>
          <w:color w:val="000000"/>
        </w:rPr>
        <w:t>“</w:t>
      </w:r>
      <w:r>
        <w:rPr>
          <w:rFonts w:ascii="Times New Roman;serif" w:hAnsi="Times New Roman;serif"/>
          <w:b/>
          <w:i/>
          <w:color w:val="000000"/>
          <w:sz w:val="22"/>
        </w:rPr>
        <w:t>Market Price</w:t>
      </w:r>
      <w:r>
        <w:rPr>
          <w:color w:val="000000"/>
        </w:rPr>
        <w:t xml:space="preserve">” </w:t>
      </w:r>
      <w:r>
        <w:rPr>
          <w:rFonts w:ascii="Times New Roman;serif" w:hAnsi="Times New Roman;serif"/>
          <w:b w:val="false"/>
          <w:color w:val="000000"/>
          <w:sz w:val="22"/>
        </w:rPr>
        <w:t xml:space="preserve">for each Trading Day shall be, if the Class A Common Stock is listed or admitted to trading on any registered national securities exchange, the last reported sale price, regular way (or, if no such price is reported, the average of the reported closing bid and asked prices, regular way) of Class A Common Stock, in either case as reported on the principal registered national securities exchange on which the Class A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Class A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 Common Stock, as determined by the Board of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8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4.1    </w:t>
      </w:r>
      <w:r>
        <w:rPr>
          <w:rFonts w:ascii="Times New Roman;serif" w:hAnsi="Times New Roman;serif"/>
          <w:b w:val="false"/>
          <w:color w:val="000000"/>
          <w:sz w:val="22"/>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Treatment of Holders of Warrant Certificates. </w:t>
      </w:r>
      <w:r>
        <w:rPr>
          <w:rFonts w:ascii="Times New Roman;serif" w:hAnsi="Times New Roman;serif"/>
          <w:b w:val="false"/>
          <w:color w:val="000000"/>
          <w:sz w:val="22"/>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8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4.3    Cancellation of Warrant Certificates. </w:t>
      </w:r>
      <w:r>
        <w:rPr>
          <w:rFonts w:ascii="Times New Roman;serif" w:hAnsi="Times New Roman;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WARRANT AGENT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Warrant Agent. </w:t>
      </w:r>
      <w:r>
        <w:rPr>
          <w:rFonts w:ascii="Times New Roman;serif" w:hAnsi="Times New Roman;serif"/>
          <w:b w:val="false"/>
          <w:color w:val="000000"/>
          <w:sz w:val="22"/>
        </w:rPr>
        <w:t>The Company hereby appoints [ ●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5.2    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Compensation and Indemnification. </w:t>
      </w:r>
      <w:r>
        <w:rPr>
          <w:rFonts w:ascii="Times New Roman;serif" w:hAnsi="Times New Roman;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Agent for the Company. </w:t>
      </w:r>
      <w:r>
        <w:rPr>
          <w:rFonts w:ascii="Times New Roman;serif" w:hAnsi="Times New Roman;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8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(e)    Certain Transactions.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(f)    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(g)    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(h)    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(i)    No Implied Obligations. </w:t>
      </w:r>
      <w:r>
        <w:rPr>
          <w:rFonts w:ascii="Times New Roman;serif" w:hAnsi="Times New Roman;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8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    Amendment. </w:t>
      </w:r>
      <w:r>
        <w:rPr>
          <w:rFonts w:ascii="Times New Roman;serif" w:hAnsi="Times New Roman;serif"/>
          <w:b w:val="false"/>
          <w:color w:val="000000"/>
          <w:sz w:val="22"/>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8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6.2    Notices and Demands to the Company and Warrant Agent.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Addresses.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Dutch Bros Inc., 1930 W. Rio Salado Pkwy, Tempe, Arizona, 85281, Attention: Chief Financial Officer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6.6    Obtaining of Governmental Approvals. </w:t>
      </w:r>
      <w:r>
        <w:rPr>
          <w:rFonts w:ascii="Times New Roman;serif" w:hAnsi="Times New Roman;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Persons Having Rights Under the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6.9    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6.10    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9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IN WITNESS WHEREOF, </w:t>
      </w:r>
      <w:r>
        <w:rPr>
          <w:rFonts w:ascii="Times New Roman;serif" w:hAnsi="Times New Roman;serif"/>
          <w:b w:val="false"/>
          <w:color w:val="000000"/>
          <w:sz w:val="22"/>
        </w:rPr>
        <w:t>the parties hereto have caused this Agreement to be duly executed as of the day and year first above written.</w:t>
      </w:r>
    </w:p>
    <w:tbl>
      <w:tblPr>
        <w:tblW w:w="3822" w:type="dxa"/>
        <w:jc w:val="left"/>
        <w:tblInd w:w="0" w:type="dxa"/>
        <w:tblLayout w:type="fixed"/>
        <w:tblCellMar>
          <w:top w:w="28" w:type="dxa"/>
          <w:left w:w="28" w:type="dxa"/>
          <w:bottom w:w="28" w:type="dxa"/>
          <w:right w:w="28" w:type="dxa"/>
        </w:tblCellMar>
      </w:tblPr>
      <w:tblGrid>
        <w:gridCol w:w="124"/>
        <w:gridCol w:w="109"/>
        <w:gridCol w:w="109"/>
        <w:gridCol w:w="542"/>
        <w:gridCol w:w="542"/>
        <w:gridCol w:w="542"/>
        <w:gridCol w:w="542"/>
        <w:gridCol w:w="542"/>
        <w:gridCol w:w="7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DUTCH BROS INC.,</w:t>
            </w:r>
            <w:r>
              <w:rPr>
                <w:color w:val="000000"/>
              </w:rPr>
              <w:t xml:space="preserve"> </w:t>
            </w:r>
            <w:r>
              <w:rPr>
                <w:rFonts w:ascii="Times New Roman;serif" w:hAnsi="Times New Roman;serif"/>
                <w:b w:val="false"/>
                <w:color w:val="000000"/>
                <w:sz w:val="22"/>
              </w:rPr>
              <w:t>as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as Warrant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9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DUTCH BROS INC. CLASS A COMMON STOCK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DUTCH BROS INC. CLASS A COMMON STOCK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120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84"/>
        <w:gridCol w:w="1392"/>
        <w:gridCol w:w="1399"/>
        <w:gridCol w:w="109"/>
        <w:gridCol w:w="109"/>
        <w:gridCol w:w="109"/>
        <w:gridCol w:w="1611"/>
        <w:gridCol w:w="1611"/>
        <w:gridCol w:w="2281"/>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EXERCISABLE ONLY IF COUNTERSIGNED BY THE WARRANT AGENT AS PROVIDED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9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ind w:left="0" w:right="0" w:firstLine="40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CLASS A COMMON STOCK, PAR VALUE $0.00001 PER SHARE</w:t>
      </w:r>
    </w:p>
    <w:tbl>
      <w:tblPr>
        <w:tblW w:w="2146" w:type="dxa"/>
        <w:jc w:val="right"/>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jc w:val="both"/>
        <w:rPr/>
      </w:pPr>
      <w:r>
        <w:rPr>
          <w:rFonts w:ascii="Times New Roman;serif" w:hAnsi="Times New Roman;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shares of Class A Common Stock, par value $0.00001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Dutch Bros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jc w:val="both"/>
        <w:rPr/>
      </w:pPr>
      <w:r>
        <w:rPr>
          <w:rFonts w:ascii="Times New Roman;serif" w:hAnsi="Times New Roman;serif"/>
          <w:b w:val="false"/>
          <w:color w:val="000000"/>
          <w:sz w:val="22"/>
        </w:rPr>
        <w:t>This Warrant Certificate is issued under and in accordance with the Warrant Agreement dated as of [ ●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Certificate shall not entitle the Holder hereof to any of the rights of a holder of the Warrant Securities, including, without limitation, the right to receive payments of dividends or distributions, if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9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on the Warrant Securities (except to the extent set forth in the Warrant Agreement) or to exercise any voting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46" w:type="dxa"/>
        <w:jc w:val="left"/>
        <w:tblInd w:w="0" w:type="dxa"/>
        <w:tblLayout w:type="fixed"/>
        <w:tblCellMar>
          <w:top w:w="28" w:type="dxa"/>
          <w:left w:w="28" w:type="dxa"/>
          <w:bottom w:w="28" w:type="dxa"/>
          <w:right w:w="28" w:type="dxa"/>
        </w:tblCellMar>
      </w:tblPr>
      <w:tblGrid>
        <w:gridCol w:w="426"/>
        <w:gridCol w:w="376"/>
        <w:gridCol w:w="376"/>
        <w:gridCol w:w="376"/>
        <w:gridCol w:w="376"/>
        <w:gridCol w:w="376"/>
        <w:gridCol w:w="376"/>
        <w:gridCol w:w="376"/>
        <w:gridCol w:w="389"/>
        <w:gridCol w:w="109"/>
        <w:gridCol w:w="109"/>
        <w:gridCol w:w="109"/>
        <w:gridCol w:w="109"/>
        <w:gridCol w:w="109"/>
        <w:gridCol w:w="154"/>
      </w:tblGrid>
      <w:tr>
        <w:trPr/>
        <w:tc>
          <w:tcPr>
            <w:tcW w:w="4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DUTCH BROS INC.</w:t>
            </w:r>
            <w:r>
              <w:rPr>
                <w:rFonts w:ascii="Times New Roman;serif" w:hAnsi="Times New Roman;serif"/>
                <w:b w:val="false"/>
                <w:color w:val="000000"/>
                <w:sz w:val="22"/>
              </w:rPr>
              <w:t>, as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96"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96"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69"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9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______ Warrants, evidenced by this Warrant Certificate, to purchase _______ shares of the Class A Common Stock, par value $0.00001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Dutch Bros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Dutch Bros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3397"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09"/>
        <w:gridCol w:w="259"/>
        <w:gridCol w:w="259"/>
        <w:gridCol w:w="261"/>
        <w:gridCol w:w="359"/>
        <w:gridCol w:w="359"/>
        <w:gridCol w:w="51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Please Print</w:t>
            </w:r>
          </w:p>
        </w:tc>
      </w:tr>
    </w:tbl>
    <w:tbl>
      <w:tblPr>
        <w:tblW w:w="6012" w:type="dxa"/>
        <w:jc w:val="left"/>
        <w:tblInd w:w="0" w:type="dxa"/>
        <w:tblLayout w:type="fixed"/>
        <w:tblCellMar>
          <w:top w:w="28" w:type="dxa"/>
          <w:left w:w="28" w:type="dxa"/>
          <w:bottom w:w="28" w:type="dxa"/>
          <w:right w:w="28" w:type="dxa"/>
        </w:tblCellMar>
      </w:tblPr>
      <w:tblGrid>
        <w:gridCol w:w="1562"/>
        <w:gridCol w:w="1374"/>
        <w:gridCol w:w="1379"/>
        <w:gridCol w:w="497"/>
        <w:gridCol w:w="497"/>
        <w:gridCol w:w="703"/>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w:t>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6"/>
            <w:tcBorders/>
            <w:tcMar>
              <w:top w:w="0" w:type="dxa"/>
              <w:left w:w="0" w:type="dxa"/>
              <w:bottom w:w="0" w:type="dxa"/>
              <w:right w:w="0" w:type="dxa"/>
            </w:tcMar>
            <w:vAlign w:val="center"/>
          </w:tcPr>
          <w:p>
            <w:pPr>
              <w:pStyle w:val="TableContents"/>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 of Holder)</w:t>
            </w:r>
          </w:p>
        </w:tc>
      </w:tr>
    </w:tbl>
    <w:tbl>
      <w:tblPr>
        <w:tblW w:w="3568" w:type="dxa"/>
        <w:jc w:val="left"/>
        <w:tblInd w:w="0" w:type="dxa"/>
        <w:tblLayout w:type="fixed"/>
        <w:tblCellMar>
          <w:top w:w="28" w:type="dxa"/>
          <w:left w:w="28" w:type="dxa"/>
          <w:bottom w:w="28" w:type="dxa"/>
          <w:right w:w="28" w:type="dxa"/>
        </w:tblCellMar>
      </w:tblPr>
      <w:tblGrid>
        <w:gridCol w:w="799"/>
        <w:gridCol w:w="701"/>
        <w:gridCol w:w="705"/>
        <w:gridCol w:w="330"/>
        <w:gridCol w:w="330"/>
        <w:gridCol w:w="331"/>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9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 By hand at: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9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FOR VALUE RECEIVED, ______________ </w:t>
      </w:r>
      <w:r>
        <w:rPr>
          <w:rFonts w:ascii="Times New Roman;serif" w:hAnsi="Times New Roman;serif"/>
          <w:b w:val="false"/>
          <w:color w:val="000000"/>
          <w:sz w:val="22"/>
        </w:rPr>
        <w:t>hereby sells, assigns and transfers unto:</w:t>
      </w:r>
    </w:p>
    <w:tbl>
      <w:tblPr>
        <w:tblW w:w="10205" w:type="dxa"/>
        <w:jc w:val="left"/>
        <w:tblInd w:w="0" w:type="dxa"/>
        <w:tblLayout w:type="fixed"/>
        <w:tblCellMar>
          <w:top w:w="28" w:type="dxa"/>
          <w:left w:w="28" w:type="dxa"/>
          <w:bottom w:w="28" w:type="dxa"/>
          <w:right w:w="28" w:type="dxa"/>
        </w:tblCellMar>
      </w:tblPr>
      <w:tblGrid>
        <w:gridCol w:w="922"/>
        <w:gridCol w:w="807"/>
        <w:gridCol w:w="807"/>
        <w:gridCol w:w="807"/>
        <w:gridCol w:w="807"/>
        <w:gridCol w:w="807"/>
        <w:gridCol w:w="807"/>
        <w:gridCol w:w="807"/>
        <w:gridCol w:w="807"/>
        <w:gridCol w:w="807"/>
        <w:gridCol w:w="807"/>
        <w:gridCol w:w="1213"/>
      </w:tblGrid>
      <w:tr>
        <w:trPr/>
        <w:tc>
          <w:tcPr>
            <w:tcW w:w="9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(Please print name and address including zip code)</w:t>
            </w:r>
            <w:r>
              <w:rPr>
                <w:color w:val="000000"/>
              </w:rPr>
              <w:t>    </w:t>
            </w:r>
            <w:r>
              <w:rPr>
                <w:rFonts w:ascii="Times New Roman;serif" w:hAnsi="Times New Roman;serif"/>
                <w:b w:val="false"/>
                <w:color w:val="000000"/>
                <w:sz w:val="22"/>
              </w:rPr>
              <w:t>Please print Social Security or other identifying number</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_________ shares of [Title of Warrant Securities] of Dutch Bros Inc. to which the within Warrant relates and appoints ____________________ attorney to transfer such right on the books of the Warrant Agent with full power of substitution in the premises.</w:t>
      </w:r>
    </w:p>
    <w:tbl>
      <w:tblPr>
        <w:tblW w:w="9275" w:type="dxa"/>
        <w:jc w:val="left"/>
        <w:tblInd w:w="0" w:type="dxa"/>
        <w:tblLayout w:type="fixed"/>
        <w:tblCellMar>
          <w:top w:w="28" w:type="dxa"/>
          <w:left w:w="28" w:type="dxa"/>
          <w:bottom w:w="28" w:type="dxa"/>
          <w:right w:w="28" w:type="dxa"/>
        </w:tblCellMar>
      </w:tblPr>
      <w:tblGrid>
        <w:gridCol w:w="711"/>
        <w:gridCol w:w="626"/>
        <w:gridCol w:w="628"/>
        <w:gridCol w:w="291"/>
        <w:gridCol w:w="291"/>
        <w:gridCol w:w="291"/>
        <w:gridCol w:w="291"/>
        <w:gridCol w:w="291"/>
        <w:gridCol w:w="291"/>
        <w:gridCol w:w="639"/>
        <w:gridCol w:w="639"/>
        <w:gridCol w:w="644"/>
        <w:gridCol w:w="882"/>
        <w:gridCol w:w="882"/>
        <w:gridCol w:w="885"/>
        <w:gridCol w:w="291"/>
        <w:gridCol w:w="291"/>
        <w:gridCol w:w="41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5" w:type="dxa"/>
            <w:gridSpan w:val="18"/>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tc>
      </w:tr>
    </w:tbl>
    <w:tbl>
      <w:tblPr>
        <w:tblW w:w="2844" w:type="dxa"/>
        <w:jc w:val="left"/>
        <w:tblInd w:w="0" w:type="dxa"/>
        <w:tblLayout w:type="fixed"/>
        <w:tblCellMar>
          <w:top w:w="28" w:type="dxa"/>
          <w:left w:w="28" w:type="dxa"/>
          <w:bottom w:w="28" w:type="dxa"/>
          <w:right w:w="28" w:type="dxa"/>
        </w:tblCellMar>
      </w:tblPr>
      <w:tblGrid>
        <w:gridCol w:w="777"/>
        <w:gridCol w:w="682"/>
        <w:gridCol w:w="686"/>
        <w:gridCol w:w="109"/>
        <w:gridCol w:w="109"/>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4.7</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9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DUTCH BROS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 AS WARRANT AGENT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PREFERRED STOCK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WARRANT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 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9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PREFERRED STOCK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PREFERRED STOCK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dated as of [●], between </w:t>
      </w:r>
      <w:r>
        <w:rPr>
          <w:rFonts w:ascii="Times New Roman;serif" w:hAnsi="Times New Roman;serif"/>
          <w:b/>
          <w:color w:val="000000"/>
          <w:sz w:val="22"/>
        </w:rPr>
        <w:t>DUTCH BROS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proposes to sell [</w:t>
      </w:r>
      <w:r>
        <w:rPr>
          <w:rFonts w:ascii="Times New Roman;serif" w:hAnsi="Times New Roman;serif"/>
          <w:b/>
          <w:i/>
          <w:color w:val="000000"/>
          <w:sz w:val="22"/>
        </w:rPr>
        <w:t>If Warrants are sold with other securities —</w:t>
      </w:r>
      <w:r>
        <w:rPr>
          <w:color w:val="000000"/>
        </w:rPr>
        <w:t xml:space="preserve"> </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[title of Preferred Stock purchasable through exercise of Warrants] of the Company, par value $0.00001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NOW THEREFORE, </w:t>
      </w:r>
      <w:r>
        <w:rPr>
          <w:rFonts w:ascii="Times New Roman;serif" w:hAnsi="Times New Roman;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OF WARRANTS AND EXECUTION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DELIVERY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    Issuance of Warrants.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 xml:space="preserve">Exhibit A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9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1.3    Issuance of Warrant Certificates. </w:t>
      </w:r>
      <w:r>
        <w:rPr>
          <w:rFonts w:ascii="Times New Roman;serif" w:hAnsi="Times New Roman;serif"/>
          <w:b w:val="false"/>
          <w:color w:val="000000"/>
          <w:sz w:val="22"/>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Warrant Price. </w:t>
      </w:r>
      <w:r>
        <w:rPr>
          <w:rFonts w:ascii="Times New Roman;serif" w:hAnsi="Times New Roman;serif"/>
          <w:b w:val="false"/>
          <w:color w:val="000000"/>
          <w:sz w:val="22"/>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erif" w:hAnsi="Times New Roman;serif"/>
          <w:b/>
          <w:i/>
          <w:color w:val="000000"/>
          <w:sz w:val="22"/>
        </w:rPr>
        <w:t>Warrant Price.</w:t>
      </w:r>
      <w:r>
        <w:rPr>
          <w:color w:val="000000"/>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2.2    Duration of Warrants. </w:t>
      </w:r>
      <w:r>
        <w:rPr>
          <w:rFonts w:ascii="Times New Roman;serif" w:hAnsi="Times New Roman;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20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2.3    Exercise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color w:val="000000"/>
        </w:rPr>
        <w:t>    </w:t>
      </w:r>
      <w:r>
        <w:rPr>
          <w:rFonts w:ascii="Times New Roman;serif" w:hAnsi="Times New Roman;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color w:val="000000"/>
        </w:rPr>
        <w:t>    </w:t>
      </w:r>
      <w:r>
        <w:rPr>
          <w:rFonts w:ascii="Times New Roman;serif" w:hAnsi="Times New Roman;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color w:val="000000"/>
        </w:rPr>
        <w:t>    </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20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(e)</w:t>
      </w:r>
      <w:r>
        <w:rPr>
          <w:color w:val="000000"/>
        </w:rPr>
        <w:t>    </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OTHER PROVISIONS RELATING TO RIGHTS OF HOLDERS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No Rights as Warrant Securityholder Conferred by Warrants or Warrant Certificates. </w:t>
      </w:r>
      <w:r>
        <w:rPr>
          <w:rFonts w:ascii="Times New Roman;serif" w:hAnsi="Times New Roman;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Lost, Stolen, Mutilated or Destroyed Warrant Certificates.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Holder of Warrant Certificate May Enforce Rights. </w:t>
      </w:r>
      <w:r>
        <w:rPr>
          <w:rFonts w:ascii="Times New Roman;serif" w:hAnsi="Times New Roman;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3.4    Adjustments.</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color w:val="000000"/>
        </w:rPr>
        <w:t>    </w:t>
      </w:r>
      <w:r>
        <w:rPr>
          <w:rFonts w:ascii="Times New Roman;serif" w:hAnsi="Times New Roman;serif"/>
          <w:b w:val="false"/>
          <w:color w:val="000000"/>
          <w:sz w:val="22"/>
        </w:rPr>
        <w:t xml:space="preserve">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20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pStyle w:val="TextBody"/>
        <w:bidi w:val="0"/>
        <w:spacing w:lineRule="auto" w:line="288" w:before="0" w:after="240"/>
        <w:ind w:left="0" w:right="0" w:firstLine="2160"/>
        <w:jc w:val="both"/>
        <w:rPr/>
      </w:pPr>
      <w:r>
        <w:rPr>
          <w:rFonts w:ascii="Times New Roman;serif" w:hAnsi="Times New Roman;serif"/>
          <w:b/>
          <w:color w:val="000000"/>
          <w:sz w:val="22"/>
        </w:rPr>
        <w:t>(i)    </w:t>
      </w:r>
      <w:r>
        <w:rPr>
          <w:rFonts w:ascii="Times New Roman;serif" w:hAnsi="Times New Roman;serif"/>
          <w:b w:val="false"/>
          <w:color w:val="000000"/>
          <w:sz w:val="22"/>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bidi w:val="0"/>
        <w:spacing w:lineRule="auto" w:line="288" w:before="0" w:after="240"/>
        <w:ind w:left="0" w:right="0" w:firstLine="2160"/>
        <w:jc w:val="both"/>
        <w:rPr/>
      </w:pPr>
      <w:r>
        <w:rPr>
          <w:rFonts w:ascii="Times New Roman;serif" w:hAnsi="Times New Roman;serif"/>
          <w:b/>
          <w:color w:val="000000"/>
          <w:sz w:val="22"/>
        </w:rPr>
        <w:t>(ii)    </w:t>
      </w:r>
      <w:r>
        <w:rPr>
          <w:rFonts w:ascii="Times New Roman;serif" w:hAnsi="Times New Roman;serif"/>
          <w:b w:val="false"/>
          <w:color w:val="000000"/>
          <w:sz w:val="22"/>
        </w:rPr>
        <w:t>any cash paid or payable otherwise than in accordance with the terms of [title of Preferred Stock purchasable through exercise of Warrants] or as a cash dividend paid or payable out of the Company’s current or retained earnings;</w:t>
      </w:r>
    </w:p>
    <w:p>
      <w:pPr>
        <w:pStyle w:val="TextBody"/>
        <w:bidi w:val="0"/>
        <w:spacing w:lineRule="auto" w:line="288" w:before="0" w:after="240"/>
        <w:ind w:left="0" w:right="0" w:firstLine="2160"/>
        <w:jc w:val="both"/>
        <w:rPr/>
      </w:pPr>
      <w:r>
        <w:rPr>
          <w:rFonts w:ascii="Times New Roman;serif" w:hAnsi="Times New Roman;serif"/>
          <w:b/>
          <w:color w:val="000000"/>
          <w:sz w:val="22"/>
        </w:rPr>
        <w:t>(iii)    </w:t>
      </w:r>
      <w:r>
        <w:rPr>
          <w:rFonts w:ascii="Times New Roman;serif" w:hAnsi="Times New Roman;serif"/>
          <w:b w:val="false"/>
          <w:color w:val="000000"/>
          <w:sz w:val="22"/>
        </w:rPr>
        <w:t>any evidence of the Company’s indebtedness or rights to subscribe for or purchase the Company’s indebtedness; or</w:t>
      </w:r>
    </w:p>
    <w:p>
      <w:pPr>
        <w:pStyle w:val="TextBody"/>
        <w:bidi w:val="0"/>
        <w:spacing w:lineRule="auto" w:line="288" w:before="0" w:after="240"/>
        <w:ind w:left="0" w:right="0" w:firstLine="2160"/>
        <w:jc w:val="both"/>
        <w:rPr/>
      </w:pPr>
      <w:r>
        <w:rPr>
          <w:rFonts w:ascii="Times New Roman;serif" w:hAnsi="Times New Roman;serif"/>
          <w:b/>
          <w:color w:val="000000"/>
          <w:sz w:val="22"/>
        </w:rPr>
        <w:t>(iv)</w:t>
      </w:r>
      <w:r>
        <w:rPr>
          <w:color w:val="000000"/>
        </w:rPr>
        <w:t>    </w:t>
      </w:r>
      <w:r>
        <w:rPr>
          <w:rFonts w:ascii="Times New Roman;serif" w:hAnsi="Times New Roman;serif"/>
          <w:b w:val="false"/>
          <w:color w:val="000000"/>
          <w:sz w:val="22"/>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color w:val="000000"/>
        </w:rPr>
        <w:t>    </w:t>
      </w:r>
      <w:r>
        <w:rPr>
          <w:rFonts w:ascii="Times New Roman;serif" w:hAnsi="Times New Roman;serif"/>
          <w:b w:val="false"/>
          <w:color w:val="000000"/>
          <w:sz w:val="22"/>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20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88" w:before="0" w:after="240"/>
        <w:ind w:left="0" w:right="0" w:firstLine="1440"/>
        <w:jc w:val="both"/>
        <w:rPr/>
      </w:pPr>
      <w:r>
        <w:rPr>
          <w:rFonts w:ascii="Times New Roman;serif" w:hAnsi="Times New Roman;serif"/>
          <w:b/>
          <w:color w:val="000000"/>
          <w:sz w:val="22"/>
        </w:rPr>
        <w:t>(e)</w:t>
      </w:r>
      <w:r>
        <w:rPr>
          <w:color w:val="000000"/>
        </w:rPr>
        <w:t>    </w:t>
      </w:r>
      <w:r>
        <w:rPr>
          <w:rFonts w:ascii="Times New Roman;serif" w:hAnsi="Times New Roman;serif"/>
          <w:b w:val="false"/>
          <w:color w:val="000000"/>
          <w:sz w:val="22"/>
        </w:rPr>
        <w:t>Except as herein otherwise expressly provided, no adjustment in the Warrant Price shall be made by reason of the issuance of any securities of the Company or for any other reason whatsoever.</w:t>
      </w:r>
    </w:p>
    <w:p>
      <w:pPr>
        <w:pStyle w:val="TextBody"/>
        <w:bidi w:val="0"/>
        <w:spacing w:lineRule="auto" w:line="288" w:before="0" w:after="240"/>
        <w:ind w:left="0" w:right="0" w:firstLine="1440"/>
        <w:jc w:val="both"/>
        <w:rPr/>
      </w:pPr>
      <w:r>
        <w:rPr>
          <w:rFonts w:ascii="Times New Roman;serif" w:hAnsi="Times New Roman;serif"/>
          <w:b/>
          <w:color w:val="000000"/>
          <w:sz w:val="22"/>
        </w:rPr>
        <w:t>(f)</w:t>
      </w:r>
      <w:r>
        <w:rPr>
          <w:color w:val="000000"/>
        </w:rPr>
        <w:t>    </w:t>
      </w:r>
      <w:r>
        <w:rPr>
          <w:rFonts w:ascii="Times New Roman;serif" w:hAnsi="Times New Roman;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serif" w:hAnsi="Times New Roman;serif"/>
          <w:b/>
          <w:i/>
          <w:color w:val="000000"/>
          <w:sz w:val="22"/>
        </w:rPr>
        <w:t>OTC Bulletin Board</w:t>
      </w:r>
      <w:r>
        <w:rPr>
          <w:color w:val="000000"/>
        </w:rPr>
        <w:t>”</w:t>
      </w:r>
      <w:r>
        <w:rPr>
          <w:rFonts w:ascii="Times New Roman;serif" w:hAnsi="Times New Roman;serif"/>
          <w:b w:val="false"/>
          <w:color w:val="000000"/>
          <w:sz w:val="22"/>
        </w:rPr>
        <w:t>) operated by the Financial Industry Regulatory Authority, Inc. (“</w:t>
      </w:r>
      <w:r>
        <w:rPr>
          <w:rFonts w:ascii="Times New Roman;serif" w:hAnsi="Times New Roman;serif"/>
          <w:b/>
          <w:i/>
          <w:color w:val="000000"/>
          <w:sz w:val="22"/>
        </w:rPr>
        <w:t>FINRA</w:t>
      </w:r>
      <w:r>
        <w:rPr>
          <w:color w:val="000000"/>
        </w:rPr>
        <w:t xml:space="preserve">” </w:t>
      </w:r>
      <w:r>
        <w:rPr>
          <w:rFonts w:ascii="Times New Roman;serif" w:hAnsi="Times New Roman;serif"/>
          <w:b w:val="false"/>
          <w:color w:val="000000"/>
          <w:sz w:val="22"/>
        </w:rPr>
        <w:t xml:space="preserve">)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20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prices as furnished by any FINRA member firm selected from time to time by the Company for that purpose at the close of business on the business day that next precedes the day of exercise.</w:t>
      </w:r>
    </w:p>
    <w:p>
      <w:pPr>
        <w:pStyle w:val="TextBody"/>
        <w:bidi w:val="0"/>
        <w:spacing w:lineRule="auto" w:line="288" w:before="0" w:after="240"/>
        <w:ind w:left="0" w:right="0" w:firstLine="1440"/>
        <w:jc w:val="both"/>
        <w:rPr/>
      </w:pPr>
      <w:r>
        <w:rPr>
          <w:rFonts w:ascii="Times New Roman;serif" w:hAnsi="Times New Roman;serif"/>
          <w:b/>
          <w:color w:val="000000"/>
          <w:sz w:val="22"/>
        </w:rPr>
        <w:t>(g)</w:t>
      </w:r>
      <w:r>
        <w:rPr>
          <w:color w:val="000000"/>
        </w:rPr>
        <w:t>    </w:t>
      </w:r>
      <w:r>
        <w:rPr>
          <w:rFonts w:ascii="Times New Roman;serif" w:hAnsi="Times New Roman;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lineRule="auto" w:line="288" w:before="0" w:after="240"/>
        <w:ind w:left="0" w:right="0" w:firstLine="1440"/>
        <w:jc w:val="both"/>
        <w:rPr/>
      </w:pPr>
      <w:r>
        <w:rPr>
          <w:rFonts w:ascii="Times New Roman;serif" w:hAnsi="Times New Roman;serif"/>
          <w:b/>
          <w:color w:val="000000"/>
          <w:sz w:val="22"/>
        </w:rPr>
        <w:t>(h)</w:t>
      </w:r>
      <w:r>
        <w:rPr>
          <w:color w:val="000000"/>
        </w:rPr>
        <w:t>    </w:t>
      </w:r>
      <w:r>
        <w:rPr>
          <w:rFonts w:ascii="Times New Roman;serif" w:hAnsi="Times New Roman;serif"/>
          <w:b w:val="false"/>
          <w:color w:val="000000"/>
          <w:sz w:val="22"/>
        </w:rPr>
        <w:t>Notwithstanding anything to the contrary herein, in no event shall the Warrant Price, as adjusted in accordance with the terms hereof, be less than the par value per share of [title of Preferred Stock purchasable through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3.5    Notice to Warrantholders. </w:t>
      </w:r>
      <w:r>
        <w:rPr>
          <w:rFonts w:ascii="Times New Roman;serif" w:hAnsi="Times New Roman;serif"/>
          <w:b w:val="false"/>
          <w:color w:val="000000"/>
          <w:sz w:val="22"/>
        </w:rPr>
        <w:t>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88" w:before="0" w:after="240"/>
        <w:ind w:left="0" w:right="0" w:firstLine="720"/>
        <w:jc w:val="both"/>
        <w:rPr/>
      </w:pPr>
      <w:r>
        <w:rPr>
          <w:rFonts w:ascii="Times New Roman;serif" w:hAnsi="Times New Roman;serif"/>
          <w:b/>
          <w:color w:val="000000"/>
          <w:sz w:val="22"/>
        </w:rPr>
        <w:t>3.6</w:t>
      </w:r>
      <w:r>
        <w:rPr>
          <w:color w:val="000000"/>
        </w:rPr>
        <w:t>    </w:t>
      </w:r>
      <w:r>
        <w:rPr>
          <w:rFonts w:ascii="Times New Roman;serif" w:hAnsi="Times New Roman;serif"/>
          <w:b w:val="false"/>
          <w:color w:val="000000"/>
          <w:sz w:val="22"/>
        </w:rPr>
        <w:t>[If the Warrants are Subject to Acceleration by the Company, Insert — Acceleration of Warrants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color w:val="000000"/>
        </w:rPr>
        <w:t>    </w:t>
      </w:r>
      <w:r>
        <w:rPr>
          <w:rFonts w:ascii="Times New Roman;serif" w:hAnsi="Times New Roman;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(b) </w:t>
      </w:r>
      <w:r>
        <w:rPr>
          <w:color w:val="000000"/>
        </w:rPr>
        <w:t>“</w:t>
      </w:r>
      <w:r>
        <w:rPr>
          <w:rFonts w:ascii="Times New Roman;serif" w:hAnsi="Times New Roman;serif"/>
          <w:b/>
          <w:i/>
          <w:color w:val="000000"/>
          <w:sz w:val="22"/>
        </w:rPr>
        <w:t>Market Price</w:t>
      </w:r>
      <w:r>
        <w:rPr>
          <w:color w:val="000000"/>
        </w:rPr>
        <w:t xml:space="preserve">” </w:t>
      </w:r>
      <w:r>
        <w:rPr>
          <w:rFonts w:ascii="Times New Roman;serif" w:hAnsi="Times New Roman;serif"/>
          <w:b w:val="false"/>
          <w:color w:val="000000"/>
          <w:sz w:val="22"/>
        </w:rPr>
        <w:t xml:space="preserve">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20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color w:val="000000"/>
        </w:rPr>
        <w:t>    </w:t>
      </w:r>
      <w:r>
        <w:rPr>
          <w:rFonts w:ascii="Times New Roman;serif" w:hAnsi="Times New Roman;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color w:val="000000"/>
        </w:rPr>
        <w:t>    </w:t>
      </w:r>
      <w:r>
        <w:rPr>
          <w:rFonts w:ascii="Times New Roman;serif" w:hAnsi="Times New Roman;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4.1    Exchange and Transfer of Warrant Certificates</w:t>
      </w:r>
      <w:r>
        <w:rPr>
          <w:rFonts w:ascii="Times New Roman;serif" w:hAnsi="Times New Roman;serif"/>
          <w:b w:val="false"/>
          <w:color w:val="000000"/>
          <w:sz w:val="22"/>
        </w:rPr>
        <w:t xml:space="preserve">.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206"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Treatment of Holders of Warrant Certificates. </w:t>
      </w:r>
      <w:r>
        <w:rPr>
          <w:rFonts w:ascii="Times New Roman;serif" w:hAnsi="Times New Roman;serif"/>
          <w:b w:val="false"/>
          <w:color w:val="000000"/>
          <w:sz w:val="22"/>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4.3    Cancellation of Warrant Certificates. </w:t>
      </w:r>
      <w:r>
        <w:rPr>
          <w:rFonts w:ascii="Times New Roman;serif" w:hAnsi="Times New Roman;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WARRANT AGENT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Warrant Agent. </w:t>
      </w:r>
      <w:r>
        <w:rPr>
          <w:rFonts w:ascii="Times New Roman;serif" w:hAnsi="Times New Roman;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5.2    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Compensation and Indemnification. </w:t>
      </w:r>
      <w:r>
        <w:rPr>
          <w:rFonts w:ascii="Times New Roman;serif" w:hAnsi="Times New Roman;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Agent for the Company. </w:t>
      </w:r>
      <w:r>
        <w:rPr>
          <w:rFonts w:ascii="Times New Roman;serif" w:hAnsi="Times New Roman;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207"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(e)    Certain Transactions.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(f)    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(g)    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(h)    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(i)    No Implied Obligations. </w:t>
      </w:r>
      <w:r>
        <w:rPr>
          <w:rFonts w:ascii="Times New Roman;serif" w:hAnsi="Times New Roman;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208"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color w:val="000000"/>
        </w:rPr>
        <w:t>    </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color w:val="000000"/>
        </w:rPr>
        <w:t>    </w:t>
      </w:r>
      <w:r>
        <w:rPr>
          <w:rFonts w:ascii="Times New Roman;serif" w:hAnsi="Times New Roman;serif"/>
          <w:b w:val="false"/>
          <w:color w:val="000000"/>
          <w:sz w:val="22"/>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color w:val="000000"/>
        </w:rPr>
        <w:t>    </w:t>
      </w:r>
      <w:r>
        <w:rPr>
          <w:rFonts w:ascii="Times New Roman;serif" w:hAnsi="Times New Roman;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(e)</w:t>
      </w:r>
      <w:r>
        <w:rPr>
          <w:color w:val="000000"/>
        </w:rPr>
        <w:t>    </w:t>
      </w:r>
      <w:r>
        <w:rPr>
          <w:rFonts w:ascii="Times New Roman;serif" w:hAnsi="Times New Roman;serif"/>
          <w:b w:val="false"/>
          <w:color w:val="000000"/>
          <w:sz w:val="22"/>
        </w:rPr>
        <w:t xml:space="preserve">Any corporation into which the Warrant Agent hereunder may be merged or converted or any corporation with which the Warrant Agent may be consolidated, or any corporation resulting from any merger, conversion or consolidation to which the Warrant Agent shall be a party, or </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209"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    Amendment.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6.2    Notices and Demands to the Company and Warrant Agent.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Addresses.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Dutch Bros Inc., 1930 W. Rio Salado Pkwy, Tempe, Arizona, 85281, Attention: Chief Financial Officer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6.6    Obtaining of Governmental Approvals. </w:t>
      </w:r>
      <w:r>
        <w:rPr>
          <w:rFonts w:ascii="Times New Roman;serif" w:hAnsi="Times New Roman;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Persons Having Rights Under the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210"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6.9    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6.10    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211"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IN WITNESS WHEREOF, </w:t>
      </w:r>
      <w:r>
        <w:rPr>
          <w:rFonts w:ascii="Times New Roman;serif" w:hAnsi="Times New Roman;serif"/>
          <w:b w:val="false"/>
          <w:color w:val="000000"/>
          <w:sz w:val="22"/>
        </w:rPr>
        <w:t>the parties hereto have caused this Agreement to be duly executed as of the day and year first above written.</w:t>
      </w:r>
    </w:p>
    <w:tbl>
      <w:tblPr>
        <w:tblW w:w="3822" w:type="dxa"/>
        <w:jc w:val="left"/>
        <w:tblInd w:w="0" w:type="dxa"/>
        <w:tblLayout w:type="fixed"/>
        <w:tblCellMar>
          <w:top w:w="28" w:type="dxa"/>
          <w:left w:w="28" w:type="dxa"/>
          <w:bottom w:w="28" w:type="dxa"/>
          <w:right w:w="28" w:type="dxa"/>
        </w:tblCellMar>
      </w:tblPr>
      <w:tblGrid>
        <w:gridCol w:w="124"/>
        <w:gridCol w:w="109"/>
        <w:gridCol w:w="109"/>
        <w:gridCol w:w="542"/>
        <w:gridCol w:w="542"/>
        <w:gridCol w:w="542"/>
        <w:gridCol w:w="542"/>
        <w:gridCol w:w="542"/>
        <w:gridCol w:w="7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DUTCH BROS INC.,</w:t>
            </w:r>
            <w:r>
              <w:rPr>
                <w:color w:val="000000"/>
              </w:rPr>
              <w:t xml:space="preserve"> </w:t>
            </w:r>
            <w:r>
              <w:rPr>
                <w:rFonts w:ascii="Times New Roman;serif" w:hAnsi="Times New Roman;serif"/>
                <w:b w:val="false"/>
                <w:color w:val="000000"/>
                <w:sz w:val="22"/>
              </w:rPr>
              <w:t>as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as Warrant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212"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DUTCH BROS INC. PREFERRED STOCK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DUTCH BROS INC. PREFERRED STOCK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110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84"/>
        <w:gridCol w:w="1392"/>
        <w:gridCol w:w="1399"/>
        <w:gridCol w:w="109"/>
        <w:gridCol w:w="109"/>
        <w:gridCol w:w="109"/>
        <w:gridCol w:w="1611"/>
        <w:gridCol w:w="1611"/>
        <w:gridCol w:w="2281"/>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88" w:before="0" w:after="22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3"/>
            <w:tcBorders/>
            <w:tcMar>
              <w:top w:w="0" w:type="dxa"/>
              <w:left w:w="0" w:type="dxa"/>
              <w:bottom w:w="0" w:type="dxa"/>
              <w:right w:w="0" w:type="dxa"/>
            </w:tcMar>
            <w:vAlign w:val="center"/>
          </w:tcPr>
          <w:p>
            <w:pPr>
              <w:pStyle w:val="TableContents"/>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EXERCISABLE ONLY IF COUNTERSIGNED BY THE WARRANT AGENT AS PROVIDED HEREIN</w:t>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1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[TITLE OF WARRANT SECURITIES]</w:t>
      </w:r>
    </w:p>
    <w:tbl>
      <w:tblPr>
        <w:tblW w:w="2146" w:type="dxa"/>
        <w:jc w:val="center"/>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340"/>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jc w:val="both"/>
        <w:rPr/>
      </w:pPr>
      <w:r>
        <w:rPr>
          <w:rFonts w:ascii="Times New Roman;serif" w:hAnsi="Times New Roman;serif"/>
          <w:b w:val="false"/>
          <w:color w:val="000000"/>
          <w:sz w:val="22"/>
        </w:rPr>
        <w:t>This certifies that [</w:t>
      </w:r>
      <w:r>
        <w:rPr>
          <w:color w:val="000000"/>
        </w:rPr>
        <w:t>●</w:t>
      </w:r>
      <w:r>
        <w:rPr>
          <w:rFonts w:ascii="Times New Roman;serif" w:hAnsi="Times New Roman;serif"/>
          <w:b w:val="false"/>
          <w:color w:val="000000"/>
          <w:sz w:val="22"/>
        </w:rPr>
        <w:t>] or registered assigns is the registered owner of the above indicated number of Warrants, each Warrant entitling such owner to purchase, at any time [after [</w:t>
      </w:r>
      <w:r>
        <w:rPr>
          <w:color w:val="000000"/>
        </w:rPr>
        <w:t>●</w:t>
      </w:r>
      <w:r>
        <w:rPr>
          <w:rFonts w:ascii="Times New Roman;serif" w:hAnsi="Times New Roman;serif"/>
          <w:b w:val="false"/>
          <w:color w:val="000000"/>
          <w:sz w:val="22"/>
        </w:rPr>
        <w:t>] p.m., [City] time, on [</w:t>
      </w:r>
      <w:r>
        <w:rPr>
          <w:color w:val="000000"/>
        </w:rPr>
        <w:t>●</w:t>
      </w:r>
      <w:r>
        <w:rPr>
          <w:rFonts w:ascii="Times New Roman;serif" w:hAnsi="Times New Roman;serif"/>
          <w:b w:val="false"/>
          <w:color w:val="000000"/>
          <w:sz w:val="22"/>
        </w:rPr>
        <w:t>], [</w:t>
      </w:r>
      <w:r>
        <w:rPr>
          <w:color w:val="000000"/>
        </w:rPr>
        <w:t>●</w:t>
      </w:r>
      <w:r>
        <w:rPr>
          <w:rFonts w:ascii="Times New Roman;serif" w:hAnsi="Times New Roman;serif"/>
          <w:b w:val="false"/>
          <w:color w:val="000000"/>
          <w:sz w:val="22"/>
        </w:rPr>
        <w:t>] shares of [Title of Warrant Securities], par value $0.00001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Dutch Bros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on the following basis: during the period from [</w:t>
      </w:r>
      <w:r>
        <w:rPr>
          <w:color w:val="000000"/>
        </w:rPr>
        <w:t>●</w:t>
      </w:r>
      <w:r>
        <w:rPr>
          <w:rFonts w:ascii="Times New Roman;serif" w:hAnsi="Times New Roman;serif"/>
          <w:b w:val="false"/>
          <w:color w:val="000000"/>
          <w:sz w:val="22"/>
        </w:rPr>
        <w:t>], through and including [</w:t>
      </w:r>
      <w:r>
        <w:rPr>
          <w:color w:val="000000"/>
        </w:rPr>
        <w:t>●</w:t>
      </w:r>
      <w:r>
        <w:rPr>
          <w:rFonts w:ascii="Times New Roman;serif" w:hAnsi="Times New Roman;serif"/>
          <w:b w:val="false"/>
          <w:color w:val="000000"/>
          <w:sz w:val="22"/>
        </w:rPr>
        <w:t>], the exercise price per Warrant Security will be $[</w:t>
      </w:r>
      <w:r>
        <w:rPr>
          <w:color w:val="000000"/>
        </w:rPr>
        <w:t>●</w:t>
      </w:r>
      <w:r>
        <w:rPr>
          <w:rFonts w:ascii="Times New Roman;serif" w:hAnsi="Times New Roman;serif"/>
          <w:b w:val="false"/>
          <w:color w:val="000000"/>
          <w:sz w:val="22"/>
        </w:rPr>
        <w:t>], subject to adjustment as provided in the Warrant Agreement (as hereinafter defined)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jc w:val="both"/>
        <w:rPr/>
      </w:pPr>
      <w:r>
        <w:rPr>
          <w:rFonts w:ascii="Times New Roman;serif" w:hAnsi="Times New Roman;serif"/>
          <w:b w:val="false"/>
          <w:color w:val="000000"/>
          <w:sz w:val="22"/>
        </w:rPr>
        <w:t>This Warrant Certificate is issued under and in accordance with the Warrant Agreement dated as of [</w:t>
      </w:r>
      <w:r>
        <w:rPr>
          <w:color w:val="000000"/>
        </w:rPr>
        <w:t>●</w:t>
      </w:r>
      <w:r>
        <w:rPr>
          <w:rFonts w:ascii="Times New Roman;serif" w:hAnsi="Times New Roman;serif"/>
          <w:b w:val="false"/>
          <w:color w:val="000000"/>
          <w:sz w:val="22"/>
        </w:rPr>
        <w:t>]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Certificate shall not entitle the Holder hereof to any of the rights of a holder of the Warrant Securities, including, without limitation, the right to receive payments of dividends or distributions, if </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21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on the Warrant Securities (except to the extent set forth in the Warrant Agreement) or to exercise any voting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90" w:before="0" w:after="220"/>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color w:val="000000"/>
          <w:sz w:val="22"/>
        </w:rPr>
        <w:t>DUTCH BROS INC.</w:t>
      </w:r>
      <w:r>
        <w:rPr>
          <w:rFonts w:ascii="Times New Roman;serif" w:hAnsi="Times New Roman;serif"/>
          <w:b w:val="false"/>
          <w:color w:val="000000"/>
          <w:sz w:val="22"/>
        </w:rPr>
        <w:t>, as Company</w:t>
      </w:r>
    </w:p>
    <w:tbl>
      <w:tblPr>
        <w:tblW w:w="1760" w:type="dxa"/>
        <w:jc w:val="left"/>
        <w:tblInd w:w="0" w:type="dxa"/>
        <w:tblLayout w:type="fixed"/>
        <w:tblCellMar>
          <w:top w:w="28" w:type="dxa"/>
          <w:left w:w="28" w:type="dxa"/>
          <w:bottom w:w="28" w:type="dxa"/>
          <w:right w:w="28" w:type="dxa"/>
        </w:tblCellMar>
      </w:tblPr>
      <w:tblGrid>
        <w:gridCol w:w="264"/>
        <w:gridCol w:w="232"/>
        <w:gridCol w:w="238"/>
        <w:gridCol w:w="109"/>
        <w:gridCol w:w="109"/>
        <w:gridCol w:w="109"/>
        <w:gridCol w:w="109"/>
        <w:gridCol w:w="109"/>
        <w:gridCol w:w="109"/>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779" w:type="dxa"/>
        <w:jc w:val="left"/>
        <w:tblInd w:w="0" w:type="dxa"/>
        <w:tblLayout w:type="fixed"/>
        <w:tblCellMar>
          <w:top w:w="28" w:type="dxa"/>
          <w:left w:w="28" w:type="dxa"/>
          <w:bottom w:w="28" w:type="dxa"/>
          <w:right w:w="28" w:type="dxa"/>
        </w:tblCellMar>
      </w:tblPr>
      <w:tblGrid>
        <w:gridCol w:w="391"/>
        <w:gridCol w:w="343"/>
        <w:gridCol w:w="346"/>
        <w:gridCol w:w="109"/>
        <w:gridCol w:w="109"/>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color w:val="000000"/>
                <w:sz w:val="22"/>
              </w:rPr>
            </w:pPr>
            <w:r>
              <w:rPr>
                <w:rFonts w:ascii="Times New Roman;serif" w:hAnsi="Times New Roman;serif"/>
                <w:b/>
                <w:color w:val="000000"/>
                <w:sz w:val="22"/>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COUNTERSIGNED</w:t>
      </w:r>
    </w:p>
    <w:p>
      <w:pPr>
        <w:pStyle w:val="TextBody"/>
        <w:bidi w:val="0"/>
        <w:spacing w:lineRule="auto" w:line="288" w:before="0" w:after="240"/>
        <w:jc w:val="left"/>
        <w:rPr/>
      </w:pPr>
      <w:r>
        <w:rPr>
          <w:rFonts w:ascii="Times New Roman;serif" w:hAnsi="Times New Roman;serif"/>
          <w:b/>
          <w:color w:val="000000"/>
          <w:sz w:val="22"/>
        </w:rPr>
        <w:t>[</w:t>
      </w:r>
      <w:r>
        <w:rPr>
          <w:color w:val="000000"/>
        </w:rPr>
        <w:t>●</w:t>
      </w:r>
      <w:r>
        <w:rPr>
          <w:rFonts w:ascii="Times New Roman;serif" w:hAnsi="Times New Roman;serif"/>
          <w:b/>
          <w:color w:val="000000"/>
          <w:sz w:val="22"/>
        </w:rPr>
        <w:t>]</w:t>
      </w:r>
      <w:r>
        <w:rPr>
          <w:rFonts w:ascii="Times New Roman;serif" w:hAnsi="Times New Roman;serif"/>
          <w:b w:val="false"/>
          <w:color w:val="000000"/>
          <w:sz w:val="22"/>
        </w:rPr>
        <w:t>, as Warrant Agent</w:t>
      </w:r>
    </w:p>
    <w:tbl>
      <w:tblPr>
        <w:tblW w:w="1433" w:type="dxa"/>
        <w:jc w:val="left"/>
        <w:tblInd w:w="0" w:type="dxa"/>
        <w:tblLayout w:type="fixed"/>
        <w:tblCellMar>
          <w:top w:w="28" w:type="dxa"/>
          <w:left w:w="28" w:type="dxa"/>
          <w:bottom w:w="28" w:type="dxa"/>
          <w:right w:w="28" w:type="dxa"/>
        </w:tblCellMar>
      </w:tblPr>
      <w:tblGrid>
        <w:gridCol w:w="264"/>
        <w:gridCol w:w="232"/>
        <w:gridCol w:w="238"/>
        <w:gridCol w:w="109"/>
        <w:gridCol w:w="109"/>
        <w:gridCol w:w="109"/>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779" w:type="dxa"/>
        <w:jc w:val="left"/>
        <w:tblInd w:w="0" w:type="dxa"/>
        <w:tblLayout w:type="fixed"/>
        <w:tblCellMar>
          <w:top w:w="28" w:type="dxa"/>
          <w:left w:w="28" w:type="dxa"/>
          <w:bottom w:w="28" w:type="dxa"/>
          <w:right w:w="28" w:type="dxa"/>
        </w:tblCellMar>
      </w:tblPr>
      <w:tblGrid>
        <w:gridCol w:w="391"/>
        <w:gridCol w:w="343"/>
        <w:gridCol w:w="346"/>
        <w:gridCol w:w="109"/>
        <w:gridCol w:w="109"/>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color w:val="000000"/>
                <w:sz w:val="22"/>
              </w:rPr>
            </w:pPr>
            <w:r>
              <w:rPr>
                <w:rFonts w:ascii="Times New Roman;serif" w:hAnsi="Times New Roman;serif"/>
                <w:b/>
                <w:color w:val="000000"/>
                <w:sz w:val="22"/>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21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_______ Warrants, evidenced by this Warrant Certificate, to purchase _______ shares of the [TITLE OF WARRANT SECURITIES], par value $0.00001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Dutch Bros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Dutch Bros Inc., c/o [insert name and address of Warrant Agent], in the amount of $________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372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09"/>
        <w:gridCol w:w="259"/>
        <w:gridCol w:w="259"/>
        <w:gridCol w:w="261"/>
        <w:gridCol w:w="394"/>
        <w:gridCol w:w="394"/>
        <w:gridCol w:w="39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both"/>
        <w:rPr>
          <w:rFonts w:ascii="Times New Roman;serif" w:hAnsi="Times New Roman;serif"/>
          <w:b w:val="false"/>
          <w:color w:val="000000"/>
          <w:sz w:val="22"/>
        </w:rPr>
      </w:pPr>
      <w:r>
        <w:rPr>
          <w:rFonts w:ascii="Times New Roman;serif" w:hAnsi="Times New Roman;serif"/>
          <w:b w:val="false"/>
          <w:color w:val="000000"/>
          <w:sz w:val="22"/>
        </w:rPr>
        <w:t>Address:</w:t>
      </w:r>
    </w:p>
    <w:tbl>
      <w:tblPr>
        <w:tblW w:w="4976" w:type="dxa"/>
        <w:jc w:val="left"/>
        <w:tblInd w:w="0" w:type="dxa"/>
        <w:tblLayout w:type="fixed"/>
        <w:tblCellMar>
          <w:top w:w="28" w:type="dxa"/>
          <w:left w:w="28" w:type="dxa"/>
          <w:bottom w:w="28" w:type="dxa"/>
          <w:right w:w="28" w:type="dxa"/>
        </w:tblCellMar>
      </w:tblPr>
      <w:tblGrid>
        <w:gridCol w:w="862"/>
        <w:gridCol w:w="758"/>
        <w:gridCol w:w="758"/>
        <w:gridCol w:w="758"/>
        <w:gridCol w:w="758"/>
        <w:gridCol w:w="1082"/>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 Holder)</w:t>
            </w:r>
          </w:p>
        </w:tc>
      </w:tr>
    </w:tbl>
    <w:tbl>
      <w:tblPr>
        <w:tblW w:w="3241" w:type="dxa"/>
        <w:jc w:val="left"/>
        <w:tblInd w:w="0" w:type="dxa"/>
        <w:tblLayout w:type="fixed"/>
        <w:tblCellMar>
          <w:top w:w="28" w:type="dxa"/>
          <w:left w:w="28" w:type="dxa"/>
          <w:bottom w:w="28" w:type="dxa"/>
          <w:right w:w="28" w:type="dxa"/>
        </w:tblCellMar>
      </w:tblPr>
      <w:tblGrid>
        <w:gridCol w:w="799"/>
        <w:gridCol w:w="701"/>
        <w:gridCol w:w="705"/>
        <w:gridCol w:w="303"/>
        <w:gridCol w:w="303"/>
        <w:gridCol w:w="430"/>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 By hand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21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21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FOR VALUE RECEIVED, __________ </w:t>
      </w:r>
      <w:r>
        <w:rPr>
          <w:rFonts w:ascii="Times New Roman;serif" w:hAnsi="Times New Roman;serif"/>
          <w:b w:val="false"/>
          <w:color w:val="000000"/>
          <w:sz w:val="22"/>
        </w:rPr>
        <w:t>hereby sells, assigns and transfers unto:</w:t>
      </w:r>
    </w:p>
    <w:tbl>
      <w:tblPr>
        <w:tblW w:w="10205" w:type="dxa"/>
        <w:jc w:val="left"/>
        <w:tblInd w:w="0" w:type="dxa"/>
        <w:tblLayout w:type="fixed"/>
        <w:tblCellMar>
          <w:top w:w="28" w:type="dxa"/>
          <w:left w:w="28" w:type="dxa"/>
          <w:bottom w:w="28" w:type="dxa"/>
          <w:right w:w="28" w:type="dxa"/>
        </w:tblCellMar>
      </w:tblPr>
      <w:tblGrid>
        <w:gridCol w:w="922"/>
        <w:gridCol w:w="807"/>
        <w:gridCol w:w="807"/>
        <w:gridCol w:w="807"/>
        <w:gridCol w:w="807"/>
        <w:gridCol w:w="807"/>
        <w:gridCol w:w="807"/>
        <w:gridCol w:w="807"/>
        <w:gridCol w:w="807"/>
        <w:gridCol w:w="807"/>
        <w:gridCol w:w="807"/>
        <w:gridCol w:w="1213"/>
      </w:tblGrid>
      <w:tr>
        <w:trPr/>
        <w:tc>
          <w:tcPr>
            <w:tcW w:w="9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    Please print Social Security or other identifying number</w:t>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________ shares of [Title of Warrant Securities] of Dutch Bros Inc. to which the within Warrant relates and appoints __________________ attorney to transfer such right on the books of the Warrant Agent with full power of substitution in the premises.</w:t>
      </w:r>
    </w:p>
    <w:tbl>
      <w:tblPr>
        <w:tblW w:w="3931"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09"/>
        <w:gridCol w:w="259"/>
        <w:gridCol w:w="259"/>
        <w:gridCol w:w="261"/>
        <w:gridCol w:w="463"/>
        <w:gridCol w:w="463"/>
        <w:gridCol w:w="465"/>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20"/>
              <w:ind w:left="0" w:right="0" w:firstLine="400"/>
              <w:jc w:val="left"/>
              <w:rPr>
                <w:rFonts w:ascii="Times New Roman;serif" w:hAnsi="Times New Roman;serif"/>
                <w:b w:val="false"/>
                <w:color w:val="000000"/>
                <w:sz w:val="22"/>
              </w:rPr>
            </w:pPr>
            <w:r>
              <w:rPr>
                <w:rFonts w:ascii="Times New Roman;serif" w:hAnsi="Times New Roman;serif"/>
                <w:b w:val="false"/>
                <w:color w:val="000000"/>
                <w:sz w:val="22"/>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tbl>
      <w:tblPr>
        <w:tblW w:w="2844" w:type="dxa"/>
        <w:jc w:val="left"/>
        <w:tblInd w:w="0" w:type="dxa"/>
        <w:tblLayout w:type="fixed"/>
        <w:tblCellMar>
          <w:top w:w="28" w:type="dxa"/>
          <w:left w:w="28" w:type="dxa"/>
          <w:bottom w:w="28" w:type="dxa"/>
          <w:right w:w="28" w:type="dxa"/>
        </w:tblCellMar>
      </w:tblPr>
      <w:tblGrid>
        <w:gridCol w:w="777"/>
        <w:gridCol w:w="682"/>
        <w:gridCol w:w="686"/>
        <w:gridCol w:w="109"/>
        <w:gridCol w:w="109"/>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4.8</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21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60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DUTCH BROS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pPr>
      <w:r>
        <w:rPr>
          <w:rFonts w:ascii="Times New Roman;serif" w:hAnsi="Times New Roman;serif"/>
          <w:b/>
          <w:color w:val="000000"/>
          <w:sz w:val="22"/>
        </w:rPr>
        <w:t xml:space="preserve">_____________, </w:t>
      </w:r>
      <w:r>
        <w:rPr>
          <w:rFonts w:ascii="Times New Roman;serif" w:hAnsi="Times New Roman;serif"/>
          <w:b/>
          <w:color w:val="000000"/>
          <w:sz w:val="24"/>
        </w:rPr>
        <w:t>AS WARRANT AGENT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DEBT SECURITIES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WARRANT AGREEMENT</w:t>
      </w:r>
    </w:p>
    <w:p>
      <w:pPr>
        <w:pStyle w:val="TextBody"/>
        <w:bidi w:val="0"/>
        <w:spacing w:lineRule="auto" w:line="288" w:before="0" w:after="0"/>
        <w:jc w:val="center"/>
        <w:rPr/>
      </w:pPr>
      <w:r>
        <w:rPr>
          <w:rFonts w:ascii="Times New Roman;serif" w:hAnsi="Times New Roman;serif"/>
          <w:b/>
          <w:color w:val="000000"/>
          <w:sz w:val="24"/>
        </w:rPr>
        <w:t xml:space="preserve">DATED AS OF </w:t>
      </w:r>
      <w:r>
        <w:rPr>
          <w:rFonts w:ascii="Times New Roman;serif" w:hAnsi="Times New Roman;serif"/>
          <w:b/>
          <w:color w:val="000000"/>
          <w:sz w:val="22"/>
        </w:rPr>
        <w:t>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21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DEBT SECURITIES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DEBT SECURITIES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dated as of [ ● ], between </w:t>
      </w:r>
      <w:r>
        <w:rPr>
          <w:rFonts w:ascii="Times New Roman;serif" w:hAnsi="Times New Roman;serif"/>
          <w:b/>
          <w:color w:val="000000"/>
          <w:sz w:val="22"/>
        </w:rPr>
        <w:t>DUTCH BROS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 ], a [corporation] [national banking association] organized and existing under the laws of [●] and having a corporate trust office in [</w:t>
      </w:r>
      <w:r>
        <w:rPr>
          <w:color w:val="000000"/>
        </w:rPr>
        <w:t>●</w:t>
      </w:r>
      <w:r>
        <w:rPr>
          <w:rFonts w:ascii="Times New Roman;serif" w:hAnsi="Times New Roman;serif"/>
          <w:b w:val="false"/>
          <w:color w:val="000000"/>
          <w:sz w:val="22"/>
        </w:rPr>
        <w:t>],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has entered into an indenture dated as of [●] (the “</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with [●], as trustee (such trustee, and any successors to such trustee, herein called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providing for the issuance from time to time of its debt securities, to be issued in one or more series as provided in the Indenture (the “</w:t>
      </w:r>
      <w:r>
        <w:rPr>
          <w:rFonts w:ascii="Times New Roman;serif" w:hAnsi="Times New Roman;serif"/>
          <w:b/>
          <w:i/>
          <w:color w:val="000000"/>
          <w:sz w:val="22"/>
        </w:rPr>
        <w:t>Debt Securities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proposes to sell [</w:t>
      </w:r>
      <w:r>
        <w:rPr>
          <w:rFonts w:ascii="Times New Roman;serif" w:hAnsi="Times New Roman;serif"/>
          <w:b/>
          <w:i/>
          <w:color w:val="000000"/>
          <w:sz w:val="22"/>
        </w:rPr>
        <w:t xml:space="preserve">If Warrants are sold with other securities </w:t>
      </w:r>
      <w:r>
        <w:rPr>
          <w:color w:val="000000"/>
        </w:rPr>
        <w:t>—</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[title of Debt Securities purchasable through exercise of Warrants]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NOW THEREFORE, </w:t>
      </w:r>
      <w:r>
        <w:rPr>
          <w:rFonts w:ascii="Times New Roman;serif" w:hAnsi="Times New Roman;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OF WARRANTS AND EXECUTION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DELIVERY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    Issuance of Warrants. </w:t>
      </w:r>
      <w:r>
        <w:rPr>
          <w:rFonts w:ascii="Times New Roman;serif" w:hAnsi="Times New Roman;serif"/>
          <w:b w:val="false"/>
          <w:color w:val="000000"/>
          <w:sz w:val="20"/>
        </w:rPr>
        <w:t>[</w:t>
      </w:r>
      <w:r>
        <w:rPr>
          <w:rFonts w:ascii="Times New Roman;serif" w:hAnsi="Times New Roman;serif"/>
          <w:b/>
          <w:i/>
          <w:color w:val="000000"/>
          <w:sz w:val="20"/>
        </w:rPr>
        <w:t>If Warrants alone</w:t>
      </w:r>
      <w:r>
        <w:rPr>
          <w:color w:val="000000"/>
        </w:rPr>
        <w:t xml:space="preserve"> — </w:t>
      </w:r>
      <w:r>
        <w:rPr>
          <w:rFonts w:ascii="Times New Roman;serif" w:hAnsi="Times New Roman;serif"/>
          <w:b w:val="false"/>
          <w:color w:val="000000"/>
          <w:sz w:val="20"/>
        </w:rPr>
        <w:t>Upon issuance, each Warrant Certificate shall evidence one or more Warrants.] [</w:t>
      </w:r>
      <w:r>
        <w:rPr>
          <w:rFonts w:ascii="Times New Roman;serif" w:hAnsi="Times New Roman;serif"/>
          <w:b/>
          <w:i/>
          <w:color w:val="000000"/>
          <w:sz w:val="20"/>
        </w:rPr>
        <w:t>If Other Securities and Warrants</w:t>
      </w:r>
      <w:r>
        <w:rPr>
          <w:color w:val="000000"/>
        </w:rPr>
        <w:t xml:space="preserve"> — </w:t>
      </w:r>
      <w:r>
        <w:rPr>
          <w:rFonts w:ascii="Times New Roman;serif" w:hAnsi="Times New Roman;serif"/>
          <w:b w:val="false"/>
          <w:color w:val="000000"/>
          <w:sz w:val="20"/>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serif" w:hAnsi="Times New Roman;serif"/>
          <w:b/>
          <w:i/>
          <w:color w:val="000000"/>
          <w:sz w:val="20"/>
        </w:rPr>
        <w:t>If Other Securities and Warrants</w:t>
      </w:r>
      <w:r>
        <w:rPr>
          <w:color w:val="000000"/>
        </w:rPr>
        <w:t xml:space="preserve"> — </w:t>
      </w:r>
      <w:r>
        <w:rPr>
          <w:rFonts w:ascii="Times New Roman;serif" w:hAnsi="Times New Roman;serif"/>
          <w:b w:val="false"/>
          <w:color w:val="000000"/>
          <w:sz w:val="20"/>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 xml:space="preserve">Exhibit A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220"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1.3    Issuance of Warrant Certificates. </w:t>
      </w:r>
      <w:r>
        <w:rPr>
          <w:rFonts w:ascii="Times New Roman;serif" w:hAnsi="Times New Roman;serif"/>
          <w:b w:val="false"/>
          <w:color w:val="000000"/>
          <w:sz w:val="22"/>
        </w:rPr>
        <w:t>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Warrant Price. </w:t>
      </w:r>
      <w:r>
        <w:rPr>
          <w:rFonts w:ascii="Times New Roman;serif" w:hAnsi="Times New Roman;serif"/>
          <w:b w:val="false"/>
          <w:color w:val="000000"/>
          <w:sz w:val="22"/>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w:t>
      </w:r>
      <w:r>
        <w:rPr>
          <w:color w:val="000000"/>
        </w:rPr>
        <w:t>●</w:t>
      </w:r>
      <w:r>
        <w:rPr>
          <w:rFonts w:ascii="Times New Roman;serif" w:hAnsi="Times New Roman;serif"/>
          <w:b w:val="false"/>
          <w:color w:val="000000"/>
          <w:sz w:val="22"/>
        </w:rPr>
        <w:t>]%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w:t>
      </w:r>
      <w:r>
        <w:rPr>
          <w:color w:val="000000"/>
        </w:rPr>
        <w:t>●</w:t>
      </w:r>
      <w:r>
        <w:rPr>
          <w:rFonts w:ascii="Times New Roman;serif" w:hAnsi="Times New Roman;serif"/>
          <w:b w:val="false"/>
          <w:color w:val="000000"/>
          <w:sz w:val="22"/>
        </w:rPr>
        <w:t>] for each $1,000 principal amount of Warrant Debt Securities) will be amortized at a [</w:t>
      </w:r>
      <w:r>
        <w:rPr>
          <w:color w:val="000000"/>
        </w:rPr>
        <w:t>●</w:t>
      </w:r>
      <w:r>
        <w:rPr>
          <w:rFonts w:ascii="Times New Roman;serif" w:hAnsi="Times New Roman;serif"/>
          <w:b w:val="false"/>
          <w:color w:val="000000"/>
          <w:sz w:val="22"/>
        </w:rPr>
        <w:t>]% annual rate, computed on a[n] [semi-] annual basis [using a 360-day year consisting of twelve 30-day months].] Such purchase price for the Warrant Debt Securities is referred to in this Agreement as the “</w:t>
      </w:r>
      <w:r>
        <w:rPr>
          <w:rFonts w:ascii="Times New Roman;serif" w:hAnsi="Times New Roman;serif"/>
          <w:b/>
          <w:i/>
          <w:color w:val="000000"/>
          <w:sz w:val="22"/>
        </w:rPr>
        <w:t>Warrant Price.</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221"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2.2    Duration of Warrants. </w:t>
      </w:r>
      <w:r>
        <w:rPr>
          <w:rFonts w:ascii="Times New Roman;serif" w:hAnsi="Times New Roman;serif"/>
          <w:b w:val="false"/>
          <w:color w:val="000000"/>
          <w:sz w:val="22"/>
        </w:rPr>
        <w:t xml:space="preserve">Each Warrant may be exercised in whole or in part at any time, as specified herein, on or after [the date thereof] [ </w:t>
      </w:r>
      <w:r>
        <w:rPr>
          <w:color w:val="000000"/>
        </w:rPr>
        <w:t xml:space="preserve">● </w:t>
      </w:r>
      <w:r>
        <w:rPr>
          <w:rFonts w:ascii="Times New Roman;serif" w:hAnsi="Times New Roman;serif"/>
          <w:b w:val="false"/>
          <w:color w:val="000000"/>
          <w:sz w:val="22"/>
        </w:rPr>
        <w:t xml:space="preserve">] and at or before [ </w:t>
      </w:r>
      <w:r>
        <w:rPr>
          <w:color w:val="000000"/>
        </w:rPr>
        <w:t xml:space="preserve">● </w:t>
      </w:r>
      <w:r>
        <w:rPr>
          <w:rFonts w:ascii="Times New Roman;serif" w:hAnsi="Times New Roman;serif"/>
          <w:b w:val="false"/>
          <w:color w:val="000000"/>
          <w:sz w:val="22"/>
        </w:rPr>
        <w:t xml:space="preserve">] p.m., [City] time, on [ </w:t>
      </w:r>
      <w:r>
        <w:rPr>
          <w:color w:val="000000"/>
        </w:rPr>
        <w:t xml:space="preserve">● </w:t>
      </w:r>
      <w:r>
        <w:rPr>
          <w:rFonts w:ascii="Times New Roman;serif" w:hAnsi="Times New Roman;serif"/>
          <w:b w:val="false"/>
          <w:color w:val="000000"/>
          <w:sz w:val="22"/>
        </w:rPr>
        <w:t>]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xml:space="preserve">). Each Warrant not exercised at or before [ </w:t>
      </w:r>
      <w:r>
        <w:rPr>
          <w:color w:val="000000"/>
        </w:rPr>
        <w:t xml:space="preserve">● </w:t>
      </w:r>
      <w:r>
        <w:rPr>
          <w:rFonts w:ascii="Times New Roman;serif" w:hAnsi="Times New Roman;serif"/>
          <w:b w:val="false"/>
          <w:color w:val="000000"/>
          <w:sz w:val="22"/>
        </w:rPr>
        <w:t>] p.m., [City] time, on the Expiration Date shall become void, and all rights of the holder of the Warrant Certificate evidencing such Warrant under this Agreement shall cease.</w:t>
      </w:r>
    </w:p>
    <w:p>
      <w:pPr>
        <w:pStyle w:val="TextBody"/>
        <w:bidi w:val="0"/>
        <w:spacing w:lineRule="auto" w:line="288" w:before="0" w:after="240"/>
        <w:ind w:left="0" w:right="0" w:firstLine="740"/>
        <w:jc w:val="both"/>
        <w:rPr>
          <w:rFonts w:ascii="Times New Roman;serif" w:hAnsi="Times New Roman;serif"/>
          <w:b/>
          <w:color w:val="000000"/>
          <w:sz w:val="22"/>
        </w:rPr>
      </w:pPr>
      <w:r>
        <w:rPr>
          <w:rFonts w:ascii="Times New Roman;serif" w:hAnsi="Times New Roman;serif"/>
          <w:b/>
          <w:color w:val="000000"/>
          <w:sz w:val="22"/>
        </w:rPr>
        <w:t>2.3    Exercise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222"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OTHER PROVISIONS RELATING TO RIGHTS OF HOLDERS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No Rights as Holder of Warrant Debt Securities Conferred by Warrants or Warrant Certificates. </w:t>
      </w:r>
      <w:r>
        <w:rPr>
          <w:rFonts w:ascii="Times New Roman;serif" w:hAnsi="Times New Roman;serif"/>
          <w:b w:val="false"/>
          <w:color w:val="000000"/>
          <w:sz w:val="22"/>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Lost, Stolen, Mutilated or Destroyed Warrant Certificates.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Holder of Warrant Certificate May Enforce Rights. </w:t>
      </w:r>
      <w:r>
        <w:rPr>
          <w:rFonts w:ascii="Times New Roman;serif" w:hAnsi="Times New Roman;serif"/>
          <w:b w:val="false"/>
          <w:color w:val="000000"/>
          <w:sz w:val="22"/>
        </w:rPr>
        <w:t xml:space="preserve">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223"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3.4    Merger, Sale, Conveyance or Lease. </w:t>
      </w:r>
      <w:r>
        <w:rPr>
          <w:rFonts w:ascii="Times New Roman;serif" w:hAnsi="Times New Roman;serif"/>
          <w:b w:val="false"/>
          <w:color w:val="000000"/>
          <w:sz w:val="22"/>
        </w:rPr>
        <w:t>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3.5    Notice to Warrantholders. </w:t>
      </w:r>
      <w:r>
        <w:rPr>
          <w:rFonts w:ascii="Times New Roman;serif" w:hAnsi="Times New Roman;serif"/>
          <w:b w:val="false"/>
          <w:color w:val="000000"/>
          <w:sz w:val="22"/>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4.1    Exchange and Transfer of Warrant Certificates</w:t>
      </w:r>
      <w:r>
        <w:rPr>
          <w:rFonts w:ascii="Times New Roman;serif" w:hAnsi="Times New Roman;serif"/>
          <w:b w:val="false"/>
          <w:color w:val="000000"/>
          <w:sz w:val="22"/>
        </w:rPr>
        <w:t xml:space="preserve">.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224"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Treatment of Holders of Warrant Certificates. </w:t>
      </w:r>
      <w:r>
        <w:rPr>
          <w:rFonts w:ascii="Times New Roman;serif" w:hAnsi="Times New Roman;serif"/>
          <w:b w:val="false"/>
          <w:color w:val="000000"/>
          <w:sz w:val="22"/>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4.3    Cancellation of Warrant Certificates. </w:t>
      </w:r>
      <w:r>
        <w:rPr>
          <w:rFonts w:ascii="Times New Roman;serif" w:hAnsi="Times New Roman;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WARRANT AGENT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Warrant Agent. </w:t>
      </w:r>
      <w:r>
        <w:rPr>
          <w:rFonts w:ascii="Times New Roman;serif" w:hAnsi="Times New Roman;serif"/>
          <w:b w:val="false"/>
          <w:color w:val="000000"/>
          <w:sz w:val="22"/>
        </w:rPr>
        <w:t xml:space="preserve">The Company hereby appoints [ </w:t>
      </w:r>
      <w:r>
        <w:rPr>
          <w:color w:val="000000"/>
        </w:rPr>
        <w:t xml:space="preserve">● </w:t>
      </w:r>
      <w:r>
        <w:rPr>
          <w:rFonts w:ascii="Times New Roman;serif" w:hAnsi="Times New Roman;serif"/>
          <w:b w:val="false"/>
          <w:color w:val="000000"/>
          <w:sz w:val="22"/>
        </w:rPr>
        <w:t>] as Warrant Agent of the Company in respect of the Warrants and the Warrant Certificates upon the terms and subject to the conditions herein set forth, and [</w:t>
      </w:r>
      <w:r>
        <w:rPr>
          <w:color w:val="000000"/>
        </w:rPr>
        <w:t>●</w:t>
      </w:r>
      <w:r>
        <w:rPr>
          <w:rFonts w:ascii="Times New Roman;serif" w:hAnsi="Times New Roman;serif"/>
          <w:b w:val="false"/>
          <w:color w:val="000000"/>
          <w:sz w:val="22"/>
        </w:rPr>
        <w:t>]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5.2    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Compensation and Indemnification. </w:t>
      </w:r>
      <w:r>
        <w:rPr>
          <w:rFonts w:ascii="Times New Roman;serif" w:hAnsi="Times New Roman;serif"/>
          <w:b w:val="false"/>
          <w:color w:val="000000"/>
          <w:sz w:val="22"/>
        </w:rPr>
        <w:t xml:space="preserve">The Company agrees promptly to pay the Warrant Agent the compensation to be agreed upon with the Company for all services rendered by the Warrant Agent and to reimburse the Warrant Agent for reasonable out-of-pocket expenses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225"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Agent for the Company. </w:t>
      </w:r>
      <w:r>
        <w:rPr>
          <w:rFonts w:ascii="Times New Roman;serif" w:hAnsi="Times New Roman;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(e)    Certain Transactions.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(f)    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(g)    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(h)    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(i)    No Implied Obligations. </w:t>
      </w:r>
      <w:r>
        <w:rPr>
          <w:rFonts w:ascii="Times New Roman;serif" w:hAnsi="Times New Roman;serif"/>
          <w:b w:val="false"/>
          <w:color w:val="000000"/>
          <w:sz w:val="22"/>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226"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227"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    Amendment.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6.2    Notices and Demands to the Company and Warrant Agent.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Addresses.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Dutch Bros Inc., 1930 W. Rio Salado Pkwy, Tempe, Arizona, 85281, Attention: Chief Financial Officer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6.6    Obtaining of Governmental Approvals. </w:t>
      </w:r>
      <w:r>
        <w:rPr>
          <w:rFonts w:ascii="Times New Roman;serif" w:hAnsi="Times New Roman;serif"/>
          <w:b w:val="false"/>
          <w:color w:val="000000"/>
          <w:sz w:val="22"/>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228"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Persons Having Rights Under the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40"/>
        <w:jc w:val="both"/>
        <w:rPr/>
      </w:pPr>
      <w:r>
        <w:rPr>
          <w:rFonts w:ascii="Times New Roman;serif" w:hAnsi="Times New Roman;serif"/>
          <w:b/>
          <w:color w:val="000000"/>
          <w:sz w:val="22"/>
        </w:rPr>
        <w:t xml:space="preserve">6.9    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6.10    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229"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IN WITNESS WHEREOF, </w:t>
      </w:r>
      <w:r>
        <w:rPr>
          <w:rFonts w:ascii="Times New Roman;serif" w:hAnsi="Times New Roman;serif"/>
          <w:b w:val="false"/>
          <w:color w:val="000000"/>
          <w:sz w:val="22"/>
        </w:rPr>
        <w:t>the parties hereto have caused this Agreement to be duly executed as of the day and year first above written.</w:t>
      </w:r>
    </w:p>
    <w:tbl>
      <w:tblPr>
        <w:tblW w:w="3822" w:type="dxa"/>
        <w:jc w:val="left"/>
        <w:tblInd w:w="0" w:type="dxa"/>
        <w:tblLayout w:type="fixed"/>
        <w:tblCellMar>
          <w:top w:w="28" w:type="dxa"/>
          <w:left w:w="28" w:type="dxa"/>
          <w:bottom w:w="28" w:type="dxa"/>
          <w:right w:w="28" w:type="dxa"/>
        </w:tblCellMar>
      </w:tblPr>
      <w:tblGrid>
        <w:gridCol w:w="124"/>
        <w:gridCol w:w="109"/>
        <w:gridCol w:w="109"/>
        <w:gridCol w:w="542"/>
        <w:gridCol w:w="542"/>
        <w:gridCol w:w="542"/>
        <w:gridCol w:w="542"/>
        <w:gridCol w:w="542"/>
        <w:gridCol w:w="7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DUTCH BROS INC.</w:t>
            </w:r>
            <w:r>
              <w:rPr>
                <w:rFonts w:ascii="Times New Roman;serif" w:hAnsi="Times New Roman;serif"/>
                <w:b w:val="false"/>
                <w:color w:val="000000"/>
                <w:sz w:val="22"/>
              </w:rPr>
              <w:t>, as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w:t>
            </w:r>
            <w:r>
              <w:rPr>
                <w:color w:val="000000"/>
              </w:rPr>
              <w:t>●</w:t>
            </w:r>
            <w:r>
              <w:rPr>
                <w:rFonts w:ascii="Times New Roman;serif" w:hAnsi="Times New Roman;serif"/>
                <w:b/>
                <w:color w:val="000000"/>
                <w:sz w:val="22"/>
              </w:rPr>
              <w:t>]</w:t>
            </w:r>
            <w:r>
              <w:rPr>
                <w:rFonts w:ascii="Times New Roman;serif" w:hAnsi="Times New Roman;serif"/>
                <w:b w:val="false"/>
                <w:color w:val="000000"/>
                <w:sz w:val="22"/>
              </w:rPr>
              <w:t>, as Warrant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230"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340"/>
                              <w:jc w:val="center"/>
                              <w:rPr>
                                <w:rFonts w:ascii="Times New Roman;serif" w:hAnsi="Times New Roman;serif"/>
                                <w:b w:val="false"/>
                                <w:color w:val="000000"/>
                                <w:sz w:val="20"/>
                              </w:rPr>
                            </w:pPr>
                            <w:r>
                              <w:rPr>
                                <w:rFonts w:ascii="Times New Roman;serif" w:hAnsi="Times New Roman;serif"/>
                                <w:b w:val="false"/>
                                <w:color w:val="000000"/>
                                <w:sz w:val="20"/>
                              </w:rPr>
                              <w:t>[SIGNATURE PAGE TO DUTCH BROS INC. DEBT SECURITIES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340"/>
                        <w:jc w:val="center"/>
                        <w:rPr>
                          <w:rFonts w:ascii="Times New Roman;serif" w:hAnsi="Times New Roman;serif"/>
                          <w:b w:val="false"/>
                          <w:color w:val="000000"/>
                          <w:sz w:val="20"/>
                        </w:rPr>
                      </w:pPr>
                      <w:r>
                        <w:rPr>
                          <w:rFonts w:ascii="Times New Roman;serif" w:hAnsi="Times New Roman;serif"/>
                          <w:b w:val="false"/>
                          <w:color w:val="000000"/>
                          <w:sz w:val="20"/>
                        </w:rPr>
                        <w:t>[SIGNATURE PAGE TO DUTCH BROS INC. DEBT SECURITIES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120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84"/>
        <w:gridCol w:w="1392"/>
        <w:gridCol w:w="1399"/>
        <w:gridCol w:w="109"/>
        <w:gridCol w:w="109"/>
        <w:gridCol w:w="109"/>
        <w:gridCol w:w="1611"/>
        <w:gridCol w:w="1611"/>
        <w:gridCol w:w="2281"/>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EXERCISABLE ONLY IF COUNTERSIGNED BY THE WARRANT AGENT AS PROVIDED HEREIN</w:t>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23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DUTCH BROS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[TITLE OF WARRANT DEBT SECURITIES]</w:t>
      </w:r>
    </w:p>
    <w:tbl>
      <w:tblPr>
        <w:tblW w:w="2146" w:type="dxa"/>
        <w:jc w:val="left"/>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jc w:val="both"/>
        <w:rPr/>
      </w:pPr>
      <w:r>
        <w:rPr>
          <w:rFonts w:ascii="Times New Roman;serif" w:hAnsi="Times New Roman;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of Dutch Bros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issued or to be issued under the Indenture (as hereinafter defined), on the following basis: during the period from [ ● ], through and including [ ● ], each Warrant shall entitle the Holder thereof, subject to the provisions of this Agreement, to purchase the principal amount of Warrant Debt Securities stated in the Warrant Certificate at the warrant price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lineRule="auto" w:line="288" w:before="0" w:after="240"/>
        <w:jc w:val="both"/>
        <w:rPr/>
      </w:pPr>
      <w:r>
        <w:rPr>
          <w:rFonts w:ascii="Times New Roman;serif" w:hAnsi="Times New Roman;serif"/>
          <w:b w:val="false"/>
          <w:color w:val="000000"/>
          <w:sz w:val="22"/>
        </w:rPr>
        <w:t>This Warrant Certificate is issued under and in accordance with the Warrant Agreement dated as of [ ●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Warrant Debt Securities to be issued and delivered upon the exercise of Warrants evidenced by this Warrant Certificate will be issued under and in accordance with an Indenture, dated as of [●] (the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23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between the Company and [</w:t>
      </w:r>
      <w:r>
        <w:rPr>
          <w:color w:val="000000"/>
        </w:rPr>
        <w:t>●</w:t>
      </w:r>
      <w:r>
        <w:rPr>
          <w:rFonts w:ascii="Times New Roman;serif" w:hAnsi="Times New Roman;serif"/>
          <w:b w:val="false"/>
          <w:color w:val="000000"/>
          <w:sz w:val="22"/>
        </w:rPr>
        <w:t>], as trustee (such trustee, and any successors to such trustee,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and will be subject to the terms and provisions contained in the Warrant Debt Securities and in the Indenture. Copies of the Indenture, including the form of the Warrant Debt Securities, are on file at the corporate trust office of the Trustee.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3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46" w:type="dxa"/>
        <w:jc w:val="left"/>
        <w:tblInd w:w="0" w:type="dxa"/>
        <w:tblLayout w:type="fixed"/>
        <w:tblCellMar>
          <w:top w:w="28" w:type="dxa"/>
          <w:left w:w="28" w:type="dxa"/>
          <w:bottom w:w="28" w:type="dxa"/>
          <w:right w:w="28" w:type="dxa"/>
        </w:tblCellMar>
      </w:tblPr>
      <w:tblGrid>
        <w:gridCol w:w="426"/>
        <w:gridCol w:w="376"/>
        <w:gridCol w:w="376"/>
        <w:gridCol w:w="376"/>
        <w:gridCol w:w="376"/>
        <w:gridCol w:w="376"/>
        <w:gridCol w:w="376"/>
        <w:gridCol w:w="376"/>
        <w:gridCol w:w="389"/>
        <w:gridCol w:w="109"/>
        <w:gridCol w:w="109"/>
        <w:gridCol w:w="109"/>
        <w:gridCol w:w="109"/>
        <w:gridCol w:w="109"/>
        <w:gridCol w:w="154"/>
      </w:tblGrid>
      <w:tr>
        <w:trPr/>
        <w:tc>
          <w:tcPr>
            <w:tcW w:w="4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DUTCH BROS INC.</w:t>
            </w:r>
            <w:r>
              <w:rPr>
                <w:rFonts w:ascii="Times New Roman;serif" w:hAnsi="Times New Roman;serif"/>
                <w:b w:val="false"/>
                <w:color w:val="000000"/>
                <w:sz w:val="22"/>
              </w:rPr>
              <w:t>, as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96"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96"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69"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w:t>
            </w:r>
            <w:r>
              <w:rPr>
                <w:color w:val="000000"/>
              </w:rPr>
              <w:t>●</w:t>
            </w: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3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 ] [address of Warrant Agent], Attention: [ ●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______ Warrants, evidenced by this Warrant Certificate, to purchase _______ $[ ● ] principal amount of the [Title of Warrant Debt Securities]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of Dutch Bros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Dutch Bros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tbl>
      <w:tblPr>
        <w:tblW w:w="372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09"/>
        <w:gridCol w:w="259"/>
        <w:gridCol w:w="259"/>
        <w:gridCol w:w="261"/>
        <w:gridCol w:w="394"/>
        <w:gridCol w:w="394"/>
        <w:gridCol w:w="39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Please Print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07" w:type="dxa"/>
        <w:jc w:val="left"/>
        <w:tblInd w:w="0" w:type="dxa"/>
        <w:tblLayout w:type="fixed"/>
        <w:tblCellMar>
          <w:top w:w="28" w:type="dxa"/>
          <w:left w:w="28" w:type="dxa"/>
          <w:bottom w:w="28" w:type="dxa"/>
          <w:right w:w="28" w:type="dxa"/>
        </w:tblCellMar>
      </w:tblPr>
      <w:tblGrid>
        <w:gridCol w:w="1784"/>
        <w:gridCol w:w="1567"/>
        <w:gridCol w:w="1584"/>
        <w:gridCol w:w="109"/>
        <w:gridCol w:w="109"/>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w:t>
              <w:br/>
              <w:t>of Holder)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568" w:type="dxa"/>
        <w:jc w:val="left"/>
        <w:tblInd w:w="0" w:type="dxa"/>
        <w:tblLayout w:type="fixed"/>
        <w:tblCellMar>
          <w:top w:w="28" w:type="dxa"/>
          <w:left w:w="28" w:type="dxa"/>
          <w:bottom w:w="28" w:type="dxa"/>
          <w:right w:w="28" w:type="dxa"/>
        </w:tblCellMar>
      </w:tblPr>
      <w:tblGrid>
        <w:gridCol w:w="799"/>
        <w:gridCol w:w="701"/>
        <w:gridCol w:w="705"/>
        <w:gridCol w:w="330"/>
        <w:gridCol w:w="330"/>
        <w:gridCol w:w="331"/>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3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 By hand at: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3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FOR VALUE RECEIVED, </w:t>
      </w:r>
      <w:r>
        <w:rPr>
          <w:rFonts w:ascii="Times New Roman;serif" w:hAnsi="Times New Roman;serif"/>
          <w:b w:val="false"/>
          <w:color w:val="000000"/>
          <w:sz w:val="22"/>
        </w:rPr>
        <w:t>______________</w:t>
      </w:r>
      <w:r>
        <w:rPr>
          <w:color w:val="000000"/>
        </w:rPr>
        <w:t xml:space="preserve"> </w:t>
      </w:r>
      <w:r>
        <w:rPr>
          <w:rFonts w:ascii="Times New Roman;serif" w:hAnsi="Times New Roman;serif"/>
          <w:b w:val="false"/>
          <w:color w:val="000000"/>
          <w:sz w:val="22"/>
        </w:rPr>
        <w:t>hereby sells, assigns and transfers unto:</w:t>
      </w:r>
    </w:p>
    <w:tbl>
      <w:tblPr>
        <w:tblW w:w="10205" w:type="dxa"/>
        <w:jc w:val="left"/>
        <w:tblInd w:w="0" w:type="dxa"/>
        <w:tblLayout w:type="fixed"/>
        <w:tblCellMar>
          <w:top w:w="28" w:type="dxa"/>
          <w:left w:w="28" w:type="dxa"/>
          <w:bottom w:w="28" w:type="dxa"/>
          <w:right w:w="28" w:type="dxa"/>
        </w:tblCellMar>
      </w:tblPr>
      <w:tblGrid>
        <w:gridCol w:w="922"/>
        <w:gridCol w:w="807"/>
        <w:gridCol w:w="807"/>
        <w:gridCol w:w="807"/>
        <w:gridCol w:w="807"/>
        <w:gridCol w:w="807"/>
        <w:gridCol w:w="807"/>
        <w:gridCol w:w="807"/>
        <w:gridCol w:w="807"/>
        <w:gridCol w:w="807"/>
        <w:gridCol w:w="807"/>
        <w:gridCol w:w="1213"/>
      </w:tblGrid>
      <w:tr>
        <w:trPr/>
        <w:tc>
          <w:tcPr>
            <w:tcW w:w="9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(Please print name and address including zip code)</w:t>
            </w:r>
            <w:r>
              <w:rPr>
                <w:color w:val="000000"/>
              </w:rPr>
              <w:t>    </w:t>
            </w:r>
            <w:r>
              <w:rPr>
                <w:rFonts w:ascii="Times New Roman;serif" w:hAnsi="Times New Roman;serif"/>
                <w:b w:val="false"/>
                <w:color w:val="000000"/>
                <w:sz w:val="22"/>
              </w:rPr>
              <w:t>Please print Social Security or other identifying number</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________ aggregate principal amount of [Title of Warrant Debt Securities] of Dutch Bros Inc. to which the within Warrant relates and appoints ____________________ attorney to transfer such right on the books of the Warrant Agent with full power of substitution in the premises.</w:t>
      </w:r>
    </w:p>
    <w:tbl>
      <w:tblPr>
        <w:tblW w:w="9999" w:type="dxa"/>
        <w:jc w:val="left"/>
        <w:tblInd w:w="0" w:type="dxa"/>
        <w:tblLayout w:type="fixed"/>
        <w:tblCellMar>
          <w:top w:w="28" w:type="dxa"/>
          <w:left w:w="28" w:type="dxa"/>
          <w:bottom w:w="28" w:type="dxa"/>
          <w:right w:w="28" w:type="dxa"/>
        </w:tblCellMar>
      </w:tblPr>
      <w:tblGrid>
        <w:gridCol w:w="266"/>
        <w:gridCol w:w="234"/>
        <w:gridCol w:w="235"/>
        <w:gridCol w:w="369"/>
        <w:gridCol w:w="369"/>
        <w:gridCol w:w="369"/>
        <w:gridCol w:w="369"/>
        <w:gridCol w:w="369"/>
        <w:gridCol w:w="369"/>
        <w:gridCol w:w="809"/>
        <w:gridCol w:w="809"/>
        <w:gridCol w:w="816"/>
        <w:gridCol w:w="1118"/>
        <w:gridCol w:w="1118"/>
        <w:gridCol w:w="1121"/>
        <w:gridCol w:w="369"/>
        <w:gridCol w:w="369"/>
        <w:gridCol w:w="52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tc>
      </w:tr>
    </w:tbl>
    <w:tbl>
      <w:tblPr>
        <w:tblW w:w="2517" w:type="dxa"/>
        <w:jc w:val="left"/>
        <w:tblInd w:w="0" w:type="dxa"/>
        <w:tblLayout w:type="fixed"/>
        <w:tblCellMar>
          <w:top w:w="28" w:type="dxa"/>
          <w:left w:w="28" w:type="dxa"/>
          <w:bottom w:w="28" w:type="dxa"/>
          <w:right w:w="28" w:type="dxa"/>
        </w:tblCellMar>
      </w:tblPr>
      <w:tblGrid>
        <w:gridCol w:w="777"/>
        <w:gridCol w:w="682"/>
        <w:gridCol w:w="686"/>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3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304925" cy="409575"/>
            <wp:effectExtent l="0" t="0" r="0" b="0"/>
            <wp:docPr id="23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44" descr=""/>
                    <pic:cNvPicPr>
                      <a:picLocks noChangeAspect="1" noChangeArrowheads="1"/>
                    </pic:cNvPicPr>
                  </pic:nvPicPr>
                  <pic:blipFill>
                    <a:blip r:embed="rId105"/>
                    <a:stretch>
                      <a:fillRect/>
                    </a:stretch>
                  </pic:blipFill>
                  <pic:spPr bwMode="auto">
                    <a:xfrm>
                      <a:off x="0" y="0"/>
                      <a:ext cx="1304925" cy="4095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Alan D. Hambelton</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 +1 206 452 8756</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ahambelton@cooley.com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September 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Dutch Bros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1930 W. Rio Salado Pkwy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Tempe, Arizona 85281</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0" w:after="200"/>
        <w:jc w:val="both"/>
        <w:rPr/>
      </w:pPr>
      <w:r>
        <w:rPr>
          <w:rFonts w:ascii="Arial;sans-serif" w:hAnsi="Arial;sans-serif"/>
          <w:b w:val="false"/>
          <w:color w:val="000000"/>
          <w:sz w:val="20"/>
        </w:rPr>
        <w:t>We have acted as counsel to Dutch Bros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by the Company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of a Registration Statement on Form S-3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under the Securities Act of 1933, as amended (the “</w:t>
      </w:r>
      <w:r>
        <w:rPr>
          <w:rFonts w:ascii="Arial;sans-serif" w:hAnsi="Arial;sans-serif"/>
          <w:b/>
          <w:i/>
          <w:color w:val="000000"/>
          <w:sz w:val="20"/>
        </w:rPr>
        <w:t>Securities Act</w:t>
      </w:r>
      <w:r>
        <w:rPr>
          <w:color w:val="000000"/>
        </w:rPr>
        <w:t>”</w:t>
      </w:r>
      <w:r>
        <w:rPr>
          <w:rFonts w:ascii="Arial;sans-serif" w:hAnsi="Arial;sans-serif"/>
          <w:b w:val="false"/>
          <w:color w:val="000000"/>
          <w:sz w:val="20"/>
        </w:rPr>
        <w:t>). The Registration Statement includes a base prospectus (the “</w:t>
      </w:r>
      <w:r>
        <w:rPr>
          <w:rFonts w:ascii="Arial;sans-serif" w:hAnsi="Arial;sans-serif"/>
          <w:b/>
          <w:i/>
          <w:color w:val="000000"/>
          <w:sz w:val="20"/>
        </w:rPr>
        <w:t>Base Prospectus</w:t>
      </w:r>
      <w:r>
        <w:rPr>
          <w:color w:val="000000"/>
        </w:rPr>
        <w:t>”</w:t>
      </w:r>
      <w:r>
        <w:rPr>
          <w:rFonts w:ascii="Arial;sans-serif" w:hAnsi="Arial;sans-serif"/>
          <w:b w:val="false"/>
          <w:color w:val="000000"/>
          <w:sz w:val="20"/>
        </w:rPr>
        <w:t>) that provides it will be supplemented by one or more prospectus supplements (each, a “</w:t>
      </w:r>
      <w:r>
        <w:rPr>
          <w:rFonts w:ascii="Arial;sans-serif" w:hAnsi="Arial;sans-serif"/>
          <w:b/>
          <w:i/>
          <w:color w:val="000000"/>
          <w:sz w:val="20"/>
        </w:rPr>
        <w:t>Prospectus Supplement</w:t>
      </w:r>
      <w:r>
        <w:rPr>
          <w:color w:val="000000"/>
        </w:rPr>
        <w:t>”</w:t>
      </w:r>
      <w:r>
        <w:rPr>
          <w:rFonts w:ascii="Arial;sans-serif" w:hAnsi="Arial;sans-serif"/>
          <w:b w:val="false"/>
          <w:color w:val="000000"/>
          <w:sz w:val="20"/>
        </w:rPr>
        <w:t xml:space="preserve">). The Registration Statement, including the Base Prospectus (as supplemented from time to time by one or more Prospectus Supplements), will provide for the registration by the Company of the sale of the following securities: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shares of Class A Common Stock, par value $0.00001 per share, of the Company (the “</w:t>
      </w:r>
      <w:r>
        <w:rPr>
          <w:rFonts w:ascii="Arial;sans-serif" w:hAnsi="Arial;sans-serif"/>
          <w:b/>
          <w:i/>
          <w:color w:val="000000"/>
          <w:sz w:val="20"/>
        </w:rPr>
        <w:t>Class A Common Stock</w:t>
      </w:r>
      <w:r>
        <w:rPr>
          <w:color w:val="000000"/>
        </w:rPr>
        <w:t>”</w:t>
      </w:r>
      <w:r>
        <w:rPr>
          <w:rFonts w:ascii="Arial;sans-serif" w:hAnsi="Arial;sans-serif"/>
          <w:b w:val="false"/>
          <w:color w:val="000000"/>
          <w:sz w:val="20"/>
        </w:rPr>
        <w:t xml:space="preserve">);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shares of Preferred Stock, par value $0.00001 per share, of the Company (the “</w:t>
      </w:r>
      <w:r>
        <w:rPr>
          <w:rFonts w:ascii="Arial;sans-serif" w:hAnsi="Arial;sans-serif"/>
          <w:b/>
          <w:i/>
          <w:color w:val="000000"/>
          <w:sz w:val="20"/>
        </w:rPr>
        <w:t>Preferred Stock</w:t>
      </w:r>
      <w:r>
        <w:rPr>
          <w:color w:val="000000"/>
        </w:rPr>
        <w:t>”</w:t>
      </w:r>
      <w:r>
        <w:rPr>
          <w:rFonts w:ascii="Arial;sans-serif" w:hAnsi="Arial;sans-serif"/>
          <w:b w:val="false"/>
          <w:color w:val="000000"/>
          <w:sz w:val="20"/>
        </w:rPr>
        <w:t xml:space="preserve">);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debt securities, in one or more series (the “</w:t>
      </w:r>
      <w:r>
        <w:rPr>
          <w:rFonts w:ascii="Arial;sans-serif" w:hAnsi="Arial;sans-serif"/>
          <w:b/>
          <w:i/>
          <w:color w:val="000000"/>
          <w:sz w:val="20"/>
        </w:rPr>
        <w:t>Debt Securities</w:t>
      </w:r>
      <w:r>
        <w:rPr>
          <w:color w:val="000000"/>
        </w:rPr>
        <w:t>”</w:t>
      </w:r>
      <w:r>
        <w:rPr>
          <w:rFonts w:ascii="Arial;sans-serif" w:hAnsi="Arial;sans-serif"/>
          <w:b w:val="false"/>
          <w:color w:val="000000"/>
          <w:sz w:val="20"/>
        </w:rPr>
        <w:t>), which may be issued pursuant to an indenture to be dated on or about the date of the first issuance of Debt Securities thereunder, by and between a trustee to be selected by the Company (the “</w:t>
      </w:r>
      <w:r>
        <w:rPr>
          <w:rFonts w:ascii="Arial;sans-serif" w:hAnsi="Arial;sans-serif"/>
          <w:b/>
          <w:i/>
          <w:color w:val="000000"/>
          <w:sz w:val="20"/>
        </w:rPr>
        <w:t>Trustee</w:t>
      </w:r>
      <w:r>
        <w:rPr>
          <w:color w:val="000000"/>
        </w:rPr>
        <w:t>”</w:t>
      </w:r>
      <w:r>
        <w:rPr>
          <w:rFonts w:ascii="Arial;sans-serif" w:hAnsi="Arial;sans-serif"/>
          <w:b w:val="false"/>
          <w:color w:val="000000"/>
          <w:sz w:val="20"/>
        </w:rPr>
        <w:t>) and the Company, in the form filed as Exhibit 4.4 to the Registration Statement and one or more indentures supplemental thereto with respect to any particular series of Debt Securities (the “</w:t>
      </w:r>
      <w:r>
        <w:rPr>
          <w:rFonts w:ascii="Arial;sans-serif" w:hAnsi="Arial;sans-serif"/>
          <w:b/>
          <w:i/>
          <w:color w:val="000000"/>
          <w:sz w:val="20"/>
        </w:rPr>
        <w:t>Indenture</w:t>
      </w:r>
      <w:r>
        <w:rPr>
          <w:color w:val="000000"/>
        </w:rPr>
        <w:t>”</w:t>
      </w:r>
      <w:r>
        <w:rPr>
          <w:rFonts w:ascii="Arial;sans-serif" w:hAnsi="Arial;sans-serif"/>
          <w:b w:val="false"/>
          <w:color w:val="000000"/>
          <w:sz w:val="20"/>
        </w:rPr>
        <w:t>);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warrants to purchase Class A Common Stock, Preferred Stock or Debt Securities (the “</w:t>
      </w:r>
      <w:r>
        <w:rPr>
          <w:rFonts w:ascii="Arial;sans-serif" w:hAnsi="Arial;sans-serif"/>
          <w:b/>
          <w:i/>
          <w:color w:val="000000"/>
          <w:sz w:val="20"/>
        </w:rPr>
        <w:t>Warrants</w:t>
      </w:r>
      <w:r>
        <w:rPr>
          <w:color w:val="000000"/>
        </w:rPr>
        <w:t>”</w:t>
      </w:r>
      <w:r>
        <w:rPr>
          <w:rFonts w:ascii="Arial;sans-serif" w:hAnsi="Arial;sans-serif"/>
          <w:b w:val="false"/>
          <w:color w:val="000000"/>
          <w:sz w:val="20"/>
        </w:rPr>
        <w:t>), which may be issued under one or more warrant agreements, to be dated on or about the date of the first issuance of the Warrants thereunder, by and between a warrant agent to be selected by the Company (the “</w:t>
      </w:r>
      <w:r>
        <w:rPr>
          <w:rFonts w:ascii="Arial;sans-serif" w:hAnsi="Arial;sans-serif"/>
          <w:b/>
          <w:i/>
          <w:color w:val="000000"/>
          <w:sz w:val="20"/>
        </w:rPr>
        <w:t>Warrant Agent</w:t>
      </w:r>
      <w:r>
        <w:rPr>
          <w:color w:val="000000"/>
        </w:rPr>
        <w:t>”</w:t>
      </w:r>
      <w:r>
        <w:rPr>
          <w:rFonts w:ascii="Arial;sans-serif" w:hAnsi="Arial;sans-serif"/>
          <w:b w:val="false"/>
          <w:color w:val="000000"/>
          <w:sz w:val="20"/>
        </w:rPr>
        <w:t>) and the Company, in the forms filed as Exhibits 4.6, 4.7 and 4.8, respectively, to the Registration Statement (each, a “</w:t>
      </w:r>
      <w:r>
        <w:rPr>
          <w:rFonts w:ascii="Arial;sans-serif" w:hAnsi="Arial;sans-serif"/>
          <w:b/>
          <w:i/>
          <w:color w:val="000000"/>
          <w:sz w:val="20"/>
        </w:rPr>
        <w:t>Warrant Agreement</w:t>
      </w:r>
      <w:r>
        <w:rPr>
          <w:color w:val="000000"/>
        </w:rPr>
        <w:t>”</w:t>
      </w:r>
      <w:r>
        <w:rPr>
          <w:rFonts w:ascii="Arial;sans-serif" w:hAnsi="Arial;sans-serif"/>
          <w:b w:val="false"/>
          <w:color w:val="000000"/>
          <w:sz w:val="20"/>
        </w:rPr>
        <w:t>).</w:t>
      </w:r>
    </w:p>
    <w:p>
      <w:pPr>
        <w:pStyle w:val="TextBody"/>
        <w:bidi w:val="0"/>
        <w:spacing w:lineRule="auto" w:line="288" w:before="0" w:after="200"/>
        <w:jc w:val="both"/>
        <w:rPr/>
      </w:pPr>
      <w:r>
        <w:rPr>
          <w:rFonts w:ascii="Arial;sans-serif" w:hAnsi="Arial;sans-serif"/>
          <w:b w:val="false"/>
          <w:color w:val="000000"/>
          <w:sz w:val="20"/>
        </w:rPr>
        <w:t>The Class A Common Stock, the Preferred Stock, the Debt Securities and the Warrants are collectively referred to herein as the “</w:t>
      </w:r>
      <w:r>
        <w:rPr>
          <w:rFonts w:ascii="Arial;sans-serif" w:hAnsi="Arial;sans-serif"/>
          <w:b/>
          <w:i/>
          <w:color w:val="000000"/>
          <w:sz w:val="20"/>
        </w:rPr>
        <w:t>Securities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Securities are being registered for offer and sale from time to time pursuant to Rule 415 under the Securities Act.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 connection with this opinion, we have examined and relied upon (a) the Registration Statement and the Base Prospectus, (b) the Company’s certificate of incorporation and bylaws, each as currently in effect, and (c) such other records, documents, certificates, opinions, memoranda and instruments as in our judgment are necessary or appropriate to enable us to render the opinion expressed below.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As to certain factual matters, we have relied upon a certificate of an officer of the Company and have not independently verified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093470"/>
                <wp:effectExtent l="0" t="0" r="0" b="0"/>
                <wp:wrapNone/>
                <wp:docPr id="239" name="Frame155"/>
                <a:graphic xmlns:a="http://schemas.openxmlformats.org/drawingml/2006/main">
                  <a:graphicData uri="http://schemas.microsoft.com/office/word/2010/wordprocessingShape">
                    <wps:wsp>
                      <wps:cNvSpPr txBox="1"/>
                      <wps:spPr>
                        <a:xfrm>
                          <a:off x="0" y="0"/>
                          <a:ext cx="6480175" cy="10934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4530" w:type="dxa"/>
                              <w:jc w:val="left"/>
                              <w:tblInd w:w="0" w:type="dxa"/>
                              <w:tblLayout w:type="fixed"/>
                              <w:tblCellMar>
                                <w:top w:w="28" w:type="dxa"/>
                                <w:left w:w="28" w:type="dxa"/>
                                <w:bottom w:w="28" w:type="dxa"/>
                                <w:right w:w="28" w:type="dxa"/>
                              </w:tblCellMar>
                            </w:tblPr>
                            <w:tblGrid>
                              <w:gridCol w:w="1451"/>
                              <w:gridCol w:w="1274"/>
                              <w:gridCol w:w="1805"/>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4530" w:type="dxa"/>
                        <w:jc w:val="left"/>
                        <w:tblInd w:w="0" w:type="dxa"/>
                        <w:tblLayout w:type="fixed"/>
                        <w:tblCellMar>
                          <w:top w:w="28" w:type="dxa"/>
                          <w:left w:w="28" w:type="dxa"/>
                          <w:bottom w:w="28" w:type="dxa"/>
                          <w:right w:w="28" w:type="dxa"/>
                        </w:tblCellMar>
                      </w:tblPr>
                      <w:tblGrid>
                        <w:gridCol w:w="1451"/>
                        <w:gridCol w:w="1274"/>
                        <w:gridCol w:w="1805"/>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v:textbox>
                <w10:wrap type="none"/>
              </v:rect>
            </w:pict>
          </mc:Fallback>
        </mc:AlternateContent>
      </w:r>
    </w:p>
    <w:tbl>
      <w:tblPr>
        <w:tblW w:w="2393" w:type="dxa"/>
        <w:jc w:val="left"/>
        <w:tblInd w:w="0" w:type="dxa"/>
        <w:tblLayout w:type="fixed"/>
        <w:tblCellMar>
          <w:top w:w="28" w:type="dxa"/>
          <w:left w:w="28" w:type="dxa"/>
          <w:bottom w:w="28" w:type="dxa"/>
          <w:right w:w="28" w:type="dxa"/>
        </w:tblCellMar>
      </w:tblPr>
      <w:tblGrid>
        <w:gridCol w:w="732"/>
        <w:gridCol w:w="644"/>
        <w:gridCol w:w="645"/>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19200" cy="352425"/>
                  <wp:effectExtent l="0" t="0" r="0" b="0"/>
                  <wp:docPr id="24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45" descr=""/>
                          <pic:cNvPicPr>
                            <a:picLocks noChangeAspect="1" noChangeArrowheads="1"/>
                          </pic:cNvPicPr>
                        </pic:nvPicPr>
                        <pic:blipFill>
                          <a:blip r:embed="rId106"/>
                          <a:stretch>
                            <a:fillRect/>
                          </a:stretch>
                        </pic:blipFill>
                        <pic:spPr bwMode="auto">
                          <a:xfrm>
                            <a:off x="0" y="0"/>
                            <a:ext cx="1219200" cy="3524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With respect to our opinion as to the Class A Common Stock, we have assumed that, at the time of issuance and sale, a sufficient number of shares of Class A Common Stock will be authorized and available for issuance and that the consideration for the issuance and sale of the Class A Common Stock (or Preferred Stock or Debt Securities convertible into, or Warrants exercisable for, Class A Common Stock) will be in an amount that is not less than the par value of the Class A Common Stock.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opinion herein is expressed solely with respect to the General Corporation Law of the State of Delaware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the basis of the foregoing, in reliance thereon and subject to the assumptions, qualifications, limitations and exceptions set forth herein, we are of the opinion that:</w:t>
      </w:r>
    </w:p>
    <w:p>
      <w:pPr>
        <w:pStyle w:val="TextBody"/>
        <w:bidi w:val="0"/>
        <w:spacing w:lineRule="auto" w:line="288" w:before="0" w:after="200"/>
        <w:ind w:left="0" w:right="0" w:firstLine="720"/>
        <w:jc w:val="both"/>
        <w:rPr/>
      </w:pPr>
      <w:r>
        <w:rPr>
          <w:rFonts w:ascii="Arial;sans-serif" w:hAnsi="Arial;sans-serif"/>
          <w:b w:val="false"/>
          <w:color w:val="000000"/>
          <w:sz w:val="20"/>
        </w:rPr>
        <w:t>1.    With respect to the Class A Common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Class A Common Stock has been duly authorized by all necessary corporate action on the part of the Company; (c) the issuance and sale of the Class A Common Stock do not violate any applicable law, are in conformity with the Company’s then operative certificate of incorporation (the “</w:t>
      </w:r>
      <w:r>
        <w:rPr>
          <w:rFonts w:ascii="Arial;sans-serif" w:hAnsi="Arial;sans-serif"/>
          <w:b/>
          <w:i/>
          <w:color w:val="000000"/>
          <w:sz w:val="20"/>
        </w:rPr>
        <w:t>Certificate of Incorporation</w:t>
      </w:r>
      <w:r>
        <w:rPr>
          <w:color w:val="000000"/>
        </w:rPr>
        <w:t>”</w:t>
      </w:r>
      <w:r>
        <w:rPr>
          <w:rFonts w:ascii="Arial;sans-serif" w:hAnsi="Arial;sans-serif"/>
          <w:b w:val="false"/>
          <w:color w:val="000000"/>
          <w:sz w:val="20"/>
        </w:rPr>
        <w:t>) and bylaws (the “</w:t>
      </w:r>
      <w:r>
        <w:rPr>
          <w:rFonts w:ascii="Arial;sans-serif" w:hAnsi="Arial;sans-serif"/>
          <w:b/>
          <w:i/>
          <w:color w:val="000000"/>
          <w:sz w:val="20"/>
        </w:rPr>
        <w:t>Bylaws</w:t>
      </w:r>
      <w:r>
        <w:rPr>
          <w:color w:val="000000"/>
        </w:rPr>
        <w:t>”</w:t>
      </w:r>
      <w:r>
        <w:rPr>
          <w:rFonts w:ascii="Arial;sans-serif" w:hAnsi="Arial;sans-serif"/>
          <w:b w:val="false"/>
          <w:color w:val="000000"/>
          <w:sz w:val="20"/>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Class A Common Stock have been duly executed by the Company, countersigned by the transfer agent therefor and duly delivered to the purchasers thereof against payment therefor, then the Class A Common Stock,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2.    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02945"/>
                <wp:effectExtent l="0" t="0" r="0" b="0"/>
                <wp:wrapNone/>
                <wp:docPr id="241" name="Frame156"/>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r>
                                    <w:br w:type="page"/>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v:textbox>
                <w10:wrap type="none"/>
              </v:rect>
            </w:pict>
          </mc:Fallback>
        </mc:AlternateContent>
      </w:r>
    </w:p>
    <w:tbl>
      <w:tblPr>
        <w:tblW w:w="2393" w:type="dxa"/>
        <w:jc w:val="left"/>
        <w:tblInd w:w="0" w:type="dxa"/>
        <w:tblLayout w:type="fixed"/>
        <w:tblCellMar>
          <w:top w:w="28" w:type="dxa"/>
          <w:left w:w="28" w:type="dxa"/>
          <w:bottom w:w="28" w:type="dxa"/>
          <w:right w:w="28" w:type="dxa"/>
        </w:tblCellMar>
      </w:tblPr>
      <w:tblGrid>
        <w:gridCol w:w="732"/>
        <w:gridCol w:w="644"/>
        <w:gridCol w:w="645"/>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19200" cy="352425"/>
                  <wp:effectExtent l="0" t="0" r="0" b="0"/>
                  <wp:docPr id="24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46" descr=""/>
                          <pic:cNvPicPr>
                            <a:picLocks noChangeAspect="1" noChangeArrowheads="1"/>
                          </pic:cNvPicPr>
                        </pic:nvPicPr>
                        <pic:blipFill>
                          <a:blip r:embed="rId107"/>
                          <a:stretch>
                            <a:fillRect/>
                          </a:stretch>
                        </pic:blipFill>
                        <pic:spPr bwMode="auto">
                          <a:xfrm>
                            <a:off x="0" y="0"/>
                            <a:ext cx="1219200" cy="3524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3.    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terms of the Debt Securities and their issuance and sale have been duly authorized by the Company by all necessary corporate action; (e) the terms of the Debt Securities and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4.    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02945"/>
                <wp:effectExtent l="0" t="0" r="0" b="0"/>
                <wp:wrapNone/>
                <wp:docPr id="243" name="Frame157"/>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r>
                                    <w:br w:type="page"/>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v:textbox>
                <w10:wrap type="none"/>
              </v:rect>
            </w:pict>
          </mc:Fallback>
        </mc:AlternateContent>
      </w:r>
    </w:p>
    <w:tbl>
      <w:tblPr>
        <w:tblW w:w="2393" w:type="dxa"/>
        <w:jc w:val="left"/>
        <w:tblInd w:w="0" w:type="dxa"/>
        <w:tblLayout w:type="fixed"/>
        <w:tblCellMar>
          <w:top w:w="28" w:type="dxa"/>
          <w:left w:w="28" w:type="dxa"/>
          <w:bottom w:w="28" w:type="dxa"/>
          <w:right w:w="28" w:type="dxa"/>
        </w:tblCellMar>
      </w:tblPr>
      <w:tblGrid>
        <w:gridCol w:w="732"/>
        <w:gridCol w:w="644"/>
        <w:gridCol w:w="645"/>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19200" cy="352425"/>
                  <wp:effectExtent l="0" t="0" r="0" b="0"/>
                  <wp:docPr id="24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47" descr=""/>
                          <pic:cNvPicPr>
                            <a:picLocks noChangeAspect="1" noChangeArrowheads="1"/>
                          </pic:cNvPicPr>
                        </pic:nvPicPr>
                        <pic:blipFill>
                          <a:blip r:embed="rId108"/>
                          <a:stretch>
                            <a:fillRect/>
                          </a:stretch>
                        </pic:blipFill>
                        <pic:spPr bwMode="auto">
                          <a:xfrm>
                            <a:off x="0" y="0"/>
                            <a:ext cx="1219200" cy="3524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or affecting creditors’ rights generally, and by general equitable principles (regardless of whether considered in a proceeding at law or in equity).</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 * * *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02945"/>
                <wp:effectExtent l="0" t="0" r="0" b="0"/>
                <wp:wrapNone/>
                <wp:docPr id="245" name="Frame158"/>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r>
                                    <w:br w:type="page"/>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v:textbox>
                <w10:wrap type="none"/>
              </v:rect>
            </w:pict>
          </mc:Fallback>
        </mc:AlternateContent>
      </w:r>
    </w:p>
    <w:tbl>
      <w:tblPr>
        <w:tblW w:w="2393" w:type="dxa"/>
        <w:jc w:val="left"/>
        <w:tblInd w:w="0" w:type="dxa"/>
        <w:tblLayout w:type="fixed"/>
        <w:tblCellMar>
          <w:top w:w="28" w:type="dxa"/>
          <w:left w:w="28" w:type="dxa"/>
          <w:bottom w:w="28" w:type="dxa"/>
          <w:right w:w="28" w:type="dxa"/>
        </w:tblCellMar>
      </w:tblPr>
      <w:tblGrid>
        <w:gridCol w:w="732"/>
        <w:gridCol w:w="644"/>
        <w:gridCol w:w="645"/>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219200" cy="352425"/>
                  <wp:effectExtent l="0" t="0" r="0" b="0"/>
                  <wp:docPr id="24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48" descr=""/>
                          <pic:cNvPicPr>
                            <a:picLocks noChangeAspect="1" noChangeArrowheads="1"/>
                          </pic:cNvPicPr>
                        </pic:nvPicPr>
                        <pic:blipFill>
                          <a:blip r:embed="rId109"/>
                          <a:stretch>
                            <a:fillRect/>
                          </a:stretch>
                        </pic:blipFill>
                        <pic:spPr bwMode="auto">
                          <a:xfrm>
                            <a:off x="0" y="0"/>
                            <a:ext cx="1219200" cy="3524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hereby consent to the filing of this opinion as an exhibit to the Registration Statement and to the reference to our firm under the caption “Legal Matters” in the Base Prospectus. In giving such consents, we do not thereby admit that we are in the category of persons whose consent is required under Section 7 of the Securities Act or the rules and regulations of the Commission thereunder.</w:t>
      </w:r>
    </w:p>
    <w:tbl>
      <w:tblPr>
        <w:tblW w:w="3399" w:type="dxa"/>
        <w:jc w:val="left"/>
        <w:tblInd w:w="0" w:type="dxa"/>
        <w:tblLayout w:type="fixed"/>
        <w:tblCellMar>
          <w:top w:w="28" w:type="dxa"/>
          <w:left w:w="28" w:type="dxa"/>
          <w:bottom w:w="28" w:type="dxa"/>
          <w:right w:w="28" w:type="dxa"/>
        </w:tblCellMar>
      </w:tblPr>
      <w:tblGrid>
        <w:gridCol w:w="247"/>
        <w:gridCol w:w="217"/>
        <w:gridCol w:w="217"/>
        <w:gridCol w:w="890"/>
        <w:gridCol w:w="673"/>
        <w:gridCol w:w="582"/>
        <w:gridCol w:w="168"/>
        <w:gridCol w:w="168"/>
        <w:gridCol w:w="237"/>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Very truly yours,</w:t>
            </w:r>
          </w:p>
        </w:tc>
      </w:tr>
      <w:tr>
        <w:trPr/>
        <w:tc>
          <w:tcPr>
            <w:tcW w:w="33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COOLEY LLP</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Alan D. Hambelton</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Alan D. Hambelton</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02945"/>
                <wp:effectExtent l="0" t="0" r="0" b="0"/>
                <wp:wrapNone/>
                <wp:docPr id="247" name="Frame159"/>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tbl>
                      <w:tblPr>
                        <w:tblW w:w="4889" w:type="dxa"/>
                        <w:jc w:val="left"/>
                        <w:tblInd w:w="0" w:type="dxa"/>
                        <w:tblLayout w:type="fixed"/>
                        <w:tblCellMar>
                          <w:top w:w="28" w:type="dxa"/>
                          <w:left w:w="28" w:type="dxa"/>
                          <w:bottom w:w="28" w:type="dxa"/>
                          <w:right w:w="28" w:type="dxa"/>
                        </w:tblCellMar>
                      </w:tblPr>
                      <w:tblGrid>
                        <w:gridCol w:w="1566"/>
                        <w:gridCol w:w="1376"/>
                        <w:gridCol w:w="1947"/>
                      </w:tblGrid>
                      <w:tr>
                        <w:trPr/>
                        <w:tc>
                          <w:tcPr>
                            <w:tcW w:w="1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4"/>
                              </w:rPr>
                            </w:pPr>
                            <w:r>
                              <w:rPr>
                                <w:rFonts w:ascii="Arial;sans-serif" w:hAnsi="Arial;sans-serif"/>
                                <w:b w:val="false"/>
                                <w:color w:val="000000"/>
                                <w:sz w:val="14"/>
                              </w:rPr>
                              <w:t>Cooley LLP   1700 Seventh Avenue   Suite 1900   Seattle, WA   98101-1355</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+1 206 452 8700  f: +1 206 452 8800  cooley.com</w:t>
                            </w:r>
                          </w:p>
                        </w:tc>
                      </w:tr>
                    </w:tbl>
                    <w:p>
                      <w:pPr>
                        <w:pStyle w:val="TextBody"/>
                        <w:bidi w:val="0"/>
                        <w:spacing w:before="0" w:after="283"/>
                        <w:jc w:val="left"/>
                        <w:rPr/>
                      </w:pPr>
                      <w:r>
                        <w:rPr/>
                      </w:r>
                    </w:p>
                  </w:txbxContent>
                </v:textbox>
                <w10:wrap type="none"/>
              </v:rect>
            </w:pict>
          </mc:Fallback>
        </mc:AlternateContent>
      </w:r>
    </w:p>
    <w:tbl>
      <w:tblPr>
        <w:tblW w:w="4193" w:type="dxa"/>
        <w:jc w:val="left"/>
        <w:tblInd w:w="0" w:type="dxa"/>
        <w:tblLayout w:type="fixed"/>
        <w:tblCellMar>
          <w:top w:w="28" w:type="dxa"/>
          <w:left w:w="28" w:type="dxa"/>
          <w:bottom w:w="28" w:type="dxa"/>
          <w:right w:w="28" w:type="dxa"/>
        </w:tblCellMar>
      </w:tblPr>
      <w:tblGrid>
        <w:gridCol w:w="547"/>
        <w:gridCol w:w="481"/>
        <w:gridCol w:w="483"/>
        <w:gridCol w:w="769"/>
        <w:gridCol w:w="769"/>
        <w:gridCol w:w="772"/>
        <w:gridCol w:w="109"/>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95350" cy="352425"/>
                  <wp:effectExtent l="0" t="0" r="0" b="0"/>
                  <wp:docPr id="24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49" descr=""/>
                          <pic:cNvPicPr>
                            <a:picLocks noChangeAspect="1" noChangeArrowheads="1"/>
                          </pic:cNvPicPr>
                        </pic:nvPicPr>
                        <pic:blipFill>
                          <a:blip r:embed="rId110"/>
                          <a:stretch>
                            <a:fillRect/>
                          </a:stretch>
                        </pic:blipFill>
                        <pic:spPr bwMode="auto">
                          <a:xfrm>
                            <a:off x="0" y="0"/>
                            <a:ext cx="895350" cy="352425"/>
                          </a:xfrm>
                          <a:prstGeom prst="rect">
                            <a:avLst/>
                          </a:prstGeom>
                        </pic:spPr>
                      </pic:pic>
                    </a:graphicData>
                  </a:graphic>
                </wp:inline>
              </w:drawing>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KPMG LLP</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Suite 3800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1300 South West Fifth Avenue</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Portland, OR 97201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09"/>
        <w:jc w:val="left"/>
        <w:rPr/>
      </w:pPr>
      <w:r>
        <w:rPr/>
      </w:r>
    </w:p>
    <w:p>
      <w:pPr>
        <w:pStyle w:val="TextBody"/>
        <w:bidi w:val="0"/>
        <w:spacing w:before="0" w:after="36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consent to the use of our report dated February 12, 2026, with respect to the consolidated financial statements of Dutch Bros Inc., and the effectiveness of internal control over financial reporting, incorporated herein by reference, and to the reference to our firm under the heading "Experts" in the prospectus.</w:t>
      </w:r>
    </w:p>
    <w:tbl>
      <w:tblPr>
        <w:tblW w:w="33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48"/>
        <w:gridCol w:w="648"/>
        <w:gridCol w:w="650"/>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81100" cy="247650"/>
                  <wp:effectExtent l="0" t="0" r="0" b="0"/>
                  <wp:docPr id="2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50" descr=""/>
                          <pic:cNvPicPr>
                            <a:picLocks noChangeAspect="1" noChangeArrowheads="1"/>
                          </pic:cNvPicPr>
                        </pic:nvPicPr>
                        <pic:blipFill>
                          <a:blip r:embed="rId111"/>
                          <a:stretch>
                            <a:fillRect/>
                          </a:stretch>
                        </pic:blipFill>
                        <pic:spPr bwMode="auto">
                          <a:xfrm>
                            <a:off x="0" y="0"/>
                            <a:ext cx="1181100" cy="247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Portland, Oregon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September 3, 2026</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28650"/>
                <wp:effectExtent l="0" t="0" r="0" b="0"/>
                <wp:wrapNone/>
                <wp:docPr id="250" name="Frame1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24"/>
                              <w:gridCol w:w="109"/>
                              <w:gridCol w:w="109"/>
                              <w:gridCol w:w="3158"/>
                              <w:gridCol w:w="3158"/>
                              <w:gridCol w:w="317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04" w:before="0" w:after="0"/>
                                    <w:jc w:val="left"/>
                                    <w:rPr>
                                      <w:rFonts w:ascii="Arial;sans-serif" w:hAnsi="Arial;sans-serif"/>
                                      <w:b w:val="false"/>
                                      <w:color w:val="000000"/>
                                      <w:sz w:val="11"/>
                                    </w:rPr>
                                  </w:pPr>
                                  <w:r>
                                    <w:rPr>
                                      <w:rFonts w:ascii="Arial;sans-serif" w:hAnsi="Arial;sans-serif"/>
                                      <w:b w:val="false"/>
                                      <w:color w:val="000000"/>
                                      <w:sz w:val="11"/>
                                    </w:rPr>
                                    <w:t>KPMG LLP, a Delaware limited liability partnership, and its subsidiaries are part of the KPMG global organization of independent member firms affiliated with KPMG International Limited, a private English company limited by guarantee.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24"/>
                        <w:gridCol w:w="109"/>
                        <w:gridCol w:w="109"/>
                        <w:gridCol w:w="3158"/>
                        <w:gridCol w:w="3158"/>
                        <w:gridCol w:w="317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04" w:before="0" w:after="0"/>
                              <w:jc w:val="left"/>
                              <w:rPr>
                                <w:rFonts w:ascii="Arial;sans-serif" w:hAnsi="Arial;sans-serif"/>
                                <w:b w:val="false"/>
                                <w:color w:val="000000"/>
                                <w:sz w:val="11"/>
                              </w:rPr>
                            </w:pPr>
                            <w:r>
                              <w:rPr>
                                <w:rFonts w:ascii="Arial;sans-serif" w:hAnsi="Arial;sans-serif"/>
                                <w:b w:val="false"/>
                                <w:color w:val="000000"/>
                                <w:sz w:val="11"/>
                              </w:rPr>
                              <w:t>KPMG LLP, a Delaware limited liability partnership, and its subsidiaries are part of the KPMG global organization of independent member firms affiliated with KPMG International Limited, a private English company limited by guarantee.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hyperlink" Target="https://www.sec.gov/ix?doc=/Archives/edgar/data/0001866581/000186658126000006/bros-20251231.htm" TargetMode="External"/><Relationship Id="rId70" Type="http://schemas.openxmlformats.org/officeDocument/2006/relationships/hyperlink" Target="https://www.sec.gov/ix?doc=/Archives/edgar/data/0001866581/000186658126000055/bros-20260331.htm" TargetMode="External"/><Relationship Id="rId71" Type="http://schemas.openxmlformats.org/officeDocument/2006/relationships/hyperlink" Target="https://www.sec.gov/ix?doc=/Archives/edgar/data/0001866581/000186658126000078/bros-20260331.htm" TargetMode="External"/><Relationship Id="rId72" Type="http://schemas.openxmlformats.org/officeDocument/2006/relationships/hyperlink" Target="https://www.sec.gov/ix?doc=/Archives/edgar/data/0001866581/000186658126000133/bros-20260630.htm" TargetMode="External"/><Relationship Id="rId73" Type="http://schemas.openxmlformats.org/officeDocument/2006/relationships/hyperlink" Target="https://www.sec.gov/ix?doc=/Archives/edgar/data/0001866581/000186658126000133/bros-20260630.htm" TargetMode="External"/><Relationship Id="rId74" Type="http://schemas.openxmlformats.org/officeDocument/2006/relationships/hyperlink" Target="https://www.sec.gov/ix?doc=/Archives/edgar/data/0001866581/000186658126000133/bros-20260630.htm" TargetMode="External"/><Relationship Id="rId75" Type="http://schemas.openxmlformats.org/officeDocument/2006/relationships/hyperlink" Target="https://www.sec.gov/ix?doc=/Archives/edgar/data/0001866581/000186658126000085/bros-20260513.htm" TargetMode="External"/><Relationship Id="rId76" Type="http://schemas.openxmlformats.org/officeDocument/2006/relationships/hyperlink" Target="https://www.sec.gov/ix?doc=/Archives/edgar/data/0001866581/000186658126000085/bros-20260513.htm" TargetMode="External"/><Relationship Id="rId77" Type="http://schemas.openxmlformats.org/officeDocument/2006/relationships/hyperlink" Target="https://www.sec.gov/ix?doc=/Archives/edgar/data/0001866581/000186658126000085/bros-20260513.htm" TargetMode="External"/><Relationship Id="rId78" Type="http://schemas.openxmlformats.org/officeDocument/2006/relationships/hyperlink" Target="https://www.sec.gov/ix?doc=/Archives/edgar/data/0001866581/000186658126000085/bros-20260513.htm" TargetMode="External"/><Relationship Id="rId79" Type="http://schemas.openxmlformats.org/officeDocument/2006/relationships/hyperlink" Target="https://www.sec.gov/ix?doc=/Archives/edgar/data/0001866581/000186658126000101/bros-20260513.htm" TargetMode="External"/><Relationship Id="rId80" Type="http://schemas.openxmlformats.org/officeDocument/2006/relationships/hyperlink" Target="https://www.sec.gov/ix?doc=/Archives/edgar/data/0001866581/000186658126000131/bros-20260805.htm" TargetMode="External"/><Relationship Id="rId81" Type="http://schemas.openxmlformats.org/officeDocument/2006/relationships/hyperlink" Target="https://www.sec.gov/Archives/edgar/data/1866581/000162828021018396/form8-a.htm" TargetMode="External"/><Relationship Id="rId82" Type="http://schemas.openxmlformats.org/officeDocument/2006/relationships/hyperlink" Target="https://www.sec.gov/Archives/edgar/data/1866581/000186658123000038/ex42-2022q4descriptionof.htm" TargetMode="External"/><Relationship Id="rId83" Type="http://schemas.openxmlformats.org/officeDocument/2006/relationships/image" Target="media/image3.jpeg"/><Relationship Id="rId84" Type="http://schemas.openxmlformats.org/officeDocument/2006/relationships/image" Target="media/image3.jpeg"/><Relationship Id="rId85" Type="http://schemas.openxmlformats.org/officeDocument/2006/relationships/image" Target="media/image3.jpeg"/><Relationship Id="rId86" Type="http://schemas.openxmlformats.org/officeDocument/2006/relationships/image" Target="media/image3.jpeg"/><Relationship Id="rId87" Type="http://schemas.openxmlformats.org/officeDocument/2006/relationships/hyperlink" Target="https://www.sec.gov/Archives/edgar/data/1866581/000162828021018861/exhibit31-8xk.htm" TargetMode="External"/><Relationship Id="rId88" Type="http://schemas.openxmlformats.org/officeDocument/2006/relationships/hyperlink" Target="https://www.sec.gov/Archives/edgar/data/1866581/000162828021017441/exhibit34-sx1.htm" TargetMode="External"/><Relationship Id="rId89" Type="http://schemas.openxmlformats.org/officeDocument/2006/relationships/hyperlink" Target="https://www.sec.gov/Archives/edgar/data/1866581/000162828021018116/exhibit41.htm" TargetMode="External"/><Relationship Id="rId90" Type="http://schemas.openxmlformats.org/officeDocument/2006/relationships/hyperlink" Target="https://www.sec.gov/Archives/edgar/data/1866581/000186658125000048/exh1012025-02x07dutchmaf.htm" TargetMode="External"/><Relationship Id="rId91" Type="http://schemas.openxmlformats.org/officeDocument/2006/relationships/hyperlink" Target="https://www.sec.gov/Archives/edgar/data/1866581/000162828021018861/exhibit102-8xk.htm" TargetMode="External"/><Relationship Id="rId92" Type="http://schemas.openxmlformats.org/officeDocument/2006/relationships/hyperlink" Target="https://www.sec.gov/Archives/edgar/data/1866581/000162828021018861/exhibit103-8xk.htm" TargetMode="External"/><Relationship Id="rId93" Type="http://schemas.openxmlformats.org/officeDocument/2006/relationships/image" Target="media/image3.jpeg"/><Relationship Id="rId94" Type="http://schemas.openxmlformats.org/officeDocument/2006/relationships/image" Target="media/image3.jpeg"/><Relationship Id="rId95" Type="http://schemas.openxmlformats.org/officeDocument/2006/relationships/image" Target="media/image3.jpeg"/><Relationship Id="rId96" Type="http://schemas.openxmlformats.org/officeDocument/2006/relationships/image" Target="media/image3.jpeg"/><Relationship Id="rId97" Type="http://schemas.openxmlformats.org/officeDocument/2006/relationships/image" Target="media/image3.jpeg"/><Relationship Id="rId98" Type="http://schemas.openxmlformats.org/officeDocument/2006/relationships/image" Target="media/image3.jpeg"/><Relationship Id="rId99" Type="http://schemas.openxmlformats.org/officeDocument/2006/relationships/image" Target="media/image3.jpeg"/><Relationship Id="rId100" Type="http://schemas.openxmlformats.org/officeDocument/2006/relationships/image" Target="media/image3.jpeg"/><Relationship Id="rId101" Type="http://schemas.openxmlformats.org/officeDocument/2006/relationships/image" Target="media/image3.jpeg"/><Relationship Id="rId102" Type="http://schemas.openxmlformats.org/officeDocument/2006/relationships/image" Target="media/image3.jpeg"/><Relationship Id="rId103" Type="http://schemas.openxmlformats.org/officeDocument/2006/relationships/image" Target="media/image3.jpeg"/><Relationship Id="rId104" Type="http://schemas.openxmlformats.org/officeDocument/2006/relationships/image" Target="media/image3.jpeg"/><Relationship Id="rId105" Type="http://schemas.openxmlformats.org/officeDocument/2006/relationships/image" Target="media/image5.jpeg"/><Relationship Id="rId106" Type="http://schemas.openxmlformats.org/officeDocument/2006/relationships/image" Target="media/image6.jpeg"/><Relationship Id="rId107" Type="http://schemas.openxmlformats.org/officeDocument/2006/relationships/image" Target="media/image6.jpeg"/><Relationship Id="rId108" Type="http://schemas.openxmlformats.org/officeDocument/2006/relationships/image" Target="media/image6.jpeg"/><Relationship Id="rId109" Type="http://schemas.openxmlformats.org/officeDocument/2006/relationships/image" Target="media/image6.jpeg"/><Relationship Id="rId110" Type="http://schemas.openxmlformats.org/officeDocument/2006/relationships/image" Target="media/image7.jpeg"/><Relationship Id="rId111" Type="http://schemas.openxmlformats.org/officeDocument/2006/relationships/image" Target="media/image8.jpeg"/><Relationship Id="rId112" Type="http://schemas.openxmlformats.org/officeDocument/2006/relationships/fontTable" Target="fontTable.xml"/><Relationship Id="rId1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161</Pages>
  <Words>76515</Words>
  <Characters>394167</Characters>
  <CharactersWithSpaces>470114</CharactersWithSpaces>
  <Paragraphs>2020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