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3"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131E29"/>
        </w:rPr>
        <w:t>(Mark One)</w:t>
      </w:r>
    </w:p>
    <w:p>
      <w:pPr>
        <w:spacing w:after="0" w:line="41"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131E29"/>
        </w:rPr>
      </w:pPr>
      <w:r>
        <w:rPr>
          <w:rFonts w:ascii="Arial" w:cs="Arial" w:eastAsia="Arial" w:hAnsi="Arial"/>
          <w:sz w:val="18"/>
          <w:szCs w:val="18"/>
          <w:b w:val="1"/>
          <w:bCs w:val="1"/>
          <w:color w:val="131E29"/>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131E29"/>
        </w:rPr>
        <w:t>For the Quarterly Period ended June 30, 2023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131E29"/>
        </w:rPr>
        <w:t>OR</w:t>
      </w:r>
    </w:p>
    <w:p>
      <w:pPr>
        <w:spacing w:after="0" w:line="225"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131E29"/>
        </w:rPr>
      </w:pPr>
      <w:r>
        <w:rPr>
          <w:rFonts w:ascii="Arial" w:cs="Arial" w:eastAsia="Arial" w:hAnsi="Arial"/>
          <w:sz w:val="18"/>
          <w:szCs w:val="18"/>
          <w:b w:val="1"/>
          <w:bCs w:val="1"/>
          <w:color w:val="131E29"/>
        </w:rPr>
        <w:t>TRANSITION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131E29"/>
        </w:rPr>
        <w:t>For the transition period from ________ to 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131E29"/>
        </w:rPr>
        <w:t>Commission file number 001-40798</w:t>
      </w:r>
    </w:p>
    <w:p>
      <w:pPr>
        <w:spacing w:after="0" w:line="31"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6350</wp:posOffset>
            </wp:positionV>
            <wp:extent cx="136271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131E29"/>
        </w:rPr>
        <w:t>DUTCH BROS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131E29"/>
        </w:rPr>
        <w:t>(Exact name of Registrant as specified in its charter)</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4940" w:type="dxa"/>
            <w:vAlign w:val="bottom"/>
            <w:gridSpan w:val="2"/>
          </w:tcPr>
          <w:p>
            <w:pPr>
              <w:jc w:val="center"/>
              <w:ind w:left="2415"/>
              <w:spacing w:after="0"/>
              <w:rPr>
                <w:sz w:val="20"/>
                <w:szCs w:val="20"/>
                <w:color w:val="auto"/>
              </w:rPr>
            </w:pPr>
            <w:r>
              <w:rPr>
                <w:rFonts w:ascii="Arial" w:cs="Arial" w:eastAsia="Arial" w:hAnsi="Arial"/>
                <w:sz w:val="18"/>
                <w:szCs w:val="18"/>
                <w:b w:val="1"/>
                <w:bCs w:val="1"/>
                <w:color w:val="131E29"/>
              </w:rPr>
              <w:t>Delaware</w:t>
            </w:r>
          </w:p>
        </w:tc>
        <w:tc>
          <w:tcPr>
            <w:tcW w:w="1700" w:type="dxa"/>
            <w:vAlign w:val="bottom"/>
          </w:tcPr>
          <w:p>
            <w:pPr>
              <w:spacing w:after="0"/>
              <w:rPr>
                <w:sz w:val="21"/>
                <w:szCs w:val="21"/>
                <w:color w:val="auto"/>
              </w:rPr>
            </w:pPr>
          </w:p>
        </w:tc>
        <w:tc>
          <w:tcPr>
            <w:tcW w:w="4600" w:type="dxa"/>
            <w:vAlign w:val="bottom"/>
            <w:gridSpan w:val="2"/>
            <w:vMerge w:val="restart"/>
          </w:tcPr>
          <w:p>
            <w:pPr>
              <w:jc w:val="right"/>
              <w:ind w:right="2576"/>
              <w:spacing w:after="0"/>
              <w:rPr>
                <w:sz w:val="20"/>
                <w:szCs w:val="20"/>
                <w:color w:val="auto"/>
              </w:rPr>
            </w:pPr>
            <w:r>
              <w:rPr>
                <w:rFonts w:ascii="Arial" w:cs="Arial" w:eastAsia="Arial" w:hAnsi="Arial"/>
                <w:sz w:val="18"/>
                <w:szCs w:val="18"/>
                <w:b w:val="1"/>
                <w:bCs w:val="1"/>
                <w:color w:val="131E29"/>
              </w:rPr>
              <w:t>87-1041305</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jc w:val="center"/>
              <w:ind w:left="2415"/>
              <w:spacing w:after="0"/>
              <w:rPr>
                <w:sz w:val="20"/>
                <w:szCs w:val="20"/>
                <w:color w:val="auto"/>
              </w:rPr>
            </w:pPr>
            <w:r>
              <w:rPr>
                <w:rFonts w:ascii="Arial" w:cs="Arial" w:eastAsia="Arial" w:hAnsi="Arial"/>
                <w:sz w:val="14"/>
                <w:szCs w:val="14"/>
                <w:color w:val="131E29"/>
              </w:rPr>
              <w:t>(State or other jurisdiction of</w:t>
            </w:r>
          </w:p>
        </w:tc>
        <w:tc>
          <w:tcPr>
            <w:tcW w:w="1700" w:type="dxa"/>
            <w:vAlign w:val="bottom"/>
          </w:tcPr>
          <w:p>
            <w:pPr>
              <w:spacing w:after="0"/>
              <w:rPr>
                <w:sz w:val="18"/>
                <w:szCs w:val="18"/>
                <w:color w:val="auto"/>
              </w:rPr>
            </w:pPr>
          </w:p>
        </w:tc>
        <w:tc>
          <w:tcPr>
            <w:tcW w:w="4600" w:type="dxa"/>
            <w:vAlign w:val="bottom"/>
            <w:gridSpan w:val="2"/>
          </w:tcPr>
          <w:p>
            <w:pPr>
              <w:jc w:val="center"/>
              <w:ind w:right="1576"/>
              <w:spacing w:after="0"/>
              <w:rPr>
                <w:sz w:val="20"/>
                <w:szCs w:val="20"/>
                <w:color w:val="auto"/>
              </w:rPr>
            </w:pPr>
            <w:r>
              <w:rPr>
                <w:rFonts w:ascii="Arial" w:cs="Arial" w:eastAsia="Arial" w:hAnsi="Arial"/>
                <w:sz w:val="14"/>
                <w:szCs w:val="14"/>
                <w:color w:val="131E29"/>
              </w:rPr>
              <w:t>(I.R.S. Employer Identification No.)</w:t>
            </w:r>
          </w:p>
        </w:tc>
        <w:tc>
          <w:tcPr>
            <w:tcW w:w="0" w:type="dxa"/>
            <w:vAlign w:val="bottom"/>
          </w:tcPr>
          <w:p>
            <w:pPr>
              <w:spacing w:after="0"/>
              <w:rPr>
                <w:sz w:val="1"/>
                <w:szCs w:val="1"/>
                <w:color w:val="auto"/>
              </w:rPr>
            </w:pPr>
          </w:p>
        </w:tc>
      </w:tr>
      <w:tr>
        <w:trPr>
          <w:trHeight w:val="182"/>
        </w:trPr>
        <w:tc>
          <w:tcPr>
            <w:tcW w:w="4940" w:type="dxa"/>
            <w:vAlign w:val="bottom"/>
            <w:gridSpan w:val="2"/>
          </w:tcPr>
          <w:p>
            <w:pPr>
              <w:jc w:val="center"/>
              <w:ind w:left="2415"/>
              <w:spacing w:after="0"/>
              <w:rPr>
                <w:sz w:val="20"/>
                <w:szCs w:val="20"/>
                <w:color w:val="auto"/>
              </w:rPr>
            </w:pPr>
            <w:r>
              <w:rPr>
                <w:rFonts w:ascii="Arial" w:cs="Arial" w:eastAsia="Arial" w:hAnsi="Arial"/>
                <w:sz w:val="14"/>
                <w:szCs w:val="14"/>
                <w:color w:val="131E29"/>
              </w:rPr>
              <w:t>incorporation or organization)</w:t>
            </w:r>
          </w:p>
        </w:tc>
        <w:tc>
          <w:tcPr>
            <w:tcW w:w="1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4940" w:type="dxa"/>
            <w:vAlign w:val="bottom"/>
            <w:gridSpan w:val="2"/>
          </w:tcPr>
          <w:p>
            <w:pPr>
              <w:jc w:val="center"/>
              <w:ind w:left="2415"/>
              <w:spacing w:after="0"/>
              <w:rPr>
                <w:sz w:val="20"/>
                <w:szCs w:val="20"/>
                <w:color w:val="auto"/>
              </w:rPr>
            </w:pPr>
            <w:r>
              <w:rPr>
                <w:rFonts w:ascii="Arial" w:cs="Arial" w:eastAsia="Arial" w:hAnsi="Arial"/>
                <w:sz w:val="18"/>
                <w:szCs w:val="18"/>
                <w:b w:val="1"/>
                <w:bCs w:val="1"/>
                <w:color w:val="131E29"/>
                <w:w w:val="99"/>
              </w:rPr>
              <w:t>110 SW 4th Street</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40" w:type="dxa"/>
            <w:vAlign w:val="bottom"/>
            <w:gridSpan w:val="2"/>
          </w:tcPr>
          <w:p>
            <w:pPr>
              <w:ind w:left="2720"/>
              <w:spacing w:after="0"/>
              <w:rPr>
                <w:sz w:val="20"/>
                <w:szCs w:val="20"/>
                <w:color w:val="auto"/>
              </w:rPr>
            </w:pPr>
            <w:r>
              <w:rPr>
                <w:rFonts w:ascii="Arial" w:cs="Arial" w:eastAsia="Arial" w:hAnsi="Arial"/>
                <w:sz w:val="18"/>
                <w:szCs w:val="18"/>
                <w:b w:val="1"/>
                <w:bCs w:val="1"/>
                <w:color w:val="131E29"/>
              </w:rPr>
              <w:t>Grants Pass, Oregon</w:t>
            </w:r>
          </w:p>
        </w:tc>
        <w:tc>
          <w:tcPr>
            <w:tcW w:w="1700" w:type="dxa"/>
            <w:vAlign w:val="bottom"/>
          </w:tcPr>
          <w:p>
            <w:pPr>
              <w:spacing w:after="0"/>
              <w:rPr>
                <w:sz w:val="24"/>
                <w:szCs w:val="24"/>
                <w:color w:val="auto"/>
              </w:rPr>
            </w:pPr>
          </w:p>
        </w:tc>
        <w:tc>
          <w:tcPr>
            <w:tcW w:w="4600" w:type="dxa"/>
            <w:vAlign w:val="bottom"/>
            <w:gridSpan w:val="2"/>
          </w:tcPr>
          <w:p>
            <w:pPr>
              <w:jc w:val="right"/>
              <w:ind w:right="2796"/>
              <w:spacing w:after="0"/>
              <w:rPr>
                <w:sz w:val="20"/>
                <w:szCs w:val="20"/>
                <w:color w:val="auto"/>
              </w:rPr>
            </w:pPr>
            <w:r>
              <w:rPr>
                <w:rFonts w:ascii="Arial" w:cs="Arial" w:eastAsia="Arial" w:hAnsi="Arial"/>
                <w:sz w:val="18"/>
                <w:szCs w:val="18"/>
                <w:b w:val="1"/>
                <w:bCs w:val="1"/>
                <w:color w:val="131E29"/>
              </w:rPr>
              <w:t>97526</w:t>
            </w:r>
          </w:p>
        </w:tc>
        <w:tc>
          <w:tcPr>
            <w:tcW w:w="0" w:type="dxa"/>
            <w:vAlign w:val="bottom"/>
          </w:tcPr>
          <w:p>
            <w:pPr>
              <w:spacing w:after="0"/>
              <w:rPr>
                <w:sz w:val="1"/>
                <w:szCs w:val="1"/>
                <w:color w:val="auto"/>
              </w:rPr>
            </w:pPr>
          </w:p>
        </w:tc>
      </w:tr>
      <w:tr>
        <w:trPr>
          <w:trHeight w:val="219"/>
        </w:trPr>
        <w:tc>
          <w:tcPr>
            <w:tcW w:w="6640" w:type="dxa"/>
            <w:vAlign w:val="bottom"/>
            <w:gridSpan w:val="3"/>
          </w:tcPr>
          <w:p>
            <w:pPr>
              <w:jc w:val="center"/>
              <w:ind w:left="715"/>
              <w:spacing w:after="0"/>
              <w:rPr>
                <w:sz w:val="20"/>
                <w:szCs w:val="20"/>
                <w:color w:val="auto"/>
              </w:rPr>
            </w:pPr>
            <w:r>
              <w:rPr>
                <w:rFonts w:ascii="Arial" w:cs="Arial" w:eastAsia="Arial" w:hAnsi="Arial"/>
                <w:sz w:val="14"/>
                <w:szCs w:val="14"/>
                <w:color w:val="131E29"/>
              </w:rPr>
              <w:t>(Address of Principal Executive Offices)</w:t>
            </w:r>
          </w:p>
        </w:tc>
        <w:tc>
          <w:tcPr>
            <w:tcW w:w="860" w:type="dxa"/>
            <w:vAlign w:val="bottom"/>
          </w:tcPr>
          <w:p>
            <w:pPr>
              <w:spacing w:after="0"/>
              <w:rPr>
                <w:sz w:val="19"/>
                <w:szCs w:val="19"/>
                <w:color w:val="auto"/>
              </w:rPr>
            </w:pPr>
          </w:p>
        </w:tc>
        <w:tc>
          <w:tcPr>
            <w:tcW w:w="3740" w:type="dxa"/>
            <w:vAlign w:val="bottom"/>
          </w:tcPr>
          <w:p>
            <w:pPr>
              <w:jc w:val="center"/>
              <w:ind w:right="2456"/>
              <w:spacing w:after="0"/>
              <w:rPr>
                <w:sz w:val="20"/>
                <w:szCs w:val="20"/>
                <w:color w:val="auto"/>
              </w:rPr>
            </w:pPr>
            <w:r>
              <w:rPr>
                <w:rFonts w:ascii="Arial" w:cs="Arial" w:eastAsia="Arial" w:hAnsi="Arial"/>
                <w:sz w:val="14"/>
                <w:szCs w:val="14"/>
                <w:color w:val="131E29"/>
              </w:rPr>
              <w:t>(Zip Code)</w:t>
            </w:r>
          </w:p>
        </w:tc>
        <w:tc>
          <w:tcPr>
            <w:tcW w:w="0" w:type="dxa"/>
            <w:vAlign w:val="bottom"/>
          </w:tcPr>
          <w:p>
            <w:pPr>
              <w:spacing w:after="0"/>
              <w:rPr>
                <w:sz w:val="1"/>
                <w:szCs w:val="1"/>
                <w:color w:val="auto"/>
              </w:rPr>
            </w:pPr>
          </w:p>
        </w:tc>
      </w:tr>
      <w:tr>
        <w:trPr>
          <w:trHeight w:val="479"/>
        </w:trPr>
        <w:tc>
          <w:tcPr>
            <w:tcW w:w="3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131E29"/>
              </w:rPr>
              <w:t>(541) 955-4700</w:t>
            </w: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7480" w:type="dxa"/>
            <w:vAlign w:val="bottom"/>
            <w:gridSpan w:val="4"/>
          </w:tcPr>
          <w:p>
            <w:pPr>
              <w:jc w:val="center"/>
              <w:ind w:right="3676"/>
              <w:spacing w:after="0" w:line="158" w:lineRule="exact"/>
              <w:rPr>
                <w:sz w:val="20"/>
                <w:szCs w:val="20"/>
                <w:color w:val="auto"/>
              </w:rPr>
            </w:pPr>
            <w:r>
              <w:rPr>
                <w:rFonts w:ascii="Arial" w:cs="Arial" w:eastAsia="Arial" w:hAnsi="Arial"/>
                <w:sz w:val="14"/>
                <w:szCs w:val="14"/>
                <w:color w:val="131E29"/>
              </w:rPr>
              <w:t>(Registrant's telephone number, including area code)</w:t>
            </w:r>
          </w:p>
        </w:tc>
        <w:tc>
          <w:tcPr>
            <w:tcW w:w="0" w:type="dxa"/>
            <w:vAlign w:val="bottom"/>
          </w:tcPr>
          <w:p>
            <w:pPr>
              <w:spacing w:after="0"/>
              <w:rPr>
                <w:sz w:val="1"/>
                <w:szCs w:val="1"/>
                <w:color w:val="auto"/>
              </w:rPr>
            </w:pPr>
          </w:p>
        </w:tc>
      </w:tr>
      <w:tr>
        <w:trPr>
          <w:trHeight w:val="251"/>
        </w:trPr>
        <w:tc>
          <w:tcPr>
            <w:tcW w:w="7500" w:type="dxa"/>
            <w:vAlign w:val="bottom"/>
            <w:gridSpan w:val="4"/>
          </w:tcPr>
          <w:p>
            <w:pPr>
              <w:jc w:val="right"/>
              <w:ind w:right="296"/>
              <w:spacing w:after="0"/>
              <w:rPr>
                <w:sz w:val="20"/>
                <w:szCs w:val="20"/>
                <w:color w:val="auto"/>
              </w:rPr>
            </w:pPr>
            <w:r>
              <w:rPr>
                <w:rFonts w:ascii="Arial" w:cs="Arial" w:eastAsia="Arial" w:hAnsi="Arial"/>
                <w:sz w:val="18"/>
                <w:szCs w:val="18"/>
                <w:b w:val="1"/>
                <w:bCs w:val="1"/>
                <w:color w:val="auto"/>
              </w:rPr>
              <w:t>______________________________</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940" w:type="dxa"/>
            <w:vAlign w:val="bottom"/>
            <w:gridSpan w:val="2"/>
          </w:tcPr>
          <w:p>
            <w:pPr>
              <w:spacing w:after="0"/>
              <w:rPr>
                <w:sz w:val="20"/>
                <w:szCs w:val="20"/>
                <w:color w:val="auto"/>
              </w:rPr>
            </w:pPr>
            <w:r>
              <w:rPr>
                <w:rFonts w:ascii="Arial" w:cs="Arial" w:eastAsia="Arial" w:hAnsi="Arial"/>
                <w:sz w:val="18"/>
                <w:szCs w:val="18"/>
                <w:b w:val="1"/>
                <w:bCs w:val="1"/>
                <w:color w:val="131E29"/>
                <w:w w:val="99"/>
              </w:rPr>
              <w:t>Securities registered pursuant to Section 12(b) of the Act:</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7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Title of Each Class</w:t>
            </w:r>
          </w:p>
        </w:tc>
        <w:tc>
          <w:tcPr>
            <w:tcW w:w="1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131E29"/>
                <w:w w:val="99"/>
              </w:rPr>
              <w:t>Trading Symbol</w:t>
            </w:r>
          </w:p>
        </w:tc>
        <w:tc>
          <w:tcPr>
            <w:tcW w:w="860" w:type="dxa"/>
            <w:vAlign w:val="bottom"/>
            <w:tcBorders>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Name of Exchange on which Registered</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Class A Common Stock,</w:t>
            </w:r>
          </w:p>
        </w:tc>
        <w:tc>
          <w:tcPr>
            <w:tcW w:w="1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par value $0.00001 per share</w:t>
            </w:r>
          </w:p>
        </w:tc>
        <w:tc>
          <w:tcPr>
            <w:tcW w:w="1180" w:type="dxa"/>
            <w:vAlign w:val="bottom"/>
          </w:tcPr>
          <w:p>
            <w:pPr>
              <w:spacing w:after="0"/>
              <w:rPr>
                <w:sz w:val="19"/>
                <w:szCs w:val="19"/>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color w:val="auto"/>
              </w:rPr>
              <w:t>BROS</w:t>
            </w:r>
          </w:p>
        </w:tc>
        <w:tc>
          <w:tcPr>
            <w:tcW w:w="86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31E29"/>
                <w:w w:val="99"/>
              </w:rPr>
              <w:t>The New York Stock Exchange</w:t>
            </w:r>
          </w:p>
        </w:tc>
        <w:tc>
          <w:tcPr>
            <w:tcW w:w="0" w:type="dxa"/>
            <w:vAlign w:val="bottom"/>
          </w:tcPr>
          <w:p>
            <w:pPr>
              <w:spacing w:after="0"/>
              <w:rPr>
                <w:sz w:val="1"/>
                <w:szCs w:val="1"/>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131E2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131E2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131E2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495"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29"/>
        </w:trPr>
        <w:tc>
          <w:tcPr>
            <w:tcW w:w="2980" w:type="dxa"/>
            <w:vAlign w:val="bottom"/>
            <w:vMerge w:val="restart"/>
          </w:tcPr>
          <w:p>
            <w:pPr>
              <w:spacing w:after="0"/>
              <w:rPr>
                <w:sz w:val="20"/>
                <w:szCs w:val="20"/>
                <w:color w:val="auto"/>
              </w:rPr>
            </w:pPr>
            <w:r>
              <w:rPr>
                <w:rFonts w:ascii="Arial" w:cs="Arial" w:eastAsia="Arial" w:hAnsi="Arial"/>
                <w:sz w:val="18"/>
                <w:szCs w:val="18"/>
                <w:color w:val="131E29"/>
              </w:rPr>
              <w:t>Large accelerated filer</w:t>
            </w:r>
          </w:p>
        </w:tc>
        <w:tc>
          <w:tcPr>
            <w:tcW w:w="2440" w:type="dxa"/>
            <w:vAlign w:val="bottom"/>
          </w:tcPr>
          <w:p>
            <w:pPr>
              <w:ind w:left="1200"/>
              <w:spacing w:after="0"/>
              <w:rPr>
                <w:sz w:val="20"/>
                <w:szCs w:val="20"/>
                <w:color w:val="auto"/>
              </w:rPr>
            </w:pPr>
            <w:r>
              <w:rPr>
                <w:rFonts w:ascii="Arial" w:cs="Arial" w:eastAsia="Arial" w:hAnsi="Arial"/>
                <w:sz w:val="18"/>
                <w:szCs w:val="18"/>
                <w:color w:val="131E29"/>
              </w:rPr>
              <w:t>x</w:t>
            </w:r>
          </w:p>
        </w:tc>
        <w:tc>
          <w:tcPr>
            <w:tcW w:w="4280" w:type="dxa"/>
            <w:vAlign w:val="bottom"/>
          </w:tcPr>
          <w:p>
            <w:pPr>
              <w:ind w:left="1120"/>
              <w:spacing w:after="0"/>
              <w:rPr>
                <w:sz w:val="20"/>
                <w:szCs w:val="20"/>
                <w:color w:val="auto"/>
              </w:rPr>
            </w:pPr>
            <w:r>
              <w:rPr>
                <w:rFonts w:ascii="Arial" w:cs="Arial" w:eastAsia="Arial" w:hAnsi="Arial"/>
                <w:sz w:val="18"/>
                <w:szCs w:val="18"/>
                <w:color w:val="131E29"/>
              </w:rPr>
              <w:t>Accelerated filer</w:t>
            </w:r>
          </w:p>
        </w:tc>
        <w:tc>
          <w:tcPr>
            <w:tcW w:w="1120" w:type="dxa"/>
            <w:vAlign w:val="bottom"/>
          </w:tcPr>
          <w:p>
            <w:pPr>
              <w:ind w:left="1020"/>
              <w:spacing w:after="0"/>
              <w:rPr>
                <w:sz w:val="20"/>
                <w:szCs w:val="20"/>
                <w:color w:val="auto"/>
              </w:rPr>
            </w:pPr>
            <w:r>
              <w:rPr>
                <w:rFonts w:ascii="Arial" w:cs="Arial" w:eastAsia="Arial" w:hAnsi="Arial"/>
                <w:sz w:val="18"/>
                <w:szCs w:val="18"/>
                <w:color w:val="131E29"/>
                <w:w w:val="79"/>
              </w:rPr>
              <w:t>o</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131E29"/>
              </w:rPr>
              <w:t>Non-accelerated filer</w:t>
            </w:r>
          </w:p>
        </w:tc>
        <w:tc>
          <w:tcPr>
            <w:tcW w:w="2440" w:type="dxa"/>
            <w:vAlign w:val="bottom"/>
          </w:tcPr>
          <w:p>
            <w:pPr>
              <w:ind w:left="1200"/>
              <w:spacing w:after="0"/>
              <w:rPr>
                <w:sz w:val="20"/>
                <w:szCs w:val="20"/>
                <w:color w:val="auto"/>
              </w:rPr>
            </w:pPr>
            <w:r>
              <w:rPr>
                <w:rFonts w:ascii="Arial" w:cs="Arial" w:eastAsia="Arial" w:hAnsi="Arial"/>
                <w:sz w:val="18"/>
                <w:szCs w:val="18"/>
                <w:color w:val="131E29"/>
              </w:rPr>
              <w:t>o</w:t>
            </w:r>
          </w:p>
        </w:tc>
        <w:tc>
          <w:tcPr>
            <w:tcW w:w="4280" w:type="dxa"/>
            <w:vAlign w:val="bottom"/>
          </w:tcPr>
          <w:p>
            <w:pPr>
              <w:ind w:left="1120"/>
              <w:spacing w:after="0"/>
              <w:rPr>
                <w:sz w:val="20"/>
                <w:szCs w:val="20"/>
                <w:color w:val="auto"/>
              </w:rPr>
            </w:pPr>
            <w:r>
              <w:rPr>
                <w:rFonts w:ascii="Arial" w:cs="Arial" w:eastAsia="Arial" w:hAnsi="Arial"/>
                <w:sz w:val="18"/>
                <w:szCs w:val="18"/>
                <w:color w:val="131E29"/>
              </w:rPr>
              <w:t>Smaller reporting company</w:t>
            </w:r>
          </w:p>
        </w:tc>
        <w:tc>
          <w:tcPr>
            <w:tcW w:w="1120" w:type="dxa"/>
            <w:vAlign w:val="bottom"/>
          </w:tcPr>
          <w:p>
            <w:pPr>
              <w:ind w:left="1020"/>
              <w:spacing w:after="0"/>
              <w:rPr>
                <w:sz w:val="20"/>
                <w:szCs w:val="20"/>
                <w:color w:val="auto"/>
              </w:rPr>
            </w:pPr>
            <w:r>
              <w:rPr>
                <w:rFonts w:ascii="Arial" w:cs="Arial" w:eastAsia="Arial" w:hAnsi="Arial"/>
                <w:sz w:val="18"/>
                <w:szCs w:val="18"/>
                <w:color w:val="131E29"/>
                <w:w w:val="79"/>
              </w:rPr>
              <w:t>o</w:t>
            </w: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80" w:type="dxa"/>
            <w:vAlign w:val="bottom"/>
          </w:tcPr>
          <w:p>
            <w:pPr>
              <w:ind w:left="1120"/>
              <w:spacing w:after="0"/>
              <w:rPr>
                <w:sz w:val="20"/>
                <w:szCs w:val="20"/>
                <w:color w:val="auto"/>
              </w:rPr>
            </w:pPr>
            <w:r>
              <w:rPr>
                <w:rFonts w:ascii="Arial" w:cs="Arial" w:eastAsia="Arial" w:hAnsi="Arial"/>
                <w:sz w:val="18"/>
                <w:szCs w:val="18"/>
                <w:color w:val="131E29"/>
              </w:rPr>
              <w:t>Emerging growth company</w:t>
            </w:r>
          </w:p>
        </w:tc>
        <w:tc>
          <w:tcPr>
            <w:tcW w:w="1120" w:type="dxa"/>
            <w:vAlign w:val="bottom"/>
          </w:tcPr>
          <w:p>
            <w:pPr>
              <w:ind w:left="1020"/>
              <w:spacing w:after="0"/>
              <w:rPr>
                <w:sz w:val="20"/>
                <w:szCs w:val="20"/>
                <w:color w:val="auto"/>
              </w:rPr>
            </w:pPr>
            <w:r>
              <w:rPr>
                <w:rFonts w:ascii="Arial" w:cs="Arial" w:eastAsia="Arial" w:hAnsi="Arial"/>
                <w:sz w:val="18"/>
                <w:szCs w:val="18"/>
                <w:color w:val="131E29"/>
                <w:w w:val="79"/>
              </w:rPr>
              <w:t>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8"/>
          <w:szCs w:val="18"/>
          <w:color w:val="131E29"/>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131E29"/>
        </w:rPr>
        <w:t>Indicate by check mark whether the registrant is a shell company (as defined in Rule 12b-2 of the Act). Yes o No 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As of August 3, 2023, the registrant’s outstanding shares of common stock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20" w:type="dxa"/>
            <w:vAlign w:val="bottom"/>
          </w:tcPr>
          <w:p>
            <w:pPr>
              <w:spacing w:after="0"/>
              <w:rPr>
                <w:sz w:val="21"/>
                <w:szCs w:val="21"/>
                <w:color w:val="auto"/>
              </w:rPr>
            </w:pPr>
          </w:p>
        </w:tc>
        <w:tc>
          <w:tcPr>
            <w:tcW w:w="3240" w:type="dxa"/>
            <w:vAlign w:val="bottom"/>
            <w:tcBorders>
              <w:bottom w:val="single" w:sz="8" w:color="D2DCE5"/>
            </w:tcBorders>
            <w:shd w:val="clear" w:color="auto" w:fill="D2DCE5"/>
          </w:tcPr>
          <w:p>
            <w:pPr>
              <w:ind w:left="600"/>
              <w:spacing w:after="0"/>
              <w:rPr>
                <w:sz w:val="20"/>
                <w:szCs w:val="20"/>
                <w:color w:val="auto"/>
              </w:rPr>
            </w:pPr>
            <w:r>
              <w:rPr>
                <w:rFonts w:ascii="Arial" w:cs="Arial" w:eastAsia="Arial" w:hAnsi="Arial"/>
                <w:sz w:val="18"/>
                <w:szCs w:val="18"/>
                <w:color w:val="auto"/>
              </w:rPr>
              <w:t>Class A common stock</w:t>
            </w:r>
          </w:p>
        </w:tc>
        <w:tc>
          <w:tcPr>
            <w:tcW w:w="2780" w:type="dxa"/>
            <w:vAlign w:val="bottom"/>
            <w:tcBorders>
              <w:bottom w:val="single" w:sz="8" w:color="D2DCE5"/>
            </w:tcBorders>
            <w:shd w:val="clear" w:color="auto" w:fill="D2DCE5"/>
          </w:tcPr>
          <w:p>
            <w:pPr>
              <w:jc w:val="right"/>
              <w:ind w:right="970"/>
              <w:spacing w:after="0"/>
              <w:rPr>
                <w:sz w:val="20"/>
                <w:szCs w:val="20"/>
                <w:color w:val="auto"/>
              </w:rPr>
            </w:pPr>
            <w:r>
              <w:rPr>
                <w:rFonts w:ascii="Arial" w:cs="Arial" w:eastAsia="Arial" w:hAnsi="Arial"/>
                <w:sz w:val="18"/>
                <w:szCs w:val="18"/>
                <w:color w:val="auto"/>
              </w:rPr>
              <w:t>45,673,542</w:t>
            </w:r>
          </w:p>
        </w:tc>
        <w:tc>
          <w:tcPr>
            <w:tcW w:w="2600" w:type="dxa"/>
            <w:vAlign w:val="bottom"/>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3240" w:type="dxa"/>
            <w:vAlign w:val="bottom"/>
          </w:tcPr>
          <w:p>
            <w:pPr>
              <w:ind w:left="580"/>
              <w:spacing w:after="0"/>
              <w:rPr>
                <w:sz w:val="20"/>
                <w:szCs w:val="20"/>
                <w:color w:val="auto"/>
              </w:rPr>
            </w:pPr>
            <w:r>
              <w:rPr>
                <w:rFonts w:ascii="Arial" w:cs="Arial" w:eastAsia="Arial" w:hAnsi="Arial"/>
                <w:sz w:val="18"/>
                <w:szCs w:val="18"/>
                <w:color w:val="auto"/>
              </w:rPr>
              <w:t>Class B common stock</w:t>
            </w:r>
          </w:p>
        </w:tc>
        <w:tc>
          <w:tcPr>
            <w:tcW w:w="2780" w:type="dxa"/>
            <w:vAlign w:val="bottom"/>
          </w:tcPr>
          <w:p>
            <w:pPr>
              <w:jc w:val="right"/>
              <w:ind w:right="970"/>
              <w:spacing w:after="0"/>
              <w:rPr>
                <w:sz w:val="20"/>
                <w:szCs w:val="20"/>
                <w:color w:val="auto"/>
              </w:rPr>
            </w:pPr>
            <w:r>
              <w:rPr>
                <w:rFonts w:ascii="Arial" w:cs="Arial" w:eastAsia="Arial" w:hAnsi="Arial"/>
                <w:sz w:val="18"/>
                <w:szCs w:val="18"/>
                <w:color w:val="auto"/>
              </w:rPr>
              <w:t>64,699,136</w:t>
            </w:r>
          </w:p>
        </w:tc>
        <w:tc>
          <w:tcPr>
            <w:tcW w:w="2600" w:type="dxa"/>
            <w:vAlign w:val="bottom"/>
          </w:tcPr>
          <w:p>
            <w:pPr>
              <w:spacing w:after="0"/>
              <w:rPr>
                <w:sz w:val="21"/>
                <w:szCs w:val="21"/>
                <w:color w:val="auto"/>
              </w:rPr>
            </w:pPr>
          </w:p>
        </w:tc>
      </w:tr>
      <w:tr>
        <w:trPr>
          <w:trHeight w:val="27"/>
        </w:trPr>
        <w:tc>
          <w:tcPr>
            <w:tcW w:w="2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2620" w:type="dxa"/>
            <w:vAlign w:val="bottom"/>
          </w:tcPr>
          <w:p>
            <w:pPr>
              <w:spacing w:after="0"/>
              <w:rPr>
                <w:sz w:val="21"/>
                <w:szCs w:val="21"/>
                <w:color w:val="auto"/>
              </w:rPr>
            </w:pPr>
          </w:p>
        </w:tc>
        <w:tc>
          <w:tcPr>
            <w:tcW w:w="3240" w:type="dxa"/>
            <w:vAlign w:val="bottom"/>
            <w:tcBorders>
              <w:bottom w:val="single" w:sz="8" w:color="D2DCE5"/>
            </w:tcBorders>
            <w:shd w:val="clear" w:color="auto" w:fill="D2DCE5"/>
          </w:tcPr>
          <w:p>
            <w:pPr>
              <w:ind w:left="580"/>
              <w:spacing w:after="0"/>
              <w:rPr>
                <w:sz w:val="20"/>
                <w:szCs w:val="20"/>
                <w:color w:val="auto"/>
              </w:rPr>
            </w:pPr>
            <w:r>
              <w:rPr>
                <w:rFonts w:ascii="Arial" w:cs="Arial" w:eastAsia="Arial" w:hAnsi="Arial"/>
                <w:sz w:val="18"/>
                <w:szCs w:val="18"/>
                <w:color w:val="auto"/>
              </w:rPr>
              <w:t>Class C common stock</w:t>
            </w:r>
          </w:p>
        </w:tc>
        <w:tc>
          <w:tcPr>
            <w:tcW w:w="2780" w:type="dxa"/>
            <w:vAlign w:val="bottom"/>
            <w:tcBorders>
              <w:bottom w:val="single" w:sz="8" w:color="D2DCE5"/>
            </w:tcBorders>
            <w:shd w:val="clear" w:color="auto" w:fill="D2DCE5"/>
          </w:tcPr>
          <w:p>
            <w:pPr>
              <w:jc w:val="right"/>
              <w:ind w:right="970"/>
              <w:spacing w:after="0"/>
              <w:rPr>
                <w:sz w:val="20"/>
                <w:szCs w:val="20"/>
                <w:color w:val="auto"/>
              </w:rPr>
            </w:pPr>
            <w:r>
              <w:rPr>
                <w:rFonts w:ascii="Arial" w:cs="Arial" w:eastAsia="Arial" w:hAnsi="Arial"/>
                <w:sz w:val="18"/>
                <w:szCs w:val="18"/>
                <w:color w:val="auto"/>
              </w:rPr>
              <w:t>41,056,429</w:t>
            </w:r>
          </w:p>
        </w:tc>
        <w:tc>
          <w:tcPr>
            <w:tcW w:w="2600" w:type="dxa"/>
            <w:vAlign w:val="bottom"/>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3240" w:type="dxa"/>
            <w:vAlign w:val="bottom"/>
          </w:tcPr>
          <w:p>
            <w:pPr>
              <w:ind w:left="580"/>
              <w:spacing w:after="0"/>
              <w:rPr>
                <w:sz w:val="20"/>
                <w:szCs w:val="20"/>
                <w:color w:val="auto"/>
              </w:rPr>
            </w:pPr>
            <w:r>
              <w:rPr>
                <w:rFonts w:ascii="Arial" w:cs="Arial" w:eastAsia="Arial" w:hAnsi="Arial"/>
                <w:sz w:val="18"/>
                <w:szCs w:val="18"/>
                <w:color w:val="auto"/>
              </w:rPr>
              <w:t>Class D common stock</w:t>
            </w:r>
          </w:p>
        </w:tc>
        <w:tc>
          <w:tcPr>
            <w:tcW w:w="2780" w:type="dxa"/>
            <w:vAlign w:val="bottom"/>
          </w:tcPr>
          <w:p>
            <w:pPr>
              <w:jc w:val="right"/>
              <w:ind w:right="990"/>
              <w:spacing w:after="0"/>
              <w:rPr>
                <w:sz w:val="20"/>
                <w:szCs w:val="20"/>
                <w:color w:val="auto"/>
              </w:rPr>
            </w:pPr>
            <w:r>
              <w:rPr>
                <w:rFonts w:ascii="Arial" w:cs="Arial" w:eastAsia="Arial" w:hAnsi="Arial"/>
                <w:sz w:val="18"/>
                <w:szCs w:val="18"/>
                <w:color w:val="auto"/>
              </w:rPr>
              <w:t>12,411,419</w:t>
            </w:r>
          </w:p>
        </w:tc>
        <w:tc>
          <w:tcPr>
            <w:tcW w:w="2600" w:type="dxa"/>
            <w:vAlign w:val="bottom"/>
          </w:tcPr>
          <w:p>
            <w:pPr>
              <w:spacing w:after="0"/>
              <w:rPr>
                <w:sz w:val="21"/>
                <w:szCs w:val="21"/>
                <w:color w:val="auto"/>
              </w:rPr>
            </w:pPr>
          </w:p>
        </w:tc>
      </w:tr>
      <w:tr>
        <w:trPr>
          <w:trHeight w:val="297"/>
        </w:trPr>
        <w:tc>
          <w:tcPr>
            <w:tcW w:w="26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661"/>
        </w:trPr>
        <w:tc>
          <w:tcPr>
            <w:tcW w:w="26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54"/>
        </w:trPr>
        <w:tc>
          <w:tcPr>
            <w:tcW w:w="1340" w:type="dxa"/>
            <w:vAlign w:val="bottom"/>
          </w:tcPr>
          <w:p>
            <w:pPr>
              <w:spacing w:after="0"/>
              <w:rPr>
                <w:sz w:val="24"/>
                <w:szCs w:val="24"/>
                <w:color w:val="auto"/>
              </w:rPr>
            </w:pPr>
          </w:p>
        </w:tc>
        <w:tc>
          <w:tcPr>
            <w:tcW w:w="7600" w:type="dxa"/>
            <w:vAlign w:val="bottom"/>
          </w:tcPr>
          <w:p>
            <w:pPr>
              <w:jc w:val="center"/>
              <w:ind w:left="888"/>
              <w:spacing w:after="0"/>
              <w:rPr>
                <w:sz w:val="20"/>
                <w:szCs w:val="20"/>
                <w:color w:val="auto"/>
              </w:rPr>
            </w:pPr>
            <w:r>
              <w:rPr>
                <w:rFonts w:ascii="Arial" w:cs="Arial" w:eastAsia="Arial" w:hAnsi="Arial"/>
                <w:sz w:val="25"/>
                <w:szCs w:val="25"/>
                <w:b w:val="1"/>
                <w:bCs w:val="1"/>
                <w:color w:val="00416B"/>
              </w:rPr>
              <w:t>DUTCH BROS INC.</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7600" w:type="dxa"/>
            <w:vAlign w:val="bottom"/>
          </w:tcPr>
          <w:p>
            <w:pPr>
              <w:jc w:val="center"/>
              <w:ind w:left="888"/>
              <w:spacing w:after="0"/>
              <w:rPr>
                <w:sz w:val="20"/>
                <w:szCs w:val="20"/>
                <w:color w:val="auto"/>
              </w:rPr>
            </w:pPr>
            <w:r>
              <w:rPr>
                <w:rFonts w:ascii="Arial" w:cs="Arial" w:eastAsia="Arial" w:hAnsi="Arial"/>
                <w:sz w:val="18"/>
                <w:szCs w:val="18"/>
                <w:color w:val="131E29"/>
                <w:w w:val="99"/>
              </w:rPr>
              <w:t>QUARTERLY REPORT ON FORM 10-Q</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7600" w:type="dxa"/>
            <w:vAlign w:val="bottom"/>
          </w:tcPr>
          <w:p>
            <w:pPr>
              <w:jc w:val="center"/>
              <w:ind w:left="888"/>
              <w:spacing w:after="0"/>
              <w:rPr>
                <w:sz w:val="20"/>
                <w:szCs w:val="20"/>
                <w:color w:val="auto"/>
              </w:rPr>
            </w:pPr>
            <w:r>
              <w:rPr>
                <w:rFonts w:ascii="Arial" w:cs="Arial" w:eastAsia="Arial" w:hAnsi="Arial"/>
                <w:sz w:val="18"/>
                <w:szCs w:val="18"/>
                <w:color w:val="131E29"/>
                <w:w w:val="99"/>
              </w:rPr>
              <w:t>TABLE OF CONTENTS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13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300" w:type="dxa"/>
            <w:vAlign w:val="bottom"/>
          </w:tcPr>
          <w:p>
            <w:pPr>
              <w:ind w:left="1720"/>
              <w:spacing w:after="0"/>
              <w:rPr>
                <w:sz w:val="20"/>
                <w:szCs w:val="20"/>
                <w:color w:val="auto"/>
              </w:rPr>
            </w:pPr>
            <w:r>
              <w:rPr>
                <w:rFonts w:ascii="Arial" w:cs="Arial" w:eastAsia="Arial" w:hAnsi="Arial"/>
                <w:sz w:val="18"/>
                <w:szCs w:val="18"/>
                <w:b w:val="1"/>
                <w:bCs w:val="1"/>
                <w:color w:val="131E29"/>
              </w:rPr>
              <w:t>Page</w:t>
            </w:r>
          </w:p>
        </w:tc>
        <w:tc>
          <w:tcPr>
            <w:tcW w:w="0" w:type="dxa"/>
            <w:vAlign w:val="bottom"/>
          </w:tcPr>
          <w:p>
            <w:pPr>
              <w:spacing w:after="0"/>
              <w:rPr>
                <w:sz w:val="1"/>
                <w:szCs w:val="1"/>
                <w:color w:val="auto"/>
              </w:rPr>
            </w:pPr>
          </w:p>
        </w:tc>
      </w:tr>
      <w:tr>
        <w:trPr>
          <w:trHeight w:val="353"/>
        </w:trPr>
        <w:tc>
          <w:tcPr>
            <w:tcW w:w="1340" w:type="dxa"/>
            <w:vAlign w:val="bottom"/>
          </w:tcPr>
          <w:p>
            <w:pPr>
              <w:ind w:left="20"/>
              <w:spacing w:after="0"/>
              <w:rPr>
                <w:sz w:val="20"/>
                <w:szCs w:val="20"/>
                <w:color w:val="auto"/>
              </w:rPr>
            </w:pPr>
            <w:r>
              <w:rPr>
                <w:rFonts w:ascii="Arial" w:cs="Arial" w:eastAsia="Arial" w:hAnsi="Arial"/>
                <w:sz w:val="18"/>
                <w:szCs w:val="18"/>
                <w:color w:val="131E29"/>
              </w:rPr>
              <w:t>Glossary</w:t>
            </w:r>
          </w:p>
        </w:tc>
        <w:tc>
          <w:tcPr>
            <w:tcW w:w="7600" w:type="dxa"/>
            <w:vAlign w:val="bottom"/>
          </w:tcPr>
          <w:p>
            <w:pPr>
              <w:spacing w:after="0"/>
              <w:rPr>
                <w:sz w:val="24"/>
                <w:szCs w:val="24"/>
                <w:color w:val="auto"/>
              </w:rPr>
            </w:pP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w:t>
            </w:r>
          </w:p>
        </w:tc>
        <w:tc>
          <w:tcPr>
            <w:tcW w:w="0" w:type="dxa"/>
            <w:vAlign w:val="bottom"/>
          </w:tcPr>
          <w:p>
            <w:pPr>
              <w:spacing w:after="0"/>
              <w:rPr>
                <w:sz w:val="1"/>
                <w:szCs w:val="1"/>
                <w:color w:val="auto"/>
              </w:rPr>
            </w:pPr>
          </w:p>
        </w:tc>
      </w:tr>
      <w:tr>
        <w:trPr>
          <w:trHeight w:val="189"/>
        </w:trPr>
        <w:tc>
          <w:tcPr>
            <w:tcW w:w="8940" w:type="dxa"/>
            <w:vAlign w:val="bottom"/>
            <w:tcBorders>
              <w:bottom w:val="single" w:sz="8" w:color="D2DCE5"/>
            </w:tcBorders>
            <w:gridSpan w:val="2"/>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940" w:type="dxa"/>
            <w:vAlign w:val="bottom"/>
            <w:gridSpan w:val="2"/>
          </w:tcPr>
          <w:p>
            <w:pPr>
              <w:ind w:left="20"/>
              <w:spacing w:after="0"/>
              <w:rPr>
                <w:sz w:val="20"/>
                <w:szCs w:val="20"/>
                <w:color w:val="auto"/>
              </w:rPr>
            </w:pPr>
            <w:r>
              <w:rPr>
                <w:rFonts w:ascii="Arial" w:cs="Arial" w:eastAsia="Arial" w:hAnsi="Arial"/>
                <w:sz w:val="18"/>
                <w:szCs w:val="18"/>
                <w:color w:val="131E29"/>
              </w:rPr>
              <w:t>Forward-Looking Statements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2</w:t>
            </w:r>
          </w:p>
        </w:tc>
        <w:tc>
          <w:tcPr>
            <w:tcW w:w="0" w:type="dxa"/>
            <w:vAlign w:val="bottom"/>
          </w:tcPr>
          <w:p>
            <w:pPr>
              <w:spacing w:after="0"/>
              <w:rPr>
                <w:sz w:val="1"/>
                <w:szCs w:val="1"/>
                <w:color w:val="auto"/>
              </w:rPr>
            </w:pPr>
          </w:p>
        </w:tc>
      </w:tr>
      <w:tr>
        <w:trPr>
          <w:trHeight w:val="189"/>
        </w:trPr>
        <w:tc>
          <w:tcPr>
            <w:tcW w:w="1340" w:type="dxa"/>
            <w:vAlign w:val="bottom"/>
            <w:tcBorders>
              <w:bottom w:val="single" w:sz="8" w:color="D2DCE5"/>
            </w:tcBorders>
          </w:tcPr>
          <w:p>
            <w:pPr>
              <w:spacing w:after="0"/>
              <w:rPr>
                <w:sz w:val="16"/>
                <w:szCs w:val="16"/>
                <w:color w:val="auto"/>
              </w:rPr>
            </w:pPr>
          </w:p>
        </w:tc>
        <w:tc>
          <w:tcPr>
            <w:tcW w:w="760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1340" w:type="dxa"/>
            <w:vAlign w:val="bottom"/>
            <w:vMerge w:val="restart"/>
          </w:tcPr>
          <w:p>
            <w:pPr>
              <w:ind w:left="20"/>
              <w:spacing w:after="0"/>
              <w:rPr>
                <w:sz w:val="20"/>
                <w:szCs w:val="20"/>
                <w:color w:val="auto"/>
              </w:rPr>
            </w:pPr>
            <w:r>
              <w:rPr>
                <w:rFonts w:ascii="Arial" w:cs="Arial" w:eastAsia="Arial" w:hAnsi="Arial"/>
                <w:sz w:val="18"/>
                <w:szCs w:val="18"/>
                <w:b w:val="1"/>
                <w:bCs w:val="1"/>
                <w:color w:val="006098"/>
              </w:rPr>
              <w:t>PART I</w:t>
            </w:r>
          </w:p>
        </w:tc>
        <w:tc>
          <w:tcPr>
            <w:tcW w:w="7600" w:type="dxa"/>
            <w:vAlign w:val="bottom"/>
          </w:tcPr>
          <w:p>
            <w:pPr>
              <w:ind w:left="20"/>
              <w:spacing w:after="0"/>
              <w:rPr>
                <w:sz w:val="20"/>
                <w:szCs w:val="20"/>
                <w:color w:val="auto"/>
              </w:rPr>
            </w:pPr>
            <w:r>
              <w:rPr>
                <w:rFonts w:ascii="Arial" w:cs="Arial" w:eastAsia="Arial" w:hAnsi="Arial"/>
                <w:sz w:val="18"/>
                <w:szCs w:val="18"/>
                <w:b w:val="1"/>
                <w:bCs w:val="1"/>
                <w:color w:val="006098"/>
              </w:rPr>
              <w:t>FINANCIAL INFORMATION</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69"/>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40" w:type="dxa"/>
            <w:vAlign w:val="bottom"/>
            <w:tcBorders>
              <w:bottom w:val="single" w:sz="8" w:color="D7282F"/>
            </w:tcBorders>
            <w:shd w:val="clear" w:color="auto" w:fill="FDE021"/>
          </w:tcPr>
          <w:p>
            <w:pPr>
              <w:spacing w:after="0"/>
              <w:rPr>
                <w:sz w:val="13"/>
                <w:szCs w:val="13"/>
                <w:color w:val="auto"/>
              </w:rPr>
            </w:pPr>
          </w:p>
        </w:tc>
        <w:tc>
          <w:tcPr>
            <w:tcW w:w="7600" w:type="dxa"/>
            <w:vAlign w:val="bottom"/>
            <w:tcBorders>
              <w:bottom w:val="single" w:sz="8" w:color="D7282F"/>
            </w:tcBorders>
            <w:shd w:val="clear" w:color="auto" w:fill="FDE021"/>
          </w:tcPr>
          <w:p>
            <w:pPr>
              <w:spacing w:after="0"/>
              <w:rPr>
                <w:sz w:val="13"/>
                <w:szCs w:val="13"/>
                <w:color w:val="auto"/>
              </w:rPr>
            </w:pPr>
          </w:p>
        </w:tc>
        <w:tc>
          <w:tcPr>
            <w:tcW w:w="2300" w:type="dxa"/>
            <w:vAlign w:val="bottom"/>
            <w:tcBorders>
              <w:bottom w:val="single" w:sz="8" w:color="D7282F"/>
            </w:tcBorders>
            <w:shd w:val="clear" w:color="auto" w:fill="FDE021"/>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340" w:type="dxa"/>
            <w:vAlign w:val="bottom"/>
            <w:tcBorders>
              <w:top w:val="single" w:sz="8" w:color="00416B"/>
            </w:tcBorders>
            <w:vMerge w:val="restart"/>
          </w:tcPr>
          <w:p>
            <w:pPr>
              <w:ind w:left="140"/>
              <w:spacing w:after="0"/>
              <w:rPr>
                <w:sz w:val="20"/>
                <w:szCs w:val="20"/>
                <w:color w:val="auto"/>
              </w:rPr>
            </w:pPr>
            <w:r>
              <w:rPr>
                <w:rFonts w:ascii="Arial" w:cs="Arial" w:eastAsia="Arial" w:hAnsi="Arial"/>
                <w:sz w:val="18"/>
                <w:szCs w:val="18"/>
                <w:color w:val="auto"/>
              </w:rPr>
              <w:t>ITEM 1.</w:t>
            </w:r>
          </w:p>
        </w:tc>
        <w:tc>
          <w:tcPr>
            <w:tcW w:w="760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Financial Statements (Unaudited)</w:t>
            </w:r>
          </w:p>
        </w:tc>
        <w:tc>
          <w:tcPr>
            <w:tcW w:w="2300" w:type="dxa"/>
            <w:vAlign w:val="bottom"/>
            <w:tcBorders>
              <w:top w:val="single" w:sz="8" w:color="00416B"/>
            </w:tcBorders>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D2DCE5"/>
            </w:tcBorders>
          </w:tcPr>
          <w:p>
            <w:pPr>
              <w:spacing w:after="0"/>
              <w:rPr>
                <w:sz w:val="2"/>
                <w:szCs w:val="2"/>
                <w:color w:val="auto"/>
              </w:rPr>
            </w:pPr>
          </w:p>
        </w:tc>
        <w:tc>
          <w:tcPr>
            <w:tcW w:w="760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131E29"/>
              </w:rPr>
              <w:t>Condensed Consolidated Balance Sheets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760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Operations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5</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760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Comprehensive Income (Loss)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6</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760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Stockholders’ Equity</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7</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760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Cash Flows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89"/>
              </w:rPr>
              <w:t>11</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760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131E29"/>
              </w:rPr>
              <w:t>Notes to Condensed Consolidated Financial Statements</w:t>
            </w:r>
          </w:p>
        </w:tc>
        <w:tc>
          <w:tcPr>
            <w:tcW w:w="2300" w:type="dxa"/>
            <w:vAlign w:val="bottom"/>
          </w:tcPr>
          <w:p>
            <w:pPr>
              <w:jc w:val="center"/>
              <w:ind w:left="1450"/>
              <w:spacing w:after="0"/>
              <w:rPr>
                <w:sz w:val="20"/>
                <w:szCs w:val="20"/>
                <w:color w:val="auto"/>
              </w:rPr>
            </w:pPr>
            <w:r>
              <w:rPr>
                <w:rFonts w:ascii="Arial" w:cs="Arial" w:eastAsia="Arial" w:hAnsi="Arial"/>
                <w:sz w:val="18"/>
                <w:szCs w:val="18"/>
                <w:color w:val="131E29"/>
                <w:w w:val="99"/>
              </w:rPr>
              <w:t>13</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760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40" w:type="dxa"/>
            <w:vAlign w:val="bottom"/>
            <w:vMerge w:val="restart"/>
          </w:tcPr>
          <w:p>
            <w:pPr>
              <w:ind w:left="140"/>
              <w:spacing w:after="0"/>
              <w:rPr>
                <w:sz w:val="20"/>
                <w:szCs w:val="20"/>
                <w:color w:val="auto"/>
              </w:rPr>
            </w:pPr>
            <w:r>
              <w:rPr>
                <w:rFonts w:ascii="Arial" w:cs="Arial" w:eastAsia="Arial" w:hAnsi="Arial"/>
                <w:sz w:val="18"/>
                <w:szCs w:val="18"/>
                <w:color w:val="auto"/>
              </w:rPr>
              <w:t>ITEM 2.</w:t>
            </w:r>
          </w:p>
        </w:tc>
        <w:tc>
          <w:tcPr>
            <w:tcW w:w="7600" w:type="dxa"/>
            <w:vAlign w:val="bottom"/>
          </w:tcPr>
          <w:p>
            <w:pPr>
              <w:ind w:left="20"/>
              <w:spacing w:after="0"/>
              <w:rPr>
                <w:sz w:val="20"/>
                <w:szCs w:val="20"/>
                <w:color w:val="auto"/>
              </w:rPr>
            </w:pPr>
            <w:r>
              <w:rPr>
                <w:rFonts w:ascii="Arial" w:cs="Arial" w:eastAsia="Arial" w:hAnsi="Arial"/>
                <w:sz w:val="18"/>
                <w:szCs w:val="18"/>
                <w:color w:val="131E29"/>
              </w:rPr>
              <w:t>Management’s Discussion and Analysis of Financial Condition and</w:t>
            </w:r>
          </w:p>
        </w:tc>
        <w:tc>
          <w:tcPr>
            <w:tcW w:w="2300" w:type="dxa"/>
            <w:vAlign w:val="bottom"/>
          </w:tcPr>
          <w:p>
            <w:pPr>
              <w:jc w:val="center"/>
              <w:ind w:left="1450"/>
              <w:spacing w:after="0"/>
              <w:rPr>
                <w:sz w:val="20"/>
                <w:szCs w:val="20"/>
                <w:color w:val="auto"/>
              </w:rPr>
            </w:pPr>
            <w:r>
              <w:rPr>
                <w:rFonts w:ascii="Arial" w:cs="Arial" w:eastAsia="Arial" w:hAnsi="Arial"/>
                <w:sz w:val="18"/>
                <w:szCs w:val="18"/>
                <w:color w:val="131E29"/>
                <w:w w:val="99"/>
              </w:rPr>
              <w:t>33</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D2DCE5"/>
            </w:tcBorders>
            <w:vMerge w:val="continue"/>
          </w:tcPr>
          <w:p>
            <w:pPr>
              <w:spacing w:after="0"/>
              <w:rPr>
                <w:sz w:val="20"/>
                <w:szCs w:val="20"/>
                <w:color w:val="auto"/>
              </w:rPr>
            </w:pPr>
          </w:p>
        </w:tc>
        <w:tc>
          <w:tcPr>
            <w:tcW w:w="7600" w:type="dxa"/>
            <w:vAlign w:val="bottom"/>
            <w:tcBorders>
              <w:bottom w:val="single" w:sz="8" w:color="D2DCE5"/>
            </w:tcBorders>
          </w:tcPr>
          <w:p>
            <w:pPr>
              <w:ind w:left="20"/>
              <w:spacing w:after="0"/>
              <w:rPr>
                <w:sz w:val="20"/>
                <w:szCs w:val="20"/>
                <w:color w:val="auto"/>
              </w:rPr>
            </w:pPr>
            <w:r>
              <w:rPr>
                <w:rFonts w:ascii="Arial" w:cs="Arial" w:eastAsia="Arial" w:hAnsi="Arial"/>
                <w:sz w:val="18"/>
                <w:szCs w:val="18"/>
                <w:color w:val="131E29"/>
              </w:rPr>
              <w:t>Results of Operations</w:t>
            </w:r>
          </w:p>
        </w:tc>
        <w:tc>
          <w:tcPr>
            <w:tcW w:w="2300" w:type="dxa"/>
            <w:vAlign w:val="bottom"/>
            <w:tcBorders>
              <w:bottom w:val="single" w:sz="8" w:color="D2DCE5"/>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ind w:left="140"/>
              <w:spacing w:after="0"/>
              <w:rPr>
                <w:sz w:val="20"/>
                <w:szCs w:val="20"/>
                <w:color w:val="auto"/>
              </w:rPr>
            </w:pPr>
            <w:r>
              <w:rPr>
                <w:rFonts w:ascii="Arial" w:cs="Arial" w:eastAsia="Arial" w:hAnsi="Arial"/>
                <w:sz w:val="18"/>
                <w:szCs w:val="18"/>
                <w:color w:val="auto"/>
              </w:rPr>
              <w:t>ITEM 3.</w:t>
            </w:r>
          </w:p>
        </w:tc>
        <w:tc>
          <w:tcPr>
            <w:tcW w:w="7600" w:type="dxa"/>
            <w:vAlign w:val="bottom"/>
          </w:tcPr>
          <w:p>
            <w:pPr>
              <w:ind w:left="20"/>
              <w:spacing w:after="0"/>
              <w:rPr>
                <w:sz w:val="20"/>
                <w:szCs w:val="20"/>
                <w:color w:val="auto"/>
              </w:rPr>
            </w:pPr>
            <w:r>
              <w:rPr>
                <w:rFonts w:ascii="Arial" w:cs="Arial" w:eastAsia="Arial" w:hAnsi="Arial"/>
                <w:sz w:val="18"/>
                <w:szCs w:val="18"/>
                <w:color w:val="131E29"/>
              </w:rPr>
              <w:t>Quantitative and Qualitative Disclosures About Market Risk</w:t>
            </w:r>
          </w:p>
        </w:tc>
        <w:tc>
          <w:tcPr>
            <w:tcW w:w="2300" w:type="dxa"/>
            <w:vAlign w:val="bottom"/>
          </w:tcPr>
          <w:p>
            <w:pPr>
              <w:jc w:val="center"/>
              <w:ind w:left="1450"/>
              <w:spacing w:after="0"/>
              <w:rPr>
                <w:sz w:val="20"/>
                <w:szCs w:val="20"/>
                <w:color w:val="auto"/>
              </w:rPr>
            </w:pPr>
            <w:r>
              <w:rPr>
                <w:rFonts w:ascii="Arial" w:cs="Arial" w:eastAsia="Arial" w:hAnsi="Arial"/>
                <w:sz w:val="18"/>
                <w:szCs w:val="18"/>
                <w:color w:val="131E29"/>
                <w:w w:val="99"/>
              </w:rPr>
              <w:t>52</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D2DCE5"/>
            </w:tcBorders>
          </w:tcPr>
          <w:p>
            <w:pPr>
              <w:spacing w:after="0"/>
              <w:rPr>
                <w:sz w:val="2"/>
                <w:szCs w:val="2"/>
                <w:color w:val="auto"/>
              </w:rPr>
            </w:pPr>
          </w:p>
        </w:tc>
        <w:tc>
          <w:tcPr>
            <w:tcW w:w="760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vMerge w:val="restart"/>
          </w:tcPr>
          <w:p>
            <w:pPr>
              <w:ind w:left="140"/>
              <w:spacing w:after="0"/>
              <w:rPr>
                <w:sz w:val="20"/>
                <w:szCs w:val="20"/>
                <w:color w:val="auto"/>
              </w:rPr>
            </w:pPr>
            <w:r>
              <w:rPr>
                <w:rFonts w:ascii="Arial" w:cs="Arial" w:eastAsia="Arial" w:hAnsi="Arial"/>
                <w:sz w:val="18"/>
                <w:szCs w:val="18"/>
                <w:color w:val="auto"/>
              </w:rPr>
              <w:t>ITEM 4.</w:t>
            </w:r>
          </w:p>
        </w:tc>
        <w:tc>
          <w:tcPr>
            <w:tcW w:w="7600" w:type="dxa"/>
            <w:vAlign w:val="bottom"/>
          </w:tcPr>
          <w:p>
            <w:pPr>
              <w:ind w:left="20"/>
              <w:spacing w:after="0"/>
              <w:rPr>
                <w:sz w:val="20"/>
                <w:szCs w:val="20"/>
                <w:color w:val="auto"/>
              </w:rPr>
            </w:pPr>
            <w:r>
              <w:rPr>
                <w:rFonts w:ascii="Arial" w:cs="Arial" w:eastAsia="Arial" w:hAnsi="Arial"/>
                <w:sz w:val="18"/>
                <w:szCs w:val="18"/>
                <w:color w:val="131E29"/>
              </w:rPr>
              <w:t>Controls and Procedures</w:t>
            </w:r>
          </w:p>
        </w:tc>
        <w:tc>
          <w:tcPr>
            <w:tcW w:w="2300" w:type="dxa"/>
            <w:vAlign w:val="bottom"/>
          </w:tcPr>
          <w:p>
            <w:pPr>
              <w:jc w:val="center"/>
              <w:ind w:left="1450"/>
              <w:spacing w:after="0"/>
              <w:rPr>
                <w:sz w:val="20"/>
                <w:szCs w:val="20"/>
                <w:color w:val="auto"/>
              </w:rPr>
            </w:pPr>
            <w:r>
              <w:rPr>
                <w:rFonts w:ascii="Arial" w:cs="Arial" w:eastAsia="Arial" w:hAnsi="Arial"/>
                <w:sz w:val="18"/>
                <w:szCs w:val="18"/>
                <w:color w:val="131E29"/>
                <w:w w:val="99"/>
              </w:rPr>
              <w:t>54</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D2DCE5"/>
            </w:tcBorders>
          </w:tcPr>
          <w:p>
            <w:pPr>
              <w:spacing w:after="0"/>
              <w:rPr>
                <w:sz w:val="2"/>
                <w:szCs w:val="2"/>
                <w:color w:val="auto"/>
              </w:rPr>
            </w:pPr>
          </w:p>
        </w:tc>
        <w:tc>
          <w:tcPr>
            <w:tcW w:w="760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1340" w:type="dxa"/>
            <w:vAlign w:val="bottom"/>
            <w:vMerge w:val="restart"/>
          </w:tcPr>
          <w:p>
            <w:pPr>
              <w:ind w:left="20"/>
              <w:spacing w:after="0"/>
              <w:rPr>
                <w:sz w:val="20"/>
                <w:szCs w:val="20"/>
                <w:color w:val="auto"/>
              </w:rPr>
            </w:pPr>
            <w:r>
              <w:rPr>
                <w:rFonts w:ascii="Arial" w:cs="Arial" w:eastAsia="Arial" w:hAnsi="Arial"/>
                <w:sz w:val="18"/>
                <w:szCs w:val="18"/>
                <w:b w:val="1"/>
                <w:bCs w:val="1"/>
                <w:color w:val="006098"/>
              </w:rPr>
              <w:t>PART II</w:t>
            </w:r>
          </w:p>
        </w:tc>
        <w:tc>
          <w:tcPr>
            <w:tcW w:w="7600" w:type="dxa"/>
            <w:vAlign w:val="bottom"/>
          </w:tcPr>
          <w:p>
            <w:pPr>
              <w:ind w:left="20"/>
              <w:spacing w:after="0"/>
              <w:rPr>
                <w:sz w:val="20"/>
                <w:szCs w:val="20"/>
                <w:color w:val="auto"/>
              </w:rPr>
            </w:pPr>
            <w:r>
              <w:rPr>
                <w:rFonts w:ascii="Arial" w:cs="Arial" w:eastAsia="Arial" w:hAnsi="Arial"/>
                <w:sz w:val="18"/>
                <w:szCs w:val="18"/>
                <w:b w:val="1"/>
                <w:bCs w:val="1"/>
                <w:color w:val="006098"/>
              </w:rPr>
              <w:t>OTHER INFORMATION</w:t>
            </w:r>
          </w:p>
        </w:tc>
        <w:tc>
          <w:tcPr>
            <w:tcW w:w="2300" w:type="dxa"/>
            <w:vAlign w:val="bottom"/>
            <w:vMerge w:val="restart"/>
          </w:tcPr>
          <w:p>
            <w:pPr>
              <w:jc w:val="center"/>
              <w:ind w:left="1450"/>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40" w:type="dxa"/>
            <w:vAlign w:val="bottom"/>
            <w:tcBorders>
              <w:bottom w:val="single" w:sz="8" w:color="D7282F"/>
            </w:tcBorders>
            <w:shd w:val="clear" w:color="auto" w:fill="FDE021"/>
          </w:tcPr>
          <w:p>
            <w:pPr>
              <w:spacing w:after="0"/>
              <w:rPr>
                <w:sz w:val="13"/>
                <w:szCs w:val="13"/>
                <w:color w:val="auto"/>
              </w:rPr>
            </w:pPr>
          </w:p>
        </w:tc>
        <w:tc>
          <w:tcPr>
            <w:tcW w:w="7600" w:type="dxa"/>
            <w:vAlign w:val="bottom"/>
            <w:tcBorders>
              <w:bottom w:val="single" w:sz="8" w:color="D7282F"/>
            </w:tcBorders>
            <w:shd w:val="clear" w:color="auto" w:fill="FDE021"/>
          </w:tcPr>
          <w:p>
            <w:pPr>
              <w:spacing w:after="0"/>
              <w:rPr>
                <w:sz w:val="13"/>
                <w:szCs w:val="13"/>
                <w:color w:val="auto"/>
              </w:rPr>
            </w:pPr>
          </w:p>
        </w:tc>
        <w:tc>
          <w:tcPr>
            <w:tcW w:w="2300" w:type="dxa"/>
            <w:vAlign w:val="bottom"/>
            <w:tcBorders>
              <w:bottom w:val="single" w:sz="8" w:color="D7282F"/>
            </w:tcBorders>
            <w:shd w:val="clear" w:color="auto" w:fill="FDE021"/>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340" w:type="dxa"/>
            <w:vAlign w:val="bottom"/>
            <w:tcBorders>
              <w:top w:val="single" w:sz="8" w:color="00416B"/>
            </w:tcBorders>
            <w:vMerge w:val="restart"/>
          </w:tcPr>
          <w:p>
            <w:pPr>
              <w:ind w:left="140"/>
              <w:spacing w:after="0"/>
              <w:rPr>
                <w:sz w:val="20"/>
                <w:szCs w:val="20"/>
                <w:color w:val="auto"/>
              </w:rPr>
            </w:pPr>
            <w:r>
              <w:rPr>
                <w:rFonts w:ascii="Arial" w:cs="Arial" w:eastAsia="Arial" w:hAnsi="Arial"/>
                <w:sz w:val="18"/>
                <w:szCs w:val="18"/>
                <w:color w:val="auto"/>
              </w:rPr>
              <w:t>ITEM 1.</w:t>
            </w:r>
          </w:p>
        </w:tc>
        <w:tc>
          <w:tcPr>
            <w:tcW w:w="760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Legal Proceedings</w:t>
            </w:r>
          </w:p>
        </w:tc>
        <w:tc>
          <w:tcPr>
            <w:tcW w:w="2300" w:type="dxa"/>
            <w:vAlign w:val="bottom"/>
            <w:tcBorders>
              <w:top w:val="single" w:sz="8" w:color="00416B"/>
            </w:tcBorders>
          </w:tcPr>
          <w:p>
            <w:pPr>
              <w:jc w:val="center"/>
              <w:ind w:left="1450"/>
              <w:spacing w:after="0"/>
              <w:rPr>
                <w:sz w:val="20"/>
                <w:szCs w:val="20"/>
                <w:color w:val="auto"/>
              </w:rPr>
            </w:pPr>
            <w:r>
              <w:rPr>
                <w:rFonts w:ascii="Arial" w:cs="Arial" w:eastAsia="Arial" w:hAnsi="Arial"/>
                <w:sz w:val="18"/>
                <w:szCs w:val="18"/>
                <w:color w:val="131E29"/>
                <w:w w:val="99"/>
              </w:rPr>
              <w:t>56</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D2DCE5"/>
            </w:tcBorders>
          </w:tcPr>
          <w:p>
            <w:pPr>
              <w:spacing w:after="0"/>
              <w:rPr>
                <w:sz w:val="2"/>
                <w:szCs w:val="2"/>
                <w:color w:val="auto"/>
              </w:rPr>
            </w:pPr>
          </w:p>
        </w:tc>
        <w:tc>
          <w:tcPr>
            <w:tcW w:w="760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vMerge w:val="restart"/>
          </w:tcPr>
          <w:p>
            <w:pPr>
              <w:ind w:left="140"/>
              <w:spacing w:after="0"/>
              <w:rPr>
                <w:sz w:val="20"/>
                <w:szCs w:val="20"/>
                <w:color w:val="auto"/>
              </w:rPr>
            </w:pPr>
            <w:r>
              <w:rPr>
                <w:rFonts w:ascii="Arial" w:cs="Arial" w:eastAsia="Arial" w:hAnsi="Arial"/>
                <w:sz w:val="18"/>
                <w:szCs w:val="18"/>
                <w:color w:val="auto"/>
              </w:rPr>
              <w:t>ITEM 1A.</w:t>
            </w:r>
          </w:p>
        </w:tc>
        <w:tc>
          <w:tcPr>
            <w:tcW w:w="7600" w:type="dxa"/>
            <w:vAlign w:val="bottom"/>
          </w:tcPr>
          <w:p>
            <w:pPr>
              <w:ind w:left="20"/>
              <w:spacing w:after="0"/>
              <w:rPr>
                <w:sz w:val="20"/>
                <w:szCs w:val="20"/>
                <w:color w:val="auto"/>
              </w:rPr>
            </w:pPr>
            <w:r>
              <w:rPr>
                <w:rFonts w:ascii="Arial" w:cs="Arial" w:eastAsia="Arial" w:hAnsi="Arial"/>
                <w:sz w:val="18"/>
                <w:szCs w:val="18"/>
                <w:color w:val="131E29"/>
              </w:rPr>
              <w:t>Risk Factors</w:t>
            </w:r>
          </w:p>
        </w:tc>
        <w:tc>
          <w:tcPr>
            <w:tcW w:w="2300" w:type="dxa"/>
            <w:vAlign w:val="bottom"/>
          </w:tcPr>
          <w:p>
            <w:pPr>
              <w:jc w:val="center"/>
              <w:ind w:left="1450"/>
              <w:spacing w:after="0"/>
              <w:rPr>
                <w:sz w:val="20"/>
                <w:szCs w:val="20"/>
                <w:color w:val="auto"/>
              </w:rPr>
            </w:pPr>
            <w:r>
              <w:rPr>
                <w:rFonts w:ascii="Arial" w:cs="Arial" w:eastAsia="Arial" w:hAnsi="Arial"/>
                <w:sz w:val="18"/>
                <w:szCs w:val="18"/>
                <w:color w:val="131E29"/>
                <w:w w:val="99"/>
              </w:rPr>
              <w:t>56</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D2DCE5"/>
            </w:tcBorders>
          </w:tcPr>
          <w:p>
            <w:pPr>
              <w:spacing w:after="0"/>
              <w:rPr>
                <w:sz w:val="2"/>
                <w:szCs w:val="2"/>
                <w:color w:val="auto"/>
              </w:rPr>
            </w:pPr>
          </w:p>
        </w:tc>
        <w:tc>
          <w:tcPr>
            <w:tcW w:w="760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vMerge w:val="restart"/>
          </w:tcPr>
          <w:p>
            <w:pPr>
              <w:ind w:left="140"/>
              <w:spacing w:after="0"/>
              <w:rPr>
                <w:sz w:val="20"/>
                <w:szCs w:val="20"/>
                <w:color w:val="auto"/>
              </w:rPr>
            </w:pPr>
            <w:r>
              <w:rPr>
                <w:rFonts w:ascii="Arial" w:cs="Arial" w:eastAsia="Arial" w:hAnsi="Arial"/>
                <w:sz w:val="18"/>
                <w:szCs w:val="18"/>
                <w:color w:val="auto"/>
              </w:rPr>
              <w:t>ITEM 2.</w:t>
            </w:r>
          </w:p>
        </w:tc>
        <w:tc>
          <w:tcPr>
            <w:tcW w:w="7600" w:type="dxa"/>
            <w:vAlign w:val="bottom"/>
          </w:tcPr>
          <w:p>
            <w:pPr>
              <w:ind w:left="20"/>
              <w:spacing w:after="0"/>
              <w:rPr>
                <w:sz w:val="20"/>
                <w:szCs w:val="20"/>
                <w:color w:val="auto"/>
              </w:rPr>
            </w:pPr>
            <w:r>
              <w:rPr>
                <w:rFonts w:ascii="Arial" w:cs="Arial" w:eastAsia="Arial" w:hAnsi="Arial"/>
                <w:sz w:val="18"/>
                <w:szCs w:val="18"/>
                <w:color w:val="131E29"/>
              </w:rPr>
              <w:t>Unregistered Sales of Equity Securities and Use of Proceeds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100</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D2DCE5"/>
            </w:tcBorders>
          </w:tcPr>
          <w:p>
            <w:pPr>
              <w:spacing w:after="0"/>
              <w:rPr>
                <w:sz w:val="2"/>
                <w:szCs w:val="2"/>
                <w:color w:val="auto"/>
              </w:rPr>
            </w:pPr>
          </w:p>
        </w:tc>
        <w:tc>
          <w:tcPr>
            <w:tcW w:w="760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vMerge w:val="restart"/>
          </w:tcPr>
          <w:p>
            <w:pPr>
              <w:ind w:left="140"/>
              <w:spacing w:after="0"/>
              <w:rPr>
                <w:sz w:val="20"/>
                <w:szCs w:val="20"/>
                <w:color w:val="auto"/>
              </w:rPr>
            </w:pPr>
            <w:r>
              <w:rPr>
                <w:rFonts w:ascii="Arial" w:cs="Arial" w:eastAsia="Arial" w:hAnsi="Arial"/>
                <w:sz w:val="18"/>
                <w:szCs w:val="18"/>
                <w:color w:val="auto"/>
              </w:rPr>
              <w:t>ITEM 3.</w:t>
            </w:r>
          </w:p>
        </w:tc>
        <w:tc>
          <w:tcPr>
            <w:tcW w:w="7600" w:type="dxa"/>
            <w:vAlign w:val="bottom"/>
          </w:tcPr>
          <w:p>
            <w:pPr>
              <w:ind w:left="20"/>
              <w:spacing w:after="0"/>
              <w:rPr>
                <w:sz w:val="20"/>
                <w:szCs w:val="20"/>
                <w:color w:val="auto"/>
              </w:rPr>
            </w:pPr>
            <w:r>
              <w:rPr>
                <w:rFonts w:ascii="Arial" w:cs="Arial" w:eastAsia="Arial" w:hAnsi="Arial"/>
                <w:sz w:val="18"/>
                <w:szCs w:val="18"/>
                <w:color w:val="131E29"/>
              </w:rPr>
              <w:t>Defaults Upon Senior Securities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100</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D2DCE5"/>
            </w:tcBorders>
          </w:tcPr>
          <w:p>
            <w:pPr>
              <w:spacing w:after="0"/>
              <w:rPr>
                <w:sz w:val="2"/>
                <w:szCs w:val="2"/>
                <w:color w:val="auto"/>
              </w:rPr>
            </w:pPr>
          </w:p>
        </w:tc>
        <w:tc>
          <w:tcPr>
            <w:tcW w:w="760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vMerge w:val="restart"/>
          </w:tcPr>
          <w:p>
            <w:pPr>
              <w:ind w:left="140"/>
              <w:spacing w:after="0"/>
              <w:rPr>
                <w:sz w:val="20"/>
                <w:szCs w:val="20"/>
                <w:color w:val="auto"/>
              </w:rPr>
            </w:pPr>
            <w:r>
              <w:rPr>
                <w:rFonts w:ascii="Arial" w:cs="Arial" w:eastAsia="Arial" w:hAnsi="Arial"/>
                <w:sz w:val="18"/>
                <w:szCs w:val="18"/>
                <w:color w:val="auto"/>
              </w:rPr>
              <w:t>ITEM 4.</w:t>
            </w:r>
          </w:p>
        </w:tc>
        <w:tc>
          <w:tcPr>
            <w:tcW w:w="7600" w:type="dxa"/>
            <w:vAlign w:val="bottom"/>
          </w:tcPr>
          <w:p>
            <w:pPr>
              <w:ind w:left="20"/>
              <w:spacing w:after="0"/>
              <w:rPr>
                <w:sz w:val="20"/>
                <w:szCs w:val="20"/>
                <w:color w:val="auto"/>
              </w:rPr>
            </w:pPr>
            <w:r>
              <w:rPr>
                <w:rFonts w:ascii="Arial" w:cs="Arial" w:eastAsia="Arial" w:hAnsi="Arial"/>
                <w:sz w:val="18"/>
                <w:szCs w:val="18"/>
                <w:color w:val="131E29"/>
              </w:rPr>
              <w:t>Mine Safety Disclosure</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100</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D2DCE5"/>
            </w:tcBorders>
          </w:tcPr>
          <w:p>
            <w:pPr>
              <w:spacing w:after="0"/>
              <w:rPr>
                <w:sz w:val="2"/>
                <w:szCs w:val="2"/>
                <w:color w:val="auto"/>
              </w:rPr>
            </w:pPr>
          </w:p>
        </w:tc>
        <w:tc>
          <w:tcPr>
            <w:tcW w:w="760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40" w:type="dxa"/>
            <w:vAlign w:val="bottom"/>
            <w:vMerge w:val="restart"/>
          </w:tcPr>
          <w:p>
            <w:pPr>
              <w:ind w:left="140"/>
              <w:spacing w:after="0"/>
              <w:rPr>
                <w:sz w:val="20"/>
                <w:szCs w:val="20"/>
                <w:color w:val="auto"/>
              </w:rPr>
            </w:pPr>
            <w:r>
              <w:rPr>
                <w:rFonts w:ascii="Arial" w:cs="Arial" w:eastAsia="Arial" w:hAnsi="Arial"/>
                <w:sz w:val="18"/>
                <w:szCs w:val="18"/>
                <w:color w:val="auto"/>
              </w:rPr>
              <w:t>ITEM 5.</w:t>
            </w:r>
          </w:p>
        </w:tc>
        <w:tc>
          <w:tcPr>
            <w:tcW w:w="7600" w:type="dxa"/>
            <w:vAlign w:val="bottom"/>
          </w:tcPr>
          <w:p>
            <w:pPr>
              <w:ind w:left="20"/>
              <w:spacing w:after="0"/>
              <w:rPr>
                <w:sz w:val="20"/>
                <w:szCs w:val="20"/>
                <w:color w:val="auto"/>
              </w:rPr>
            </w:pPr>
            <w:r>
              <w:rPr>
                <w:rFonts w:ascii="Arial" w:cs="Arial" w:eastAsia="Arial" w:hAnsi="Arial"/>
                <w:sz w:val="18"/>
                <w:szCs w:val="18"/>
                <w:color w:val="131E29"/>
              </w:rPr>
              <w:t>Other Information</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100</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D2DCE5"/>
            </w:tcBorders>
          </w:tcPr>
          <w:p>
            <w:pPr>
              <w:spacing w:after="0"/>
              <w:rPr>
                <w:sz w:val="2"/>
                <w:szCs w:val="2"/>
                <w:color w:val="auto"/>
              </w:rPr>
            </w:pPr>
          </w:p>
        </w:tc>
        <w:tc>
          <w:tcPr>
            <w:tcW w:w="760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40" w:type="dxa"/>
            <w:vAlign w:val="bottom"/>
            <w:vMerge w:val="restart"/>
          </w:tcPr>
          <w:p>
            <w:pPr>
              <w:ind w:left="140"/>
              <w:spacing w:after="0"/>
              <w:rPr>
                <w:sz w:val="20"/>
                <w:szCs w:val="20"/>
                <w:color w:val="auto"/>
              </w:rPr>
            </w:pPr>
            <w:r>
              <w:rPr>
                <w:rFonts w:ascii="Arial" w:cs="Arial" w:eastAsia="Arial" w:hAnsi="Arial"/>
                <w:sz w:val="18"/>
                <w:szCs w:val="18"/>
                <w:color w:val="auto"/>
              </w:rPr>
              <w:t>ITEM 6.</w:t>
            </w:r>
          </w:p>
        </w:tc>
        <w:tc>
          <w:tcPr>
            <w:tcW w:w="7600" w:type="dxa"/>
            <w:vAlign w:val="bottom"/>
          </w:tcPr>
          <w:p>
            <w:pPr>
              <w:ind w:left="20"/>
              <w:spacing w:after="0"/>
              <w:rPr>
                <w:sz w:val="20"/>
                <w:szCs w:val="20"/>
                <w:color w:val="auto"/>
              </w:rPr>
            </w:pPr>
            <w:r>
              <w:rPr>
                <w:rFonts w:ascii="Arial" w:cs="Arial" w:eastAsia="Arial" w:hAnsi="Arial"/>
                <w:sz w:val="18"/>
                <w:szCs w:val="18"/>
                <w:color w:val="131E29"/>
              </w:rPr>
              <w:t>Exhibits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101</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7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D2DCE5"/>
            </w:tcBorders>
          </w:tcPr>
          <w:p>
            <w:pPr>
              <w:spacing w:after="0"/>
              <w:rPr>
                <w:sz w:val="2"/>
                <w:szCs w:val="2"/>
                <w:color w:val="auto"/>
              </w:rPr>
            </w:pPr>
          </w:p>
        </w:tc>
        <w:tc>
          <w:tcPr>
            <w:tcW w:w="760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1340" w:type="dxa"/>
            <w:vAlign w:val="bottom"/>
          </w:tcPr>
          <w:p>
            <w:pPr>
              <w:ind w:left="20"/>
              <w:spacing w:after="0"/>
              <w:rPr>
                <w:sz w:val="20"/>
                <w:szCs w:val="20"/>
                <w:color w:val="auto"/>
              </w:rPr>
            </w:pPr>
            <w:r>
              <w:rPr>
                <w:rFonts w:ascii="Arial" w:cs="Arial" w:eastAsia="Arial" w:hAnsi="Arial"/>
                <w:sz w:val="18"/>
                <w:szCs w:val="18"/>
                <w:b w:val="1"/>
                <w:bCs w:val="1"/>
                <w:color w:val="006098"/>
              </w:rPr>
              <w:t>SIGNATURES</w:t>
            </w:r>
          </w:p>
        </w:tc>
        <w:tc>
          <w:tcPr>
            <w:tcW w:w="7600" w:type="dxa"/>
            <w:vAlign w:val="bottom"/>
          </w:tcPr>
          <w:p>
            <w:pPr>
              <w:spacing w:after="0"/>
              <w:rPr>
                <w:sz w:val="24"/>
                <w:szCs w:val="24"/>
                <w:color w:val="auto"/>
              </w:rPr>
            </w:pP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102</w:t>
            </w:r>
          </w:p>
        </w:tc>
        <w:tc>
          <w:tcPr>
            <w:tcW w:w="0" w:type="dxa"/>
            <w:vAlign w:val="bottom"/>
          </w:tcPr>
          <w:p>
            <w:pPr>
              <w:spacing w:after="0"/>
              <w:rPr>
                <w:sz w:val="1"/>
                <w:szCs w:val="1"/>
                <w:color w:val="auto"/>
              </w:rPr>
            </w:pPr>
          </w:p>
        </w:tc>
      </w:tr>
      <w:tr>
        <w:trPr>
          <w:trHeight w:val="324"/>
        </w:trPr>
        <w:tc>
          <w:tcPr>
            <w:tcW w:w="1340" w:type="dxa"/>
            <w:vAlign w:val="bottom"/>
            <w:tcBorders>
              <w:bottom w:val="single" w:sz="8" w:color="FDE021"/>
            </w:tcBorders>
          </w:tcPr>
          <w:p>
            <w:pPr>
              <w:spacing w:after="0"/>
              <w:rPr>
                <w:sz w:val="24"/>
                <w:szCs w:val="24"/>
                <w:color w:val="auto"/>
              </w:rPr>
            </w:pPr>
          </w:p>
        </w:tc>
        <w:tc>
          <w:tcPr>
            <w:tcW w:w="7600" w:type="dxa"/>
            <w:vAlign w:val="bottom"/>
            <w:tcBorders>
              <w:bottom w:val="single" w:sz="8" w:color="FDE021"/>
            </w:tcBorders>
          </w:tcPr>
          <w:p>
            <w:pPr>
              <w:spacing w:after="0"/>
              <w:rPr>
                <w:sz w:val="24"/>
                <w:szCs w:val="24"/>
                <w:color w:val="auto"/>
              </w:rPr>
            </w:pPr>
          </w:p>
        </w:tc>
        <w:tc>
          <w:tcPr>
            <w:tcW w:w="2300" w:type="dxa"/>
            <w:vAlign w:val="bottom"/>
            <w:tcBorders>
              <w:bottom w:val="single" w:sz="8" w:color="FDE021"/>
            </w:tcBorders>
          </w:tcPr>
          <w:p>
            <w:pPr>
              <w:spacing w:after="0"/>
              <w:rPr>
                <w:sz w:val="24"/>
                <w:szCs w:val="24"/>
                <w:color w:val="auto"/>
              </w:rPr>
            </w:pPr>
          </w:p>
        </w:tc>
        <w:tc>
          <w:tcPr>
            <w:tcW w:w="0" w:type="dxa"/>
            <w:vAlign w:val="bottom"/>
          </w:tcPr>
          <w:p>
            <w:pPr>
              <w:spacing w:after="0"/>
              <w:rPr>
                <w:sz w:val="1"/>
                <w:szCs w:val="1"/>
                <w:color w:val="auto"/>
              </w:rPr>
            </w:pPr>
          </w:p>
        </w:tc>
      </w:tr>
      <w:tr>
        <w:trPr>
          <w:trHeight w:val="1654"/>
        </w:trPr>
        <w:tc>
          <w:tcPr>
            <w:tcW w:w="1340" w:type="dxa"/>
            <w:vAlign w:val="bottom"/>
            <w:tcBorders>
              <w:top w:val="single" w:sz="8" w:color="00416B"/>
              <w:bottom w:val="single" w:sz="8" w:color="9A9A9A"/>
            </w:tcBorders>
          </w:tcPr>
          <w:p>
            <w:pPr>
              <w:spacing w:after="0"/>
              <w:rPr>
                <w:sz w:val="24"/>
                <w:szCs w:val="24"/>
                <w:color w:val="auto"/>
              </w:rPr>
            </w:pPr>
          </w:p>
        </w:tc>
        <w:tc>
          <w:tcPr>
            <w:tcW w:w="7600" w:type="dxa"/>
            <w:vAlign w:val="bottom"/>
            <w:tcBorders>
              <w:top w:val="single" w:sz="8" w:color="00416B"/>
              <w:bottom w:val="single" w:sz="8" w:color="9A9A9A"/>
            </w:tcBorders>
          </w:tcPr>
          <w:p>
            <w:pPr>
              <w:spacing w:after="0"/>
              <w:rPr>
                <w:sz w:val="24"/>
                <w:szCs w:val="24"/>
                <w:color w:val="auto"/>
              </w:rPr>
            </w:pPr>
          </w:p>
        </w:tc>
        <w:tc>
          <w:tcPr>
            <w:tcW w:w="2300" w:type="dxa"/>
            <w:vAlign w:val="bottom"/>
            <w:tcBorders>
              <w:top w:val="single" w:sz="8" w:color="00416B"/>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5" w:right="339" w:bottom="1162"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00416B"/>
        </w:rPr>
        <w:t>GLOSSARY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00" w:type="dxa"/>
            <w:vAlign w:val="bottom"/>
            <w:tcBorders>
              <w:bottom w:val="single" w:sz="8" w:color="D7282F"/>
            </w:tcBorders>
          </w:tcPr>
          <w:p>
            <w:pPr>
              <w:ind w:left="1100"/>
              <w:spacing w:after="0"/>
              <w:rPr>
                <w:sz w:val="20"/>
                <w:szCs w:val="20"/>
                <w:color w:val="auto"/>
              </w:rPr>
            </w:pPr>
            <w:r>
              <w:rPr>
                <w:rFonts w:ascii="Arial" w:cs="Arial" w:eastAsia="Arial" w:hAnsi="Arial"/>
                <w:sz w:val="18"/>
                <w:szCs w:val="18"/>
                <w:b w:val="1"/>
                <w:bCs w:val="1"/>
                <w:color w:val="006098"/>
              </w:rPr>
              <w:t>TERM</w:t>
            </w:r>
          </w:p>
        </w:tc>
        <w:tc>
          <w:tcPr>
            <w:tcW w:w="100" w:type="dxa"/>
            <w:vAlign w:val="bottom"/>
          </w:tcPr>
          <w:p>
            <w:pPr>
              <w:spacing w:after="0"/>
              <w:rPr>
                <w:sz w:val="22"/>
                <w:szCs w:val="22"/>
                <w:color w:val="auto"/>
              </w:rPr>
            </w:pPr>
          </w:p>
        </w:tc>
        <w:tc>
          <w:tcPr>
            <w:tcW w:w="8440" w:type="dxa"/>
            <w:vAlign w:val="bottom"/>
            <w:tcBorders>
              <w:bottom w:val="single" w:sz="8" w:color="D7282F"/>
            </w:tcBorders>
          </w:tcPr>
          <w:p>
            <w:pPr>
              <w:ind w:left="20"/>
              <w:spacing w:after="0"/>
              <w:rPr>
                <w:sz w:val="20"/>
                <w:szCs w:val="20"/>
                <w:color w:val="auto"/>
              </w:rPr>
            </w:pPr>
            <w:r>
              <w:rPr>
                <w:rFonts w:ascii="Arial" w:cs="Arial" w:eastAsia="Arial" w:hAnsi="Arial"/>
                <w:sz w:val="18"/>
                <w:szCs w:val="18"/>
                <w:b w:val="1"/>
                <w:bCs w:val="1"/>
                <w:color w:val="006098"/>
              </w:rPr>
              <w:t>DEFINITION</w:t>
            </w:r>
          </w:p>
        </w:tc>
        <w:tc>
          <w:tcPr>
            <w:tcW w:w="0" w:type="dxa"/>
            <w:vAlign w:val="bottom"/>
          </w:tcPr>
          <w:p>
            <w:pPr>
              <w:spacing w:after="0"/>
              <w:rPr>
                <w:sz w:val="1"/>
                <w:szCs w:val="1"/>
                <w:color w:val="auto"/>
              </w:rPr>
            </w:pPr>
          </w:p>
        </w:tc>
      </w:tr>
      <w:tr>
        <w:trPr>
          <w:trHeight w:val="270"/>
        </w:trPr>
        <w:tc>
          <w:tcPr>
            <w:tcW w:w="27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AUV</w:t>
            </w:r>
          </w:p>
        </w:tc>
        <w:tc>
          <w:tcPr>
            <w:tcW w:w="100" w:type="dxa"/>
            <w:vAlign w:val="bottom"/>
            <w:shd w:val="clear" w:color="auto" w:fill="D2DCE5"/>
          </w:tcPr>
          <w:p>
            <w:pPr>
              <w:spacing w:after="0"/>
              <w:rPr>
                <w:sz w:val="23"/>
                <w:szCs w:val="23"/>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Average Unit Volume</w:t>
            </w:r>
          </w:p>
        </w:tc>
        <w:tc>
          <w:tcPr>
            <w:tcW w:w="0" w:type="dxa"/>
            <w:vAlign w:val="bottom"/>
          </w:tcPr>
          <w:p>
            <w:pPr>
              <w:spacing w:after="0"/>
              <w:rPr>
                <w:sz w:val="1"/>
                <w:szCs w:val="1"/>
                <w:color w:val="auto"/>
              </w:rPr>
            </w:pPr>
          </w:p>
        </w:tc>
      </w:tr>
      <w:tr>
        <w:trPr>
          <w:trHeight w:val="263"/>
        </w:trPr>
        <w:tc>
          <w:tcPr>
            <w:tcW w:w="2700" w:type="dxa"/>
            <w:vAlign w:val="bottom"/>
          </w:tcPr>
          <w:p>
            <w:pPr>
              <w:ind w:left="20"/>
              <w:spacing w:after="0"/>
              <w:rPr>
                <w:sz w:val="20"/>
                <w:szCs w:val="20"/>
                <w:color w:val="auto"/>
              </w:rPr>
            </w:pPr>
            <w:r>
              <w:rPr>
                <w:rFonts w:ascii="Arial" w:cs="Arial" w:eastAsia="Arial" w:hAnsi="Arial"/>
                <w:sz w:val="18"/>
                <w:szCs w:val="18"/>
                <w:b w:val="1"/>
                <w:bCs w:val="1"/>
                <w:color w:val="131E29"/>
              </w:rPr>
              <w:t>Blocker Companies</w:t>
            </w:r>
          </w:p>
        </w:tc>
        <w:tc>
          <w:tcPr>
            <w:tcW w:w="10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TSG7 A AIV VI Holdings, LLC and DG Coinvestor Blocker, LLC</w:t>
            </w:r>
          </w:p>
        </w:tc>
        <w:tc>
          <w:tcPr>
            <w:tcW w:w="0" w:type="dxa"/>
            <w:vAlign w:val="bottom"/>
          </w:tcPr>
          <w:p>
            <w:pPr>
              <w:spacing w:after="0"/>
              <w:rPr>
                <w:sz w:val="1"/>
                <w:szCs w:val="1"/>
                <w:color w:val="auto"/>
              </w:rPr>
            </w:pPr>
          </w:p>
        </w:tc>
      </w:tr>
      <w:tr>
        <w:trPr>
          <w:trHeight w:val="238"/>
        </w:trPr>
        <w:tc>
          <w:tcPr>
            <w:tcW w:w="2700" w:type="dxa"/>
            <w:vAlign w:val="bottom"/>
            <w:vMerge w:val="restart"/>
            <w:shd w:val="clear" w:color="auto" w:fill="D2DCE5"/>
          </w:tcPr>
          <w:p>
            <w:pPr>
              <w:ind w:left="20"/>
              <w:spacing w:after="0"/>
              <w:rPr>
                <w:sz w:val="20"/>
                <w:szCs w:val="20"/>
                <w:color w:val="auto"/>
              </w:rPr>
            </w:pPr>
            <w:r>
              <w:rPr>
                <w:rFonts w:ascii="Arial" w:cs="Arial" w:eastAsia="Arial" w:hAnsi="Arial"/>
                <w:sz w:val="18"/>
                <w:szCs w:val="18"/>
                <w:b w:val="1"/>
                <w:bCs w:val="1"/>
                <w:color w:val="131E29"/>
              </w:rPr>
              <w:t>BPS or bps</w:t>
            </w:r>
          </w:p>
        </w:tc>
        <w:tc>
          <w:tcPr>
            <w:tcW w:w="100" w:type="dxa"/>
            <w:vAlign w:val="bottom"/>
            <w:shd w:val="clear" w:color="auto" w:fill="D2DCE5"/>
          </w:tcPr>
          <w:p>
            <w:pPr>
              <w:spacing w:after="0"/>
              <w:rPr>
                <w:sz w:val="20"/>
                <w:szCs w:val="20"/>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Basis points, which is used to express differences in rates. One basis point is the equivalent of 1/100 of</w:t>
            </w:r>
          </w:p>
        </w:tc>
        <w:tc>
          <w:tcPr>
            <w:tcW w:w="0" w:type="dxa"/>
            <w:vAlign w:val="bottom"/>
          </w:tcPr>
          <w:p>
            <w:pPr>
              <w:spacing w:after="0"/>
              <w:rPr>
                <w:sz w:val="1"/>
                <w:szCs w:val="1"/>
                <w:color w:val="auto"/>
              </w:rPr>
            </w:pPr>
          </w:p>
        </w:tc>
      </w:tr>
      <w:tr>
        <w:trPr>
          <w:trHeight w:val="256"/>
        </w:trPr>
        <w:tc>
          <w:tcPr>
            <w:tcW w:w="2700" w:type="dxa"/>
            <w:vAlign w:val="bottom"/>
            <w:vMerge w:val="continue"/>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one percent.</w:t>
            </w:r>
          </w:p>
        </w:tc>
        <w:tc>
          <w:tcPr>
            <w:tcW w:w="0" w:type="dxa"/>
            <w:vAlign w:val="bottom"/>
          </w:tcPr>
          <w:p>
            <w:pPr>
              <w:spacing w:after="0"/>
              <w:rPr>
                <w:sz w:val="1"/>
                <w:szCs w:val="1"/>
                <w:color w:val="auto"/>
              </w:rPr>
            </w:pPr>
          </w:p>
        </w:tc>
      </w:tr>
      <w:tr>
        <w:trPr>
          <w:trHeight w:val="263"/>
        </w:trPr>
        <w:tc>
          <w:tcPr>
            <w:tcW w:w="2700" w:type="dxa"/>
            <w:vAlign w:val="bottom"/>
          </w:tcPr>
          <w:p>
            <w:pPr>
              <w:ind w:left="20"/>
              <w:spacing w:after="0"/>
              <w:rPr>
                <w:sz w:val="20"/>
                <w:szCs w:val="20"/>
                <w:color w:val="auto"/>
              </w:rPr>
            </w:pPr>
            <w:r>
              <w:rPr>
                <w:rFonts w:ascii="Arial" w:cs="Arial" w:eastAsia="Arial" w:hAnsi="Arial"/>
                <w:sz w:val="18"/>
                <w:szCs w:val="18"/>
                <w:b w:val="1"/>
                <w:bCs w:val="1"/>
                <w:color w:val="131E29"/>
              </w:rPr>
              <w:t>Co-Founder</w:t>
            </w:r>
          </w:p>
        </w:tc>
        <w:tc>
          <w:tcPr>
            <w:tcW w:w="10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Travis Boersma and affiliated entities over which he maintains voting control.</w:t>
            </w:r>
          </w:p>
        </w:tc>
        <w:tc>
          <w:tcPr>
            <w:tcW w:w="0" w:type="dxa"/>
            <w:vAlign w:val="bottom"/>
          </w:tcPr>
          <w:p>
            <w:pPr>
              <w:spacing w:after="0"/>
              <w:rPr>
                <w:sz w:val="1"/>
                <w:szCs w:val="1"/>
                <w:color w:val="auto"/>
              </w:rPr>
            </w:pPr>
          </w:p>
        </w:tc>
      </w:tr>
      <w:tr>
        <w:trPr>
          <w:trHeight w:val="238"/>
        </w:trPr>
        <w:tc>
          <w:tcPr>
            <w:tcW w:w="2700" w:type="dxa"/>
            <w:vAlign w:val="bottom"/>
            <w:vMerge w:val="restart"/>
            <w:shd w:val="clear" w:color="auto" w:fill="D2DCE5"/>
          </w:tcPr>
          <w:p>
            <w:pPr>
              <w:ind w:left="20"/>
              <w:spacing w:after="0"/>
              <w:rPr>
                <w:sz w:val="20"/>
                <w:szCs w:val="20"/>
                <w:color w:val="auto"/>
              </w:rPr>
            </w:pPr>
            <w:r>
              <w:rPr>
                <w:rFonts w:ascii="Arial" w:cs="Arial" w:eastAsia="Arial" w:hAnsi="Arial"/>
                <w:sz w:val="18"/>
                <w:szCs w:val="18"/>
                <w:b w:val="1"/>
                <w:bCs w:val="1"/>
                <w:color w:val="131E29"/>
              </w:rPr>
              <w:t>Common Units</w:t>
            </w:r>
          </w:p>
        </w:tc>
        <w:tc>
          <w:tcPr>
            <w:tcW w:w="100" w:type="dxa"/>
            <w:vAlign w:val="bottom"/>
            <w:shd w:val="clear" w:color="auto" w:fill="D2DCE5"/>
          </w:tcPr>
          <w:p>
            <w:pPr>
              <w:spacing w:after="0"/>
              <w:rPr>
                <w:sz w:val="20"/>
                <w:szCs w:val="20"/>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The Common Units of Dutch Bros OpCo, as defined in the Second LLC Agreement, issued and</w:t>
            </w:r>
          </w:p>
        </w:tc>
        <w:tc>
          <w:tcPr>
            <w:tcW w:w="0" w:type="dxa"/>
            <w:vAlign w:val="bottom"/>
          </w:tcPr>
          <w:p>
            <w:pPr>
              <w:spacing w:after="0"/>
              <w:rPr>
                <w:sz w:val="1"/>
                <w:szCs w:val="1"/>
                <w:color w:val="auto"/>
              </w:rPr>
            </w:pPr>
          </w:p>
        </w:tc>
      </w:tr>
      <w:tr>
        <w:trPr>
          <w:trHeight w:val="256"/>
        </w:trPr>
        <w:tc>
          <w:tcPr>
            <w:tcW w:w="2700" w:type="dxa"/>
            <w:vAlign w:val="bottom"/>
            <w:vMerge w:val="continue"/>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outstanding immediately prior to recapitalization.</w:t>
            </w:r>
          </w:p>
        </w:tc>
        <w:tc>
          <w:tcPr>
            <w:tcW w:w="0" w:type="dxa"/>
            <w:vAlign w:val="bottom"/>
          </w:tcPr>
          <w:p>
            <w:pPr>
              <w:spacing w:after="0"/>
              <w:rPr>
                <w:sz w:val="1"/>
                <w:szCs w:val="1"/>
                <w:color w:val="auto"/>
              </w:rPr>
            </w:pPr>
          </w:p>
        </w:tc>
      </w:tr>
      <w:tr>
        <w:trPr>
          <w:trHeight w:val="263"/>
        </w:trPr>
        <w:tc>
          <w:tcPr>
            <w:tcW w:w="2700" w:type="dxa"/>
            <w:vAlign w:val="bottom"/>
          </w:tcPr>
          <w:p>
            <w:pPr>
              <w:ind w:left="20"/>
              <w:spacing w:after="0"/>
              <w:rPr>
                <w:sz w:val="20"/>
                <w:szCs w:val="20"/>
                <w:color w:val="auto"/>
              </w:rPr>
            </w:pPr>
            <w:r>
              <w:rPr>
                <w:rFonts w:ascii="Arial" w:cs="Arial" w:eastAsia="Arial" w:hAnsi="Arial"/>
                <w:sz w:val="18"/>
                <w:szCs w:val="18"/>
                <w:b w:val="1"/>
                <w:bCs w:val="1"/>
                <w:color w:val="131E29"/>
              </w:rPr>
              <w:t>Continuing Members</w:t>
            </w:r>
          </w:p>
        </w:tc>
        <w:tc>
          <w:tcPr>
            <w:tcW w:w="10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The Co-Founder and the Sponsor</w:t>
            </w:r>
          </w:p>
        </w:tc>
        <w:tc>
          <w:tcPr>
            <w:tcW w:w="0" w:type="dxa"/>
            <w:vAlign w:val="bottom"/>
          </w:tcPr>
          <w:p>
            <w:pPr>
              <w:spacing w:after="0"/>
              <w:rPr>
                <w:sz w:val="1"/>
                <w:szCs w:val="1"/>
                <w:color w:val="auto"/>
              </w:rPr>
            </w:pPr>
          </w:p>
        </w:tc>
      </w:tr>
      <w:tr>
        <w:trPr>
          <w:trHeight w:val="278"/>
        </w:trPr>
        <w:tc>
          <w:tcPr>
            <w:tcW w:w="27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Dutch Bros OpCo</w:t>
            </w:r>
          </w:p>
        </w:tc>
        <w:tc>
          <w:tcPr>
            <w:tcW w:w="100" w:type="dxa"/>
            <w:vAlign w:val="bottom"/>
            <w:shd w:val="clear" w:color="auto" w:fill="D2DCE5"/>
          </w:tcPr>
          <w:p>
            <w:pPr>
              <w:spacing w:after="0"/>
              <w:rPr>
                <w:sz w:val="24"/>
                <w:szCs w:val="24"/>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Dutch Mafia, LLC, a Delaware limited liability company and direct subsidiary of Dutch Bros Inc.</w:t>
            </w:r>
          </w:p>
        </w:tc>
        <w:tc>
          <w:tcPr>
            <w:tcW w:w="0" w:type="dxa"/>
            <w:vAlign w:val="bottom"/>
          </w:tcPr>
          <w:p>
            <w:pPr>
              <w:spacing w:after="0"/>
              <w:rPr>
                <w:sz w:val="1"/>
                <w:szCs w:val="1"/>
                <w:color w:val="auto"/>
              </w:rPr>
            </w:pPr>
          </w:p>
        </w:tc>
      </w:tr>
      <w:tr>
        <w:trPr>
          <w:trHeight w:val="230"/>
        </w:trPr>
        <w:tc>
          <w:tcPr>
            <w:tcW w:w="2700" w:type="dxa"/>
            <w:vAlign w:val="bottom"/>
            <w:vMerge w:val="restart"/>
          </w:tcPr>
          <w:p>
            <w:pPr>
              <w:ind w:left="20"/>
              <w:spacing w:after="0"/>
              <w:rPr>
                <w:sz w:val="20"/>
                <w:szCs w:val="20"/>
                <w:color w:val="auto"/>
              </w:rPr>
            </w:pPr>
            <w:r>
              <w:rPr>
                <w:rFonts w:ascii="Arial" w:cs="Arial" w:eastAsia="Arial" w:hAnsi="Arial"/>
                <w:sz w:val="18"/>
                <w:szCs w:val="18"/>
                <w:b w:val="1"/>
                <w:bCs w:val="1"/>
                <w:color w:val="131E29"/>
              </w:rPr>
              <w:t>Dutch Bros Inc.</w:t>
            </w:r>
          </w:p>
        </w:tc>
        <w:tc>
          <w:tcPr>
            <w:tcW w:w="10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A Delaware corporation, the Class A common stock of which is publicly traded on the New York Stock</w:t>
            </w:r>
          </w:p>
        </w:tc>
        <w:tc>
          <w:tcPr>
            <w:tcW w:w="0" w:type="dxa"/>
            <w:vAlign w:val="bottom"/>
          </w:tcPr>
          <w:p>
            <w:pPr>
              <w:spacing w:after="0"/>
              <w:rPr>
                <w:sz w:val="1"/>
                <w:szCs w:val="1"/>
                <w:color w:val="auto"/>
              </w:rPr>
            </w:pPr>
          </w:p>
        </w:tc>
      </w:tr>
      <w:tr>
        <w:trPr>
          <w:trHeight w:val="248"/>
        </w:trPr>
        <w:tc>
          <w:tcPr>
            <w:tcW w:w="2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Exchange under the symbol “BROS”.</w:t>
            </w:r>
          </w:p>
        </w:tc>
        <w:tc>
          <w:tcPr>
            <w:tcW w:w="0" w:type="dxa"/>
            <w:vAlign w:val="bottom"/>
          </w:tcPr>
          <w:p>
            <w:pPr>
              <w:spacing w:after="0"/>
              <w:rPr>
                <w:sz w:val="1"/>
                <w:szCs w:val="1"/>
                <w:color w:val="auto"/>
              </w:rPr>
            </w:pPr>
          </w:p>
        </w:tc>
      </w:tr>
      <w:tr>
        <w:trPr>
          <w:trHeight w:val="278"/>
        </w:trPr>
        <w:tc>
          <w:tcPr>
            <w:tcW w:w="27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GAAP</w:t>
            </w:r>
          </w:p>
        </w:tc>
        <w:tc>
          <w:tcPr>
            <w:tcW w:w="100" w:type="dxa"/>
            <w:vAlign w:val="bottom"/>
            <w:shd w:val="clear" w:color="auto" w:fill="D2DCE5"/>
          </w:tcPr>
          <w:p>
            <w:pPr>
              <w:spacing w:after="0"/>
              <w:rPr>
                <w:sz w:val="24"/>
                <w:szCs w:val="24"/>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U.S. Generally Accepted Accounting Principles</w:t>
            </w:r>
          </w:p>
        </w:tc>
        <w:tc>
          <w:tcPr>
            <w:tcW w:w="0" w:type="dxa"/>
            <w:vAlign w:val="bottom"/>
          </w:tcPr>
          <w:p>
            <w:pPr>
              <w:spacing w:after="0"/>
              <w:rPr>
                <w:sz w:val="1"/>
                <w:szCs w:val="1"/>
                <w:color w:val="auto"/>
              </w:rPr>
            </w:pPr>
          </w:p>
        </w:tc>
      </w:tr>
      <w:tr>
        <w:trPr>
          <w:trHeight w:val="262"/>
        </w:trPr>
        <w:tc>
          <w:tcPr>
            <w:tcW w:w="2700" w:type="dxa"/>
            <w:vAlign w:val="bottom"/>
          </w:tcPr>
          <w:p>
            <w:pPr>
              <w:ind w:left="20"/>
              <w:spacing w:after="0"/>
              <w:rPr>
                <w:sz w:val="20"/>
                <w:szCs w:val="20"/>
                <w:color w:val="auto"/>
              </w:rPr>
            </w:pPr>
            <w:r>
              <w:rPr>
                <w:rFonts w:ascii="Arial" w:cs="Arial" w:eastAsia="Arial" w:hAnsi="Arial"/>
                <w:sz w:val="18"/>
                <w:szCs w:val="18"/>
                <w:b w:val="1"/>
                <w:bCs w:val="1"/>
                <w:color w:val="131E29"/>
              </w:rPr>
              <w:t>IPO</w:t>
            </w:r>
          </w:p>
        </w:tc>
        <w:tc>
          <w:tcPr>
            <w:tcW w:w="10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Initial Public Offering</w:t>
            </w:r>
          </w:p>
        </w:tc>
        <w:tc>
          <w:tcPr>
            <w:tcW w:w="0" w:type="dxa"/>
            <w:vAlign w:val="bottom"/>
          </w:tcPr>
          <w:p>
            <w:pPr>
              <w:spacing w:after="0"/>
              <w:rPr>
                <w:sz w:val="1"/>
                <w:szCs w:val="1"/>
                <w:color w:val="auto"/>
              </w:rPr>
            </w:pPr>
          </w:p>
        </w:tc>
      </w:tr>
      <w:tr>
        <w:trPr>
          <w:trHeight w:val="278"/>
        </w:trPr>
        <w:tc>
          <w:tcPr>
            <w:tcW w:w="27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N/M</w:t>
            </w:r>
          </w:p>
        </w:tc>
        <w:tc>
          <w:tcPr>
            <w:tcW w:w="100" w:type="dxa"/>
            <w:vAlign w:val="bottom"/>
            <w:shd w:val="clear" w:color="auto" w:fill="D2DCE5"/>
          </w:tcPr>
          <w:p>
            <w:pPr>
              <w:spacing w:after="0"/>
              <w:rPr>
                <w:sz w:val="24"/>
                <w:szCs w:val="24"/>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A not meaningful percentage.</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w w:val="99"/>
              </w:rPr>
              <w:t>Class A common units, Class B voting units and Class C voting units of Dutch Bros OpCo, each as further</w:t>
            </w:r>
          </w:p>
        </w:tc>
        <w:tc>
          <w:tcPr>
            <w:tcW w:w="0" w:type="dxa"/>
            <w:vAlign w:val="bottom"/>
          </w:tcPr>
          <w:p>
            <w:pPr>
              <w:spacing w:after="0"/>
              <w:rPr>
                <w:sz w:val="1"/>
                <w:szCs w:val="1"/>
                <w:color w:val="auto"/>
              </w:rPr>
            </w:pPr>
          </w:p>
        </w:tc>
      </w:tr>
      <w:tr>
        <w:trPr>
          <w:trHeight w:val="216"/>
        </w:trPr>
        <w:tc>
          <w:tcPr>
            <w:tcW w:w="2700" w:type="dxa"/>
            <w:vAlign w:val="bottom"/>
            <w:vMerge w:val="restart"/>
          </w:tcPr>
          <w:p>
            <w:pPr>
              <w:ind w:left="20"/>
              <w:spacing w:after="0"/>
              <w:rPr>
                <w:sz w:val="20"/>
                <w:szCs w:val="20"/>
                <w:color w:val="auto"/>
              </w:rPr>
            </w:pPr>
            <w:r>
              <w:rPr>
                <w:rFonts w:ascii="Arial" w:cs="Arial" w:eastAsia="Arial" w:hAnsi="Arial"/>
                <w:sz w:val="18"/>
                <w:szCs w:val="18"/>
                <w:b w:val="1"/>
                <w:bCs w:val="1"/>
                <w:color w:val="131E29"/>
              </w:rPr>
              <w:t>OpCo Units</w:t>
            </w:r>
          </w:p>
        </w:tc>
        <w:tc>
          <w:tcPr>
            <w:tcW w:w="10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defined in the Third Amended and Restated Limited Liability Company Agreement of Dutch Bros OpCo,</w:t>
            </w:r>
          </w:p>
        </w:tc>
        <w:tc>
          <w:tcPr>
            <w:tcW w:w="0" w:type="dxa"/>
            <w:vAlign w:val="bottom"/>
          </w:tcPr>
          <w:p>
            <w:pPr>
              <w:spacing w:after="0"/>
              <w:rPr>
                <w:sz w:val="1"/>
                <w:szCs w:val="1"/>
                <w:color w:val="auto"/>
              </w:rPr>
            </w:pPr>
          </w:p>
        </w:tc>
      </w:tr>
      <w:tr>
        <w:trPr>
          <w:trHeight w:val="248"/>
        </w:trPr>
        <w:tc>
          <w:tcPr>
            <w:tcW w:w="2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collectively.</w:t>
            </w:r>
          </w:p>
        </w:tc>
        <w:tc>
          <w:tcPr>
            <w:tcW w:w="0" w:type="dxa"/>
            <w:vAlign w:val="bottom"/>
          </w:tcPr>
          <w:p>
            <w:pPr>
              <w:spacing w:after="0"/>
              <w:rPr>
                <w:sz w:val="1"/>
                <w:szCs w:val="1"/>
                <w:color w:val="auto"/>
              </w:rPr>
            </w:pPr>
          </w:p>
        </w:tc>
      </w:tr>
      <w:tr>
        <w:trPr>
          <w:trHeight w:val="238"/>
        </w:trPr>
        <w:tc>
          <w:tcPr>
            <w:tcW w:w="2700" w:type="dxa"/>
            <w:vAlign w:val="bottom"/>
            <w:vMerge w:val="restart"/>
            <w:shd w:val="clear" w:color="auto" w:fill="D2DCE5"/>
          </w:tcPr>
          <w:p>
            <w:pPr>
              <w:ind w:left="20"/>
              <w:spacing w:after="0"/>
              <w:rPr>
                <w:sz w:val="20"/>
                <w:szCs w:val="20"/>
                <w:color w:val="auto"/>
              </w:rPr>
            </w:pPr>
            <w:r>
              <w:rPr>
                <w:rFonts w:ascii="Arial" w:cs="Arial" w:eastAsia="Arial" w:hAnsi="Arial"/>
                <w:sz w:val="18"/>
                <w:szCs w:val="18"/>
                <w:b w:val="1"/>
                <w:bCs w:val="1"/>
                <w:color w:val="131E29"/>
              </w:rPr>
              <w:t>Pre-IPO Blocker Holders</w:t>
            </w:r>
          </w:p>
        </w:tc>
        <w:tc>
          <w:tcPr>
            <w:tcW w:w="100" w:type="dxa"/>
            <w:vAlign w:val="bottom"/>
            <w:shd w:val="clear" w:color="auto" w:fill="D2DCE5"/>
          </w:tcPr>
          <w:p>
            <w:pPr>
              <w:spacing w:after="0"/>
              <w:rPr>
                <w:sz w:val="20"/>
                <w:szCs w:val="20"/>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TSG7 A AIV VI Holdings-A, L.P. and DG Coinvestor Blocker Aggregator, L.P. or their assignees or</w:t>
            </w:r>
          </w:p>
        </w:tc>
        <w:tc>
          <w:tcPr>
            <w:tcW w:w="0" w:type="dxa"/>
            <w:vAlign w:val="bottom"/>
          </w:tcPr>
          <w:p>
            <w:pPr>
              <w:spacing w:after="0"/>
              <w:rPr>
                <w:sz w:val="1"/>
                <w:szCs w:val="1"/>
                <w:color w:val="auto"/>
              </w:rPr>
            </w:pPr>
          </w:p>
        </w:tc>
      </w:tr>
      <w:tr>
        <w:trPr>
          <w:trHeight w:val="256"/>
        </w:trPr>
        <w:tc>
          <w:tcPr>
            <w:tcW w:w="2700" w:type="dxa"/>
            <w:vAlign w:val="bottom"/>
            <w:vMerge w:val="continue"/>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successors pursuant to the terms of the certain Reorganization Tax Receivable Agreement.</w:t>
            </w:r>
          </w:p>
        </w:tc>
        <w:tc>
          <w:tcPr>
            <w:tcW w:w="0" w:type="dxa"/>
            <w:vAlign w:val="bottom"/>
          </w:tcPr>
          <w:p>
            <w:pPr>
              <w:spacing w:after="0"/>
              <w:rPr>
                <w:sz w:val="1"/>
                <w:szCs w:val="1"/>
                <w:color w:val="auto"/>
              </w:rPr>
            </w:pPr>
          </w:p>
        </w:tc>
      </w:tr>
      <w:tr>
        <w:trPr>
          <w:trHeight w:val="263"/>
        </w:trPr>
        <w:tc>
          <w:tcPr>
            <w:tcW w:w="2700" w:type="dxa"/>
            <w:vAlign w:val="bottom"/>
          </w:tcPr>
          <w:p>
            <w:pPr>
              <w:ind w:left="20"/>
              <w:spacing w:after="0"/>
              <w:rPr>
                <w:sz w:val="20"/>
                <w:szCs w:val="20"/>
                <w:color w:val="auto"/>
              </w:rPr>
            </w:pPr>
            <w:r>
              <w:rPr>
                <w:rFonts w:ascii="Arial" w:cs="Arial" w:eastAsia="Arial" w:hAnsi="Arial"/>
                <w:sz w:val="18"/>
                <w:szCs w:val="18"/>
                <w:b w:val="1"/>
                <w:bCs w:val="1"/>
                <w:color w:val="131E29"/>
              </w:rPr>
              <w:t>QSR</w:t>
            </w:r>
          </w:p>
        </w:tc>
        <w:tc>
          <w:tcPr>
            <w:tcW w:w="10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Quick Service Restaurant</w:t>
            </w:r>
          </w:p>
        </w:tc>
        <w:tc>
          <w:tcPr>
            <w:tcW w:w="0" w:type="dxa"/>
            <w:vAlign w:val="bottom"/>
          </w:tcPr>
          <w:p>
            <w:pPr>
              <w:spacing w:after="0"/>
              <w:rPr>
                <w:sz w:val="1"/>
                <w:szCs w:val="1"/>
                <w:color w:val="auto"/>
              </w:rPr>
            </w:pPr>
          </w:p>
        </w:tc>
      </w:tr>
      <w:tr>
        <w:trPr>
          <w:trHeight w:val="278"/>
        </w:trPr>
        <w:tc>
          <w:tcPr>
            <w:tcW w:w="27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RSA</w:t>
            </w:r>
          </w:p>
        </w:tc>
        <w:tc>
          <w:tcPr>
            <w:tcW w:w="100" w:type="dxa"/>
            <w:vAlign w:val="bottom"/>
            <w:shd w:val="clear" w:color="auto" w:fill="D2DCE5"/>
          </w:tcPr>
          <w:p>
            <w:pPr>
              <w:spacing w:after="0"/>
              <w:rPr>
                <w:sz w:val="24"/>
                <w:szCs w:val="24"/>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Restricted Stock Awards</w:t>
            </w:r>
          </w:p>
        </w:tc>
        <w:tc>
          <w:tcPr>
            <w:tcW w:w="0" w:type="dxa"/>
            <w:vAlign w:val="bottom"/>
          </w:tcPr>
          <w:p>
            <w:pPr>
              <w:spacing w:after="0"/>
              <w:rPr>
                <w:sz w:val="1"/>
                <w:szCs w:val="1"/>
                <w:color w:val="auto"/>
              </w:rPr>
            </w:pPr>
          </w:p>
        </w:tc>
      </w:tr>
      <w:tr>
        <w:trPr>
          <w:trHeight w:val="263"/>
        </w:trPr>
        <w:tc>
          <w:tcPr>
            <w:tcW w:w="2700" w:type="dxa"/>
            <w:vAlign w:val="bottom"/>
          </w:tcPr>
          <w:p>
            <w:pPr>
              <w:ind w:left="20"/>
              <w:spacing w:after="0"/>
              <w:rPr>
                <w:sz w:val="20"/>
                <w:szCs w:val="20"/>
                <w:color w:val="auto"/>
              </w:rPr>
            </w:pPr>
            <w:r>
              <w:rPr>
                <w:rFonts w:ascii="Arial" w:cs="Arial" w:eastAsia="Arial" w:hAnsi="Arial"/>
                <w:sz w:val="18"/>
                <w:szCs w:val="18"/>
                <w:b w:val="1"/>
                <w:bCs w:val="1"/>
                <w:color w:val="131E29"/>
              </w:rPr>
              <w:t>RSU</w:t>
            </w:r>
          </w:p>
        </w:tc>
        <w:tc>
          <w:tcPr>
            <w:tcW w:w="10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Restricted Stock Units</w:t>
            </w:r>
          </w:p>
        </w:tc>
        <w:tc>
          <w:tcPr>
            <w:tcW w:w="0" w:type="dxa"/>
            <w:vAlign w:val="bottom"/>
          </w:tcPr>
          <w:p>
            <w:pPr>
              <w:spacing w:after="0"/>
              <w:rPr>
                <w:sz w:val="1"/>
                <w:szCs w:val="1"/>
                <w:color w:val="auto"/>
              </w:rPr>
            </w:pPr>
          </w:p>
        </w:tc>
      </w:tr>
      <w:tr>
        <w:trPr>
          <w:trHeight w:val="278"/>
        </w:trPr>
        <w:tc>
          <w:tcPr>
            <w:tcW w:w="27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SEC</w:t>
            </w:r>
          </w:p>
        </w:tc>
        <w:tc>
          <w:tcPr>
            <w:tcW w:w="100" w:type="dxa"/>
            <w:vAlign w:val="bottom"/>
            <w:shd w:val="clear" w:color="auto" w:fill="D2DCE5"/>
          </w:tcPr>
          <w:p>
            <w:pPr>
              <w:spacing w:after="0"/>
              <w:rPr>
                <w:sz w:val="24"/>
                <w:szCs w:val="24"/>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Securities and Exchange Commission</w:t>
            </w:r>
          </w:p>
        </w:tc>
        <w:tc>
          <w:tcPr>
            <w:tcW w:w="0" w:type="dxa"/>
            <w:vAlign w:val="bottom"/>
          </w:tcPr>
          <w:p>
            <w:pPr>
              <w:spacing w:after="0"/>
              <w:rPr>
                <w:sz w:val="1"/>
                <w:szCs w:val="1"/>
                <w:color w:val="auto"/>
              </w:rPr>
            </w:pPr>
          </w:p>
        </w:tc>
      </w:tr>
      <w:tr>
        <w:trPr>
          <w:trHeight w:val="263"/>
        </w:trPr>
        <w:tc>
          <w:tcPr>
            <w:tcW w:w="2700" w:type="dxa"/>
            <w:vAlign w:val="bottom"/>
          </w:tcPr>
          <w:p>
            <w:pPr>
              <w:ind w:left="20"/>
              <w:spacing w:after="0"/>
              <w:rPr>
                <w:sz w:val="20"/>
                <w:szCs w:val="20"/>
                <w:color w:val="auto"/>
              </w:rPr>
            </w:pPr>
            <w:r>
              <w:rPr>
                <w:rFonts w:ascii="Arial" w:cs="Arial" w:eastAsia="Arial" w:hAnsi="Arial"/>
                <w:sz w:val="18"/>
                <w:szCs w:val="18"/>
                <w:b w:val="1"/>
                <w:bCs w:val="1"/>
                <w:color w:val="131E29"/>
              </w:rPr>
              <w:t>SOFR</w:t>
            </w:r>
          </w:p>
        </w:tc>
        <w:tc>
          <w:tcPr>
            <w:tcW w:w="10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Secured Overnight Financing Rate</w:t>
            </w:r>
          </w:p>
        </w:tc>
        <w:tc>
          <w:tcPr>
            <w:tcW w:w="0" w:type="dxa"/>
            <w:vAlign w:val="bottom"/>
          </w:tcPr>
          <w:p>
            <w:pPr>
              <w:spacing w:after="0"/>
              <w:rPr>
                <w:sz w:val="1"/>
                <w:szCs w:val="1"/>
                <w:color w:val="auto"/>
              </w:rPr>
            </w:pPr>
          </w:p>
        </w:tc>
      </w:tr>
      <w:tr>
        <w:trPr>
          <w:trHeight w:val="278"/>
        </w:trPr>
        <w:tc>
          <w:tcPr>
            <w:tcW w:w="27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Sponsor</w:t>
            </w:r>
          </w:p>
        </w:tc>
        <w:tc>
          <w:tcPr>
            <w:tcW w:w="100" w:type="dxa"/>
            <w:vAlign w:val="bottom"/>
            <w:shd w:val="clear" w:color="auto" w:fill="D2DCE5"/>
          </w:tcPr>
          <w:p>
            <w:pPr>
              <w:spacing w:after="0"/>
              <w:rPr>
                <w:sz w:val="24"/>
                <w:szCs w:val="24"/>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TSG Consumer Partners, L.P. and certain of its affiliates.</w:t>
            </w:r>
          </w:p>
        </w:tc>
        <w:tc>
          <w:tcPr>
            <w:tcW w:w="0" w:type="dxa"/>
            <w:vAlign w:val="bottom"/>
          </w:tcPr>
          <w:p>
            <w:pPr>
              <w:spacing w:after="0"/>
              <w:rPr>
                <w:sz w:val="1"/>
                <w:szCs w:val="1"/>
                <w:color w:val="auto"/>
              </w:rPr>
            </w:pPr>
          </w:p>
        </w:tc>
      </w:tr>
      <w:tr>
        <w:trPr>
          <w:trHeight w:val="230"/>
        </w:trPr>
        <w:tc>
          <w:tcPr>
            <w:tcW w:w="2700" w:type="dxa"/>
            <w:vAlign w:val="bottom"/>
            <w:vMerge w:val="restart"/>
          </w:tcPr>
          <w:p>
            <w:pPr>
              <w:ind w:left="20"/>
              <w:spacing w:after="0"/>
              <w:rPr>
                <w:sz w:val="20"/>
                <w:szCs w:val="20"/>
                <w:color w:val="auto"/>
              </w:rPr>
            </w:pPr>
            <w:r>
              <w:rPr>
                <w:rFonts w:ascii="Arial" w:cs="Arial" w:eastAsia="Arial" w:hAnsi="Arial"/>
                <w:sz w:val="18"/>
                <w:szCs w:val="18"/>
                <w:b w:val="1"/>
                <w:bCs w:val="1"/>
                <w:color w:val="131E29"/>
              </w:rPr>
              <w:t>Tax Receivable Agreements</w:t>
            </w:r>
          </w:p>
        </w:tc>
        <w:tc>
          <w:tcPr>
            <w:tcW w:w="10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The Tax Receivable Agreement (Exchanges) and the Tax Receivable Agreement (Reorganization) that</w:t>
            </w:r>
          </w:p>
        </w:tc>
        <w:tc>
          <w:tcPr>
            <w:tcW w:w="0" w:type="dxa"/>
            <w:vAlign w:val="bottom"/>
          </w:tcPr>
          <w:p>
            <w:pPr>
              <w:spacing w:after="0"/>
              <w:rPr>
                <w:sz w:val="1"/>
                <w:szCs w:val="1"/>
                <w:color w:val="auto"/>
              </w:rPr>
            </w:pPr>
          </w:p>
        </w:tc>
      </w:tr>
      <w:tr>
        <w:trPr>
          <w:trHeight w:val="206"/>
        </w:trPr>
        <w:tc>
          <w:tcPr>
            <w:tcW w:w="2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Dutch Bros Inc. entered into with the Continuing Members and the Pre-IPO Blocker Holders, respectively,</w:t>
            </w:r>
          </w:p>
        </w:tc>
        <w:tc>
          <w:tcPr>
            <w:tcW w:w="0" w:type="dxa"/>
            <w:vAlign w:val="bottom"/>
          </w:tcPr>
          <w:p>
            <w:pPr>
              <w:spacing w:after="0"/>
              <w:rPr>
                <w:sz w:val="1"/>
                <w:szCs w:val="1"/>
                <w:color w:val="auto"/>
              </w:rPr>
            </w:pPr>
          </w:p>
        </w:tc>
      </w:tr>
      <w:tr>
        <w:trPr>
          <w:trHeight w:val="258"/>
        </w:trPr>
        <w:tc>
          <w:tcPr>
            <w:tcW w:w="2700" w:type="dxa"/>
            <w:vAlign w:val="bottom"/>
          </w:tcPr>
          <w:p>
            <w:pPr>
              <w:ind w:left="20"/>
              <w:spacing w:after="0"/>
              <w:rPr>
                <w:sz w:val="20"/>
                <w:szCs w:val="20"/>
                <w:color w:val="auto"/>
              </w:rPr>
            </w:pPr>
            <w:r>
              <w:rPr>
                <w:rFonts w:ascii="Arial" w:cs="Arial" w:eastAsia="Arial" w:hAnsi="Arial"/>
                <w:sz w:val="18"/>
                <w:szCs w:val="18"/>
                <w:b w:val="1"/>
                <w:bCs w:val="1"/>
                <w:color w:val="131E29"/>
              </w:rPr>
              <w:t>and TRAs</w:t>
            </w:r>
          </w:p>
        </w:tc>
        <w:tc>
          <w:tcPr>
            <w:tcW w:w="10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131E29"/>
              </w:rPr>
              <w:t>in connection with the IPO.</w:t>
            </w:r>
          </w:p>
        </w:tc>
        <w:tc>
          <w:tcPr>
            <w:tcW w:w="0" w:type="dxa"/>
            <w:vAlign w:val="bottom"/>
          </w:tcPr>
          <w:p>
            <w:pPr>
              <w:spacing w:after="0"/>
              <w:rPr>
                <w:sz w:val="1"/>
                <w:szCs w:val="1"/>
                <w:color w:val="auto"/>
              </w:rPr>
            </w:pPr>
          </w:p>
        </w:tc>
      </w:tr>
      <w:tr>
        <w:trPr>
          <w:trHeight w:val="238"/>
        </w:trPr>
        <w:tc>
          <w:tcPr>
            <w:tcW w:w="2700" w:type="dxa"/>
            <w:vAlign w:val="bottom"/>
            <w:vMerge w:val="restart"/>
            <w:shd w:val="clear" w:color="auto" w:fill="D2DCE5"/>
          </w:tcPr>
          <w:p>
            <w:pPr>
              <w:ind w:left="20"/>
              <w:spacing w:after="0"/>
              <w:rPr>
                <w:sz w:val="20"/>
                <w:szCs w:val="20"/>
                <w:color w:val="auto"/>
              </w:rPr>
            </w:pPr>
            <w:r>
              <w:rPr>
                <w:rFonts w:ascii="Arial" w:cs="Arial" w:eastAsia="Arial" w:hAnsi="Arial"/>
                <w:sz w:val="18"/>
                <w:szCs w:val="18"/>
                <w:b w:val="1"/>
                <w:bCs w:val="1"/>
                <w:color w:val="131E29"/>
              </w:rPr>
              <w:t>Western United States</w:t>
            </w:r>
          </w:p>
        </w:tc>
        <w:tc>
          <w:tcPr>
            <w:tcW w:w="100" w:type="dxa"/>
            <w:vAlign w:val="bottom"/>
            <w:shd w:val="clear" w:color="auto" w:fill="D2DCE5"/>
          </w:tcPr>
          <w:p>
            <w:pPr>
              <w:spacing w:after="0"/>
              <w:rPr>
                <w:sz w:val="20"/>
                <w:szCs w:val="20"/>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The collection of states including Arizona, California, Colorado, Idaho, Nevada, New Mexico, Oregon,</w:t>
            </w:r>
          </w:p>
        </w:tc>
        <w:tc>
          <w:tcPr>
            <w:tcW w:w="0" w:type="dxa"/>
            <w:vAlign w:val="bottom"/>
          </w:tcPr>
          <w:p>
            <w:pPr>
              <w:spacing w:after="0"/>
              <w:rPr>
                <w:sz w:val="1"/>
                <w:szCs w:val="1"/>
                <w:color w:val="auto"/>
              </w:rPr>
            </w:pPr>
          </w:p>
        </w:tc>
      </w:tr>
      <w:tr>
        <w:trPr>
          <w:trHeight w:val="256"/>
        </w:trPr>
        <w:tc>
          <w:tcPr>
            <w:tcW w:w="2700" w:type="dxa"/>
            <w:vAlign w:val="bottom"/>
            <w:vMerge w:val="continue"/>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84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Utah and Washington.</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i w:val="1"/>
          <w:iCs w:val="1"/>
          <w:color w:val="131E29"/>
        </w:rPr>
        <w:t>Dutch Bros</w:t>
      </w:r>
      <w:r>
        <w:rPr>
          <w:rFonts w:ascii="Arial" w:cs="Arial" w:eastAsia="Arial" w:hAnsi="Arial"/>
          <w:sz w:val="14"/>
          <w:szCs w:val="14"/>
          <w:color w:val="131E29"/>
        </w:rPr>
        <w:t>, our Windmill logo (</w:t>
      </w:r>
      <w:r>
        <w:rPr>
          <w:sz w:val="1"/>
          <w:szCs w:val="1"/>
          <w:color w:val="auto"/>
        </w:rPr>
        <w:drawing>
          <wp:inline distT="0" distB="0" distL="0" distR="0">
            <wp:extent cx="171450" cy="2400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 xml:space="preserve">), </w:t>
      </w:r>
      <w:r>
        <w:rPr>
          <w:rFonts w:ascii="Arial" w:cs="Arial" w:eastAsia="Arial" w:hAnsi="Arial"/>
          <w:sz w:val="14"/>
          <w:szCs w:val="14"/>
          <w:i w:val="1"/>
          <w:iCs w:val="1"/>
          <w:color w:val="131E29"/>
        </w:rPr>
        <w:t>Dutch Bros Blue Rebel</w:t>
      </w:r>
      <w:r>
        <w:rPr>
          <w:rFonts w:ascii="Arial" w:cs="Arial" w:eastAsia="Arial" w:hAnsi="Arial"/>
          <w:sz w:val="14"/>
          <w:szCs w:val="14"/>
          <w:color w:val="131E29"/>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FORWARD-LOOKING STATEMENTS</w:t>
      </w:r>
    </w:p>
    <w:p>
      <w:pPr>
        <w:spacing w:after="0" w:line="3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Certain statements in this Form 10-Q that are not historical facts, including those regarding the impact of inflation, increased minimum wages, and general macroeconomic conditions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10-Q.</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2022, filed with the Securities and Exchange Commission on February 27, 2023.</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as such risk factors may be amended, supplemented or superseded from time to time by other reports we file with the Securities and Exchange Commission.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Website Disclosure</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6098"/>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131E29"/>
              </w:rPr>
              <w:t>June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131E29"/>
              </w:rPr>
              <w:t>December 31,</w:t>
            </w:r>
          </w:p>
        </w:tc>
        <w:tc>
          <w:tcPr>
            <w:tcW w:w="0" w:type="dxa"/>
            <w:vAlign w:val="bottom"/>
          </w:tcPr>
          <w:p>
            <w:pPr>
              <w:spacing w:after="0"/>
              <w:rPr>
                <w:sz w:val="1"/>
                <w:szCs w:val="1"/>
                <w:color w:val="auto"/>
              </w:rPr>
            </w:pPr>
          </w:p>
        </w:tc>
      </w:tr>
      <w:tr>
        <w:trPr>
          <w:trHeight w:val="259"/>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131E29"/>
              </w:rPr>
              <w:t>2022</w:t>
            </w:r>
          </w:p>
        </w:tc>
        <w:tc>
          <w:tcPr>
            <w:tcW w:w="0" w:type="dxa"/>
            <w:vAlign w:val="bottom"/>
          </w:tcPr>
          <w:p>
            <w:pPr>
              <w:spacing w:after="0"/>
              <w:rPr>
                <w:sz w:val="1"/>
                <w:szCs w:val="1"/>
                <w:color w:val="auto"/>
              </w:rPr>
            </w:pPr>
          </w:p>
        </w:tc>
      </w:tr>
      <w:tr>
        <w:trPr>
          <w:trHeight w:val="270"/>
        </w:trPr>
        <w:tc>
          <w:tcPr>
            <w:tcW w:w="712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ASSETS</w:t>
            </w:r>
          </w:p>
        </w:tc>
        <w:tc>
          <w:tcPr>
            <w:tcW w:w="12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5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1680" w:type="dxa"/>
            <w:vAlign w:val="bottom"/>
            <w:shd w:val="clear" w:color="auto" w:fill="D2DCE5"/>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131E29"/>
              </w:rPr>
              <w:t>Current assets: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Cash and cash equivalents</w:t>
            </w:r>
          </w:p>
        </w:tc>
        <w:tc>
          <w:tcPr>
            <w:tcW w:w="480" w:type="dxa"/>
            <w:vAlign w:val="bottom"/>
            <w:tcBorders>
              <w:bottom w:val="single" w:sz="8" w:color="D2DCE5"/>
            </w:tcBorders>
            <w:gridSpan w:val="2"/>
            <w:shd w:val="clear" w:color="auto" w:fill="D2DCE5"/>
          </w:tcPr>
          <w:p>
            <w:pPr>
              <w:jc w:val="right"/>
              <w:ind w:right="240"/>
              <w:spacing w:after="0"/>
              <w:rPr>
                <w:sz w:val="20"/>
                <w:szCs w:val="20"/>
                <w:color w:val="auto"/>
              </w:rPr>
            </w:pPr>
            <w:r>
              <w:rPr>
                <w:rFonts w:ascii="Arial" w:cs="Arial" w:eastAsia="Arial" w:hAnsi="Arial"/>
                <w:sz w:val="18"/>
                <w:szCs w:val="18"/>
                <w:color w:val="131E29"/>
              </w:rPr>
              <w:t>$</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23,717</w:t>
            </w: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20,178</w:t>
            </w:r>
          </w:p>
        </w:tc>
        <w:tc>
          <w:tcPr>
            <w:tcW w:w="0" w:type="dxa"/>
            <w:vAlign w:val="bottom"/>
          </w:tcPr>
          <w:p>
            <w:pPr>
              <w:spacing w:after="0"/>
              <w:rPr>
                <w:sz w:val="1"/>
                <w:szCs w:val="1"/>
                <w:color w:val="auto"/>
              </w:rPr>
            </w:pP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131E29"/>
              </w:rPr>
              <w:t>Accounts receivable, net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9,379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11,966</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Inventories, net</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47,608</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39,229</w:t>
            </w:r>
          </w:p>
        </w:tc>
        <w:tc>
          <w:tcPr>
            <w:tcW w:w="0" w:type="dxa"/>
            <w:vAlign w:val="bottom"/>
          </w:tcPr>
          <w:p>
            <w:pPr>
              <w:spacing w:after="0"/>
              <w:rPr>
                <w:sz w:val="1"/>
                <w:szCs w:val="1"/>
                <w:color w:val="auto"/>
              </w:rPr>
            </w:pPr>
          </w:p>
        </w:tc>
      </w:tr>
      <w:tr>
        <w:trPr>
          <w:trHeight w:val="263"/>
        </w:trPr>
        <w:tc>
          <w:tcPr>
            <w:tcW w:w="7120" w:type="dxa"/>
            <w:vAlign w:val="bottom"/>
          </w:tcPr>
          <w:p>
            <w:pPr>
              <w:ind w:left="180"/>
              <w:spacing w:after="0"/>
              <w:rPr>
                <w:sz w:val="20"/>
                <w:szCs w:val="20"/>
                <w:color w:val="auto"/>
              </w:rPr>
            </w:pPr>
            <w:r>
              <w:rPr>
                <w:rFonts w:ascii="Arial" w:cs="Arial" w:eastAsia="Arial" w:hAnsi="Arial"/>
                <w:sz w:val="18"/>
                <w:szCs w:val="18"/>
                <w:color w:val="131E29"/>
              </w:rPr>
              <w:t>Prepaid expenses and other current assets</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14,115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10,949</w:t>
            </w:r>
          </w:p>
        </w:tc>
        <w:tc>
          <w:tcPr>
            <w:tcW w:w="0" w:type="dxa"/>
            <w:vAlign w:val="bottom"/>
          </w:tcPr>
          <w:p>
            <w:pPr>
              <w:spacing w:after="0"/>
              <w:rPr>
                <w:sz w:val="1"/>
                <w:szCs w:val="1"/>
                <w:color w:val="auto"/>
              </w:rPr>
            </w:pPr>
          </w:p>
        </w:tc>
      </w:tr>
      <w:tr>
        <w:trPr>
          <w:trHeight w:val="250"/>
        </w:trPr>
        <w:tc>
          <w:tcPr>
            <w:tcW w:w="7120" w:type="dxa"/>
            <w:vAlign w:val="bottom"/>
            <w:tcBorders>
              <w:bottom w:val="single" w:sz="8" w:color="D2DCE5"/>
            </w:tcBorders>
            <w:shd w:val="clear" w:color="auto" w:fill="D2DCE5"/>
          </w:tcPr>
          <w:p>
            <w:pPr>
              <w:ind w:left="340"/>
              <w:spacing w:after="0"/>
              <w:rPr>
                <w:sz w:val="20"/>
                <w:szCs w:val="20"/>
                <w:color w:val="auto"/>
              </w:rPr>
            </w:pPr>
            <w:r>
              <w:rPr>
                <w:rFonts w:ascii="Arial" w:cs="Arial" w:eastAsia="Arial" w:hAnsi="Arial"/>
                <w:sz w:val="18"/>
                <w:szCs w:val="18"/>
                <w:color w:val="131E29"/>
              </w:rPr>
              <w:t>Total current assets</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94,819</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82,322</w:t>
            </w:r>
          </w:p>
        </w:tc>
        <w:tc>
          <w:tcPr>
            <w:tcW w:w="0" w:type="dxa"/>
            <w:vAlign w:val="bottom"/>
          </w:tcPr>
          <w:p>
            <w:pPr>
              <w:spacing w:after="0"/>
              <w:rPr>
                <w:sz w:val="1"/>
                <w:szCs w:val="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131E29"/>
              </w:rPr>
              <w:t>Property and equipment, net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446,565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365,468</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2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Finance lease right-of-use assets, net</w:t>
            </w:r>
          </w:p>
        </w:tc>
        <w:tc>
          <w:tcPr>
            <w:tcW w:w="12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332,790</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16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247,943</w:t>
            </w:r>
          </w:p>
        </w:tc>
        <w:tc>
          <w:tcPr>
            <w:tcW w:w="0" w:type="dxa"/>
            <w:vAlign w:val="bottom"/>
          </w:tcPr>
          <w:p>
            <w:pPr>
              <w:spacing w:after="0"/>
              <w:rPr>
                <w:sz w:val="1"/>
                <w:szCs w:val="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131E29"/>
              </w:rPr>
              <w:t>Operating lease right-of-use assets, net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177,605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169,302</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Intangibles, net</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7,035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8,804</w:t>
            </w:r>
          </w:p>
        </w:tc>
        <w:tc>
          <w:tcPr>
            <w:tcW w:w="0" w:type="dxa"/>
            <w:vAlign w:val="bottom"/>
          </w:tcPr>
          <w:p>
            <w:pPr>
              <w:spacing w:after="0"/>
              <w:rPr>
                <w:sz w:val="1"/>
                <w:szCs w:val="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131E29"/>
              </w:rPr>
              <w:t>Goodwill</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21,629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21,629</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Deferred income tax assets, net</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284,777</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288,765</w:t>
            </w:r>
          </w:p>
        </w:tc>
        <w:tc>
          <w:tcPr>
            <w:tcW w:w="0" w:type="dxa"/>
            <w:vAlign w:val="bottom"/>
          </w:tcPr>
          <w:p>
            <w:pPr>
              <w:spacing w:after="0"/>
              <w:rPr>
                <w:sz w:val="1"/>
                <w:szCs w:val="1"/>
                <w:color w:val="auto"/>
              </w:rPr>
            </w:pPr>
          </w:p>
        </w:tc>
      </w:tr>
      <w:tr>
        <w:trPr>
          <w:trHeight w:val="263"/>
        </w:trPr>
        <w:tc>
          <w:tcPr>
            <w:tcW w:w="7120" w:type="dxa"/>
            <w:vAlign w:val="bottom"/>
          </w:tcPr>
          <w:p>
            <w:pPr>
              <w:ind w:left="20"/>
              <w:spacing w:after="0"/>
              <w:rPr>
                <w:sz w:val="20"/>
                <w:szCs w:val="20"/>
                <w:color w:val="auto"/>
              </w:rPr>
            </w:pPr>
            <w:r>
              <w:rPr>
                <w:rFonts w:ascii="Arial" w:cs="Arial" w:eastAsia="Arial" w:hAnsi="Arial"/>
                <w:sz w:val="18"/>
                <w:szCs w:val="18"/>
                <w:color w:val="131E29"/>
              </w:rPr>
              <w:t>Other long-term assets</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3,060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2,127</w:t>
            </w:r>
          </w:p>
        </w:tc>
        <w:tc>
          <w:tcPr>
            <w:tcW w:w="0" w:type="dxa"/>
            <w:vAlign w:val="bottom"/>
          </w:tcPr>
          <w:p>
            <w:pPr>
              <w:spacing w:after="0"/>
              <w:rPr>
                <w:sz w:val="1"/>
                <w:szCs w:val="1"/>
                <w:color w:val="auto"/>
              </w:rPr>
            </w:pPr>
          </w:p>
        </w:tc>
      </w:tr>
      <w:tr>
        <w:trPr>
          <w:trHeight w:val="290"/>
        </w:trPr>
        <w:tc>
          <w:tcPr>
            <w:tcW w:w="7120" w:type="dxa"/>
            <w:vAlign w:val="bottom"/>
            <w:shd w:val="clear" w:color="auto" w:fill="D2DCE5"/>
          </w:tcPr>
          <w:p>
            <w:pPr>
              <w:ind w:left="500"/>
              <w:spacing w:after="0"/>
              <w:rPr>
                <w:sz w:val="20"/>
                <w:szCs w:val="20"/>
                <w:color w:val="auto"/>
              </w:rPr>
            </w:pPr>
            <w:r>
              <w:rPr>
                <w:rFonts w:ascii="Arial" w:cs="Arial" w:eastAsia="Arial" w:hAnsi="Arial"/>
                <w:sz w:val="18"/>
                <w:szCs w:val="18"/>
                <w:color w:val="131E29"/>
              </w:rPr>
              <w:t>Total assets</w:t>
            </w:r>
          </w:p>
        </w:tc>
        <w:tc>
          <w:tcPr>
            <w:tcW w:w="480" w:type="dxa"/>
            <w:vAlign w:val="bottom"/>
            <w:gridSpan w:val="2"/>
            <w:shd w:val="clear" w:color="auto" w:fill="D2DCE5"/>
          </w:tcPr>
          <w:p>
            <w:pPr>
              <w:jc w:val="right"/>
              <w:ind w:right="240"/>
              <w:spacing w:after="0"/>
              <w:rPr>
                <w:sz w:val="20"/>
                <w:szCs w:val="20"/>
                <w:color w:val="auto"/>
              </w:rPr>
            </w:pPr>
            <w:r>
              <w:rPr>
                <w:rFonts w:ascii="Arial" w:cs="Arial" w:eastAsia="Arial" w:hAnsi="Arial"/>
                <w:sz w:val="18"/>
                <w:szCs w:val="18"/>
                <w:color w:val="131E29"/>
              </w:rPr>
              <w:t>$</w:t>
            </w: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1,368,280</w:t>
            </w: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16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1,186,360</w:t>
            </w:r>
          </w:p>
        </w:tc>
        <w:tc>
          <w:tcPr>
            <w:tcW w:w="0" w:type="dxa"/>
            <w:vAlign w:val="bottom"/>
          </w:tcPr>
          <w:p>
            <w:pPr>
              <w:spacing w:after="0"/>
              <w:rPr>
                <w:sz w:val="1"/>
                <w:szCs w:val="1"/>
                <w:color w:val="auto"/>
              </w:rPr>
            </w:pPr>
          </w:p>
        </w:tc>
      </w:tr>
      <w:tr>
        <w:trPr>
          <w:trHeight w:val="20"/>
        </w:trPr>
        <w:tc>
          <w:tcPr>
            <w:tcW w:w="7120" w:type="dxa"/>
            <w:vAlign w:val="bottom"/>
            <w:tcBorders>
              <w:top w:val="single" w:sz="8" w:color="D2DCE5"/>
              <w:bottom w:val="single" w:sz="8" w:color="D2DCE5"/>
            </w:tcBorders>
            <w:vMerge w:val="restart"/>
          </w:tcPr>
          <w:p>
            <w:pPr>
              <w:ind w:left="20"/>
              <w:spacing w:after="0"/>
              <w:rPr>
                <w:sz w:val="20"/>
                <w:szCs w:val="20"/>
                <w:color w:val="auto"/>
              </w:rPr>
            </w:pPr>
            <w:r>
              <w:rPr>
                <w:rFonts w:ascii="Arial" w:cs="Arial" w:eastAsia="Arial" w:hAnsi="Arial"/>
                <w:sz w:val="18"/>
                <w:szCs w:val="18"/>
                <w:b w:val="1"/>
                <w:bCs w:val="1"/>
                <w:color w:val="131E29"/>
              </w:rPr>
              <w:t>LIABILITIES AND EQUITY</w:t>
            </w:r>
          </w:p>
        </w:tc>
        <w:tc>
          <w:tcPr>
            <w:tcW w:w="12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1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Current liabilities:</w:t>
            </w:r>
          </w:p>
        </w:tc>
        <w:tc>
          <w:tcPr>
            <w:tcW w:w="12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D2DCE5"/>
            </w:tcBorders>
            <w:shd w:val="clear" w:color="auto" w:fill="D2DCE5"/>
          </w:tcPr>
          <w:p>
            <w:pPr>
              <w:spacing w:after="0"/>
              <w:rPr>
                <w:sz w:val="22"/>
                <w:szCs w:val="22"/>
                <w:color w:val="auto"/>
              </w:rPr>
            </w:pPr>
          </w:p>
        </w:tc>
        <w:tc>
          <w:tcPr>
            <w:tcW w:w="1560" w:type="dxa"/>
            <w:vAlign w:val="bottom"/>
            <w:tcBorders>
              <w:bottom w:val="single" w:sz="8" w:color="D2DCE5"/>
            </w:tcBorders>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spacing w:after="0"/>
              <w:rPr>
                <w:sz w:val="22"/>
                <w:szCs w:val="22"/>
                <w:color w:val="auto"/>
              </w:rPr>
            </w:pPr>
          </w:p>
        </w:tc>
        <w:tc>
          <w:tcPr>
            <w:tcW w:w="1680" w:type="dxa"/>
            <w:vAlign w:val="bottom"/>
            <w:tcBorders>
              <w:bottom w:val="single" w:sz="8" w:color="D2DCE5"/>
            </w:tcBorders>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131E29"/>
              </w:rPr>
              <w:t>Accounts payable</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131E2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24,648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131E29"/>
              </w:rPr>
              <w:t>$</w:t>
            </w:r>
          </w:p>
        </w:tc>
        <w:tc>
          <w:tcPr>
            <w:tcW w:w="1680" w:type="dxa"/>
            <w:vAlign w:val="bottom"/>
          </w:tcPr>
          <w:p>
            <w:pPr>
              <w:jc w:val="right"/>
              <w:spacing w:after="0"/>
              <w:rPr>
                <w:sz w:val="20"/>
                <w:szCs w:val="20"/>
                <w:color w:val="auto"/>
              </w:rPr>
            </w:pPr>
            <w:r>
              <w:rPr>
                <w:rFonts w:ascii="Arial" w:cs="Arial" w:eastAsia="Arial" w:hAnsi="Arial"/>
                <w:sz w:val="18"/>
                <w:szCs w:val="18"/>
                <w:color w:val="131E29"/>
              </w:rPr>
              <w:t>21,270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Accrued liabilities</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35,872</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27,452</w:t>
            </w:r>
          </w:p>
        </w:tc>
        <w:tc>
          <w:tcPr>
            <w:tcW w:w="0" w:type="dxa"/>
            <w:vAlign w:val="bottom"/>
          </w:tcPr>
          <w:p>
            <w:pPr>
              <w:spacing w:after="0"/>
              <w:rPr>
                <w:sz w:val="1"/>
                <w:szCs w:val="1"/>
                <w:color w:val="auto"/>
              </w:rPr>
            </w:pP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131E29"/>
              </w:rPr>
              <w:t>Other current liabilities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7,511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7,860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Deferred revenue</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22,300</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25,335</w:t>
            </w:r>
          </w:p>
        </w:tc>
        <w:tc>
          <w:tcPr>
            <w:tcW w:w="0" w:type="dxa"/>
            <w:vAlign w:val="bottom"/>
          </w:tcPr>
          <w:p>
            <w:pPr>
              <w:spacing w:after="0"/>
              <w:rPr>
                <w:sz w:val="1"/>
                <w:szCs w:val="1"/>
                <w:color w:val="auto"/>
              </w:rPr>
            </w:pP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131E29"/>
              </w:rPr>
              <w:t>Line of credit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181,090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110,865</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Current portion of finance lease liabilities</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9,867</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7,971</w:t>
            </w:r>
          </w:p>
        </w:tc>
        <w:tc>
          <w:tcPr>
            <w:tcW w:w="0" w:type="dxa"/>
            <w:vAlign w:val="bottom"/>
          </w:tcPr>
          <w:p>
            <w:pPr>
              <w:spacing w:after="0"/>
              <w:rPr>
                <w:sz w:val="1"/>
                <w:szCs w:val="1"/>
                <w:color w:val="auto"/>
              </w:rPr>
            </w:pP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131E29"/>
              </w:rPr>
              <w:t>Current portion of operating lease liabilities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9,612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9,317</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12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Current portion of long-term debt</w:t>
            </w:r>
          </w:p>
        </w:tc>
        <w:tc>
          <w:tcPr>
            <w:tcW w:w="12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auto"/>
            </w:tcBorders>
            <w:shd w:val="clear" w:color="auto" w:fill="D2DCE5"/>
          </w:tcPr>
          <w:p>
            <w:pPr>
              <w:spacing w:after="0"/>
              <w:rPr>
                <w:sz w:val="22"/>
                <w:szCs w:val="22"/>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3,238</w:t>
            </w: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2,609</w:t>
            </w:r>
          </w:p>
        </w:tc>
        <w:tc>
          <w:tcPr>
            <w:tcW w:w="0" w:type="dxa"/>
            <w:vAlign w:val="bottom"/>
          </w:tcPr>
          <w:p>
            <w:pPr>
              <w:spacing w:after="0"/>
              <w:rPr>
                <w:sz w:val="1"/>
                <w:szCs w:val="1"/>
                <w:color w:val="auto"/>
              </w:rPr>
            </w:pPr>
          </w:p>
        </w:tc>
      </w:tr>
      <w:tr>
        <w:trPr>
          <w:trHeight w:val="243"/>
        </w:trPr>
        <w:tc>
          <w:tcPr>
            <w:tcW w:w="7120" w:type="dxa"/>
            <w:vAlign w:val="bottom"/>
          </w:tcPr>
          <w:p>
            <w:pPr>
              <w:ind w:left="340"/>
              <w:spacing w:after="0"/>
              <w:rPr>
                <w:sz w:val="20"/>
                <w:szCs w:val="20"/>
                <w:color w:val="auto"/>
              </w:rPr>
            </w:pPr>
            <w:r>
              <w:rPr>
                <w:rFonts w:ascii="Arial" w:cs="Arial" w:eastAsia="Arial" w:hAnsi="Arial"/>
                <w:sz w:val="18"/>
                <w:szCs w:val="18"/>
                <w:color w:val="131E29"/>
              </w:rPr>
              <w:t>Total current liabilities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294,138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212,679</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Deferred revenue, net of current portion</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5,956</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6,119</w:t>
            </w:r>
          </w:p>
        </w:tc>
        <w:tc>
          <w:tcPr>
            <w:tcW w:w="0" w:type="dxa"/>
            <w:vAlign w:val="bottom"/>
          </w:tcPr>
          <w:p>
            <w:pPr>
              <w:spacing w:after="0"/>
              <w:rPr>
                <w:sz w:val="1"/>
                <w:szCs w:val="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131E29"/>
              </w:rPr>
              <w:t>Tax receivable agreements liability, net of current portion</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218,768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220,923</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Finance lease liabilities, net of current portion</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315,385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237,130</w:t>
            </w:r>
          </w:p>
        </w:tc>
        <w:tc>
          <w:tcPr>
            <w:tcW w:w="0" w:type="dxa"/>
            <w:vAlign w:val="bottom"/>
          </w:tcPr>
          <w:p>
            <w:pPr>
              <w:spacing w:after="0"/>
              <w:rPr>
                <w:sz w:val="1"/>
                <w:szCs w:val="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131E29"/>
              </w:rPr>
              <w:t>Operating lease liabilities, net of current portion</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169,444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161,228</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Long-term debt, net of current portion</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94,506</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96,297</w:t>
            </w:r>
          </w:p>
        </w:tc>
        <w:tc>
          <w:tcPr>
            <w:tcW w:w="0" w:type="dxa"/>
            <w:vAlign w:val="bottom"/>
          </w:tcPr>
          <w:p>
            <w:pPr>
              <w:spacing w:after="0"/>
              <w:rPr>
                <w:sz w:val="1"/>
                <w:szCs w:val="1"/>
                <w:color w:val="auto"/>
              </w:rPr>
            </w:pPr>
          </w:p>
        </w:tc>
      </w:tr>
      <w:tr>
        <w:trPr>
          <w:trHeight w:val="264"/>
        </w:trPr>
        <w:tc>
          <w:tcPr>
            <w:tcW w:w="7120" w:type="dxa"/>
            <w:vAlign w:val="bottom"/>
          </w:tcPr>
          <w:p>
            <w:pPr>
              <w:ind w:left="20"/>
              <w:spacing w:after="0"/>
              <w:rPr>
                <w:sz w:val="20"/>
                <w:szCs w:val="20"/>
                <w:color w:val="auto"/>
              </w:rPr>
            </w:pPr>
            <w:r>
              <w:rPr>
                <w:rFonts w:ascii="Arial" w:cs="Arial" w:eastAsia="Arial" w:hAnsi="Arial"/>
                <w:sz w:val="18"/>
                <w:szCs w:val="18"/>
                <w:color w:val="131E29"/>
              </w:rPr>
              <w:t>Other long-term liabilities</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w:t>
            </w:r>
          </w:p>
        </w:tc>
        <w:tc>
          <w:tcPr>
            <w:tcW w:w="0" w:type="dxa"/>
            <w:vAlign w:val="bottom"/>
          </w:tcPr>
          <w:p>
            <w:pPr>
              <w:spacing w:after="0"/>
              <w:rPr>
                <w:sz w:val="1"/>
                <w:szCs w:val="1"/>
                <w:color w:val="auto"/>
              </w:rPr>
            </w:pPr>
          </w:p>
        </w:tc>
      </w:tr>
      <w:tr>
        <w:trPr>
          <w:trHeight w:val="250"/>
        </w:trPr>
        <w:tc>
          <w:tcPr>
            <w:tcW w:w="7120" w:type="dxa"/>
            <w:vAlign w:val="bottom"/>
            <w:tcBorders>
              <w:bottom w:val="single" w:sz="8" w:color="D2DCE5"/>
            </w:tcBorders>
            <w:shd w:val="clear" w:color="auto" w:fill="D2DCE5"/>
          </w:tcPr>
          <w:p>
            <w:pPr>
              <w:ind w:left="340"/>
              <w:spacing w:after="0"/>
              <w:rPr>
                <w:sz w:val="20"/>
                <w:szCs w:val="20"/>
                <w:color w:val="auto"/>
              </w:rPr>
            </w:pPr>
            <w:r>
              <w:rPr>
                <w:rFonts w:ascii="Arial" w:cs="Arial" w:eastAsia="Arial" w:hAnsi="Arial"/>
                <w:sz w:val="18"/>
                <w:szCs w:val="18"/>
                <w:color w:val="131E29"/>
              </w:rPr>
              <w:t>Total liabilities</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1,098,205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934,384</w:t>
            </w:r>
          </w:p>
        </w:tc>
        <w:tc>
          <w:tcPr>
            <w:tcW w:w="0" w:type="dxa"/>
            <w:vAlign w:val="bottom"/>
          </w:tcPr>
          <w:p>
            <w:pPr>
              <w:spacing w:after="0"/>
              <w:rPr>
                <w:sz w:val="1"/>
                <w:szCs w:val="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131E29"/>
              </w:rPr>
              <w:t>Commitments and contingencies (Note 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14"/>
          <w:szCs w:val="14"/>
          <w:u w:val="single" w:color="auto"/>
          <w:color w:val="006098"/>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131E29"/>
              </w:rPr>
              <w:t>June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131E29"/>
              </w:rPr>
              <w:t>December 31,</w:t>
            </w:r>
          </w:p>
        </w:tc>
      </w:tr>
      <w:tr>
        <w:trPr>
          <w:trHeight w:val="260"/>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20" w:type="dxa"/>
            <w:vAlign w:val="bottom"/>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1560" w:type="dxa"/>
            <w:vAlign w:val="bottom"/>
            <w:tcBorders>
              <w:bottom w:val="single" w:sz="8" w:color="131E29"/>
            </w:tcBorders>
          </w:tcPr>
          <w:p>
            <w:pPr>
              <w:jc w:val="right"/>
              <w:ind w:right="6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60" w:type="dxa"/>
            <w:vAlign w:val="bottom"/>
            <w:tcBorders>
              <w:bottom w:val="single" w:sz="8" w:color="131E29"/>
            </w:tcBorders>
          </w:tcPr>
          <w:p>
            <w:pPr>
              <w:spacing w:after="0"/>
              <w:rPr>
                <w:sz w:val="22"/>
                <w:szCs w:val="22"/>
                <w:color w:val="auto"/>
              </w:rPr>
            </w:pPr>
          </w:p>
        </w:tc>
        <w:tc>
          <w:tcPr>
            <w:tcW w:w="1680" w:type="dxa"/>
            <w:vAlign w:val="bottom"/>
            <w:tcBorders>
              <w:bottom w:val="single" w:sz="8" w:color="131E29"/>
            </w:tcBorders>
          </w:tcPr>
          <w:p>
            <w:pPr>
              <w:jc w:val="right"/>
              <w:ind w:right="670"/>
              <w:spacing w:after="0"/>
              <w:rPr>
                <w:sz w:val="20"/>
                <w:szCs w:val="20"/>
                <w:color w:val="auto"/>
              </w:rPr>
            </w:pPr>
            <w:r>
              <w:rPr>
                <w:rFonts w:ascii="Arial" w:cs="Arial" w:eastAsia="Arial" w:hAnsi="Arial"/>
                <w:sz w:val="18"/>
                <w:szCs w:val="18"/>
                <w:b w:val="1"/>
                <w:bCs w:val="1"/>
                <w:color w:val="131E29"/>
              </w:rPr>
              <w:t>2022</w:t>
            </w:r>
          </w:p>
        </w:tc>
      </w:tr>
      <w:tr>
        <w:trPr>
          <w:trHeight w:val="230"/>
        </w:trPr>
        <w:tc>
          <w:tcPr>
            <w:tcW w:w="716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Preferred stock, $0.00001 par value per share - 20,000 shares authorized; zero shares</w:t>
            </w:r>
          </w:p>
        </w:tc>
        <w:tc>
          <w:tcPr>
            <w:tcW w:w="12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5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1680" w:type="dxa"/>
            <w:vAlign w:val="bottom"/>
            <w:shd w:val="clear" w:color="auto" w:fill="D2DCE5"/>
          </w:tcPr>
          <w:p>
            <w:pPr>
              <w:spacing w:after="0"/>
              <w:rPr>
                <w:sz w:val="19"/>
                <w:szCs w:val="19"/>
                <w:color w:val="auto"/>
              </w:rPr>
            </w:pPr>
          </w:p>
        </w:tc>
      </w:tr>
      <w:tr>
        <w:trPr>
          <w:trHeight w:val="236"/>
        </w:trPr>
        <w:tc>
          <w:tcPr>
            <w:tcW w:w="716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issued and outstanding as of June 30, 2023 and December 31, 2022</w:t>
            </w:r>
          </w:p>
        </w:tc>
        <w:tc>
          <w:tcPr>
            <w:tcW w:w="120" w:type="dxa"/>
            <w:vAlign w:val="bottom"/>
            <w:tcBorders>
              <w:bottom w:val="single" w:sz="8" w:color="D2DCE5"/>
            </w:tcBorders>
            <w:shd w:val="clear" w:color="auto" w:fill="D2DCE5"/>
          </w:tcPr>
          <w:p>
            <w:pPr>
              <w:spacing w:after="0"/>
              <w:rPr>
                <w:sz w:val="20"/>
                <w:szCs w:val="20"/>
                <w:color w:val="auto"/>
              </w:rPr>
            </w:pPr>
          </w:p>
        </w:tc>
        <w:tc>
          <w:tcPr>
            <w:tcW w:w="360" w:type="dxa"/>
            <w:vAlign w:val="bottom"/>
            <w:tcBorders>
              <w:bottom w:val="single" w:sz="8" w:color="D2DCE5"/>
            </w:tcBorders>
            <w:shd w:val="clear" w:color="auto" w:fill="D2DCE5"/>
          </w:tcPr>
          <w:p>
            <w:pPr>
              <w:spacing w:after="0"/>
              <w:rPr>
                <w:sz w:val="20"/>
                <w:szCs w:val="20"/>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D2DCE5"/>
            </w:tcBorders>
            <w:shd w:val="clear" w:color="auto" w:fill="D2DCE5"/>
          </w:tcPr>
          <w:p>
            <w:pPr>
              <w:spacing w:after="0"/>
              <w:rPr>
                <w:sz w:val="20"/>
                <w:szCs w:val="20"/>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131E29"/>
              </w:rPr>
              <w:t>Class A common stock, $0.00001 par value per share - 400,000 shares authorized;</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131E29"/>
              </w:rPr>
              <w:t>45,674 and 45,544 shares issued and outstanding as of June 30, 2023 and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7160" w:type="dxa"/>
            <w:vAlign w:val="bottom"/>
          </w:tcPr>
          <w:p>
            <w:pPr>
              <w:ind w:left="180"/>
              <w:spacing w:after="0"/>
              <w:rPr>
                <w:sz w:val="20"/>
                <w:szCs w:val="20"/>
                <w:color w:val="auto"/>
              </w:rPr>
            </w:pPr>
            <w:r>
              <w:rPr>
                <w:rFonts w:ascii="Arial" w:cs="Arial" w:eastAsia="Arial" w:hAnsi="Arial"/>
                <w:sz w:val="18"/>
                <w:szCs w:val="18"/>
                <w:color w:val="131E29"/>
              </w:rPr>
              <w:t>December 31, 2022, respectively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0"/>
        </w:trPr>
        <w:tc>
          <w:tcPr>
            <w:tcW w:w="716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Class B common stock, $0.00001 par value per share - 144,000 shares authorized;</w:t>
            </w:r>
          </w:p>
        </w:tc>
        <w:tc>
          <w:tcPr>
            <w:tcW w:w="120" w:type="dxa"/>
            <w:vAlign w:val="bottom"/>
            <w:shd w:val="clear" w:color="auto" w:fill="D2DCE5"/>
          </w:tcPr>
          <w:p>
            <w:pPr>
              <w:spacing w:after="0"/>
              <w:rPr>
                <w:sz w:val="20"/>
                <w:szCs w:val="20"/>
                <w:color w:val="auto"/>
              </w:rPr>
            </w:pPr>
          </w:p>
        </w:tc>
        <w:tc>
          <w:tcPr>
            <w:tcW w:w="360" w:type="dxa"/>
            <w:vAlign w:val="bottom"/>
            <w:shd w:val="clear" w:color="auto" w:fill="D2DCE5"/>
          </w:tcPr>
          <w:p>
            <w:pPr>
              <w:spacing w:after="0"/>
              <w:rPr>
                <w:sz w:val="20"/>
                <w:szCs w:val="20"/>
                <w:color w:val="auto"/>
              </w:rPr>
            </w:pPr>
          </w:p>
        </w:tc>
        <w:tc>
          <w:tcPr>
            <w:tcW w:w="1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1680" w:type="dxa"/>
            <w:vAlign w:val="bottom"/>
            <w:shd w:val="clear" w:color="auto" w:fill="D2DCE5"/>
          </w:tcPr>
          <w:p>
            <w:pPr>
              <w:spacing w:after="0"/>
              <w:rPr>
                <w:sz w:val="20"/>
                <w:szCs w:val="20"/>
                <w:color w:val="auto"/>
              </w:rPr>
            </w:pPr>
          </w:p>
        </w:tc>
      </w:tr>
      <w:tr>
        <w:trPr>
          <w:trHeight w:val="236"/>
        </w:trPr>
        <w:tc>
          <w:tcPr>
            <w:tcW w:w="716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64,699 shares issued and outstanding as of June 30, 2023 and December 31, 2022</w:t>
            </w:r>
          </w:p>
        </w:tc>
        <w:tc>
          <w:tcPr>
            <w:tcW w:w="120" w:type="dxa"/>
            <w:vAlign w:val="bottom"/>
            <w:tcBorders>
              <w:bottom w:val="single" w:sz="8" w:color="D2DCE5"/>
            </w:tcBorders>
            <w:shd w:val="clear" w:color="auto" w:fill="D2DCE5"/>
          </w:tcPr>
          <w:p>
            <w:pPr>
              <w:spacing w:after="0"/>
              <w:rPr>
                <w:sz w:val="20"/>
                <w:szCs w:val="20"/>
                <w:color w:val="auto"/>
              </w:rPr>
            </w:pPr>
          </w:p>
        </w:tc>
        <w:tc>
          <w:tcPr>
            <w:tcW w:w="360" w:type="dxa"/>
            <w:vAlign w:val="bottom"/>
            <w:tcBorders>
              <w:bottom w:val="single" w:sz="8" w:color="D2DCE5"/>
            </w:tcBorders>
            <w:shd w:val="clear" w:color="auto" w:fill="D2DCE5"/>
          </w:tcPr>
          <w:p>
            <w:pPr>
              <w:spacing w:after="0"/>
              <w:rPr>
                <w:sz w:val="20"/>
                <w:szCs w:val="20"/>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w:t>
            </w: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D2DCE5"/>
            </w:tcBorders>
            <w:shd w:val="clear" w:color="auto" w:fill="D2DCE5"/>
          </w:tcPr>
          <w:p>
            <w:pPr>
              <w:spacing w:after="0"/>
              <w:rPr>
                <w:sz w:val="20"/>
                <w:szCs w:val="20"/>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w:t>
            </w: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131E29"/>
              </w:rPr>
              <w:t>Class C common stock, $0.00001 par value per share - 105,000 shares authorized;</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9"/>
        </w:trPr>
        <w:tc>
          <w:tcPr>
            <w:tcW w:w="7160" w:type="dxa"/>
            <w:vAlign w:val="bottom"/>
          </w:tcPr>
          <w:p>
            <w:pPr>
              <w:ind w:left="180"/>
              <w:spacing w:after="0"/>
              <w:rPr>
                <w:sz w:val="20"/>
                <w:szCs w:val="20"/>
                <w:color w:val="auto"/>
              </w:rPr>
            </w:pPr>
            <w:r>
              <w:rPr>
                <w:rFonts w:ascii="Arial" w:cs="Arial" w:eastAsia="Arial" w:hAnsi="Arial"/>
                <w:sz w:val="18"/>
                <w:szCs w:val="18"/>
                <w:color w:val="131E29"/>
              </w:rPr>
              <w:t>41,056 shares issued and outstanding as of June 30, 2023 and December 31, 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0"/>
        </w:trPr>
        <w:tc>
          <w:tcPr>
            <w:tcW w:w="716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Class D common stock, $0.00001 par value per share - 42,000 shares authorized;</w:t>
            </w:r>
          </w:p>
        </w:tc>
        <w:tc>
          <w:tcPr>
            <w:tcW w:w="120" w:type="dxa"/>
            <w:vAlign w:val="bottom"/>
            <w:shd w:val="clear" w:color="auto" w:fill="D2DCE5"/>
          </w:tcPr>
          <w:p>
            <w:pPr>
              <w:spacing w:after="0"/>
              <w:rPr>
                <w:sz w:val="20"/>
                <w:szCs w:val="20"/>
                <w:color w:val="auto"/>
              </w:rPr>
            </w:pPr>
          </w:p>
        </w:tc>
        <w:tc>
          <w:tcPr>
            <w:tcW w:w="360" w:type="dxa"/>
            <w:vAlign w:val="bottom"/>
            <w:shd w:val="clear" w:color="auto" w:fill="D2DCE5"/>
          </w:tcPr>
          <w:p>
            <w:pPr>
              <w:spacing w:after="0"/>
              <w:rPr>
                <w:sz w:val="20"/>
                <w:szCs w:val="20"/>
                <w:color w:val="auto"/>
              </w:rPr>
            </w:pPr>
          </w:p>
        </w:tc>
        <w:tc>
          <w:tcPr>
            <w:tcW w:w="1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1680" w:type="dxa"/>
            <w:vAlign w:val="bottom"/>
            <w:shd w:val="clear" w:color="auto" w:fill="D2DCE5"/>
          </w:tcPr>
          <w:p>
            <w:pPr>
              <w:spacing w:after="0"/>
              <w:rPr>
                <w:sz w:val="20"/>
                <w:szCs w:val="20"/>
                <w:color w:val="auto"/>
              </w:rPr>
            </w:pPr>
          </w:p>
        </w:tc>
      </w:tr>
      <w:tr>
        <w:trPr>
          <w:trHeight w:val="236"/>
        </w:trPr>
        <w:tc>
          <w:tcPr>
            <w:tcW w:w="716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12,411 shares issued and outstanding as of June 30, 2023 and December 31, 2022</w:t>
            </w:r>
          </w:p>
        </w:tc>
        <w:tc>
          <w:tcPr>
            <w:tcW w:w="120" w:type="dxa"/>
            <w:vAlign w:val="bottom"/>
            <w:tcBorders>
              <w:bottom w:val="single" w:sz="8" w:color="D2DCE5"/>
            </w:tcBorders>
            <w:shd w:val="clear" w:color="auto" w:fill="D2DCE5"/>
          </w:tcPr>
          <w:p>
            <w:pPr>
              <w:spacing w:after="0"/>
              <w:rPr>
                <w:sz w:val="20"/>
                <w:szCs w:val="20"/>
                <w:color w:val="auto"/>
              </w:rPr>
            </w:pPr>
          </w:p>
        </w:tc>
        <w:tc>
          <w:tcPr>
            <w:tcW w:w="360" w:type="dxa"/>
            <w:vAlign w:val="bottom"/>
            <w:tcBorders>
              <w:bottom w:val="single" w:sz="8" w:color="D2DCE5"/>
            </w:tcBorders>
            <w:shd w:val="clear" w:color="auto" w:fill="D2DCE5"/>
          </w:tcPr>
          <w:p>
            <w:pPr>
              <w:spacing w:after="0"/>
              <w:rPr>
                <w:sz w:val="20"/>
                <w:szCs w:val="20"/>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D2DCE5"/>
            </w:tcBorders>
            <w:shd w:val="clear" w:color="auto" w:fill="D2DCE5"/>
          </w:tcPr>
          <w:p>
            <w:pPr>
              <w:spacing w:after="0"/>
              <w:rPr>
                <w:sz w:val="20"/>
                <w:szCs w:val="20"/>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43"/>
        </w:trPr>
        <w:tc>
          <w:tcPr>
            <w:tcW w:w="7160" w:type="dxa"/>
            <w:vAlign w:val="bottom"/>
          </w:tcPr>
          <w:p>
            <w:pPr>
              <w:ind w:left="180"/>
              <w:spacing w:after="0"/>
              <w:rPr>
                <w:sz w:val="20"/>
                <w:szCs w:val="20"/>
                <w:color w:val="auto"/>
              </w:rPr>
            </w:pPr>
            <w:r>
              <w:rPr>
                <w:rFonts w:ascii="Arial" w:cs="Arial" w:eastAsia="Arial" w:hAnsi="Arial"/>
                <w:sz w:val="18"/>
                <w:szCs w:val="18"/>
                <w:color w:val="131E29"/>
              </w:rPr>
              <w:t>Additional paid in capital</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152,900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145,613</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Accumulated other comprehensive income</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813</w:t>
            </w:r>
          </w:p>
        </w:tc>
      </w:tr>
      <w:tr>
        <w:trPr>
          <w:trHeight w:val="263"/>
        </w:trPr>
        <w:tc>
          <w:tcPr>
            <w:tcW w:w="7160" w:type="dxa"/>
            <w:vAlign w:val="bottom"/>
          </w:tcPr>
          <w:p>
            <w:pPr>
              <w:ind w:left="180"/>
              <w:spacing w:after="0"/>
              <w:rPr>
                <w:sz w:val="20"/>
                <w:szCs w:val="20"/>
                <w:color w:val="auto"/>
              </w:rPr>
            </w:pPr>
            <w:r>
              <w:rPr>
                <w:rFonts w:ascii="Arial" w:cs="Arial" w:eastAsia="Arial" w:hAnsi="Arial"/>
                <w:sz w:val="18"/>
                <w:szCs w:val="18"/>
                <w:color w:val="131E29"/>
              </w:rPr>
              <w:t>Accumulated deficit</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(18,400)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(17,310)</w:t>
            </w:r>
          </w:p>
        </w:tc>
      </w:tr>
      <w:tr>
        <w:trPr>
          <w:trHeight w:val="250"/>
        </w:trPr>
        <w:tc>
          <w:tcPr>
            <w:tcW w:w="7160" w:type="dxa"/>
            <w:vAlign w:val="bottom"/>
            <w:tcBorders>
              <w:bottom w:val="single" w:sz="8" w:color="D2DCE5"/>
            </w:tcBorders>
            <w:shd w:val="clear" w:color="auto" w:fill="D2DCE5"/>
          </w:tcPr>
          <w:p>
            <w:pPr>
              <w:ind w:left="360"/>
              <w:spacing w:after="0"/>
              <w:rPr>
                <w:sz w:val="20"/>
                <w:szCs w:val="20"/>
                <w:color w:val="auto"/>
              </w:rPr>
            </w:pPr>
            <w:r>
              <w:rPr>
                <w:rFonts w:ascii="Arial" w:cs="Arial" w:eastAsia="Arial" w:hAnsi="Arial"/>
                <w:sz w:val="18"/>
                <w:szCs w:val="18"/>
                <w:color w:val="131E29"/>
              </w:rPr>
              <w:t>Total stockholders' equity attributable to Dutch Bros Inc.</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135,407</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129,118</w:t>
            </w:r>
          </w:p>
        </w:tc>
      </w:tr>
      <w:tr>
        <w:trPr>
          <w:trHeight w:val="263"/>
        </w:trPr>
        <w:tc>
          <w:tcPr>
            <w:tcW w:w="7160" w:type="dxa"/>
            <w:vAlign w:val="bottom"/>
          </w:tcPr>
          <w:p>
            <w:pPr>
              <w:ind w:left="20"/>
              <w:spacing w:after="0"/>
              <w:rPr>
                <w:sz w:val="20"/>
                <w:szCs w:val="20"/>
                <w:color w:val="auto"/>
              </w:rPr>
            </w:pPr>
            <w:r>
              <w:rPr>
                <w:rFonts w:ascii="Arial" w:cs="Arial" w:eastAsia="Arial" w:hAnsi="Arial"/>
                <w:sz w:val="18"/>
                <w:szCs w:val="18"/>
                <w:color w:val="131E29"/>
              </w:rPr>
              <w:t>Non-controlling interests</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134,668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122,858</w:t>
            </w:r>
          </w:p>
        </w:tc>
      </w:tr>
      <w:tr>
        <w:trPr>
          <w:trHeight w:val="263"/>
        </w:trPr>
        <w:tc>
          <w:tcPr>
            <w:tcW w:w="716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Total equity</w:t>
            </w:r>
          </w:p>
        </w:tc>
        <w:tc>
          <w:tcPr>
            <w:tcW w:w="12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auto"/>
            </w:tcBorders>
            <w:shd w:val="clear" w:color="auto" w:fill="D2DCE5"/>
          </w:tcPr>
          <w:p>
            <w:pPr>
              <w:spacing w:after="0"/>
              <w:rPr>
                <w:sz w:val="22"/>
                <w:szCs w:val="22"/>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270,075</w:t>
            </w: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251,976</w:t>
            </w:r>
          </w:p>
        </w:tc>
      </w:tr>
      <w:tr>
        <w:trPr>
          <w:trHeight w:val="270"/>
        </w:trPr>
        <w:tc>
          <w:tcPr>
            <w:tcW w:w="7160" w:type="dxa"/>
            <w:vAlign w:val="bottom"/>
          </w:tcPr>
          <w:p>
            <w:pPr>
              <w:ind w:left="520"/>
              <w:spacing w:after="0"/>
              <w:rPr>
                <w:sz w:val="20"/>
                <w:szCs w:val="20"/>
                <w:color w:val="auto"/>
              </w:rPr>
            </w:pPr>
            <w:r>
              <w:rPr>
                <w:rFonts w:ascii="Arial" w:cs="Arial" w:eastAsia="Arial" w:hAnsi="Arial"/>
                <w:sz w:val="18"/>
                <w:szCs w:val="18"/>
                <w:color w:val="131E29"/>
              </w:rPr>
              <w:t>Total liabilities and equity</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131E2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1,368,280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131E29"/>
              </w:rPr>
              <w:t>$</w:t>
            </w:r>
          </w:p>
        </w:tc>
        <w:tc>
          <w:tcPr>
            <w:tcW w:w="1680" w:type="dxa"/>
            <w:vAlign w:val="bottom"/>
          </w:tcPr>
          <w:p>
            <w:pPr>
              <w:jc w:val="right"/>
              <w:spacing w:after="0"/>
              <w:rPr>
                <w:sz w:val="20"/>
                <w:szCs w:val="20"/>
                <w:color w:val="auto"/>
              </w:rPr>
            </w:pPr>
            <w:r>
              <w:rPr>
                <w:rFonts w:ascii="Arial" w:cs="Arial" w:eastAsia="Arial" w:hAnsi="Arial"/>
                <w:sz w:val="18"/>
                <w:szCs w:val="18"/>
                <w:color w:val="131E29"/>
              </w:rPr>
              <w:t>1,186,360</w:t>
            </w:r>
          </w:p>
        </w:tc>
      </w:tr>
      <w:tr>
        <w:trPr>
          <w:trHeight w:val="21"/>
        </w:trPr>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Operations</w:t>
      </w: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131E29"/>
                <w:w w:val="99"/>
              </w:rPr>
              <w:t>Three Months Ended June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131E29"/>
              </w:rPr>
              <w:t>30,</w:t>
            </w:r>
          </w:p>
        </w:tc>
        <w:tc>
          <w:tcPr>
            <w:tcW w:w="9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131E29"/>
                <w:w w:val="99"/>
              </w:rPr>
              <w:t>Six Months Ended June 30,</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2023</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2022</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14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9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131E29"/>
              </w:rPr>
              <w:t>220,952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131E29"/>
              </w:rPr>
              <w:t>$</w:t>
            </w:r>
          </w:p>
        </w:tc>
        <w:tc>
          <w:tcPr>
            <w:tcW w:w="980" w:type="dxa"/>
            <w:vAlign w:val="bottom"/>
          </w:tcPr>
          <w:p>
            <w:pPr>
              <w:jc w:val="right"/>
              <w:spacing w:after="0"/>
              <w:rPr>
                <w:sz w:val="20"/>
                <w:szCs w:val="20"/>
                <w:color w:val="auto"/>
              </w:rPr>
            </w:pPr>
            <w:r>
              <w:rPr>
                <w:rFonts w:ascii="Arial" w:cs="Arial" w:eastAsia="Arial" w:hAnsi="Arial"/>
                <w:sz w:val="18"/>
                <w:szCs w:val="18"/>
                <w:color w:val="131E29"/>
              </w:rPr>
              <w:t>160,512</w:t>
            </w:r>
          </w:p>
        </w:tc>
        <w:tc>
          <w:tcPr>
            <w:tcW w:w="200" w:type="dxa"/>
            <w:vAlign w:val="bottom"/>
            <w:gridSpan w:val="2"/>
          </w:tcPr>
          <w:p>
            <w:pPr>
              <w:jc w:val="right"/>
              <w:spacing w:after="0"/>
              <w:rPr>
                <w:sz w:val="20"/>
                <w:szCs w:val="20"/>
                <w:color w:val="auto"/>
              </w:rPr>
            </w:pPr>
            <w:r>
              <w:rPr>
                <w:rFonts w:ascii="Arial" w:cs="Arial" w:eastAsia="Arial" w:hAnsi="Arial"/>
                <w:sz w:val="18"/>
                <w:szCs w:val="18"/>
                <w:color w:val="131E29"/>
              </w:rPr>
              <w:t>$</w:t>
            </w:r>
          </w:p>
        </w:tc>
        <w:tc>
          <w:tcPr>
            <w:tcW w:w="1120" w:type="dxa"/>
            <w:vAlign w:val="bottom"/>
          </w:tcPr>
          <w:p>
            <w:pPr>
              <w:jc w:val="right"/>
              <w:spacing w:after="0"/>
              <w:rPr>
                <w:sz w:val="20"/>
                <w:szCs w:val="20"/>
                <w:color w:val="auto"/>
              </w:rPr>
            </w:pPr>
            <w:r>
              <w:rPr>
                <w:rFonts w:ascii="Arial" w:cs="Arial" w:eastAsia="Arial" w:hAnsi="Arial"/>
                <w:sz w:val="18"/>
                <w:szCs w:val="18"/>
                <w:color w:val="131E29"/>
              </w:rPr>
              <w:t>394,116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131E2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290,699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140" w:type="dxa"/>
            <w:vAlign w:val="bottom"/>
            <w:tcBorders>
              <w:bottom w:val="single" w:sz="8" w:color="auto"/>
            </w:tcBorders>
            <w:shd w:val="clear" w:color="auto" w:fill="D2DCE5"/>
          </w:tcPr>
          <w:p>
            <w:pPr>
              <w:spacing w:after="0"/>
              <w:rPr>
                <w:sz w:val="22"/>
                <w:szCs w:val="22"/>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28,927</w:t>
            </w:r>
          </w:p>
        </w:tc>
        <w:tc>
          <w:tcPr>
            <w:tcW w:w="8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25,869</w:t>
            </w:r>
          </w:p>
        </w:tc>
        <w:tc>
          <w:tcPr>
            <w:tcW w:w="80" w:type="dxa"/>
            <w:vAlign w:val="bottom"/>
            <w:tcBorders>
              <w:bottom w:val="single" w:sz="8" w:color="D2DCE5"/>
            </w:tcBorders>
            <w:shd w:val="clear" w:color="auto" w:fill="D2DCE5"/>
          </w:tcPr>
          <w:p>
            <w:pPr>
              <w:spacing w:after="0"/>
              <w:rPr>
                <w:sz w:val="22"/>
                <w:szCs w:val="22"/>
                <w:color w:val="auto"/>
              </w:rPr>
            </w:pPr>
          </w:p>
        </w:tc>
        <w:tc>
          <w:tcPr>
            <w:tcW w:w="120" w:type="dxa"/>
            <w:vAlign w:val="bottom"/>
            <w:tcBorders>
              <w:bottom w:val="single" w:sz="8" w:color="auto"/>
            </w:tcBorders>
            <w:shd w:val="clear" w:color="auto" w:fill="D2DCE5"/>
          </w:tcPr>
          <w:p>
            <w:pPr>
              <w:spacing w:after="0"/>
              <w:rPr>
                <w:sz w:val="22"/>
                <w:szCs w:val="22"/>
                <w:color w:val="auto"/>
              </w:rPr>
            </w:pPr>
          </w:p>
        </w:tc>
        <w:tc>
          <w:tcPr>
            <w:tcW w:w="1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53,030</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47,838</w:t>
            </w:r>
          </w:p>
        </w:tc>
        <w:tc>
          <w:tcPr>
            <w:tcW w:w="0" w:type="dxa"/>
            <w:vAlign w:val="bottom"/>
          </w:tcPr>
          <w:p>
            <w:pPr>
              <w:spacing w:after="0"/>
              <w:rPr>
                <w:sz w:val="1"/>
                <w:szCs w:val="1"/>
                <w:color w:val="auto"/>
              </w:rPr>
            </w:pPr>
          </w:p>
        </w:tc>
      </w:tr>
      <w:tr>
        <w:trPr>
          <w:trHeight w:val="263"/>
        </w:trPr>
        <w:tc>
          <w:tcPr>
            <w:tcW w:w="564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249,879</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186,381</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447,146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338,537</w:t>
            </w:r>
          </w:p>
        </w:tc>
        <w:tc>
          <w:tcPr>
            <w:tcW w:w="0" w:type="dxa"/>
            <w:vAlign w:val="bottom"/>
          </w:tcPr>
          <w:p>
            <w:pPr>
              <w:spacing w:after="0"/>
              <w:rPr>
                <w:sz w:val="1"/>
                <w:szCs w:val="1"/>
                <w:color w:val="auto"/>
              </w:rPr>
            </w:pPr>
          </w:p>
        </w:tc>
      </w:tr>
      <w:tr>
        <w:trPr>
          <w:trHeight w:val="257"/>
        </w:trPr>
        <w:tc>
          <w:tcPr>
            <w:tcW w:w="55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40" w:type="dxa"/>
            <w:vAlign w:val="bottom"/>
            <w:shd w:val="clear" w:color="auto" w:fill="D2DCE5"/>
          </w:tcPr>
          <w:p>
            <w:pPr>
              <w:spacing w:after="0"/>
              <w:rPr>
                <w:sz w:val="22"/>
                <w:szCs w:val="22"/>
                <w:color w:val="auto"/>
              </w:rPr>
            </w:pPr>
          </w:p>
        </w:tc>
        <w:tc>
          <w:tcPr>
            <w:tcW w:w="110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9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96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131E29"/>
              </w:rPr>
              <w:t>COSTS AND EXPENSES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14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178,636</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141,370</w:t>
            </w:r>
          </w:p>
        </w:tc>
        <w:tc>
          <w:tcPr>
            <w:tcW w:w="8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330,159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262,537</w:t>
            </w:r>
          </w:p>
        </w:tc>
        <w:tc>
          <w:tcPr>
            <w:tcW w:w="0" w:type="dxa"/>
            <w:vAlign w:val="bottom"/>
          </w:tcPr>
          <w:p>
            <w:pPr>
              <w:spacing w:after="0"/>
              <w:rPr>
                <w:sz w:val="1"/>
                <w:szCs w:val="1"/>
                <w:color w:val="auto"/>
              </w:rPr>
            </w:pP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51,662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31E29"/>
              </w:rPr>
              <w:t>42,342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97,638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87,556</w:t>
            </w:r>
          </w:p>
        </w:tc>
        <w:tc>
          <w:tcPr>
            <w:tcW w:w="0" w:type="dxa"/>
            <w:vAlign w:val="bottom"/>
          </w:tcPr>
          <w:p>
            <w:pPr>
              <w:spacing w:after="0"/>
              <w:rPr>
                <w:sz w:val="1"/>
                <w:szCs w:val="1"/>
                <w:color w:val="auto"/>
              </w:rPr>
            </w:pPr>
          </w:p>
        </w:tc>
      </w:tr>
      <w:tr>
        <w:trPr>
          <w:trHeight w:val="27"/>
        </w:trPr>
        <w:tc>
          <w:tcPr>
            <w:tcW w:w="55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costs and expenses</w:t>
            </w:r>
          </w:p>
        </w:tc>
        <w:tc>
          <w:tcPr>
            <w:tcW w:w="140" w:type="dxa"/>
            <w:vAlign w:val="bottom"/>
            <w:tcBorders>
              <w:bottom w:val="single" w:sz="8" w:color="D2DCE5"/>
            </w:tcBorders>
            <w:shd w:val="clear" w:color="auto" w:fill="D2DCE5"/>
          </w:tcPr>
          <w:p>
            <w:pPr>
              <w:spacing w:after="0"/>
              <w:rPr>
                <w:sz w:val="22"/>
                <w:szCs w:val="22"/>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230,298</w:t>
            </w:r>
          </w:p>
        </w:tc>
        <w:tc>
          <w:tcPr>
            <w:tcW w:w="8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183,712</w:t>
            </w:r>
          </w:p>
        </w:tc>
        <w:tc>
          <w:tcPr>
            <w:tcW w:w="80" w:type="dxa"/>
            <w:vAlign w:val="bottom"/>
            <w:tcBorders>
              <w:bottom w:val="single" w:sz="8" w:color="D2DCE5"/>
            </w:tcBorders>
            <w:shd w:val="clear" w:color="auto" w:fill="D2DCE5"/>
          </w:tcPr>
          <w:p>
            <w:pPr>
              <w:spacing w:after="0"/>
              <w:rPr>
                <w:sz w:val="22"/>
                <w:szCs w:val="22"/>
                <w:color w:val="auto"/>
              </w:rPr>
            </w:pPr>
          </w:p>
        </w:tc>
        <w:tc>
          <w:tcPr>
            <w:tcW w:w="120" w:type="dxa"/>
            <w:vAlign w:val="bottom"/>
            <w:tcBorders>
              <w:bottom w:val="single" w:sz="8" w:color="D2DCE5"/>
            </w:tcBorders>
            <w:shd w:val="clear" w:color="auto" w:fill="D2DCE5"/>
          </w:tcPr>
          <w:p>
            <w:pPr>
              <w:spacing w:after="0"/>
              <w:rPr>
                <w:sz w:val="22"/>
                <w:szCs w:val="22"/>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427,797</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350,093</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(LOSS) FROM OPERATIONS</w:t>
            </w:r>
          </w:p>
        </w:tc>
        <w:tc>
          <w:tcPr>
            <w:tcW w:w="14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19,581</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2,669</w:t>
            </w:r>
          </w:p>
        </w:tc>
        <w:tc>
          <w:tcPr>
            <w:tcW w:w="8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19,349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(11,556)</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EXPENSE</w:t>
            </w:r>
          </w:p>
        </w:tc>
        <w:tc>
          <w:tcPr>
            <w:tcW w:w="14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9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(9,058)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31E29"/>
              </w:rPr>
              <w:t>(3,596)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(16,944)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(6,085)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income</w:t>
            </w:r>
          </w:p>
        </w:tc>
        <w:tc>
          <w:tcPr>
            <w:tcW w:w="140" w:type="dxa"/>
            <w:vAlign w:val="bottom"/>
            <w:tcBorders>
              <w:bottom w:val="single" w:sz="8" w:color="auto"/>
            </w:tcBorders>
            <w:shd w:val="clear" w:color="auto" w:fill="D2DCE5"/>
          </w:tcPr>
          <w:p>
            <w:pPr>
              <w:spacing w:after="0"/>
              <w:rPr>
                <w:sz w:val="22"/>
                <w:szCs w:val="22"/>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1,039</w:t>
            </w:r>
          </w:p>
        </w:tc>
        <w:tc>
          <w:tcPr>
            <w:tcW w:w="8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61</w:t>
            </w:r>
          </w:p>
        </w:tc>
        <w:tc>
          <w:tcPr>
            <w:tcW w:w="80" w:type="dxa"/>
            <w:vAlign w:val="bottom"/>
            <w:tcBorders>
              <w:bottom w:val="single" w:sz="8" w:color="D2DCE5"/>
            </w:tcBorders>
            <w:shd w:val="clear" w:color="auto" w:fill="D2DCE5"/>
          </w:tcPr>
          <w:p>
            <w:pPr>
              <w:spacing w:after="0"/>
              <w:rPr>
                <w:sz w:val="22"/>
                <w:szCs w:val="22"/>
                <w:color w:val="auto"/>
              </w:rPr>
            </w:pPr>
          </w:p>
        </w:tc>
        <w:tc>
          <w:tcPr>
            <w:tcW w:w="120" w:type="dxa"/>
            <w:vAlign w:val="bottom"/>
            <w:tcBorders>
              <w:bottom w:val="single" w:sz="8" w:color="auto"/>
            </w:tcBorders>
            <w:shd w:val="clear" w:color="auto" w:fill="D2DCE5"/>
          </w:tcPr>
          <w:p>
            <w:pPr>
              <w:spacing w:after="0"/>
              <w:rPr>
                <w:sz w:val="22"/>
                <w:szCs w:val="22"/>
                <w:color w:val="auto"/>
              </w:rPr>
            </w:pPr>
          </w:p>
        </w:tc>
        <w:tc>
          <w:tcPr>
            <w:tcW w:w="1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2,346</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282</w:t>
            </w:r>
          </w:p>
        </w:tc>
        <w:tc>
          <w:tcPr>
            <w:tcW w:w="0" w:type="dxa"/>
            <w:vAlign w:val="bottom"/>
          </w:tcPr>
          <w:p>
            <w:pPr>
              <w:spacing w:after="0"/>
              <w:rPr>
                <w:sz w:val="1"/>
                <w:szCs w:val="1"/>
                <w:color w:val="auto"/>
              </w:rPr>
            </w:pPr>
          </w:p>
        </w:tc>
      </w:tr>
      <w:tr>
        <w:trPr>
          <w:trHeight w:val="263"/>
        </w:trPr>
        <w:tc>
          <w:tcPr>
            <w:tcW w:w="5640" w:type="dxa"/>
            <w:vAlign w:val="bottom"/>
            <w:gridSpan w:val="2"/>
          </w:tcPr>
          <w:p>
            <w:pPr>
              <w:ind w:left="360"/>
              <w:spacing w:after="0"/>
              <w:rPr>
                <w:sz w:val="20"/>
                <w:szCs w:val="20"/>
                <w:color w:val="auto"/>
              </w:rPr>
            </w:pPr>
            <w:r>
              <w:rPr>
                <w:rFonts w:ascii="Arial" w:cs="Arial" w:eastAsia="Arial" w:hAnsi="Arial"/>
                <w:sz w:val="18"/>
                <w:szCs w:val="18"/>
                <w:color w:val="131E29"/>
              </w:rPr>
              <w:t>Total other expense</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(8,019)</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(3,535)</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(14,598)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(5,803)</w:t>
            </w:r>
          </w:p>
        </w:tc>
        <w:tc>
          <w:tcPr>
            <w:tcW w:w="0" w:type="dxa"/>
            <w:vAlign w:val="bottom"/>
          </w:tcPr>
          <w:p>
            <w:pPr>
              <w:spacing w:after="0"/>
              <w:rPr>
                <w:sz w:val="1"/>
                <w:szCs w:val="1"/>
                <w:color w:val="auto"/>
              </w:rPr>
            </w:pPr>
          </w:p>
        </w:tc>
      </w:tr>
      <w:tr>
        <w:trPr>
          <w:trHeight w:val="257"/>
        </w:trPr>
        <w:tc>
          <w:tcPr>
            <w:tcW w:w="55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40" w:type="dxa"/>
            <w:vAlign w:val="bottom"/>
            <w:shd w:val="clear" w:color="auto" w:fill="D2DCE5"/>
          </w:tcPr>
          <w:p>
            <w:pPr>
              <w:spacing w:after="0"/>
              <w:rPr>
                <w:sz w:val="22"/>
                <w:szCs w:val="22"/>
                <w:color w:val="auto"/>
              </w:rPr>
            </w:pPr>
          </w:p>
        </w:tc>
        <w:tc>
          <w:tcPr>
            <w:tcW w:w="110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9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96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131E29"/>
              </w:rPr>
              <w:t>INCOME (LOSS) BEFORE INCOME TAXES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11,562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31E29"/>
              </w:rPr>
              <w:t>(866)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4,751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(17,359)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140" w:type="dxa"/>
            <w:vAlign w:val="bottom"/>
            <w:tcBorders>
              <w:bottom w:val="single" w:sz="8" w:color="D2DCE5"/>
            </w:tcBorders>
            <w:shd w:val="clear" w:color="auto" w:fill="D2DCE5"/>
          </w:tcPr>
          <w:p>
            <w:pPr>
              <w:spacing w:after="0"/>
              <w:rPr>
                <w:sz w:val="23"/>
                <w:szCs w:val="23"/>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1,851</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885</w:t>
            </w:r>
          </w:p>
        </w:tc>
        <w:tc>
          <w:tcPr>
            <w:tcW w:w="80" w:type="dxa"/>
            <w:vAlign w:val="bottom"/>
            <w:tcBorders>
              <w:bottom w:val="single" w:sz="8" w:color="D2DCE5"/>
            </w:tcBorders>
            <w:shd w:val="clear" w:color="auto" w:fill="D2DCE5"/>
          </w:tcPr>
          <w:p>
            <w:pPr>
              <w:spacing w:after="0"/>
              <w:rPr>
                <w:sz w:val="23"/>
                <w:szCs w:val="23"/>
                <w:color w:val="auto"/>
              </w:rPr>
            </w:pPr>
          </w:p>
        </w:tc>
        <w:tc>
          <w:tcPr>
            <w:tcW w:w="1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4,431</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671</w:t>
            </w:r>
          </w:p>
        </w:tc>
        <w:tc>
          <w:tcPr>
            <w:tcW w:w="0" w:type="dxa"/>
            <w:vAlign w:val="bottom"/>
          </w:tcPr>
          <w:p>
            <w:pPr>
              <w:spacing w:after="0"/>
              <w:rPr>
                <w:sz w:val="1"/>
                <w:szCs w:val="1"/>
                <w:color w:val="auto"/>
              </w:rPr>
            </w:pPr>
          </w:p>
        </w:tc>
      </w:tr>
      <w:tr>
        <w:trPr>
          <w:trHeight w:val="237"/>
        </w:trPr>
        <w:tc>
          <w:tcPr>
            <w:tcW w:w="5640" w:type="dxa"/>
            <w:vAlign w:val="bottom"/>
            <w:gridSpan w:val="2"/>
          </w:tcPr>
          <w:p>
            <w:pPr>
              <w:ind w:left="20"/>
              <w:spacing w:after="0"/>
              <w:rPr>
                <w:sz w:val="20"/>
                <w:szCs w:val="20"/>
                <w:color w:val="auto"/>
              </w:rPr>
            </w:pPr>
            <w:r>
              <w:rPr>
                <w:rFonts w:ascii="Arial" w:cs="Arial" w:eastAsia="Arial" w:hAnsi="Arial"/>
                <w:sz w:val="18"/>
                <w:szCs w:val="18"/>
                <w:color w:val="131E29"/>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9,711</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131E2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(1,751)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320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(18,030)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(loss) attributable to non-controlling interests</w:t>
            </w:r>
          </w:p>
        </w:tc>
        <w:tc>
          <w:tcPr>
            <w:tcW w:w="140" w:type="dxa"/>
            <w:vAlign w:val="bottom"/>
            <w:tcBorders>
              <w:bottom w:val="single" w:sz="8" w:color="D2DCE5"/>
            </w:tcBorders>
            <w:shd w:val="clear" w:color="auto" w:fill="D2DCE5"/>
          </w:tcPr>
          <w:p>
            <w:pPr>
              <w:spacing w:after="0"/>
              <w:rPr>
                <w:sz w:val="23"/>
                <w:szCs w:val="23"/>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6,959</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(845)</w:t>
            </w:r>
          </w:p>
        </w:tc>
        <w:tc>
          <w:tcPr>
            <w:tcW w:w="80" w:type="dxa"/>
            <w:vAlign w:val="bottom"/>
            <w:tcBorders>
              <w:bottom w:val="single" w:sz="8" w:color="D2DCE5"/>
            </w:tcBorders>
            <w:shd w:val="clear" w:color="auto" w:fill="D2DCE5"/>
          </w:tcPr>
          <w:p>
            <w:pPr>
              <w:spacing w:after="0"/>
              <w:rPr>
                <w:sz w:val="23"/>
                <w:szCs w:val="23"/>
                <w:color w:val="auto"/>
              </w:rPr>
            </w:pPr>
          </w:p>
        </w:tc>
        <w:tc>
          <w:tcPr>
            <w:tcW w:w="1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1,410</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(12,177)</w:t>
            </w:r>
          </w:p>
        </w:tc>
        <w:tc>
          <w:tcPr>
            <w:tcW w:w="0" w:type="dxa"/>
            <w:vAlign w:val="bottom"/>
          </w:tcPr>
          <w:p>
            <w:pPr>
              <w:spacing w:after="0"/>
              <w:rPr>
                <w:sz w:val="1"/>
                <w:szCs w:val="1"/>
                <w:color w:val="auto"/>
              </w:rPr>
            </w:pPr>
          </w:p>
        </w:tc>
      </w:tr>
      <w:tr>
        <w:trPr>
          <w:trHeight w:val="263"/>
        </w:trPr>
        <w:tc>
          <w:tcPr>
            <w:tcW w:w="5640" w:type="dxa"/>
            <w:vAlign w:val="bottom"/>
            <w:gridSpan w:val="2"/>
          </w:tcPr>
          <w:p>
            <w:pPr>
              <w:ind w:left="20"/>
              <w:spacing w:after="0"/>
              <w:rPr>
                <w:sz w:val="20"/>
                <w:szCs w:val="20"/>
                <w:color w:val="auto"/>
              </w:rPr>
            </w:pPr>
            <w:r>
              <w:rPr>
                <w:rFonts w:ascii="Arial" w:cs="Arial" w:eastAsia="Arial" w:hAnsi="Arial"/>
                <w:sz w:val="18"/>
                <w:szCs w:val="18"/>
                <w:color w:val="131E29"/>
              </w:rPr>
              <w:t>NET INCOME (LOSS) ATTRIBUTABLE TO DUTCH BROS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2,752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131E2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(906)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(1,090)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(5,853)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 per share of Class A and Class D common stock:</w:t>
            </w:r>
          </w:p>
        </w:tc>
        <w:tc>
          <w:tcPr>
            <w:tcW w:w="140" w:type="dxa"/>
            <w:vAlign w:val="bottom"/>
            <w:tcBorders>
              <w:bottom w:val="single" w:sz="8" w:color="D2DCE5"/>
            </w:tcBorders>
            <w:shd w:val="clear" w:color="auto" w:fill="D2DCE5"/>
          </w:tcPr>
          <w:p>
            <w:pPr>
              <w:spacing w:after="0"/>
              <w:rPr>
                <w:sz w:val="18"/>
                <w:szCs w:val="18"/>
                <w:color w:val="auto"/>
              </w:rPr>
            </w:pPr>
          </w:p>
        </w:tc>
        <w:tc>
          <w:tcPr>
            <w:tcW w:w="110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98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120" w:type="dxa"/>
            <w:vAlign w:val="bottom"/>
            <w:tcBorders>
              <w:bottom w:val="single" w:sz="8" w:color="D2DCE5"/>
            </w:tcBorders>
            <w:shd w:val="clear" w:color="auto" w:fill="D2DCE5"/>
          </w:tcPr>
          <w:p>
            <w:pPr>
              <w:spacing w:after="0"/>
              <w:rPr>
                <w:sz w:val="18"/>
                <w:szCs w:val="18"/>
                <w:color w:val="auto"/>
              </w:rPr>
            </w:pPr>
          </w:p>
        </w:tc>
        <w:tc>
          <w:tcPr>
            <w:tcW w:w="112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960" w:type="dxa"/>
            <w:vAlign w:val="bottom"/>
            <w:tcBorders>
              <w:bottom w:val="single" w:sz="8" w:color="D2DCE5"/>
            </w:tcBorders>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40" w:type="dxa"/>
            <w:vAlign w:val="bottom"/>
            <w:gridSpan w:val="2"/>
          </w:tcPr>
          <w:p>
            <w:pPr>
              <w:ind w:left="180"/>
              <w:spacing w:after="0"/>
              <w:rPr>
                <w:sz w:val="20"/>
                <w:szCs w:val="20"/>
                <w:color w:val="auto"/>
              </w:rPr>
            </w:pPr>
            <w:r>
              <w:rPr>
                <w:rFonts w:ascii="Arial" w:cs="Arial" w:eastAsia="Arial" w:hAnsi="Arial"/>
                <w:sz w:val="18"/>
                <w:szCs w:val="18"/>
                <w:color w:val="131E29"/>
              </w:rPr>
              <w:t>Basic</w:t>
            </w: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131E29"/>
              </w:rPr>
              <w:t>0.05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131E29"/>
              </w:rPr>
              <w:t>$</w:t>
            </w:r>
          </w:p>
        </w:tc>
        <w:tc>
          <w:tcPr>
            <w:tcW w:w="980" w:type="dxa"/>
            <w:vAlign w:val="bottom"/>
          </w:tcPr>
          <w:p>
            <w:pPr>
              <w:jc w:val="right"/>
              <w:spacing w:after="0"/>
              <w:rPr>
                <w:sz w:val="20"/>
                <w:szCs w:val="20"/>
                <w:color w:val="auto"/>
              </w:rPr>
            </w:pPr>
            <w:r>
              <w:rPr>
                <w:rFonts w:ascii="Arial" w:cs="Arial" w:eastAsia="Arial" w:hAnsi="Arial"/>
                <w:sz w:val="18"/>
                <w:szCs w:val="18"/>
                <w:color w:val="131E29"/>
              </w:rPr>
              <w:t>(0.02)</w:t>
            </w:r>
          </w:p>
        </w:tc>
        <w:tc>
          <w:tcPr>
            <w:tcW w:w="200" w:type="dxa"/>
            <w:vAlign w:val="bottom"/>
            <w:gridSpan w:val="2"/>
          </w:tcPr>
          <w:p>
            <w:pPr>
              <w:jc w:val="right"/>
              <w:spacing w:after="0"/>
              <w:rPr>
                <w:sz w:val="20"/>
                <w:szCs w:val="20"/>
                <w:color w:val="auto"/>
              </w:rPr>
            </w:pPr>
            <w:r>
              <w:rPr>
                <w:rFonts w:ascii="Arial" w:cs="Arial" w:eastAsia="Arial" w:hAnsi="Arial"/>
                <w:sz w:val="18"/>
                <w:szCs w:val="18"/>
                <w:color w:val="131E29"/>
              </w:rPr>
              <w:t>$</w:t>
            </w:r>
          </w:p>
        </w:tc>
        <w:tc>
          <w:tcPr>
            <w:tcW w:w="1120" w:type="dxa"/>
            <w:vAlign w:val="bottom"/>
          </w:tcPr>
          <w:p>
            <w:pPr>
              <w:jc w:val="right"/>
              <w:spacing w:after="0"/>
              <w:rPr>
                <w:sz w:val="20"/>
                <w:szCs w:val="20"/>
                <w:color w:val="auto"/>
              </w:rPr>
            </w:pPr>
            <w:r>
              <w:rPr>
                <w:rFonts w:ascii="Arial" w:cs="Arial" w:eastAsia="Arial" w:hAnsi="Arial"/>
                <w:sz w:val="18"/>
                <w:szCs w:val="18"/>
                <w:color w:val="131E29"/>
              </w:rPr>
              <w:t>(0.02)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131E2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(0.12)</w:t>
            </w:r>
          </w:p>
        </w:tc>
        <w:tc>
          <w:tcPr>
            <w:tcW w:w="0" w:type="dxa"/>
            <w:vAlign w:val="bottom"/>
          </w:tcPr>
          <w:p>
            <w:pPr>
              <w:spacing w:after="0"/>
              <w:rPr>
                <w:sz w:val="1"/>
                <w:szCs w:val="1"/>
                <w:color w:val="auto"/>
              </w:rPr>
            </w:pPr>
          </w:p>
        </w:tc>
      </w:tr>
      <w:tr>
        <w:trPr>
          <w:trHeight w:val="20"/>
        </w:trPr>
        <w:tc>
          <w:tcPr>
            <w:tcW w:w="554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4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Diluted</w:t>
            </w: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0.05</w:t>
            </w:r>
          </w:p>
        </w:tc>
        <w:tc>
          <w:tcPr>
            <w:tcW w:w="360" w:type="dxa"/>
            <w:vAlign w:val="bottom"/>
            <w:gridSpan w:val="2"/>
            <w:shd w:val="clear" w:color="auto" w:fill="D2DCE5"/>
          </w:tcPr>
          <w:p>
            <w:pPr>
              <w:jc w:val="right"/>
              <w:ind w:right="50"/>
              <w:spacing w:after="0"/>
              <w:rPr>
                <w:sz w:val="20"/>
                <w:szCs w:val="20"/>
                <w:color w:val="auto"/>
              </w:rPr>
            </w:pPr>
            <w:r>
              <w:rPr>
                <w:rFonts w:ascii="Arial" w:cs="Arial" w:eastAsia="Arial" w:hAnsi="Arial"/>
                <w:sz w:val="18"/>
                <w:szCs w:val="18"/>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(0.02)</w:t>
            </w:r>
          </w:p>
        </w:tc>
        <w:tc>
          <w:tcPr>
            <w:tcW w:w="20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1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(0.02)</w:t>
            </w:r>
          </w:p>
        </w:tc>
        <w:tc>
          <w:tcPr>
            <w:tcW w:w="380" w:type="dxa"/>
            <w:vAlign w:val="bottom"/>
            <w:gridSpan w:val="2"/>
            <w:shd w:val="clear" w:color="auto" w:fill="D2DCE5"/>
          </w:tcPr>
          <w:p>
            <w:pPr>
              <w:jc w:val="right"/>
              <w:ind w:right="7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(0.12)</w:t>
            </w:r>
          </w:p>
        </w:tc>
        <w:tc>
          <w:tcPr>
            <w:tcW w:w="0" w:type="dxa"/>
            <w:vAlign w:val="bottom"/>
          </w:tcPr>
          <w:p>
            <w:pPr>
              <w:spacing w:after="0"/>
              <w:rPr>
                <w:sz w:val="1"/>
                <w:szCs w:val="1"/>
                <w:color w:val="auto"/>
              </w:rPr>
            </w:pPr>
          </w:p>
        </w:tc>
      </w:tr>
      <w:tr>
        <w:trPr>
          <w:trHeight w:val="20"/>
        </w:trPr>
        <w:tc>
          <w:tcPr>
            <w:tcW w:w="564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color w:val="131E29"/>
              </w:rPr>
              <w:t>Weighted-average shares of Class A and Class D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color w:val="131E29"/>
              </w:rPr>
              <w:t>outstanding:</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Basic</w:t>
            </w:r>
          </w:p>
        </w:tc>
        <w:tc>
          <w:tcPr>
            <w:tcW w:w="14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56,734</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50,926</w:t>
            </w:r>
          </w:p>
        </w:tc>
        <w:tc>
          <w:tcPr>
            <w:tcW w:w="8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56,699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49,500</w:t>
            </w:r>
          </w:p>
        </w:tc>
        <w:tc>
          <w:tcPr>
            <w:tcW w:w="0" w:type="dxa"/>
            <w:vAlign w:val="bottom"/>
          </w:tcPr>
          <w:p>
            <w:pPr>
              <w:spacing w:after="0"/>
              <w:rPr>
                <w:sz w:val="1"/>
                <w:szCs w:val="1"/>
                <w:color w:val="auto"/>
              </w:rPr>
            </w:pPr>
          </w:p>
        </w:tc>
      </w:tr>
      <w:tr>
        <w:trPr>
          <w:trHeight w:val="243"/>
        </w:trPr>
        <w:tc>
          <w:tcPr>
            <w:tcW w:w="5640" w:type="dxa"/>
            <w:vAlign w:val="bottom"/>
            <w:gridSpan w:val="2"/>
          </w:tcPr>
          <w:p>
            <w:pPr>
              <w:ind w:left="180"/>
              <w:spacing w:after="0"/>
              <w:rPr>
                <w:sz w:val="20"/>
                <w:szCs w:val="20"/>
                <w:color w:val="auto"/>
              </w:rPr>
            </w:pPr>
            <w:r>
              <w:rPr>
                <w:rFonts w:ascii="Arial" w:cs="Arial" w:eastAsia="Arial" w:hAnsi="Arial"/>
                <w:sz w:val="18"/>
                <w:szCs w:val="18"/>
                <w:color w:val="131E29"/>
              </w:rPr>
              <w:t>Diluted</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57,428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31E29"/>
              </w:rPr>
              <w:t>50,926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56,699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49,500</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Comprehensive Income (Loss)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right"/>
              <w:ind w:right="70"/>
              <w:spacing w:after="0"/>
              <w:rPr>
                <w:sz w:val="20"/>
                <w:szCs w:val="20"/>
                <w:color w:val="auto"/>
              </w:rPr>
            </w:pPr>
            <w:r>
              <w:rPr>
                <w:rFonts w:ascii="Arial" w:cs="Arial" w:eastAsia="Arial" w:hAnsi="Arial"/>
                <w:sz w:val="18"/>
                <w:szCs w:val="18"/>
                <w:b w:val="1"/>
                <w:bCs w:val="1"/>
                <w:color w:val="131E29"/>
                <w:w w:val="99"/>
              </w:rPr>
              <w:t>Three Months Ended June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131E29"/>
                <w:w w:val="87"/>
              </w:rPr>
              <w:t>30,</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64"/>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131E29"/>
              </w:rPr>
              <w:t>2023</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131E29"/>
              </w:rPr>
              <w:t>2023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2022</w:t>
            </w:r>
          </w:p>
        </w:tc>
        <w:tc>
          <w:tcPr>
            <w:tcW w:w="0" w:type="dxa"/>
            <w:vAlign w:val="bottom"/>
          </w:tcPr>
          <w:p>
            <w:pPr>
              <w:spacing w:after="0"/>
              <w:rPr>
                <w:sz w:val="1"/>
                <w:szCs w:val="1"/>
                <w:color w:val="auto"/>
              </w:rPr>
            </w:pPr>
          </w:p>
        </w:tc>
      </w:tr>
      <w:tr>
        <w:trPr>
          <w:trHeight w:val="249"/>
        </w:trPr>
        <w:tc>
          <w:tcPr>
            <w:tcW w:w="60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w:t>
            </w: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9,711</w:t>
            </w:r>
          </w:p>
        </w:tc>
        <w:tc>
          <w:tcPr>
            <w:tcW w:w="440" w:type="dxa"/>
            <w:vAlign w:val="bottom"/>
            <w:tcBorders>
              <w:bottom w:val="single" w:sz="8" w:color="D2DCE5"/>
            </w:tcBorders>
            <w:gridSpan w:val="3"/>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(1,751)</w:t>
            </w:r>
          </w:p>
        </w:tc>
        <w:tc>
          <w:tcPr>
            <w:tcW w:w="360" w:type="dxa"/>
            <w:vAlign w:val="bottom"/>
            <w:tcBorders>
              <w:bottom w:val="single" w:sz="8" w:color="D2DCE5"/>
            </w:tcBorders>
            <w:gridSpan w:val="2"/>
            <w:shd w:val="clear" w:color="auto" w:fill="D2DCE5"/>
          </w:tcPr>
          <w:p>
            <w:pPr>
              <w:jc w:val="right"/>
              <w:ind w:right="50"/>
              <w:spacing w:after="0"/>
              <w:rPr>
                <w:sz w:val="20"/>
                <w:szCs w:val="20"/>
                <w:color w:val="auto"/>
              </w:rPr>
            </w:pPr>
            <w:r>
              <w:rPr>
                <w:rFonts w:ascii="Arial" w:cs="Arial" w:eastAsia="Arial" w:hAnsi="Arial"/>
                <w:sz w:val="18"/>
                <w:szCs w:val="18"/>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320</w:t>
            </w:r>
          </w:p>
        </w:tc>
        <w:tc>
          <w:tcPr>
            <w:tcW w:w="3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(18,030)</w:t>
            </w:r>
          </w:p>
        </w:tc>
        <w:tc>
          <w:tcPr>
            <w:tcW w:w="0" w:type="dxa"/>
            <w:vAlign w:val="bottom"/>
          </w:tcPr>
          <w:p>
            <w:pPr>
              <w:spacing w:after="0"/>
              <w:rPr>
                <w:sz w:val="1"/>
                <w:szCs w:val="1"/>
                <w:color w:val="auto"/>
              </w:rPr>
            </w:pP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Unrealized gain on derivative securities, effective portion, net of income</w:t>
            </w:r>
          </w:p>
        </w:tc>
        <w:tc>
          <w:tcPr>
            <w:tcW w:w="14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6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6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6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tax expense of $105, $50, $25 and $50 respectively</w:t>
            </w:r>
          </w:p>
        </w:tc>
        <w:tc>
          <w:tcPr>
            <w:tcW w:w="140" w:type="dxa"/>
            <w:vAlign w:val="bottom"/>
            <w:tcBorders>
              <w:bottom w:val="single" w:sz="8" w:color="D2DCE5"/>
            </w:tcBorders>
            <w:shd w:val="clear" w:color="auto" w:fill="D2DCE5"/>
          </w:tcPr>
          <w:p>
            <w:pPr>
              <w:spacing w:after="0"/>
              <w:rPr>
                <w:sz w:val="22"/>
                <w:szCs w:val="22"/>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1,098</w:t>
            </w:r>
          </w:p>
        </w:tc>
        <w:tc>
          <w:tcPr>
            <w:tcW w:w="60" w:type="dxa"/>
            <w:vAlign w:val="bottom"/>
            <w:tcBorders>
              <w:bottom w:val="single" w:sz="8" w:color="D2DCE5"/>
            </w:tcBorders>
            <w:shd w:val="clear" w:color="auto" w:fill="D2DCE5"/>
          </w:tcPr>
          <w:p>
            <w:pPr>
              <w:spacing w:after="0"/>
              <w:rPr>
                <w:sz w:val="22"/>
                <w:szCs w:val="22"/>
                <w:color w:val="auto"/>
              </w:rPr>
            </w:pPr>
          </w:p>
        </w:tc>
        <w:tc>
          <w:tcPr>
            <w:tcW w:w="12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spacing w:after="0"/>
              <w:rPr>
                <w:sz w:val="22"/>
                <w:szCs w:val="22"/>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566</w:t>
            </w: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spacing w:after="0"/>
              <w:rPr>
                <w:sz w:val="22"/>
                <w:szCs w:val="22"/>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274</w:t>
            </w:r>
          </w:p>
        </w:tc>
        <w:tc>
          <w:tcPr>
            <w:tcW w:w="12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spacing w:after="0"/>
              <w:rPr>
                <w:sz w:val="22"/>
                <w:szCs w:val="22"/>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566</w:t>
            </w:r>
          </w:p>
        </w:tc>
        <w:tc>
          <w:tcPr>
            <w:tcW w:w="0" w:type="dxa"/>
            <w:vAlign w:val="bottom"/>
          </w:tcPr>
          <w:p>
            <w:pPr>
              <w:spacing w:after="0"/>
              <w:rPr>
                <w:sz w:val="1"/>
                <w:szCs w:val="1"/>
                <w:color w:val="auto"/>
              </w:rPr>
            </w:pPr>
          </w:p>
        </w:tc>
      </w:tr>
      <w:tr>
        <w:trPr>
          <w:trHeight w:val="237"/>
        </w:trPr>
        <w:tc>
          <w:tcPr>
            <w:tcW w:w="6020" w:type="dxa"/>
            <w:vAlign w:val="bottom"/>
            <w:gridSpan w:val="2"/>
          </w:tcPr>
          <w:p>
            <w:pPr>
              <w:ind w:left="20"/>
              <w:spacing w:after="0"/>
              <w:rPr>
                <w:sz w:val="20"/>
                <w:szCs w:val="20"/>
                <w:color w:val="auto"/>
              </w:rPr>
            </w:pPr>
            <w:r>
              <w:rPr>
                <w:rFonts w:ascii="Arial" w:cs="Arial" w:eastAsia="Arial" w:hAnsi="Arial"/>
                <w:sz w:val="18"/>
                <w:szCs w:val="18"/>
                <w:color w:val="131E29"/>
              </w:rPr>
              <w:t>Comprehensive income (loss)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10,809</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594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(17,464)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comprehensive income (loss) attributable to non-controlling</w:t>
            </w:r>
          </w:p>
        </w:tc>
        <w:tc>
          <w:tcPr>
            <w:tcW w:w="140" w:type="dxa"/>
            <w:vAlign w:val="bottom"/>
            <w:shd w:val="clear" w:color="auto" w:fill="D2DCE5"/>
          </w:tcPr>
          <w:p>
            <w:pPr>
              <w:spacing w:after="0"/>
              <w:rPr>
                <w:sz w:val="20"/>
                <w:szCs w:val="20"/>
                <w:color w:val="auto"/>
              </w:rPr>
            </w:pP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7,742</w:t>
            </w:r>
          </w:p>
        </w:tc>
        <w:tc>
          <w:tcPr>
            <w:tcW w:w="6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(424)</w:t>
            </w: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1,592</w:t>
            </w:r>
          </w:p>
        </w:tc>
        <w:tc>
          <w:tcPr>
            <w:tcW w:w="12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(11,756)</w:t>
            </w:r>
          </w:p>
        </w:tc>
        <w:tc>
          <w:tcPr>
            <w:tcW w:w="0" w:type="dxa"/>
            <w:vAlign w:val="bottom"/>
          </w:tcPr>
          <w:p>
            <w:pPr>
              <w:spacing w:after="0"/>
              <w:rPr>
                <w:sz w:val="1"/>
                <w:szCs w:val="1"/>
                <w:color w:val="auto"/>
              </w:rPr>
            </w:pPr>
          </w:p>
        </w:tc>
      </w:tr>
      <w:tr>
        <w:trPr>
          <w:trHeight w:val="236"/>
        </w:trPr>
        <w:tc>
          <w:tcPr>
            <w:tcW w:w="60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interests</w:t>
            </w:r>
          </w:p>
        </w:tc>
        <w:tc>
          <w:tcPr>
            <w:tcW w:w="140" w:type="dxa"/>
            <w:vAlign w:val="bottom"/>
            <w:tcBorders>
              <w:bottom w:val="single" w:sz="8" w:color="auto"/>
            </w:tcBorders>
            <w:shd w:val="clear" w:color="auto" w:fill="D2DCE5"/>
          </w:tcPr>
          <w:p>
            <w:pPr>
              <w:spacing w:after="0"/>
              <w:rPr>
                <w:sz w:val="20"/>
                <w:szCs w:val="20"/>
                <w:color w:val="auto"/>
              </w:rPr>
            </w:pPr>
          </w:p>
        </w:tc>
        <w:tc>
          <w:tcPr>
            <w:tcW w:w="1020" w:type="dxa"/>
            <w:vAlign w:val="bottom"/>
            <w:tcBorders>
              <w:bottom w:val="single" w:sz="8" w:color="auto"/>
            </w:tcBorders>
            <w:vMerge w:val="continue"/>
            <w:shd w:val="clear" w:color="auto" w:fill="D2DCE5"/>
          </w:tcPr>
          <w:p>
            <w:pPr>
              <w:spacing w:after="0"/>
              <w:rPr>
                <w:sz w:val="20"/>
                <w:szCs w:val="20"/>
                <w:color w:val="auto"/>
              </w:rPr>
            </w:pPr>
          </w:p>
        </w:tc>
        <w:tc>
          <w:tcPr>
            <w:tcW w:w="60" w:type="dxa"/>
            <w:vAlign w:val="bottom"/>
            <w:tcBorders>
              <w:bottom w:val="single" w:sz="8" w:color="auto"/>
            </w:tcBorders>
            <w:shd w:val="clear" w:color="auto" w:fill="D2DCE5"/>
          </w:tcPr>
          <w:p>
            <w:pPr>
              <w:spacing w:after="0"/>
              <w:rPr>
                <w:sz w:val="20"/>
                <w:szCs w:val="20"/>
                <w:color w:val="auto"/>
              </w:rPr>
            </w:pPr>
          </w:p>
        </w:tc>
        <w:tc>
          <w:tcPr>
            <w:tcW w:w="12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spacing w:after="0"/>
              <w:rPr>
                <w:sz w:val="20"/>
                <w:szCs w:val="20"/>
                <w:color w:val="auto"/>
              </w:rPr>
            </w:pPr>
          </w:p>
        </w:tc>
        <w:tc>
          <w:tcPr>
            <w:tcW w:w="960" w:type="dxa"/>
            <w:vAlign w:val="bottom"/>
            <w:tcBorders>
              <w:bottom w:val="single" w:sz="8" w:color="auto"/>
            </w:tcBorders>
            <w:vMerge w:val="continue"/>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spacing w:after="0"/>
              <w:rPr>
                <w:sz w:val="20"/>
                <w:szCs w:val="20"/>
                <w:color w:val="auto"/>
              </w:rPr>
            </w:pPr>
          </w:p>
        </w:tc>
        <w:tc>
          <w:tcPr>
            <w:tcW w:w="960" w:type="dxa"/>
            <w:vAlign w:val="bottom"/>
            <w:tcBorders>
              <w:bottom w:val="single" w:sz="8" w:color="auto"/>
            </w:tcBorders>
            <w:vMerge w:val="continue"/>
            <w:shd w:val="clear" w:color="auto" w:fill="D2DCE5"/>
          </w:tcPr>
          <w:p>
            <w:pPr>
              <w:spacing w:after="0"/>
              <w:rPr>
                <w:sz w:val="20"/>
                <w:szCs w:val="20"/>
                <w:color w:val="auto"/>
              </w:rPr>
            </w:pPr>
          </w:p>
        </w:tc>
        <w:tc>
          <w:tcPr>
            <w:tcW w:w="12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spacing w:after="0"/>
              <w:rPr>
                <w:sz w:val="20"/>
                <w:szCs w:val="20"/>
                <w:color w:val="auto"/>
              </w:rPr>
            </w:pPr>
          </w:p>
        </w:tc>
        <w:tc>
          <w:tcPr>
            <w:tcW w:w="960" w:type="dxa"/>
            <w:vAlign w:val="bottom"/>
            <w:tcBorders>
              <w:bottom w:val="single" w:sz="8" w:color="auto"/>
            </w:tcBorders>
            <w:vMerge w:val="continue"/>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20" w:type="dxa"/>
            <w:vAlign w:val="bottom"/>
            <w:gridSpan w:val="2"/>
          </w:tcPr>
          <w:p>
            <w:pPr>
              <w:ind w:left="20"/>
              <w:spacing w:after="0"/>
              <w:rPr>
                <w:sz w:val="20"/>
                <w:szCs w:val="20"/>
                <w:color w:val="auto"/>
              </w:rPr>
            </w:pPr>
            <w:r>
              <w:rPr>
                <w:rFonts w:ascii="Arial" w:cs="Arial" w:eastAsia="Arial" w:hAnsi="Arial"/>
                <w:sz w:val="18"/>
                <w:szCs w:val="18"/>
                <w:color w:val="131E29"/>
              </w:rPr>
              <w:t>Comprehensive income (loss) attributable to Dutch Bros Inc.</w:t>
            </w: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3,067</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131E2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(761)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131E2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(998)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(5,708)</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6098"/>
        </w:rPr>
        <w:t>Table of Contents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11"/>
          </w:tcPr>
          <w:p>
            <w:pPr>
              <w:jc w:val="right"/>
              <w:ind w:right="568"/>
              <w:spacing w:after="0"/>
              <w:rPr>
                <w:sz w:val="20"/>
                <w:szCs w:val="20"/>
                <w:color w:val="auto"/>
              </w:rPr>
            </w:pPr>
            <w:r>
              <w:rPr>
                <w:rFonts w:ascii="Arial" w:cs="Arial" w:eastAsia="Arial" w:hAnsi="Arial"/>
                <w:sz w:val="14"/>
                <w:szCs w:val="14"/>
                <w:b w:val="1"/>
                <w:bCs w:val="1"/>
                <w:color w:val="131E29"/>
              </w:rPr>
              <w:t>Dutch Bros. Inc. Stockholders’ Equity</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131E29"/>
              </w:rPr>
              <w:t>Class A</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jc w:val="right"/>
              <w:ind w:right="68"/>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1200" w:type="dxa"/>
            <w:vAlign w:val="bottom"/>
            <w:gridSpan w:val="4"/>
          </w:tcPr>
          <w:p>
            <w:pPr>
              <w:jc w:val="right"/>
              <w:ind w:right="28"/>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ind w:right="28"/>
              <w:spacing w:after="0"/>
              <w:rPr>
                <w:sz w:val="20"/>
                <w:szCs w:val="20"/>
                <w:color w:val="auto"/>
              </w:rPr>
            </w:pPr>
            <w:r>
              <w:rPr>
                <w:rFonts w:ascii="Arial" w:cs="Arial" w:eastAsia="Arial" w:hAnsi="Arial"/>
                <w:sz w:val="14"/>
                <w:szCs w:val="14"/>
                <w:color w:val="131E29"/>
              </w:rPr>
              <w:t>Accumulated</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131E29"/>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color w:val="131E29"/>
              </w:rPr>
              <w:t>Other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Non-</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131E29"/>
                <w:w w:val="99"/>
              </w:rPr>
              <w:t>Paid-in-</w:t>
            </w:r>
          </w:p>
        </w:tc>
        <w:tc>
          <w:tcPr>
            <w:tcW w:w="8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131E29"/>
              </w:rPr>
              <w:t>Comprehensive</w:t>
            </w:r>
          </w:p>
        </w:tc>
        <w:tc>
          <w:tcPr>
            <w:tcW w:w="8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131E29"/>
              </w:rPr>
              <w:t>Accumulated</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Controlling</w:t>
            </w:r>
          </w:p>
        </w:tc>
        <w:tc>
          <w:tcPr>
            <w:tcW w:w="8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82"/>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unaudited)</w:t>
            </w:r>
          </w:p>
        </w:tc>
        <w:tc>
          <w:tcPr>
            <w:tcW w:w="56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131E29"/>
              </w:rPr>
              <w:t>Deficit</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26"/>
        </w:trPr>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March 31,</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2023</w:t>
            </w: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45,666</w:t>
            </w:r>
          </w:p>
        </w:tc>
        <w:tc>
          <w:tcPr>
            <w:tcW w:w="380" w:type="dxa"/>
            <w:vAlign w:val="bottom"/>
            <w:gridSpan w:val="2"/>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62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64,699</w:t>
            </w:r>
          </w:p>
        </w:tc>
        <w:tc>
          <w:tcPr>
            <w:tcW w:w="380" w:type="dxa"/>
            <w:vAlign w:val="bottom"/>
            <w:gridSpan w:val="2"/>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66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41,056</w:t>
            </w:r>
          </w:p>
        </w:tc>
        <w:tc>
          <w:tcPr>
            <w:tcW w:w="38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12,411</w:t>
            </w:r>
          </w:p>
        </w:tc>
        <w:tc>
          <w:tcPr>
            <w:tcW w:w="38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$148,873</w:t>
            </w:r>
          </w:p>
        </w:tc>
        <w:tc>
          <w:tcPr>
            <w:tcW w:w="1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590</w:t>
            </w:r>
          </w:p>
        </w:tc>
        <w:tc>
          <w:tcPr>
            <w:tcW w:w="24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(21,152)</w:t>
            </w:r>
          </w:p>
        </w:tc>
        <w:tc>
          <w:tcPr>
            <w:tcW w:w="82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$ 120,390</w:t>
            </w:r>
          </w:p>
        </w:tc>
        <w:tc>
          <w:tcPr>
            <w:tcW w:w="7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$248,703</w:t>
            </w:r>
          </w:p>
        </w:tc>
        <w:tc>
          <w:tcPr>
            <w:tcW w:w="0" w:type="dxa"/>
            <w:vAlign w:val="bottom"/>
          </w:tcPr>
          <w:p>
            <w:pPr>
              <w:spacing w:after="0"/>
              <w:rPr>
                <w:sz w:val="1"/>
                <w:szCs w:val="1"/>
                <w:color w:val="auto"/>
              </w:rPr>
            </w:pPr>
          </w:p>
        </w:tc>
      </w:tr>
      <w:tr>
        <w:trPr>
          <w:trHeight w:val="204"/>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2,752</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131E29"/>
              </w:rPr>
              <w:t>6,959</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9,711</w:t>
            </w: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on</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securities,</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effective portion, net of</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of</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$105</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315</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20" w:type="dxa"/>
            <w:vAlign w:val="bottom"/>
            <w:tcBorders>
              <w:bottom w:val="single" w:sz="8" w:color="D2DCE5"/>
            </w:tcBorders>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783</w:t>
            </w:r>
          </w:p>
        </w:tc>
        <w:tc>
          <w:tcPr>
            <w:tcW w:w="7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1,097</w:t>
            </w:r>
          </w:p>
        </w:tc>
        <w:tc>
          <w:tcPr>
            <w:tcW w:w="0" w:type="dxa"/>
            <w:vAlign w:val="bottom"/>
          </w:tcPr>
          <w:p>
            <w:pPr>
              <w:spacing w:after="0"/>
              <w:rPr>
                <w:sz w:val="1"/>
                <w:szCs w:val="1"/>
                <w:color w:val="auto"/>
              </w:rPr>
            </w:pPr>
          </w:p>
        </w:tc>
      </w:tr>
      <w:tr>
        <w:trPr>
          <w:trHeight w:val="197"/>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compensation expense</w:t>
            </w: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3,545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131E29"/>
              </w:rPr>
              <w:t>6,604</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10,149</w:t>
            </w: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 pursuant</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to vesting of equity</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awards, net of stock</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withheld for tax and</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forfeitures</w:t>
            </w: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7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7"/>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Tax impact of other</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415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415</w:t>
            </w:r>
          </w:p>
        </w:tc>
        <w:tc>
          <w:tcPr>
            <w:tcW w:w="0" w:type="dxa"/>
            <w:vAlign w:val="bottom"/>
          </w:tcPr>
          <w:p>
            <w:pPr>
              <w:spacing w:after="0"/>
              <w:rPr>
                <w:sz w:val="1"/>
                <w:szCs w:val="1"/>
                <w:color w:val="auto"/>
              </w:rPr>
            </w:pPr>
          </w:p>
        </w:tc>
      </w:tr>
      <w:tr>
        <w:trPr>
          <w:trHeight w:val="25"/>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exchange of</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 Class</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 common units</w:t>
            </w: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68</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auto"/>
            </w:tcBorders>
            <w:shd w:val="clear" w:color="auto" w:fill="D2DCE5"/>
          </w:tcPr>
          <w:p>
            <w:pPr>
              <w:spacing w:after="0"/>
              <w:rPr>
                <w:sz w:val="16"/>
                <w:szCs w:val="16"/>
                <w:color w:val="auto"/>
              </w:rPr>
            </w:pPr>
          </w:p>
        </w:tc>
        <w:tc>
          <w:tcPr>
            <w:tcW w:w="96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auto"/>
            </w:tcBorders>
            <w:shd w:val="clear" w:color="auto" w:fill="D2DCE5"/>
          </w:tcPr>
          <w:p>
            <w:pPr>
              <w:spacing w:after="0"/>
              <w:rPr>
                <w:sz w:val="16"/>
                <w:szCs w:val="16"/>
                <w:color w:val="auto"/>
              </w:rPr>
            </w:pPr>
          </w:p>
        </w:tc>
        <w:tc>
          <w:tcPr>
            <w:tcW w:w="70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7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(68)</w:t>
            </w:r>
          </w:p>
        </w:tc>
        <w:tc>
          <w:tcPr>
            <w:tcW w:w="80" w:type="dxa"/>
            <w:vAlign w:val="bottom"/>
            <w:tcBorders>
              <w:bottom w:val="single" w:sz="8" w:color="D2DCE5"/>
            </w:tcBorders>
            <w:shd w:val="clear" w:color="auto" w:fill="D2DCE5"/>
          </w:tcPr>
          <w:p>
            <w:pPr>
              <w:spacing w:after="0"/>
              <w:rPr>
                <w:sz w:val="16"/>
                <w:szCs w:val="16"/>
                <w:color w:val="auto"/>
              </w:rPr>
            </w:pPr>
          </w:p>
        </w:tc>
        <w:tc>
          <w:tcPr>
            <w:tcW w:w="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89"/>
        </w:trPr>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June 30,</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45,674</w:t>
            </w:r>
          </w:p>
        </w:tc>
        <w:tc>
          <w:tcPr>
            <w:tcW w:w="38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131E29"/>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131E29"/>
              </w:rPr>
              <w:t>1</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131E29"/>
              </w:rPr>
              <w:t>64,699</w:t>
            </w:r>
          </w:p>
        </w:tc>
        <w:tc>
          <w:tcPr>
            <w:tcW w:w="38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1</w:t>
            </w: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color w:val="131E29"/>
              </w:rPr>
              <w:t>41,056</w:t>
            </w: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8"/>
              <w:spacing w:after="0"/>
              <w:rPr>
                <w:sz w:val="20"/>
                <w:szCs w:val="20"/>
                <w:color w:val="auto"/>
              </w:rPr>
            </w:pPr>
            <w:r>
              <w:rPr>
                <w:rFonts w:ascii="Arial" w:cs="Arial" w:eastAsia="Arial" w:hAnsi="Arial"/>
                <w:sz w:val="14"/>
                <w:szCs w:val="14"/>
                <w:color w:val="131E29"/>
              </w:rPr>
              <w:t>12,411</w:t>
            </w: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131E29"/>
              </w:rPr>
              <w:t>—</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131E29"/>
              </w:rPr>
              <w:t>$152,900</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131E29"/>
              </w:rPr>
              <w: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131E29"/>
              </w:rPr>
              <w:t>905</w:t>
            </w:r>
          </w:p>
        </w:tc>
        <w:tc>
          <w:tcPr>
            <w:tcW w:w="24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(18,400)</w:t>
            </w:r>
          </w:p>
        </w:tc>
        <w:tc>
          <w:tcPr>
            <w:tcW w:w="820" w:type="dxa"/>
            <w:vAlign w:val="bottom"/>
            <w:gridSpan w:val="2"/>
            <w:vMerge w:val="restart"/>
          </w:tcPr>
          <w:p>
            <w:pPr>
              <w:jc w:val="right"/>
              <w:ind w:right="8"/>
              <w:spacing w:after="0"/>
              <w:rPr>
                <w:sz w:val="20"/>
                <w:szCs w:val="20"/>
                <w:color w:val="auto"/>
              </w:rPr>
            </w:pPr>
            <w:r>
              <w:rPr>
                <w:rFonts w:ascii="Arial" w:cs="Arial" w:eastAsia="Arial" w:hAnsi="Arial"/>
                <w:sz w:val="14"/>
                <w:szCs w:val="14"/>
                <w:color w:val="131E29"/>
              </w:rPr>
              <w:t>$ 134,668</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131E29"/>
              </w:rPr>
              <w:t>$270,075</w:t>
            </w: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6098"/>
        </w:rPr>
        <w:t>Table of Contents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131E29"/>
              </w:rPr>
              <w:t>Dutch Bros Inc. Stockholders’ Equity</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131E29"/>
              </w:rPr>
              <w:t>Class A</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jc w:val="right"/>
              <w:ind w:right="68"/>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1200" w:type="dxa"/>
            <w:vAlign w:val="bottom"/>
            <w:gridSpan w:val="4"/>
          </w:tcPr>
          <w:p>
            <w:pPr>
              <w:jc w:val="right"/>
              <w:ind w:right="28"/>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1240" w:type="dxa"/>
            <w:vAlign w:val="bottom"/>
            <w:gridSpan w:val="4"/>
          </w:tcPr>
          <w:p>
            <w:pPr>
              <w:ind w:left="140"/>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ind w:right="28"/>
              <w:spacing w:after="0"/>
              <w:rPr>
                <w:sz w:val="20"/>
                <w:szCs w:val="20"/>
                <w:color w:val="auto"/>
              </w:rPr>
            </w:pPr>
            <w:r>
              <w:rPr>
                <w:rFonts w:ascii="Arial" w:cs="Arial" w:eastAsia="Arial" w:hAnsi="Arial"/>
                <w:sz w:val="14"/>
                <w:szCs w:val="14"/>
                <w:color w:val="131E29"/>
              </w:rPr>
              <w:t>Accumulated</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131E29"/>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color w:val="131E29"/>
              </w:rPr>
              <w:t>Other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Non-</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131E29"/>
                <w:w w:val="99"/>
              </w:rPr>
              <w:t>Paid-in-</w:t>
            </w:r>
          </w:p>
        </w:tc>
        <w:tc>
          <w:tcPr>
            <w:tcW w:w="8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131E29"/>
              </w:rPr>
              <w:t>Comprehensive</w:t>
            </w:r>
          </w:p>
        </w:tc>
        <w:tc>
          <w:tcPr>
            <w:tcW w:w="8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131E29"/>
              </w:rPr>
              <w:t>Accumulated</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Controlling</w:t>
            </w:r>
          </w:p>
        </w:tc>
        <w:tc>
          <w:tcPr>
            <w:tcW w:w="8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82"/>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unaudited)</w:t>
            </w:r>
          </w:p>
        </w:tc>
        <w:tc>
          <w:tcPr>
            <w:tcW w:w="56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131E29"/>
              </w:rPr>
              <w:t>Deficit</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26"/>
        </w:trPr>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31, 2022</w:t>
            </w: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45,544</w:t>
            </w:r>
          </w:p>
        </w:tc>
        <w:tc>
          <w:tcPr>
            <w:tcW w:w="380" w:type="dxa"/>
            <w:vAlign w:val="bottom"/>
            <w:gridSpan w:val="2"/>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62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64,699</w:t>
            </w:r>
          </w:p>
        </w:tc>
        <w:tc>
          <w:tcPr>
            <w:tcW w:w="380" w:type="dxa"/>
            <w:vAlign w:val="bottom"/>
            <w:gridSpan w:val="2"/>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66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41,056</w:t>
            </w:r>
          </w:p>
        </w:tc>
        <w:tc>
          <w:tcPr>
            <w:tcW w:w="380" w:type="dxa"/>
            <w:vAlign w:val="bottom"/>
            <w:gridSpan w:val="2"/>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12,411</w:t>
            </w:r>
          </w:p>
        </w:tc>
        <w:tc>
          <w:tcPr>
            <w:tcW w:w="38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$145,613</w:t>
            </w:r>
          </w:p>
        </w:tc>
        <w:tc>
          <w:tcPr>
            <w:tcW w:w="1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813</w:t>
            </w:r>
          </w:p>
        </w:tc>
        <w:tc>
          <w:tcPr>
            <w:tcW w:w="24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(17,310)</w:t>
            </w:r>
          </w:p>
        </w:tc>
        <w:tc>
          <w:tcPr>
            <w:tcW w:w="82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$ 122,858</w:t>
            </w:r>
          </w:p>
        </w:tc>
        <w:tc>
          <w:tcPr>
            <w:tcW w:w="7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$251,976</w:t>
            </w:r>
          </w:p>
        </w:tc>
        <w:tc>
          <w:tcPr>
            <w:tcW w:w="0" w:type="dxa"/>
            <w:vAlign w:val="bottom"/>
          </w:tcPr>
          <w:p>
            <w:pPr>
              <w:spacing w:after="0"/>
              <w:rPr>
                <w:sz w:val="1"/>
                <w:szCs w:val="1"/>
                <w:color w:val="auto"/>
              </w:rPr>
            </w:pPr>
          </w:p>
        </w:tc>
      </w:tr>
      <w:tr>
        <w:trPr>
          <w:trHeight w:val="204"/>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Net income (loss)</w:t>
            </w: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(1,090)</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131E29"/>
              </w:rPr>
              <w:t>1,410</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320</w:t>
            </w: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on</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securities,</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effective portion, net of</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of</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$25</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(19)</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92</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20" w:type="dxa"/>
            <w:vAlign w:val="bottom"/>
            <w:tcBorders>
              <w:bottom w:val="single" w:sz="8" w:color="D2DCE5"/>
            </w:tcBorders>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182</w:t>
            </w:r>
          </w:p>
        </w:tc>
        <w:tc>
          <w:tcPr>
            <w:tcW w:w="7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255</w:t>
            </w:r>
          </w:p>
        </w:tc>
        <w:tc>
          <w:tcPr>
            <w:tcW w:w="0" w:type="dxa"/>
            <w:vAlign w:val="bottom"/>
          </w:tcPr>
          <w:p>
            <w:pPr>
              <w:spacing w:after="0"/>
              <w:rPr>
                <w:sz w:val="1"/>
                <w:szCs w:val="1"/>
                <w:color w:val="auto"/>
              </w:rPr>
            </w:pPr>
          </w:p>
        </w:tc>
      </w:tr>
      <w:tr>
        <w:trPr>
          <w:trHeight w:val="197"/>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compensation expense</w:t>
            </w: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6,745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131E29"/>
              </w:rPr>
              <w:t>12,574</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19,319</w:t>
            </w: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 pursuant</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to vesting of equity</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awards, net of stock</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withheld for tax and</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forfeitures</w:t>
            </w: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130</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(661)</w:t>
            </w: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7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2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(1,234)</w:t>
            </w:r>
          </w:p>
        </w:tc>
        <w:tc>
          <w:tcPr>
            <w:tcW w:w="7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(1,895)</w:t>
            </w:r>
          </w:p>
        </w:tc>
        <w:tc>
          <w:tcPr>
            <w:tcW w:w="0" w:type="dxa"/>
            <w:vAlign w:val="bottom"/>
          </w:tcPr>
          <w:p>
            <w:pPr>
              <w:spacing w:after="0"/>
              <w:rPr>
                <w:sz w:val="1"/>
                <w:szCs w:val="1"/>
                <w:color w:val="auto"/>
              </w:rPr>
            </w:pPr>
          </w:p>
        </w:tc>
      </w:tr>
      <w:tr>
        <w:trPr>
          <w:trHeight w:val="197"/>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Tax impact of other</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100</w:t>
            </w:r>
          </w:p>
        </w:tc>
        <w:tc>
          <w:tcPr>
            <w:tcW w:w="0" w:type="dxa"/>
            <w:vAlign w:val="bottom"/>
          </w:tcPr>
          <w:p>
            <w:pPr>
              <w:spacing w:after="0"/>
              <w:rPr>
                <w:sz w:val="1"/>
                <w:szCs w:val="1"/>
                <w:color w:val="auto"/>
              </w:rPr>
            </w:pPr>
          </w:p>
        </w:tc>
      </w:tr>
      <w:tr>
        <w:trPr>
          <w:trHeight w:val="25"/>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exchange of</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 Class</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 common units</w:t>
            </w: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1,122</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auto"/>
            </w:tcBorders>
            <w:shd w:val="clear" w:color="auto" w:fill="D2DCE5"/>
          </w:tcPr>
          <w:p>
            <w:pPr>
              <w:spacing w:after="0"/>
              <w:rPr>
                <w:sz w:val="16"/>
                <w:szCs w:val="16"/>
                <w:color w:val="auto"/>
              </w:rPr>
            </w:pPr>
          </w:p>
        </w:tc>
        <w:tc>
          <w:tcPr>
            <w:tcW w:w="96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auto"/>
            </w:tcBorders>
            <w:shd w:val="clear" w:color="auto" w:fill="D2DCE5"/>
          </w:tcPr>
          <w:p>
            <w:pPr>
              <w:spacing w:after="0"/>
              <w:rPr>
                <w:sz w:val="16"/>
                <w:szCs w:val="16"/>
                <w:color w:val="auto"/>
              </w:rPr>
            </w:pPr>
          </w:p>
        </w:tc>
        <w:tc>
          <w:tcPr>
            <w:tcW w:w="70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7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(1,122)</w:t>
            </w:r>
          </w:p>
        </w:tc>
        <w:tc>
          <w:tcPr>
            <w:tcW w:w="80" w:type="dxa"/>
            <w:vAlign w:val="bottom"/>
            <w:tcBorders>
              <w:bottom w:val="single" w:sz="8" w:color="D2DCE5"/>
            </w:tcBorders>
            <w:shd w:val="clear" w:color="auto" w:fill="D2DCE5"/>
          </w:tcPr>
          <w:p>
            <w:pPr>
              <w:spacing w:after="0"/>
              <w:rPr>
                <w:sz w:val="16"/>
                <w:szCs w:val="16"/>
                <w:color w:val="auto"/>
              </w:rPr>
            </w:pPr>
          </w:p>
        </w:tc>
        <w:tc>
          <w:tcPr>
            <w:tcW w:w="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89"/>
        </w:trPr>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June 30,</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45,674</w:t>
            </w:r>
          </w:p>
        </w:tc>
        <w:tc>
          <w:tcPr>
            <w:tcW w:w="38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131E29"/>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131E29"/>
              </w:rPr>
              <w:t>1</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131E29"/>
              </w:rPr>
              <w:t>64,699</w:t>
            </w:r>
          </w:p>
        </w:tc>
        <w:tc>
          <w:tcPr>
            <w:tcW w:w="38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1</w:t>
            </w: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color w:val="131E29"/>
              </w:rPr>
              <w:t>41,056</w:t>
            </w:r>
          </w:p>
        </w:tc>
        <w:tc>
          <w:tcPr>
            <w:tcW w:w="38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8"/>
              <w:spacing w:after="0"/>
              <w:rPr>
                <w:sz w:val="20"/>
                <w:szCs w:val="20"/>
                <w:color w:val="auto"/>
              </w:rPr>
            </w:pPr>
            <w:r>
              <w:rPr>
                <w:rFonts w:ascii="Arial" w:cs="Arial" w:eastAsia="Arial" w:hAnsi="Arial"/>
                <w:sz w:val="14"/>
                <w:szCs w:val="14"/>
                <w:color w:val="131E29"/>
              </w:rPr>
              <w:t>12,411</w:t>
            </w: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131E29"/>
              </w:rPr>
              <w:t>—</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131E29"/>
              </w:rPr>
              <w:t>$152,900</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131E29"/>
              </w:rPr>
              <w: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131E29"/>
              </w:rPr>
              <w:t>905</w:t>
            </w:r>
          </w:p>
        </w:tc>
        <w:tc>
          <w:tcPr>
            <w:tcW w:w="24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(18,400)</w:t>
            </w:r>
          </w:p>
        </w:tc>
        <w:tc>
          <w:tcPr>
            <w:tcW w:w="820" w:type="dxa"/>
            <w:vAlign w:val="bottom"/>
            <w:gridSpan w:val="2"/>
            <w:vMerge w:val="restart"/>
          </w:tcPr>
          <w:p>
            <w:pPr>
              <w:jc w:val="right"/>
              <w:ind w:right="8"/>
              <w:spacing w:after="0"/>
              <w:rPr>
                <w:sz w:val="20"/>
                <w:szCs w:val="20"/>
                <w:color w:val="auto"/>
              </w:rPr>
            </w:pPr>
            <w:r>
              <w:rPr>
                <w:rFonts w:ascii="Arial" w:cs="Arial" w:eastAsia="Arial" w:hAnsi="Arial"/>
                <w:sz w:val="14"/>
                <w:szCs w:val="14"/>
                <w:color w:val="131E29"/>
              </w:rPr>
              <w:t>$ 134,668</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131E29"/>
              </w:rPr>
              <w:t>$270,075</w:t>
            </w: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131E29"/>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11"/>
          </w:tcPr>
          <w:p>
            <w:pPr>
              <w:jc w:val="right"/>
              <w:ind w:right="568"/>
              <w:spacing w:after="0"/>
              <w:rPr>
                <w:sz w:val="20"/>
                <w:szCs w:val="20"/>
                <w:color w:val="auto"/>
              </w:rPr>
            </w:pPr>
            <w:r>
              <w:rPr>
                <w:rFonts w:ascii="Arial" w:cs="Arial" w:eastAsia="Arial" w:hAnsi="Arial"/>
                <w:sz w:val="14"/>
                <w:szCs w:val="14"/>
                <w:b w:val="1"/>
                <w:bCs w:val="1"/>
                <w:color w:val="131E29"/>
              </w:rPr>
              <w:t>Dutch Bros. Inc. Stockholders’ Equity</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131E29"/>
              </w:rPr>
              <w:t>Class C</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1220" w:type="dxa"/>
            <w:vAlign w:val="bottom"/>
            <w:gridSpan w:val="4"/>
          </w:tcPr>
          <w:p>
            <w:pPr>
              <w:jc w:val="right"/>
              <w:ind w:right="48"/>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1240" w:type="dxa"/>
            <w:vAlign w:val="bottom"/>
            <w:gridSpan w:val="4"/>
          </w:tcPr>
          <w:p>
            <w:pPr>
              <w:jc w:val="right"/>
              <w:ind w:right="48"/>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center"/>
              <w:ind w:right="48"/>
              <w:spacing w:after="0"/>
              <w:rPr>
                <w:sz w:val="20"/>
                <w:szCs w:val="20"/>
                <w:color w:val="auto"/>
              </w:rPr>
            </w:pPr>
            <w:r>
              <w:rPr>
                <w:rFonts w:ascii="Arial" w:cs="Arial" w:eastAsia="Arial" w:hAnsi="Arial"/>
                <w:sz w:val="14"/>
                <w:szCs w:val="14"/>
                <w:color w:val="131E29"/>
              </w:rPr>
              <w:t>Accumulated</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color w:val="131E29"/>
              </w:rPr>
              <w:t>Other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w w:val="98"/>
              </w:rPr>
              <w:t>Non-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color w:val="131E29"/>
              </w:rPr>
              <w:t>Paid-in-   Comprehensive</w:t>
            </w: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color w:val="131E29"/>
              </w:rPr>
              <w:t>Accumulated</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Controlling</w:t>
            </w:r>
          </w:p>
        </w:tc>
        <w:tc>
          <w:tcPr>
            <w:tcW w:w="8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82"/>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unaudited)</w:t>
            </w:r>
          </w:p>
        </w:tc>
        <w:tc>
          <w:tcPr>
            <w:tcW w:w="58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131E29"/>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48"/>
              <w:spacing w:after="0"/>
              <w:rPr>
                <w:sz w:val="20"/>
                <w:szCs w:val="20"/>
                <w:color w:val="auto"/>
              </w:rPr>
            </w:pPr>
            <w:r>
              <w:rPr>
                <w:rFonts w:ascii="Arial" w:cs="Arial" w:eastAsia="Arial" w:hAnsi="Arial"/>
                <w:sz w:val="14"/>
                <w:szCs w:val="14"/>
                <w:color w:val="131E29"/>
              </w:rPr>
              <w:t>Income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131E29"/>
              </w:rPr>
              <w:t>Deficit</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26"/>
        </w:trPr>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March 31,</w:t>
            </w: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2022</w:t>
            </w: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39,557</w:t>
            </w:r>
          </w:p>
        </w:tc>
        <w:tc>
          <w:tcPr>
            <w:tcW w:w="38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64,699</w:t>
            </w:r>
          </w:p>
        </w:tc>
        <w:tc>
          <w:tcPr>
            <w:tcW w:w="380" w:type="dxa"/>
            <w:vAlign w:val="bottom"/>
            <w:gridSpan w:val="2"/>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64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45,386</w:t>
            </w:r>
          </w:p>
        </w:tc>
        <w:tc>
          <w:tcPr>
            <w:tcW w:w="380" w:type="dxa"/>
            <w:vAlign w:val="bottom"/>
            <w:gridSpan w:val="2"/>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64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14,062</w:t>
            </w:r>
          </w:p>
        </w:tc>
        <w:tc>
          <w:tcPr>
            <w:tcW w:w="38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$122,655</w:t>
            </w:r>
          </w:p>
        </w:tc>
        <w:tc>
          <w:tcPr>
            <w:tcW w:w="180" w:type="dxa"/>
            <w:vAlign w:val="bottom"/>
            <w:gridSpan w:val="2"/>
            <w:shd w:val="clear" w:color="auto" w:fill="D2DCE5"/>
          </w:tcPr>
          <w:p>
            <w:pPr>
              <w:jc w:val="right"/>
              <w:ind w:right="20"/>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24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(17,240)</w:t>
            </w:r>
          </w:p>
        </w:tc>
        <w:tc>
          <w:tcPr>
            <w:tcW w:w="82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$ 108,033</w:t>
            </w:r>
          </w:p>
        </w:tc>
        <w:tc>
          <w:tcPr>
            <w:tcW w:w="78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$213,450</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Net loss</w:t>
            </w: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(906)</w:t>
            </w:r>
          </w:p>
        </w:tc>
        <w:tc>
          <w:tcPr>
            <w:tcW w:w="820" w:type="dxa"/>
            <w:vAlign w:val="bottom"/>
            <w:gridSpan w:val="2"/>
          </w:tcPr>
          <w:p>
            <w:pPr>
              <w:jc w:val="right"/>
              <w:spacing w:after="0"/>
              <w:rPr>
                <w:sz w:val="20"/>
                <w:szCs w:val="20"/>
                <w:color w:val="auto"/>
              </w:rPr>
            </w:pPr>
            <w:r>
              <w:rPr>
                <w:rFonts w:ascii="Arial" w:cs="Arial" w:eastAsia="Arial" w:hAnsi="Arial"/>
                <w:sz w:val="14"/>
                <w:szCs w:val="14"/>
                <w:color w:val="131E29"/>
              </w:rPr>
              <w:t>(845)</w:t>
            </w:r>
          </w:p>
        </w:tc>
        <w:tc>
          <w:tcPr>
            <w:tcW w:w="780" w:type="dxa"/>
            <w:vAlign w:val="bottom"/>
            <w:gridSpan w:val="2"/>
          </w:tcPr>
          <w:p>
            <w:pPr>
              <w:jc w:val="right"/>
              <w:spacing w:after="0"/>
              <w:rPr>
                <w:sz w:val="20"/>
                <w:szCs w:val="20"/>
                <w:color w:val="auto"/>
              </w:rPr>
            </w:pPr>
            <w:r>
              <w:rPr>
                <w:rFonts w:ascii="Arial" w:cs="Arial" w:eastAsia="Arial" w:hAnsi="Arial"/>
                <w:sz w:val="14"/>
                <w:szCs w:val="14"/>
                <w:color w:val="131E29"/>
              </w:rPr>
              <w:t>(1,751)</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on</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securities,</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effective portion, net of</w:t>
            </w: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of</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5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$50</w:t>
            </w: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4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145</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20" w:type="dxa"/>
            <w:vAlign w:val="bottom"/>
            <w:tcBorders>
              <w:bottom w:val="single" w:sz="8" w:color="D2DCE5"/>
            </w:tcBorders>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421</w:t>
            </w:r>
          </w:p>
        </w:tc>
        <w:tc>
          <w:tcPr>
            <w:tcW w:w="780" w:type="dxa"/>
            <w:vAlign w:val="bottom"/>
            <w:tcBorders>
              <w:bottom w:val="single" w:sz="8" w:color="D2DCE5"/>
            </w:tcBorders>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566</w:t>
            </w:r>
          </w:p>
        </w:tc>
        <w:tc>
          <w:tcPr>
            <w:tcW w:w="0" w:type="dxa"/>
            <w:vAlign w:val="bottom"/>
          </w:tcPr>
          <w:p>
            <w:pPr>
              <w:spacing w:after="0"/>
              <w:rPr>
                <w:sz w:val="1"/>
                <w:szCs w:val="1"/>
                <w:color w:val="auto"/>
              </w:rPr>
            </w:pPr>
          </w:p>
        </w:tc>
      </w:tr>
      <w:tr>
        <w:trPr>
          <w:trHeight w:val="197"/>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131E29"/>
              </w:rPr>
              <w:t>3,305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131E29"/>
              </w:rPr>
              <w:t>7,141</w:t>
            </w: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131E29"/>
              </w:rPr>
              <w:t>10,446</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Tax impact of Tax</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Receivable</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Agreements and other</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equity transactions</w:t>
            </w: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526</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4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74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526</w:t>
            </w:r>
          </w:p>
        </w:tc>
        <w:tc>
          <w:tcPr>
            <w:tcW w:w="0" w:type="dxa"/>
            <w:vAlign w:val="bottom"/>
          </w:tcPr>
          <w:p>
            <w:pPr>
              <w:spacing w:after="0"/>
              <w:rPr>
                <w:sz w:val="1"/>
                <w:szCs w:val="1"/>
                <w:color w:val="auto"/>
              </w:rPr>
            </w:pPr>
          </w:p>
        </w:tc>
      </w:tr>
      <w:tr>
        <w:trPr>
          <w:trHeight w:val="197"/>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Effect of exchange of</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Dutch Bros OpCo</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Class A common units</w:t>
            </w: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131E29"/>
              </w:rPr>
              <w:t>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131E29"/>
              </w:rPr>
              <w:t>(52)</w:t>
            </w:r>
          </w:p>
        </w:tc>
        <w:tc>
          <w:tcPr>
            <w:tcW w:w="8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5"/>
        </w:trPr>
        <w:tc>
          <w:tcPr>
            <w:tcW w:w="154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June 30,</w:t>
            </w:r>
          </w:p>
        </w:tc>
        <w:tc>
          <w:tcPr>
            <w:tcW w:w="5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39,558</w:t>
            </w:r>
          </w:p>
        </w:tc>
        <w:tc>
          <w:tcPr>
            <w:tcW w:w="380" w:type="dxa"/>
            <w:vAlign w:val="bottom"/>
            <w:gridSpan w:val="2"/>
            <w:vMerge w:val="restart"/>
            <w:shd w:val="clear" w:color="auto" w:fill="D2DCE5"/>
          </w:tcPr>
          <w:p>
            <w:pPr>
              <w:ind w:left="100"/>
              <w:spacing w:after="0"/>
              <w:rPr>
                <w:sz w:val="20"/>
                <w:szCs w:val="20"/>
                <w:color w:val="auto"/>
              </w:rPr>
            </w:pPr>
            <w:r>
              <w:rPr>
                <w:rFonts w:ascii="Arial" w:cs="Arial" w:eastAsia="Arial" w:hAnsi="Arial"/>
                <w:sz w:val="14"/>
                <w:szCs w:val="14"/>
                <w:color w:val="131E29"/>
              </w:rPr>
              <w:t>$</w:t>
            </w:r>
          </w:p>
        </w:tc>
        <w:tc>
          <w:tcPr>
            <w:tcW w:w="280" w:type="dxa"/>
            <w:vAlign w:val="bottom"/>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spacing w:after="0"/>
              <w:rPr>
                <w:sz w:val="20"/>
                <w:szCs w:val="20"/>
                <w:color w:val="auto"/>
              </w:rPr>
            </w:pPr>
            <w:r>
              <w:rPr>
                <w:rFonts w:ascii="Arial" w:cs="Arial" w:eastAsia="Arial" w:hAnsi="Arial"/>
                <w:sz w:val="14"/>
                <w:szCs w:val="14"/>
                <w:color w:val="131E29"/>
              </w:rPr>
              <w:t>64,699</w:t>
            </w:r>
          </w:p>
        </w:tc>
        <w:tc>
          <w:tcPr>
            <w:tcW w:w="380" w:type="dxa"/>
            <w:vAlign w:val="bottom"/>
            <w:gridSpan w:val="2"/>
            <w:vMerge w:val="restart"/>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640" w:type="dxa"/>
            <w:vAlign w:val="bottom"/>
            <w:gridSpan w:val="2"/>
            <w:vMerge w:val="restart"/>
            <w:shd w:val="clear" w:color="auto" w:fill="D2DCE5"/>
          </w:tcPr>
          <w:p>
            <w:pPr>
              <w:jc w:val="right"/>
              <w:spacing w:after="0"/>
              <w:rPr>
                <w:sz w:val="20"/>
                <w:szCs w:val="20"/>
                <w:color w:val="auto"/>
              </w:rPr>
            </w:pPr>
            <w:r>
              <w:rPr>
                <w:rFonts w:ascii="Arial" w:cs="Arial" w:eastAsia="Arial" w:hAnsi="Arial"/>
                <w:sz w:val="14"/>
                <w:szCs w:val="14"/>
                <w:color w:val="131E29"/>
              </w:rPr>
              <w:t>45,386</w:t>
            </w:r>
          </w:p>
        </w:tc>
        <w:tc>
          <w:tcPr>
            <w:tcW w:w="380" w:type="dxa"/>
            <w:vAlign w:val="bottom"/>
            <w:gridSpan w:val="2"/>
            <w:vMerge w:val="restart"/>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640" w:type="dxa"/>
            <w:vAlign w:val="bottom"/>
            <w:gridSpan w:val="2"/>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14,062</w:t>
            </w:r>
          </w:p>
        </w:tc>
        <w:tc>
          <w:tcPr>
            <w:tcW w:w="380" w:type="dxa"/>
            <w:vAlign w:val="bottom"/>
            <w:gridSpan w:val="2"/>
            <w:vMerge w:val="restart"/>
            <w:shd w:val="clear" w:color="auto" w:fill="D2DCE5"/>
          </w:tcPr>
          <w:p>
            <w:pPr>
              <w:ind w:left="100"/>
              <w:spacing w:after="0"/>
              <w:rPr>
                <w:sz w:val="20"/>
                <w:szCs w:val="20"/>
                <w:color w:val="auto"/>
              </w:rPr>
            </w:pPr>
            <w:r>
              <w:rPr>
                <w:rFonts w:ascii="Arial" w:cs="Arial" w:eastAsia="Arial" w:hAnsi="Arial"/>
                <w:sz w:val="14"/>
                <w:szCs w:val="14"/>
                <w:color w:val="131E29"/>
              </w:rPr>
              <w:t>$</w:t>
            </w:r>
          </w:p>
        </w:tc>
        <w:tc>
          <w:tcPr>
            <w:tcW w:w="280" w:type="dxa"/>
            <w:vAlign w:val="bottom"/>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$126,538</w:t>
            </w:r>
          </w:p>
        </w:tc>
        <w:tc>
          <w:tcPr>
            <w:tcW w:w="180" w:type="dxa"/>
            <w:vAlign w:val="bottom"/>
            <w:gridSpan w:val="2"/>
            <w:vMerge w:val="restart"/>
            <w:shd w:val="clear" w:color="auto" w:fill="D2DCE5"/>
          </w:tcPr>
          <w:p>
            <w:pPr>
              <w:jc w:val="right"/>
              <w:ind w:right="20"/>
              <w:spacing w:after="0"/>
              <w:rPr>
                <w:sz w:val="20"/>
                <w:szCs w:val="20"/>
                <w:color w:val="auto"/>
              </w:rPr>
            </w:pPr>
            <w:r>
              <w:rPr>
                <w:rFonts w:ascii="Arial" w:cs="Arial" w:eastAsia="Arial" w:hAnsi="Arial"/>
                <w:sz w:val="14"/>
                <w:szCs w:val="14"/>
                <w:color w:val="131E29"/>
              </w:rPr>
              <w:t>$</w:t>
            </w:r>
          </w:p>
        </w:tc>
        <w:tc>
          <w:tcPr>
            <w:tcW w:w="94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145</w:t>
            </w:r>
          </w:p>
        </w:tc>
        <w:tc>
          <w:tcPr>
            <w:tcW w:w="240" w:type="dxa"/>
            <w:vAlign w:val="bottom"/>
            <w:gridSpan w:val="2"/>
            <w:vMerge w:val="restart"/>
            <w:shd w:val="clear" w:color="auto" w:fill="D2DCE5"/>
          </w:tcPr>
          <w:p>
            <w:pPr>
              <w:ind w:left="10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(18,146)</w:t>
            </w:r>
          </w:p>
        </w:tc>
        <w:tc>
          <w:tcPr>
            <w:tcW w:w="820" w:type="dxa"/>
            <w:vAlign w:val="bottom"/>
            <w:gridSpan w:val="2"/>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$ 114,698</w:t>
            </w:r>
          </w:p>
        </w:tc>
        <w:tc>
          <w:tcPr>
            <w:tcW w:w="780" w:type="dxa"/>
            <w:vAlign w:val="bottom"/>
            <w:gridSpan w:val="2"/>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$223,237</w:t>
            </w:r>
          </w:p>
        </w:tc>
        <w:tc>
          <w:tcPr>
            <w:tcW w:w="0" w:type="dxa"/>
            <w:vAlign w:val="bottom"/>
          </w:tcPr>
          <w:p>
            <w:pPr>
              <w:spacing w:after="0"/>
              <w:rPr>
                <w:sz w:val="1"/>
                <w:szCs w:val="1"/>
                <w:color w:val="auto"/>
              </w:rPr>
            </w:pPr>
          </w:p>
        </w:tc>
      </w:tr>
      <w:tr>
        <w:trPr>
          <w:trHeight w:val="209"/>
        </w:trPr>
        <w:tc>
          <w:tcPr>
            <w:tcW w:w="154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2022</w:t>
            </w:r>
          </w:p>
        </w:tc>
        <w:tc>
          <w:tcPr>
            <w:tcW w:w="80" w:type="dxa"/>
            <w:vAlign w:val="bottom"/>
            <w:shd w:val="clear" w:color="auto" w:fill="D2DCE5"/>
          </w:tcPr>
          <w:p>
            <w:pPr>
              <w:spacing w:after="0"/>
              <w:rPr>
                <w:sz w:val="18"/>
                <w:szCs w:val="18"/>
                <w:color w:val="auto"/>
              </w:rPr>
            </w:pPr>
          </w:p>
        </w:tc>
        <w:tc>
          <w:tcPr>
            <w:tcW w:w="580" w:type="dxa"/>
            <w:vAlign w:val="bottom"/>
            <w:vMerge w:val="continue"/>
            <w:shd w:val="clear" w:color="auto" w:fill="D2DCE5"/>
          </w:tcPr>
          <w:p>
            <w:pPr>
              <w:spacing w:after="0"/>
              <w:rPr>
                <w:sz w:val="18"/>
                <w:szCs w:val="18"/>
                <w:color w:val="auto"/>
              </w:rPr>
            </w:pPr>
          </w:p>
        </w:tc>
        <w:tc>
          <w:tcPr>
            <w:tcW w:w="380" w:type="dxa"/>
            <w:vAlign w:val="bottom"/>
            <w:gridSpan w:val="2"/>
            <w:vMerge w:val="continue"/>
            <w:shd w:val="clear" w:color="auto" w:fill="D2DCE5"/>
          </w:tcPr>
          <w:p>
            <w:pPr>
              <w:spacing w:after="0"/>
              <w:rPr>
                <w:sz w:val="18"/>
                <w:szCs w:val="18"/>
                <w:color w:val="auto"/>
              </w:rPr>
            </w:pPr>
          </w:p>
        </w:tc>
        <w:tc>
          <w:tcPr>
            <w:tcW w:w="280" w:type="dxa"/>
            <w:vAlign w:val="bottom"/>
            <w:vMerge w:val="continue"/>
            <w:shd w:val="clear" w:color="auto" w:fill="D2DCE5"/>
          </w:tcPr>
          <w:p>
            <w:pPr>
              <w:spacing w:after="0"/>
              <w:rPr>
                <w:sz w:val="18"/>
                <w:szCs w:val="18"/>
                <w:color w:val="auto"/>
              </w:rPr>
            </w:pPr>
          </w:p>
        </w:tc>
        <w:tc>
          <w:tcPr>
            <w:tcW w:w="640" w:type="dxa"/>
            <w:vAlign w:val="bottom"/>
            <w:gridSpan w:val="2"/>
            <w:vMerge w:val="continue"/>
            <w:shd w:val="clear" w:color="auto" w:fill="D2DCE5"/>
          </w:tcPr>
          <w:p>
            <w:pPr>
              <w:spacing w:after="0"/>
              <w:rPr>
                <w:sz w:val="18"/>
                <w:szCs w:val="18"/>
                <w:color w:val="auto"/>
              </w:rPr>
            </w:pPr>
          </w:p>
        </w:tc>
        <w:tc>
          <w:tcPr>
            <w:tcW w:w="380" w:type="dxa"/>
            <w:vAlign w:val="bottom"/>
            <w:gridSpan w:val="2"/>
            <w:vMerge w:val="continue"/>
            <w:shd w:val="clear" w:color="auto" w:fill="D2DCE5"/>
          </w:tcPr>
          <w:p>
            <w:pPr>
              <w:spacing w:after="0"/>
              <w:rPr>
                <w:sz w:val="18"/>
                <w:szCs w:val="18"/>
                <w:color w:val="auto"/>
              </w:rPr>
            </w:pPr>
          </w:p>
        </w:tc>
        <w:tc>
          <w:tcPr>
            <w:tcW w:w="280" w:type="dxa"/>
            <w:vAlign w:val="bottom"/>
            <w:vMerge w:val="continue"/>
            <w:shd w:val="clear" w:color="auto" w:fill="D2DCE5"/>
          </w:tcPr>
          <w:p>
            <w:pPr>
              <w:spacing w:after="0"/>
              <w:rPr>
                <w:sz w:val="18"/>
                <w:szCs w:val="18"/>
                <w:color w:val="auto"/>
              </w:rPr>
            </w:pPr>
          </w:p>
        </w:tc>
        <w:tc>
          <w:tcPr>
            <w:tcW w:w="640" w:type="dxa"/>
            <w:vAlign w:val="bottom"/>
            <w:gridSpan w:val="2"/>
            <w:vMerge w:val="continue"/>
            <w:shd w:val="clear" w:color="auto" w:fill="D2DCE5"/>
          </w:tcPr>
          <w:p>
            <w:pPr>
              <w:spacing w:after="0"/>
              <w:rPr>
                <w:sz w:val="18"/>
                <w:szCs w:val="18"/>
                <w:color w:val="auto"/>
              </w:rPr>
            </w:pPr>
          </w:p>
        </w:tc>
        <w:tc>
          <w:tcPr>
            <w:tcW w:w="380" w:type="dxa"/>
            <w:vAlign w:val="bottom"/>
            <w:gridSpan w:val="2"/>
            <w:vMerge w:val="continue"/>
            <w:shd w:val="clear" w:color="auto" w:fill="D2DCE5"/>
          </w:tcPr>
          <w:p>
            <w:pPr>
              <w:spacing w:after="0"/>
              <w:rPr>
                <w:sz w:val="18"/>
                <w:szCs w:val="18"/>
                <w:color w:val="auto"/>
              </w:rPr>
            </w:pPr>
          </w:p>
        </w:tc>
        <w:tc>
          <w:tcPr>
            <w:tcW w:w="300" w:type="dxa"/>
            <w:vAlign w:val="bottom"/>
            <w:vMerge w:val="continue"/>
            <w:shd w:val="clear" w:color="auto" w:fill="D2DCE5"/>
          </w:tcPr>
          <w:p>
            <w:pPr>
              <w:spacing w:after="0"/>
              <w:rPr>
                <w:sz w:val="18"/>
                <w:szCs w:val="18"/>
                <w:color w:val="auto"/>
              </w:rPr>
            </w:pPr>
          </w:p>
        </w:tc>
        <w:tc>
          <w:tcPr>
            <w:tcW w:w="640" w:type="dxa"/>
            <w:vAlign w:val="bottom"/>
            <w:gridSpan w:val="2"/>
            <w:vMerge w:val="continue"/>
            <w:shd w:val="clear" w:color="auto" w:fill="D2DCE5"/>
          </w:tcPr>
          <w:p>
            <w:pPr>
              <w:spacing w:after="0"/>
              <w:rPr>
                <w:sz w:val="18"/>
                <w:szCs w:val="18"/>
                <w:color w:val="auto"/>
              </w:rPr>
            </w:pPr>
          </w:p>
        </w:tc>
        <w:tc>
          <w:tcPr>
            <w:tcW w:w="380" w:type="dxa"/>
            <w:vAlign w:val="bottom"/>
            <w:gridSpan w:val="2"/>
            <w:vMerge w:val="continue"/>
            <w:shd w:val="clear" w:color="auto" w:fill="D2DCE5"/>
          </w:tcPr>
          <w:p>
            <w:pPr>
              <w:spacing w:after="0"/>
              <w:rPr>
                <w:sz w:val="18"/>
                <w:szCs w:val="18"/>
                <w:color w:val="auto"/>
              </w:rPr>
            </w:pPr>
          </w:p>
        </w:tc>
        <w:tc>
          <w:tcPr>
            <w:tcW w:w="280" w:type="dxa"/>
            <w:vAlign w:val="bottom"/>
            <w:vMerge w:val="continue"/>
            <w:shd w:val="clear" w:color="auto" w:fill="D2DCE5"/>
          </w:tcPr>
          <w:p>
            <w:pPr>
              <w:spacing w:after="0"/>
              <w:rPr>
                <w:sz w:val="18"/>
                <w:szCs w:val="18"/>
                <w:color w:val="auto"/>
              </w:rPr>
            </w:pPr>
          </w:p>
        </w:tc>
        <w:tc>
          <w:tcPr>
            <w:tcW w:w="780" w:type="dxa"/>
            <w:vAlign w:val="bottom"/>
            <w:gridSpan w:val="2"/>
            <w:vMerge w:val="continue"/>
            <w:shd w:val="clear" w:color="auto" w:fill="D2DCE5"/>
          </w:tcPr>
          <w:p>
            <w:pPr>
              <w:spacing w:after="0"/>
              <w:rPr>
                <w:sz w:val="18"/>
                <w:szCs w:val="18"/>
                <w:color w:val="auto"/>
              </w:rPr>
            </w:pPr>
          </w:p>
        </w:tc>
        <w:tc>
          <w:tcPr>
            <w:tcW w:w="180" w:type="dxa"/>
            <w:vAlign w:val="bottom"/>
            <w:gridSpan w:val="2"/>
            <w:vMerge w:val="continue"/>
            <w:shd w:val="clear" w:color="auto" w:fill="D2DCE5"/>
          </w:tcPr>
          <w:p>
            <w:pPr>
              <w:spacing w:after="0"/>
              <w:rPr>
                <w:sz w:val="18"/>
                <w:szCs w:val="18"/>
                <w:color w:val="auto"/>
              </w:rPr>
            </w:pPr>
          </w:p>
        </w:tc>
        <w:tc>
          <w:tcPr>
            <w:tcW w:w="940" w:type="dxa"/>
            <w:vAlign w:val="bottom"/>
            <w:vMerge w:val="continue"/>
            <w:shd w:val="clear" w:color="auto" w:fill="D2DCE5"/>
          </w:tcPr>
          <w:p>
            <w:pPr>
              <w:spacing w:after="0"/>
              <w:rPr>
                <w:sz w:val="18"/>
                <w:szCs w:val="18"/>
                <w:color w:val="auto"/>
              </w:rPr>
            </w:pPr>
          </w:p>
        </w:tc>
        <w:tc>
          <w:tcPr>
            <w:tcW w:w="240" w:type="dxa"/>
            <w:vAlign w:val="bottom"/>
            <w:gridSpan w:val="2"/>
            <w:vMerge w:val="continue"/>
            <w:shd w:val="clear" w:color="auto" w:fill="D2DCE5"/>
          </w:tcPr>
          <w:p>
            <w:pPr>
              <w:spacing w:after="0"/>
              <w:rPr>
                <w:sz w:val="18"/>
                <w:szCs w:val="18"/>
                <w:color w:val="auto"/>
              </w:rPr>
            </w:pPr>
          </w:p>
        </w:tc>
        <w:tc>
          <w:tcPr>
            <w:tcW w:w="700" w:type="dxa"/>
            <w:vAlign w:val="bottom"/>
            <w:vMerge w:val="continue"/>
            <w:shd w:val="clear" w:color="auto" w:fill="D2DCE5"/>
          </w:tcPr>
          <w:p>
            <w:pPr>
              <w:spacing w:after="0"/>
              <w:rPr>
                <w:sz w:val="18"/>
                <w:szCs w:val="18"/>
                <w:color w:val="auto"/>
              </w:rPr>
            </w:pPr>
          </w:p>
        </w:tc>
        <w:tc>
          <w:tcPr>
            <w:tcW w:w="820" w:type="dxa"/>
            <w:vAlign w:val="bottom"/>
            <w:gridSpan w:val="2"/>
            <w:vMerge w:val="continue"/>
            <w:shd w:val="clear" w:color="auto" w:fill="D2DCE5"/>
          </w:tcPr>
          <w:p>
            <w:pPr>
              <w:spacing w:after="0"/>
              <w:rPr>
                <w:sz w:val="18"/>
                <w:szCs w:val="18"/>
                <w:color w:val="auto"/>
              </w:rPr>
            </w:pPr>
          </w:p>
        </w:tc>
        <w:tc>
          <w:tcPr>
            <w:tcW w:w="780" w:type="dxa"/>
            <w:vAlign w:val="bottom"/>
            <w:gridSpan w:val="2"/>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b w:val="1"/>
                <w:bCs w:val="1"/>
                <w:color w:val="131E29"/>
              </w:rPr>
              <w:t>Dutch Bros. Inc. Stockholders’ Equity</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ind w:left="360"/>
              <w:spacing w:after="0"/>
              <w:rPr>
                <w:sz w:val="20"/>
                <w:szCs w:val="20"/>
                <w:color w:val="auto"/>
              </w:rPr>
            </w:pPr>
            <w:r>
              <w:rPr>
                <w:rFonts w:ascii="Arial" w:cs="Arial" w:eastAsia="Arial" w:hAnsi="Arial"/>
                <w:sz w:val="14"/>
                <w:szCs w:val="14"/>
                <w:b w:val="1"/>
                <w:bCs w:val="1"/>
                <w:color w:val="131E29"/>
              </w:rPr>
              <w:t>Class A</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131E29"/>
              </w:rPr>
              <w:t>Class 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6"/>
                <w:szCs w:val="16"/>
                <w:color w:val="auto"/>
              </w:rPr>
            </w:pPr>
          </w:p>
        </w:tc>
        <w:tc>
          <w:tcPr>
            <w:tcW w:w="12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6"/>
                <w:szCs w:val="16"/>
                <w:color w:val="auto"/>
              </w:rPr>
            </w:pPr>
          </w:p>
        </w:tc>
        <w:tc>
          <w:tcPr>
            <w:tcW w:w="12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131E29"/>
              </w:rPr>
              <w:t>Common Stock</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131E29"/>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131E29"/>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color w:val="131E29"/>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Non-</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131E29"/>
              </w:rPr>
              <w:t>Paid-in-</w:t>
            </w:r>
          </w:p>
        </w:tc>
        <w:tc>
          <w:tcPr>
            <w:tcW w:w="8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131E29"/>
              </w:rPr>
              <w:t>Comprehensive</w:t>
            </w:r>
          </w:p>
        </w:tc>
        <w:tc>
          <w:tcPr>
            <w:tcW w:w="8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131E29"/>
              </w:rPr>
              <w:t>Accumulated</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Controlling</w:t>
            </w:r>
          </w:p>
        </w:tc>
        <w:tc>
          <w:tcPr>
            <w:tcW w:w="8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82"/>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unaudited)</w:t>
            </w:r>
          </w:p>
        </w:tc>
        <w:tc>
          <w:tcPr>
            <w:tcW w:w="56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131E29"/>
              </w:rPr>
              <w:t>Deficit</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26"/>
        </w:trPr>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w:t>
            </w:r>
          </w:p>
        </w:tc>
        <w:tc>
          <w:tcPr>
            <w:tcW w:w="56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100"/>
              <w:spacing w:after="0"/>
              <w:rPr>
                <w:sz w:val="20"/>
                <w:szCs w:val="20"/>
                <w:color w:val="auto"/>
              </w:rPr>
            </w:pPr>
            <w:r>
              <w:rPr>
                <w:rFonts w:ascii="Arial" w:cs="Arial" w:eastAsia="Arial" w:hAnsi="Arial"/>
                <w:sz w:val="18"/>
                <w:szCs w:val="18"/>
                <w:color w:val="131E29"/>
              </w:rPr>
              <w:t>$</w:t>
            </w:r>
          </w:p>
        </w:tc>
        <w:tc>
          <w:tcPr>
            <w:tcW w:w="3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31, 2021</w:t>
            </w: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34,433</w:t>
            </w:r>
          </w:p>
        </w:tc>
        <w:tc>
          <w:tcPr>
            <w:tcW w:w="360" w:type="dxa"/>
            <w:vAlign w:val="bottom"/>
            <w:gridSpan w:val="2"/>
            <w:vMerge w:val="continue"/>
            <w:shd w:val="clear" w:color="auto" w:fill="D2DCE5"/>
          </w:tcPr>
          <w:p>
            <w:pPr>
              <w:spacing w:after="0"/>
              <w:rPr>
                <w:sz w:val="18"/>
                <w:szCs w:val="18"/>
                <w:color w:val="auto"/>
              </w:rPr>
            </w:pPr>
          </w:p>
        </w:tc>
        <w:tc>
          <w:tcPr>
            <w:tcW w:w="300" w:type="dxa"/>
            <w:vAlign w:val="bottom"/>
            <w:vMerge w:val="continue"/>
            <w:shd w:val="clear" w:color="auto" w:fill="D2DCE5"/>
          </w:tcPr>
          <w:p>
            <w:pPr>
              <w:spacing w:after="0"/>
              <w:rPr>
                <w:sz w:val="18"/>
                <w:szCs w:val="18"/>
                <w:color w:val="auto"/>
              </w:rPr>
            </w:pPr>
          </w:p>
        </w:tc>
        <w:tc>
          <w:tcPr>
            <w:tcW w:w="66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64,699</w:t>
            </w:r>
          </w:p>
        </w:tc>
        <w:tc>
          <w:tcPr>
            <w:tcW w:w="380" w:type="dxa"/>
            <w:vAlign w:val="bottom"/>
            <w:gridSpan w:val="2"/>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64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49,006</w:t>
            </w:r>
          </w:p>
        </w:tc>
        <w:tc>
          <w:tcPr>
            <w:tcW w:w="380" w:type="dxa"/>
            <w:vAlign w:val="bottom"/>
            <w:gridSpan w:val="2"/>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66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15,441</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$107,193</w:t>
            </w:r>
          </w:p>
        </w:tc>
        <w:tc>
          <w:tcPr>
            <w:tcW w:w="1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24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(12,679)</w:t>
            </w:r>
          </w:p>
        </w:tc>
        <w:tc>
          <w:tcPr>
            <w:tcW w:w="820" w:type="dxa"/>
            <w:vAlign w:val="bottom"/>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$ 119,213</w:t>
            </w:r>
          </w:p>
        </w:tc>
        <w:tc>
          <w:tcPr>
            <w:tcW w:w="7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$213,729</w:t>
            </w:r>
          </w:p>
        </w:tc>
        <w:tc>
          <w:tcPr>
            <w:tcW w:w="0" w:type="dxa"/>
            <w:vAlign w:val="bottom"/>
          </w:tcPr>
          <w:p>
            <w:pPr>
              <w:spacing w:after="0"/>
              <w:rPr>
                <w:sz w:val="1"/>
                <w:szCs w:val="1"/>
                <w:color w:val="auto"/>
              </w:rPr>
            </w:pPr>
          </w:p>
        </w:tc>
      </w:tr>
      <w:tr>
        <w:trPr>
          <w:trHeight w:val="184"/>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Adoption of ASU 2016-</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02, as amended</w:t>
            </w: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386</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131E29"/>
              </w:rPr>
              <w:t>957</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1,343</w:t>
            </w: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loss</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(5,853)</w:t>
            </w:r>
          </w:p>
        </w:tc>
        <w:tc>
          <w:tcPr>
            <w:tcW w:w="8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(12,177)</w:t>
            </w:r>
          </w:p>
        </w:tc>
        <w:tc>
          <w:tcPr>
            <w:tcW w:w="7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(18,030)</w:t>
            </w:r>
          </w:p>
        </w:tc>
        <w:tc>
          <w:tcPr>
            <w:tcW w:w="0" w:type="dxa"/>
            <w:vAlign w:val="bottom"/>
          </w:tcPr>
          <w:p>
            <w:pPr>
              <w:spacing w:after="0"/>
              <w:rPr>
                <w:sz w:val="1"/>
                <w:szCs w:val="1"/>
                <w:color w:val="auto"/>
              </w:rPr>
            </w:pPr>
          </w:p>
        </w:tc>
      </w:tr>
      <w:tr>
        <w:trPr>
          <w:trHeight w:val="197"/>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Unrealized gain on</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derivative securities,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effective portion, net of</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income tax expense of</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80" w:type="dxa"/>
            <w:vAlign w:val="bottom"/>
          </w:tcPr>
          <w:p>
            <w:pPr>
              <w:ind w:left="20"/>
              <w:spacing w:after="0"/>
              <w:rPr>
                <w:sz w:val="20"/>
                <w:szCs w:val="20"/>
                <w:color w:val="auto"/>
              </w:rPr>
            </w:pPr>
            <w:r>
              <w:rPr>
                <w:rFonts w:ascii="Arial" w:cs="Arial" w:eastAsia="Arial" w:hAnsi="Arial"/>
                <w:sz w:val="14"/>
                <w:szCs w:val="14"/>
                <w:color w:val="131E29"/>
              </w:rPr>
              <w:t>$50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131E29"/>
              </w:rPr>
              <w:t>145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131E29"/>
              </w:rPr>
              <w:t>421</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566</w:t>
            </w: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compensation</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vMerge w:val="continue"/>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6,427</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20" w:type="dxa"/>
            <w:vAlign w:val="bottom"/>
            <w:tcBorders>
              <w:bottom w:val="single" w:sz="8" w:color="D2DCE5"/>
            </w:tcBorders>
            <w:gridSpan w:val="2"/>
            <w:shd w:val="clear" w:color="auto" w:fill="D2DCE5"/>
          </w:tcPr>
          <w:p>
            <w:pPr>
              <w:jc w:val="right"/>
              <w:ind w:right="8"/>
              <w:spacing w:after="0"/>
              <w:rPr>
                <w:sz w:val="20"/>
                <w:szCs w:val="20"/>
                <w:color w:val="auto"/>
              </w:rPr>
            </w:pPr>
            <w:r>
              <w:rPr>
                <w:rFonts w:ascii="Arial" w:cs="Arial" w:eastAsia="Arial" w:hAnsi="Arial"/>
                <w:sz w:val="14"/>
                <w:szCs w:val="14"/>
                <w:color w:val="131E29"/>
              </w:rPr>
              <w:t>13,919</w:t>
            </w:r>
          </w:p>
        </w:tc>
        <w:tc>
          <w:tcPr>
            <w:tcW w:w="7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20,346</w:t>
            </w:r>
          </w:p>
        </w:tc>
        <w:tc>
          <w:tcPr>
            <w:tcW w:w="0" w:type="dxa"/>
            <w:vAlign w:val="bottom"/>
          </w:tcPr>
          <w:p>
            <w:pPr>
              <w:spacing w:after="0"/>
              <w:rPr>
                <w:sz w:val="1"/>
                <w:szCs w:val="1"/>
                <w:color w:val="auto"/>
              </w:rPr>
            </w:pPr>
          </w:p>
        </w:tc>
      </w:tr>
      <w:tr>
        <w:trPr>
          <w:trHeight w:val="197"/>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common stock pursuant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to vesting of equity</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awards, net of stock</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withheld for tax</w:t>
            </w:r>
          </w:p>
        </w:tc>
        <w:tc>
          <w:tcPr>
            <w:tcW w:w="560" w:type="dxa"/>
            <w:vAlign w:val="bottom"/>
          </w:tcPr>
          <w:p>
            <w:pPr>
              <w:jc w:val="right"/>
              <w:spacing w:after="0"/>
              <w:rPr>
                <w:sz w:val="20"/>
                <w:szCs w:val="20"/>
                <w:color w:val="auto"/>
              </w:rPr>
            </w:pPr>
            <w:r>
              <w:rPr>
                <w:rFonts w:ascii="Arial" w:cs="Arial" w:eastAsia="Arial" w:hAnsi="Arial"/>
                <w:sz w:val="14"/>
                <w:szCs w:val="14"/>
                <w:color w:val="131E29"/>
              </w:rPr>
              <w:t>125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131E2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(1,145)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131E29"/>
              </w:rPr>
              <w:t>(2,755)</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(3,900)</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Tax impact of Tax</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Receivable Agreements</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and other equity</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transactions</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vMerge w:val="continue"/>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9,183</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74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9,183</w:t>
            </w:r>
          </w:p>
        </w:tc>
        <w:tc>
          <w:tcPr>
            <w:tcW w:w="0" w:type="dxa"/>
            <w:vAlign w:val="bottom"/>
          </w:tcPr>
          <w:p>
            <w:pPr>
              <w:spacing w:after="0"/>
              <w:rPr>
                <w:sz w:val="1"/>
                <w:szCs w:val="1"/>
                <w:color w:val="auto"/>
              </w:rPr>
            </w:pPr>
          </w:p>
        </w:tc>
      </w:tr>
      <w:tr>
        <w:trPr>
          <w:trHeight w:val="197"/>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Effect of exchange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Dutch Bros OpCo Class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0"/>
              <w:spacing w:after="0"/>
              <w:rPr>
                <w:sz w:val="20"/>
                <w:szCs w:val="20"/>
                <w:color w:val="auto"/>
              </w:rPr>
            </w:pPr>
            <w:r>
              <w:rPr>
                <w:rFonts w:ascii="Arial" w:cs="Arial" w:eastAsia="Arial" w:hAnsi="Arial"/>
                <w:sz w:val="14"/>
                <w:szCs w:val="14"/>
                <w:color w:val="131E29"/>
              </w:rPr>
              <w:t>A common units</w:t>
            </w: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131E2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131E29"/>
              </w:rPr>
              <w:t>4,880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131E29"/>
              </w:rPr>
              <w:t>(4,880)</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Surrender and</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cancellation of Class C</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&amp; D common stock</w:t>
            </w: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5,000</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spacing w:after="0"/>
              <w:rPr>
                <w:sz w:val="16"/>
                <w:szCs w:val="16"/>
                <w:color w:val="auto"/>
              </w:rPr>
            </w:pPr>
          </w:p>
        </w:tc>
        <w:tc>
          <w:tcPr>
            <w:tcW w:w="30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auto"/>
            </w:tcBorders>
            <w:shd w:val="clear" w:color="auto" w:fill="D2DCE5"/>
          </w:tcPr>
          <w:p>
            <w:pPr>
              <w:ind w:left="80"/>
              <w:spacing w:after="0"/>
              <w:rPr>
                <w:sz w:val="20"/>
                <w:szCs w:val="20"/>
                <w:color w:val="auto"/>
              </w:rPr>
            </w:pPr>
            <w:r>
              <w:rPr>
                <w:rFonts w:ascii="Arial" w:cs="Arial" w:eastAsia="Arial" w:hAnsi="Arial"/>
                <w:sz w:val="14"/>
                <w:szCs w:val="14"/>
                <w:color w:val="131E29"/>
              </w:rPr>
              <w:t>(3,620)</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(1,379)</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auto"/>
            </w:tcBorders>
            <w:shd w:val="clear" w:color="auto" w:fill="D2DCE5"/>
          </w:tcPr>
          <w:p>
            <w:pPr>
              <w:spacing w:after="0"/>
              <w:rPr>
                <w:sz w:val="16"/>
                <w:szCs w:val="16"/>
                <w:color w:val="auto"/>
              </w:rPr>
            </w:pPr>
          </w:p>
        </w:tc>
        <w:tc>
          <w:tcPr>
            <w:tcW w:w="96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auto"/>
            </w:tcBorders>
            <w:shd w:val="clear" w:color="auto" w:fill="D2DCE5"/>
          </w:tcPr>
          <w:p>
            <w:pPr>
              <w:spacing w:after="0"/>
              <w:rPr>
                <w:sz w:val="16"/>
                <w:szCs w:val="16"/>
                <w:color w:val="auto"/>
              </w:rPr>
            </w:pPr>
          </w:p>
        </w:tc>
        <w:tc>
          <w:tcPr>
            <w:tcW w:w="70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74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89"/>
        </w:trPr>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June 30,</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39,558</w:t>
            </w:r>
          </w:p>
        </w:tc>
        <w:tc>
          <w:tcPr>
            <w:tcW w:w="360" w:type="dxa"/>
            <w:vAlign w:val="bottom"/>
            <w:gridSpan w:val="2"/>
            <w:vMerge w:val="restart"/>
          </w:tcPr>
          <w:p>
            <w:pPr>
              <w:ind w:left="100"/>
              <w:spacing w:after="0"/>
              <w:rPr>
                <w:sz w:val="20"/>
                <w:szCs w:val="20"/>
                <w:color w:val="auto"/>
              </w:rPr>
            </w:pPr>
            <w:r>
              <w:rPr>
                <w:rFonts w:ascii="Arial" w:cs="Arial" w:eastAsia="Arial" w:hAnsi="Arial"/>
                <w:sz w:val="14"/>
                <w:szCs w:val="14"/>
                <w:color w:val="131E29"/>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color w:val="131E29"/>
              </w:rPr>
              <w:t>64,699</w:t>
            </w:r>
          </w:p>
        </w:tc>
        <w:tc>
          <w:tcPr>
            <w:tcW w:w="38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131E29"/>
              </w:rPr>
              <w:t>1</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131E29"/>
              </w:rPr>
              <w:t>45,386</w:t>
            </w:r>
          </w:p>
        </w:tc>
        <w:tc>
          <w:tcPr>
            <w:tcW w:w="38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1</w:t>
            </w: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color w:val="131E29"/>
              </w:rPr>
              <w:t>14,062</w:t>
            </w: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300" w:type="dxa"/>
            <w:vAlign w:val="bottom"/>
            <w:vMerge w:val="restart"/>
          </w:tcPr>
          <w:p>
            <w:pPr>
              <w:ind w:left="80"/>
              <w:spacing w:after="0"/>
              <w:rPr>
                <w:sz w:val="20"/>
                <w:szCs w:val="20"/>
                <w:color w:val="auto"/>
              </w:rPr>
            </w:pPr>
            <w:r>
              <w:rPr>
                <w:rFonts w:ascii="Arial" w:cs="Arial" w:eastAsia="Arial" w:hAnsi="Arial"/>
                <w:sz w:val="14"/>
                <w:szCs w:val="14"/>
                <w:color w:val="131E29"/>
              </w:rPr>
              <w:t>—</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131E29"/>
              </w:rPr>
              <w:t>$126,538</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131E29"/>
              </w:rPr>
              <w: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131E29"/>
              </w:rPr>
              <w:t>145</w:t>
            </w:r>
          </w:p>
        </w:tc>
        <w:tc>
          <w:tcPr>
            <w:tcW w:w="24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(18,146)</w:t>
            </w:r>
          </w:p>
        </w:tc>
        <w:tc>
          <w:tcPr>
            <w:tcW w:w="820" w:type="dxa"/>
            <w:vAlign w:val="bottom"/>
            <w:gridSpan w:val="2"/>
            <w:vMerge w:val="restart"/>
          </w:tcPr>
          <w:p>
            <w:pPr>
              <w:jc w:val="right"/>
              <w:ind w:right="8"/>
              <w:spacing w:after="0"/>
              <w:rPr>
                <w:sz w:val="20"/>
                <w:szCs w:val="20"/>
                <w:color w:val="auto"/>
              </w:rPr>
            </w:pPr>
            <w:r>
              <w:rPr>
                <w:rFonts w:ascii="Arial" w:cs="Arial" w:eastAsia="Arial" w:hAnsi="Arial"/>
                <w:sz w:val="14"/>
                <w:szCs w:val="14"/>
                <w:color w:val="131E29"/>
              </w:rPr>
              <w:t>$ 114,698</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131E29"/>
              </w:rPr>
              <w:t>$223,237</w:t>
            </w: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6098"/>
        </w:rPr>
        <w:t>Table of Contents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w:t>
      </w:r>
    </w:p>
    <w:p>
      <w:pPr>
        <w:spacing w:after="0" w:line="200" w:lineRule="exact"/>
        <w:rPr>
          <w:sz w:val="20"/>
          <w:szCs w:val="20"/>
          <w:color w:val="auto"/>
        </w:rPr>
      </w:pPr>
    </w:p>
    <w:p>
      <w:pPr>
        <w:spacing w:after="0" w:line="270"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31750</wp:posOffset>
            </wp:positionV>
            <wp:extent cx="15601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60" w:type="dxa"/>
            <w:vAlign w:val="bottom"/>
          </w:tcPr>
          <w:p>
            <w:pPr>
              <w:ind w:left="20"/>
              <w:spacing w:after="0"/>
              <w:rPr>
                <w:sz w:val="20"/>
                <w:szCs w:val="20"/>
                <w:color w:val="auto"/>
              </w:rPr>
            </w:pPr>
            <w:r>
              <w:rPr>
                <w:rFonts w:ascii="Arial" w:cs="Arial" w:eastAsia="Arial" w:hAnsi="Arial"/>
                <w:sz w:val="14"/>
                <w:szCs w:val="14"/>
                <w:color w:val="131E29"/>
              </w:rPr>
              <w:t>(in thousands; unaudited)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131E29"/>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131E29"/>
              </w:rPr>
              <w:t>2022</w:t>
            </w:r>
          </w:p>
        </w:tc>
      </w:tr>
      <w:tr>
        <w:trPr>
          <w:trHeight w:val="21"/>
        </w:trPr>
        <w:tc>
          <w:tcPr>
            <w:tcW w:w="8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0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Cash flows from operating activities:</w:t>
            </w:r>
          </w:p>
        </w:tc>
        <w:tc>
          <w:tcPr>
            <w:tcW w:w="68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2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920" w:type="dxa"/>
            <w:vAlign w:val="bottom"/>
            <w:shd w:val="clear" w:color="auto" w:fill="D2DCE5"/>
          </w:tcPr>
          <w:p>
            <w:pPr>
              <w:spacing w:after="0"/>
              <w:rPr>
                <w:sz w:val="20"/>
                <w:szCs w:val="20"/>
                <w:color w:val="auto"/>
              </w:rPr>
            </w:pPr>
          </w:p>
        </w:tc>
      </w:tr>
      <w:tr>
        <w:trPr>
          <w:trHeight w:val="224"/>
        </w:trPr>
        <w:tc>
          <w:tcPr>
            <w:tcW w:w="8060" w:type="dxa"/>
            <w:vAlign w:val="bottom"/>
          </w:tcPr>
          <w:p>
            <w:pPr>
              <w:ind w:left="180"/>
              <w:spacing w:after="0"/>
              <w:rPr>
                <w:sz w:val="20"/>
                <w:szCs w:val="20"/>
                <w:color w:val="auto"/>
              </w:rPr>
            </w:pPr>
            <w:r>
              <w:rPr>
                <w:rFonts w:ascii="Arial" w:cs="Arial" w:eastAsia="Arial" w:hAnsi="Arial"/>
                <w:sz w:val="16"/>
                <w:szCs w:val="16"/>
                <w:color w:val="131E29"/>
              </w:rPr>
              <w:t>Net income (loss)</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131E29"/>
              </w:rPr>
              <w:t>$</w:t>
            </w:r>
          </w:p>
        </w:tc>
        <w:tc>
          <w:tcPr>
            <w:tcW w:w="920" w:type="dxa"/>
            <w:vAlign w:val="bottom"/>
          </w:tcPr>
          <w:p>
            <w:pPr>
              <w:jc w:val="right"/>
              <w:spacing w:after="0"/>
              <w:rPr>
                <w:sz w:val="20"/>
                <w:szCs w:val="20"/>
                <w:color w:val="auto"/>
              </w:rPr>
            </w:pPr>
            <w:r>
              <w:rPr>
                <w:rFonts w:ascii="Arial" w:cs="Arial" w:eastAsia="Arial" w:hAnsi="Arial"/>
                <w:sz w:val="16"/>
                <w:szCs w:val="16"/>
                <w:color w:val="131E29"/>
              </w:rPr>
              <w:t>320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131E29"/>
              </w:rPr>
              <w:t>$</w:t>
            </w:r>
          </w:p>
        </w:tc>
        <w:tc>
          <w:tcPr>
            <w:tcW w:w="920" w:type="dxa"/>
            <w:vAlign w:val="bottom"/>
          </w:tcPr>
          <w:p>
            <w:pPr>
              <w:jc w:val="right"/>
              <w:spacing w:after="0"/>
              <w:rPr>
                <w:sz w:val="20"/>
                <w:szCs w:val="20"/>
                <w:color w:val="auto"/>
              </w:rPr>
            </w:pPr>
            <w:r>
              <w:rPr>
                <w:rFonts w:ascii="Arial" w:cs="Arial" w:eastAsia="Arial" w:hAnsi="Arial"/>
                <w:sz w:val="16"/>
                <w:szCs w:val="16"/>
                <w:color w:val="131E29"/>
              </w:rPr>
              <w:t>(18,030)</w:t>
            </w:r>
          </w:p>
        </w:tc>
      </w:tr>
      <w:tr>
        <w:trPr>
          <w:trHeight w:val="33"/>
        </w:trPr>
        <w:tc>
          <w:tcPr>
            <w:tcW w:w="8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06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Adjustments to reconcile net income (loss) to net cash provided by operating activities:</w:t>
            </w:r>
          </w:p>
        </w:tc>
        <w:tc>
          <w:tcPr>
            <w:tcW w:w="6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2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spacing w:after="0"/>
              <w:rPr>
                <w:sz w:val="21"/>
                <w:szCs w:val="21"/>
                <w:color w:val="auto"/>
              </w:rPr>
            </w:pPr>
          </w:p>
        </w:tc>
      </w:tr>
      <w:tr>
        <w:trPr>
          <w:trHeight w:val="233"/>
        </w:trPr>
        <w:tc>
          <w:tcPr>
            <w:tcW w:w="8060" w:type="dxa"/>
            <w:vAlign w:val="bottom"/>
          </w:tcPr>
          <w:p>
            <w:pPr>
              <w:ind w:left="340"/>
              <w:spacing w:after="0"/>
              <w:rPr>
                <w:sz w:val="20"/>
                <w:szCs w:val="20"/>
                <w:color w:val="auto"/>
              </w:rPr>
            </w:pPr>
            <w:r>
              <w:rPr>
                <w:rFonts w:ascii="Arial" w:cs="Arial" w:eastAsia="Arial" w:hAnsi="Arial"/>
                <w:sz w:val="16"/>
                <w:szCs w:val="16"/>
                <w:color w:val="131E29"/>
              </w:rPr>
              <w:t>Depreciation and amortization</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31,295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19,721</w:t>
            </w:r>
          </w:p>
        </w:tc>
      </w:tr>
      <w:tr>
        <w:trPr>
          <w:trHeight w:val="246"/>
        </w:trPr>
        <w:tc>
          <w:tcPr>
            <w:tcW w:w="8060" w:type="dxa"/>
            <w:vAlign w:val="bottom"/>
            <w:tcBorders>
              <w:bottom w:val="single" w:sz="8" w:color="D2DCE5"/>
            </w:tcBorders>
            <w:shd w:val="clear" w:color="auto" w:fill="D2DCE5"/>
          </w:tcPr>
          <w:p>
            <w:pPr>
              <w:ind w:left="340"/>
              <w:spacing w:after="0"/>
              <w:rPr>
                <w:sz w:val="20"/>
                <w:szCs w:val="20"/>
                <w:color w:val="auto"/>
              </w:rPr>
            </w:pPr>
            <w:r>
              <w:rPr>
                <w:rFonts w:ascii="Arial" w:cs="Arial" w:eastAsia="Arial" w:hAnsi="Arial"/>
                <w:sz w:val="16"/>
                <w:szCs w:val="16"/>
                <w:color w:val="131E29"/>
              </w:rPr>
              <w:t>Non-cash interest expense</w:t>
            </w:r>
          </w:p>
        </w:tc>
        <w:tc>
          <w:tcPr>
            <w:tcW w:w="68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363</w:t>
            </w:r>
          </w:p>
        </w:tc>
        <w:tc>
          <w:tcPr>
            <w:tcW w:w="12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329</w:t>
            </w:r>
          </w:p>
        </w:tc>
      </w:tr>
      <w:tr>
        <w:trPr>
          <w:trHeight w:val="233"/>
        </w:trPr>
        <w:tc>
          <w:tcPr>
            <w:tcW w:w="8060" w:type="dxa"/>
            <w:vAlign w:val="bottom"/>
          </w:tcPr>
          <w:p>
            <w:pPr>
              <w:ind w:left="340"/>
              <w:spacing w:after="0"/>
              <w:rPr>
                <w:sz w:val="20"/>
                <w:szCs w:val="20"/>
                <w:color w:val="auto"/>
              </w:rPr>
            </w:pPr>
            <w:r>
              <w:rPr>
                <w:rFonts w:ascii="Arial" w:cs="Arial" w:eastAsia="Arial" w:hAnsi="Arial"/>
                <w:sz w:val="16"/>
                <w:szCs w:val="16"/>
                <w:color w:val="131E29"/>
              </w:rPr>
              <w:t>Gain on disposal of assets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(224)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(266)</w:t>
            </w:r>
          </w:p>
        </w:tc>
      </w:tr>
      <w:tr>
        <w:trPr>
          <w:trHeight w:val="246"/>
        </w:trPr>
        <w:tc>
          <w:tcPr>
            <w:tcW w:w="8060" w:type="dxa"/>
            <w:vAlign w:val="bottom"/>
            <w:tcBorders>
              <w:bottom w:val="single" w:sz="8" w:color="D2DCE5"/>
            </w:tcBorders>
            <w:shd w:val="clear" w:color="auto" w:fill="D2DCE5"/>
          </w:tcPr>
          <w:p>
            <w:pPr>
              <w:ind w:left="340"/>
              <w:spacing w:after="0"/>
              <w:rPr>
                <w:sz w:val="20"/>
                <w:szCs w:val="20"/>
                <w:color w:val="auto"/>
              </w:rPr>
            </w:pPr>
            <w:r>
              <w:rPr>
                <w:rFonts w:ascii="Arial" w:cs="Arial" w:eastAsia="Arial" w:hAnsi="Arial"/>
                <w:sz w:val="16"/>
                <w:szCs w:val="16"/>
                <w:color w:val="131E29"/>
              </w:rPr>
              <w:t>Equity-based compensation</w:t>
            </w:r>
          </w:p>
        </w:tc>
        <w:tc>
          <w:tcPr>
            <w:tcW w:w="68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19,319</w:t>
            </w:r>
          </w:p>
        </w:tc>
        <w:tc>
          <w:tcPr>
            <w:tcW w:w="12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20,346</w:t>
            </w:r>
          </w:p>
        </w:tc>
      </w:tr>
      <w:tr>
        <w:trPr>
          <w:trHeight w:val="233"/>
        </w:trPr>
        <w:tc>
          <w:tcPr>
            <w:tcW w:w="8060" w:type="dxa"/>
            <w:vAlign w:val="bottom"/>
          </w:tcPr>
          <w:p>
            <w:pPr>
              <w:ind w:left="340"/>
              <w:spacing w:after="0"/>
              <w:rPr>
                <w:sz w:val="20"/>
                <w:szCs w:val="20"/>
                <w:color w:val="auto"/>
              </w:rPr>
            </w:pPr>
            <w:r>
              <w:rPr>
                <w:rFonts w:ascii="Arial" w:cs="Arial" w:eastAsia="Arial" w:hAnsi="Arial"/>
                <w:sz w:val="16"/>
                <w:szCs w:val="16"/>
                <w:color w:val="131E29"/>
              </w:rPr>
              <w:t>Deferred income taxes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4,064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5</w:t>
            </w:r>
          </w:p>
        </w:tc>
      </w:tr>
      <w:tr>
        <w:trPr>
          <w:trHeight w:val="253"/>
        </w:trPr>
        <w:tc>
          <w:tcPr>
            <w:tcW w:w="8060" w:type="dxa"/>
            <w:vAlign w:val="bottom"/>
            <w:shd w:val="clear" w:color="auto" w:fill="D2DCE5"/>
          </w:tcPr>
          <w:p>
            <w:pPr>
              <w:ind w:left="340"/>
              <w:spacing w:after="0"/>
              <w:rPr>
                <w:sz w:val="20"/>
                <w:szCs w:val="20"/>
                <w:color w:val="auto"/>
              </w:rPr>
            </w:pPr>
            <w:r>
              <w:rPr>
                <w:rFonts w:ascii="Arial" w:cs="Arial" w:eastAsia="Arial" w:hAnsi="Arial"/>
                <w:sz w:val="16"/>
                <w:szCs w:val="16"/>
                <w:color w:val="131E29"/>
              </w:rPr>
              <w:t>Remeasurement gain on TRAs</w:t>
            </w:r>
          </w:p>
        </w:tc>
        <w:tc>
          <w:tcPr>
            <w:tcW w:w="6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(2,155)</w:t>
            </w:r>
          </w:p>
        </w:tc>
        <w:tc>
          <w:tcPr>
            <w:tcW w:w="12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23"/>
        </w:trPr>
        <w:tc>
          <w:tcPr>
            <w:tcW w:w="8060" w:type="dxa"/>
            <w:vAlign w:val="bottom"/>
          </w:tcPr>
          <w:p>
            <w:pPr>
              <w:ind w:left="340"/>
              <w:spacing w:after="0"/>
              <w:rPr>
                <w:sz w:val="20"/>
                <w:szCs w:val="20"/>
                <w:color w:val="auto"/>
              </w:rPr>
            </w:pPr>
            <w:r>
              <w:rPr>
                <w:rFonts w:ascii="Arial" w:cs="Arial" w:eastAsia="Arial" w:hAnsi="Arial"/>
                <w:sz w:val="16"/>
                <w:szCs w:val="16"/>
                <w:color w:val="131E29"/>
              </w:rPr>
              <w:t>Non-cash operating lease cost</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5,487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4,746</w:t>
            </w:r>
          </w:p>
        </w:tc>
      </w:tr>
      <w:tr>
        <w:trPr>
          <w:trHeight w:val="33"/>
        </w:trPr>
        <w:tc>
          <w:tcPr>
            <w:tcW w:w="8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060" w:type="dxa"/>
            <w:vAlign w:val="bottom"/>
            <w:shd w:val="clear" w:color="auto" w:fill="D2DCE5"/>
          </w:tcPr>
          <w:p>
            <w:pPr>
              <w:ind w:left="340"/>
              <w:spacing w:after="0"/>
              <w:rPr>
                <w:sz w:val="20"/>
                <w:szCs w:val="20"/>
                <w:color w:val="auto"/>
              </w:rPr>
            </w:pPr>
            <w:r>
              <w:rPr>
                <w:rFonts w:ascii="Arial" w:cs="Arial" w:eastAsia="Arial" w:hAnsi="Arial"/>
                <w:sz w:val="16"/>
                <w:szCs w:val="16"/>
                <w:color w:val="131E29"/>
              </w:rPr>
              <w:t>Changes in operating assets and liabilities, net of acquisitions:</w:t>
            </w:r>
          </w:p>
        </w:tc>
        <w:tc>
          <w:tcPr>
            <w:tcW w:w="6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2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spacing w:after="0"/>
              <w:rPr>
                <w:sz w:val="21"/>
                <w:szCs w:val="21"/>
                <w:color w:val="auto"/>
              </w:rPr>
            </w:pPr>
          </w:p>
        </w:tc>
      </w:tr>
      <w:tr>
        <w:trPr>
          <w:trHeight w:val="233"/>
        </w:trPr>
        <w:tc>
          <w:tcPr>
            <w:tcW w:w="8060" w:type="dxa"/>
            <w:vAlign w:val="bottom"/>
          </w:tcPr>
          <w:p>
            <w:pPr>
              <w:ind w:left="500"/>
              <w:spacing w:after="0"/>
              <w:rPr>
                <w:sz w:val="20"/>
                <w:szCs w:val="20"/>
                <w:color w:val="auto"/>
              </w:rPr>
            </w:pPr>
            <w:r>
              <w:rPr>
                <w:rFonts w:ascii="Arial" w:cs="Arial" w:eastAsia="Arial" w:hAnsi="Arial"/>
                <w:sz w:val="16"/>
                <w:szCs w:val="16"/>
                <w:color w:val="131E29"/>
              </w:rPr>
              <w:t>Accounts receivable, net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2,587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(3,426)</w:t>
            </w:r>
          </w:p>
        </w:tc>
      </w:tr>
      <w:tr>
        <w:trPr>
          <w:trHeight w:val="246"/>
        </w:trPr>
        <w:tc>
          <w:tcPr>
            <w:tcW w:w="8060" w:type="dxa"/>
            <w:vAlign w:val="bottom"/>
            <w:tcBorders>
              <w:bottom w:val="single" w:sz="8" w:color="D2DCE5"/>
            </w:tcBorders>
            <w:shd w:val="clear" w:color="auto" w:fill="D2DCE5"/>
          </w:tcPr>
          <w:p>
            <w:pPr>
              <w:ind w:left="500"/>
              <w:spacing w:after="0"/>
              <w:rPr>
                <w:sz w:val="20"/>
                <w:szCs w:val="20"/>
                <w:color w:val="auto"/>
              </w:rPr>
            </w:pPr>
            <w:r>
              <w:rPr>
                <w:rFonts w:ascii="Arial" w:cs="Arial" w:eastAsia="Arial" w:hAnsi="Arial"/>
                <w:sz w:val="16"/>
                <w:szCs w:val="16"/>
                <w:color w:val="131E29"/>
              </w:rPr>
              <w:t>Inventories, net</w:t>
            </w:r>
          </w:p>
        </w:tc>
        <w:tc>
          <w:tcPr>
            <w:tcW w:w="68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(8,379)</w:t>
            </w:r>
          </w:p>
        </w:tc>
        <w:tc>
          <w:tcPr>
            <w:tcW w:w="12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(9,442)</w:t>
            </w:r>
          </w:p>
        </w:tc>
      </w:tr>
      <w:tr>
        <w:trPr>
          <w:trHeight w:val="233"/>
        </w:trPr>
        <w:tc>
          <w:tcPr>
            <w:tcW w:w="8060" w:type="dxa"/>
            <w:vAlign w:val="bottom"/>
          </w:tcPr>
          <w:p>
            <w:pPr>
              <w:ind w:left="500"/>
              <w:spacing w:after="0"/>
              <w:rPr>
                <w:sz w:val="20"/>
                <w:szCs w:val="20"/>
                <w:color w:val="auto"/>
              </w:rPr>
            </w:pPr>
            <w:r>
              <w:rPr>
                <w:rFonts w:ascii="Arial" w:cs="Arial" w:eastAsia="Arial" w:hAnsi="Arial"/>
                <w:sz w:val="16"/>
                <w:szCs w:val="16"/>
                <w:color w:val="131E29"/>
              </w:rPr>
              <w:t>Prepaid expenses and other current assets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(2,885)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1,969</w:t>
            </w:r>
          </w:p>
        </w:tc>
      </w:tr>
      <w:tr>
        <w:trPr>
          <w:trHeight w:val="246"/>
        </w:trPr>
        <w:tc>
          <w:tcPr>
            <w:tcW w:w="8060" w:type="dxa"/>
            <w:vAlign w:val="bottom"/>
            <w:tcBorders>
              <w:bottom w:val="single" w:sz="8" w:color="D2DCE5"/>
            </w:tcBorders>
            <w:shd w:val="clear" w:color="auto" w:fill="D2DCE5"/>
          </w:tcPr>
          <w:p>
            <w:pPr>
              <w:ind w:left="500"/>
              <w:spacing w:after="0"/>
              <w:rPr>
                <w:sz w:val="20"/>
                <w:szCs w:val="20"/>
                <w:color w:val="auto"/>
              </w:rPr>
            </w:pPr>
            <w:r>
              <w:rPr>
                <w:rFonts w:ascii="Arial" w:cs="Arial" w:eastAsia="Arial" w:hAnsi="Arial"/>
                <w:sz w:val="16"/>
                <w:szCs w:val="16"/>
                <w:color w:val="131E29"/>
              </w:rPr>
              <w:t>Other long-term assets</w:t>
            </w:r>
          </w:p>
        </w:tc>
        <w:tc>
          <w:tcPr>
            <w:tcW w:w="68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(933)</w:t>
            </w:r>
          </w:p>
        </w:tc>
        <w:tc>
          <w:tcPr>
            <w:tcW w:w="12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1,160</w:t>
            </w:r>
          </w:p>
        </w:tc>
      </w:tr>
      <w:tr>
        <w:trPr>
          <w:trHeight w:val="233"/>
        </w:trPr>
        <w:tc>
          <w:tcPr>
            <w:tcW w:w="8060" w:type="dxa"/>
            <w:vAlign w:val="bottom"/>
          </w:tcPr>
          <w:p>
            <w:pPr>
              <w:ind w:left="500"/>
              <w:spacing w:after="0"/>
              <w:rPr>
                <w:sz w:val="20"/>
                <w:szCs w:val="20"/>
                <w:color w:val="auto"/>
              </w:rPr>
            </w:pPr>
            <w:r>
              <w:rPr>
                <w:rFonts w:ascii="Arial" w:cs="Arial" w:eastAsia="Arial" w:hAnsi="Arial"/>
                <w:sz w:val="16"/>
                <w:szCs w:val="16"/>
                <w:color w:val="131E29"/>
              </w:rPr>
              <w:t>Accounts payable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2,587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999</w:t>
            </w:r>
          </w:p>
        </w:tc>
      </w:tr>
      <w:tr>
        <w:trPr>
          <w:trHeight w:val="253"/>
        </w:trPr>
        <w:tc>
          <w:tcPr>
            <w:tcW w:w="8060" w:type="dxa"/>
            <w:vAlign w:val="bottom"/>
            <w:shd w:val="clear" w:color="auto" w:fill="D2DCE5"/>
          </w:tcPr>
          <w:p>
            <w:pPr>
              <w:ind w:left="500"/>
              <w:spacing w:after="0"/>
              <w:rPr>
                <w:sz w:val="20"/>
                <w:szCs w:val="20"/>
                <w:color w:val="auto"/>
              </w:rPr>
            </w:pPr>
            <w:r>
              <w:rPr>
                <w:rFonts w:ascii="Arial" w:cs="Arial" w:eastAsia="Arial" w:hAnsi="Arial"/>
                <w:sz w:val="16"/>
                <w:szCs w:val="16"/>
                <w:color w:val="131E29"/>
              </w:rPr>
              <w:t>Accrued liabilities</w:t>
            </w:r>
          </w:p>
        </w:tc>
        <w:tc>
          <w:tcPr>
            <w:tcW w:w="6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2,928</w:t>
            </w:r>
          </w:p>
        </w:tc>
        <w:tc>
          <w:tcPr>
            <w:tcW w:w="12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(238)</w:t>
            </w:r>
          </w:p>
        </w:tc>
      </w:tr>
      <w:tr>
        <w:trPr>
          <w:trHeight w:val="223"/>
        </w:trPr>
        <w:tc>
          <w:tcPr>
            <w:tcW w:w="8060" w:type="dxa"/>
            <w:vAlign w:val="bottom"/>
          </w:tcPr>
          <w:p>
            <w:pPr>
              <w:ind w:left="500"/>
              <w:spacing w:after="0"/>
              <w:rPr>
                <w:sz w:val="20"/>
                <w:szCs w:val="20"/>
                <w:color w:val="auto"/>
              </w:rPr>
            </w:pPr>
            <w:r>
              <w:rPr>
                <w:rFonts w:ascii="Arial" w:cs="Arial" w:eastAsia="Arial" w:hAnsi="Arial"/>
                <w:sz w:val="16"/>
                <w:szCs w:val="16"/>
                <w:color w:val="131E29"/>
              </w:rPr>
              <w:t>Other current liabilities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(349)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(379)</w:t>
            </w:r>
          </w:p>
        </w:tc>
      </w:tr>
      <w:tr>
        <w:trPr>
          <w:trHeight w:val="33"/>
        </w:trPr>
        <w:tc>
          <w:tcPr>
            <w:tcW w:w="8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060" w:type="dxa"/>
            <w:vAlign w:val="bottom"/>
            <w:shd w:val="clear" w:color="auto" w:fill="D2DCE5"/>
          </w:tcPr>
          <w:p>
            <w:pPr>
              <w:ind w:left="500"/>
              <w:spacing w:after="0"/>
              <w:rPr>
                <w:sz w:val="20"/>
                <w:szCs w:val="20"/>
                <w:color w:val="auto"/>
              </w:rPr>
            </w:pPr>
            <w:r>
              <w:rPr>
                <w:rFonts w:ascii="Arial" w:cs="Arial" w:eastAsia="Arial" w:hAnsi="Arial"/>
                <w:sz w:val="16"/>
                <w:szCs w:val="16"/>
                <w:color w:val="131E29"/>
              </w:rPr>
              <w:t>Deferred revenue</w:t>
            </w:r>
          </w:p>
        </w:tc>
        <w:tc>
          <w:tcPr>
            <w:tcW w:w="6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(3,198)</w:t>
            </w:r>
          </w:p>
        </w:tc>
        <w:tc>
          <w:tcPr>
            <w:tcW w:w="12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3,570</w:t>
            </w:r>
          </w:p>
        </w:tc>
      </w:tr>
      <w:tr>
        <w:trPr>
          <w:trHeight w:val="223"/>
        </w:trPr>
        <w:tc>
          <w:tcPr>
            <w:tcW w:w="8060" w:type="dxa"/>
            <w:vAlign w:val="bottom"/>
          </w:tcPr>
          <w:p>
            <w:pPr>
              <w:ind w:left="500"/>
              <w:spacing w:after="0"/>
              <w:rPr>
                <w:sz w:val="20"/>
                <w:szCs w:val="20"/>
                <w:color w:val="auto"/>
              </w:rPr>
            </w:pPr>
            <w:r>
              <w:rPr>
                <w:rFonts w:ascii="Arial" w:cs="Arial" w:eastAsia="Arial" w:hAnsi="Arial"/>
                <w:sz w:val="16"/>
                <w:szCs w:val="16"/>
                <w:color w:val="131E29"/>
              </w:rPr>
              <w:t>Other long-term liabilities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(16)</w:t>
            </w:r>
          </w:p>
        </w:tc>
      </w:tr>
      <w:tr>
        <w:trPr>
          <w:trHeight w:val="33"/>
        </w:trPr>
        <w:tc>
          <w:tcPr>
            <w:tcW w:w="8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8060" w:type="dxa"/>
            <w:vAlign w:val="bottom"/>
            <w:shd w:val="clear" w:color="auto" w:fill="D2DCE5"/>
          </w:tcPr>
          <w:p>
            <w:pPr>
              <w:ind w:left="500"/>
              <w:spacing w:after="0"/>
              <w:rPr>
                <w:sz w:val="20"/>
                <w:szCs w:val="20"/>
                <w:color w:val="auto"/>
              </w:rPr>
            </w:pPr>
            <w:r>
              <w:rPr>
                <w:rFonts w:ascii="Arial" w:cs="Arial" w:eastAsia="Arial" w:hAnsi="Arial"/>
                <w:sz w:val="16"/>
                <w:szCs w:val="16"/>
                <w:color w:val="131E29"/>
              </w:rPr>
              <w:t>Operating lease liabilities</w:t>
            </w:r>
          </w:p>
        </w:tc>
        <w:tc>
          <w:tcPr>
            <w:tcW w:w="680" w:type="dxa"/>
            <w:vAlign w:val="bottom"/>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spacing w:after="0"/>
              <w:rPr>
                <w:sz w:val="20"/>
                <w:szCs w:val="20"/>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(4,984)</w:t>
            </w:r>
          </w:p>
        </w:tc>
        <w:tc>
          <w:tcPr>
            <w:tcW w:w="120" w:type="dxa"/>
            <w:vAlign w:val="bottom"/>
            <w:shd w:val="clear" w:color="auto" w:fill="D2DCE5"/>
          </w:tcPr>
          <w:p>
            <w:pPr>
              <w:spacing w:after="0"/>
              <w:rPr>
                <w:sz w:val="20"/>
                <w:szCs w:val="20"/>
                <w:color w:val="auto"/>
              </w:rPr>
            </w:pPr>
          </w:p>
        </w:tc>
        <w:tc>
          <w:tcPr>
            <w:tcW w:w="240" w:type="dxa"/>
            <w:vAlign w:val="bottom"/>
            <w:tcBorders>
              <w:bottom w:val="single" w:sz="8" w:color="auto"/>
            </w:tcBorders>
            <w:shd w:val="clear" w:color="auto" w:fill="D2DCE5"/>
          </w:tcPr>
          <w:p>
            <w:pPr>
              <w:spacing w:after="0"/>
              <w:rPr>
                <w:sz w:val="20"/>
                <w:szCs w:val="20"/>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(4,335)</w:t>
            </w:r>
          </w:p>
        </w:tc>
      </w:tr>
      <w:tr>
        <w:trPr>
          <w:trHeight w:val="236"/>
        </w:trPr>
        <w:tc>
          <w:tcPr>
            <w:tcW w:w="8060" w:type="dxa"/>
            <w:vAlign w:val="bottom"/>
          </w:tcPr>
          <w:p>
            <w:pPr>
              <w:ind w:left="660"/>
              <w:spacing w:after="0"/>
              <w:rPr>
                <w:sz w:val="20"/>
                <w:szCs w:val="20"/>
                <w:color w:val="auto"/>
              </w:rPr>
            </w:pPr>
            <w:r>
              <w:rPr>
                <w:rFonts w:ascii="Arial" w:cs="Arial" w:eastAsia="Arial" w:hAnsi="Arial"/>
                <w:sz w:val="16"/>
                <w:szCs w:val="16"/>
                <w:color w:val="131E29"/>
              </w:rPr>
              <w:t>Net cash provided by operating activities</w:t>
            </w: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45,843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16,713</w:t>
            </w:r>
          </w:p>
        </w:tc>
      </w:tr>
      <w:tr>
        <w:trPr>
          <w:trHeight w:val="243"/>
        </w:trPr>
        <w:tc>
          <w:tcPr>
            <w:tcW w:w="80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Cash flows from investing activities:</w:t>
            </w:r>
          </w:p>
        </w:tc>
        <w:tc>
          <w:tcPr>
            <w:tcW w:w="6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2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spacing w:after="0"/>
              <w:rPr>
                <w:sz w:val="21"/>
                <w:szCs w:val="21"/>
                <w:color w:val="auto"/>
              </w:rPr>
            </w:pPr>
          </w:p>
        </w:tc>
      </w:tr>
      <w:tr>
        <w:trPr>
          <w:trHeight w:val="224"/>
        </w:trPr>
        <w:tc>
          <w:tcPr>
            <w:tcW w:w="8060" w:type="dxa"/>
            <w:vAlign w:val="bottom"/>
          </w:tcPr>
          <w:p>
            <w:pPr>
              <w:ind w:left="180"/>
              <w:spacing w:after="0"/>
              <w:rPr>
                <w:sz w:val="20"/>
                <w:szCs w:val="20"/>
                <w:color w:val="auto"/>
              </w:rPr>
            </w:pPr>
            <w:r>
              <w:rPr>
                <w:rFonts w:ascii="Arial" w:cs="Arial" w:eastAsia="Arial" w:hAnsi="Arial"/>
                <w:sz w:val="16"/>
                <w:szCs w:val="16"/>
                <w:color w:val="131E29"/>
              </w:rPr>
              <w:t>Purchases of property and equipment</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(102,307)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(83,856)</w:t>
            </w:r>
          </w:p>
        </w:tc>
      </w:tr>
      <w:tr>
        <w:trPr>
          <w:trHeight w:val="33"/>
        </w:trPr>
        <w:tc>
          <w:tcPr>
            <w:tcW w:w="8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06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Proceeds from disposal of fixed assets</w:t>
            </w:r>
          </w:p>
        </w:tc>
        <w:tc>
          <w:tcPr>
            <w:tcW w:w="6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249</w:t>
            </w:r>
          </w:p>
        </w:tc>
        <w:tc>
          <w:tcPr>
            <w:tcW w:w="12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1,274</w:t>
            </w:r>
          </w:p>
        </w:tc>
      </w:tr>
      <w:tr>
        <w:trPr>
          <w:trHeight w:val="240"/>
        </w:trPr>
        <w:tc>
          <w:tcPr>
            <w:tcW w:w="8060" w:type="dxa"/>
            <w:vAlign w:val="bottom"/>
          </w:tcPr>
          <w:p>
            <w:pPr>
              <w:ind w:left="180"/>
              <w:spacing w:after="0"/>
              <w:rPr>
                <w:sz w:val="20"/>
                <w:szCs w:val="20"/>
                <w:color w:val="auto"/>
              </w:rPr>
            </w:pPr>
            <w:r>
              <w:rPr>
                <w:rFonts w:ascii="Arial" w:cs="Arial" w:eastAsia="Arial" w:hAnsi="Arial"/>
                <w:sz w:val="16"/>
                <w:szCs w:val="16"/>
                <w:color w:val="131E29"/>
              </w:rPr>
              <w:t>Acquisition of shops from franchisees</w:t>
            </w: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(6,051)</w:t>
            </w:r>
          </w:p>
        </w:tc>
      </w:tr>
      <w:tr>
        <w:trPr>
          <w:trHeight w:val="253"/>
        </w:trPr>
        <w:tc>
          <w:tcPr>
            <w:tcW w:w="8060" w:type="dxa"/>
            <w:vAlign w:val="bottom"/>
            <w:shd w:val="clear" w:color="auto" w:fill="D2DCE5"/>
          </w:tcPr>
          <w:p>
            <w:pPr>
              <w:ind w:left="660"/>
              <w:spacing w:after="0"/>
              <w:rPr>
                <w:sz w:val="20"/>
                <w:szCs w:val="20"/>
                <w:color w:val="auto"/>
              </w:rPr>
            </w:pPr>
            <w:r>
              <w:rPr>
                <w:rFonts w:ascii="Arial" w:cs="Arial" w:eastAsia="Arial" w:hAnsi="Arial"/>
                <w:sz w:val="16"/>
                <w:szCs w:val="16"/>
                <w:color w:val="131E29"/>
              </w:rPr>
              <w:t>Net cash used in investing activities</w:t>
            </w:r>
          </w:p>
        </w:tc>
        <w:tc>
          <w:tcPr>
            <w:tcW w:w="680" w:type="dxa"/>
            <w:vAlign w:val="bottom"/>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(102,058)</w:t>
            </w:r>
          </w:p>
        </w:tc>
        <w:tc>
          <w:tcPr>
            <w:tcW w:w="120" w:type="dxa"/>
            <w:vAlign w:val="bottom"/>
            <w:shd w:val="clear" w:color="auto" w:fill="D2DCE5"/>
          </w:tcPr>
          <w:p>
            <w:pPr>
              <w:spacing w:after="0"/>
              <w:rPr>
                <w:sz w:val="22"/>
                <w:szCs w:val="22"/>
                <w:color w:val="auto"/>
              </w:rPr>
            </w:pPr>
          </w:p>
        </w:tc>
        <w:tc>
          <w:tcPr>
            <w:tcW w:w="240" w:type="dxa"/>
            <w:vAlign w:val="bottom"/>
            <w:tcBorders>
              <w:bottom w:val="single" w:sz="8" w:color="auto"/>
            </w:tcBorders>
            <w:shd w:val="clear" w:color="auto" w:fill="D2DCE5"/>
          </w:tcPr>
          <w:p>
            <w:pPr>
              <w:spacing w:after="0"/>
              <w:rPr>
                <w:sz w:val="22"/>
                <w:szCs w:val="22"/>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(88,633)</w:t>
            </w:r>
          </w:p>
        </w:tc>
      </w:tr>
      <w:tr>
        <w:trPr>
          <w:trHeight w:val="204"/>
        </w:trPr>
        <w:tc>
          <w:tcPr>
            <w:tcW w:w="8060" w:type="dxa"/>
            <w:vAlign w:val="bottom"/>
          </w:tcPr>
          <w:p>
            <w:pPr>
              <w:ind w:left="20"/>
              <w:spacing w:after="0"/>
              <w:rPr>
                <w:sz w:val="20"/>
                <w:szCs w:val="20"/>
                <w:color w:val="auto"/>
              </w:rPr>
            </w:pPr>
            <w:r>
              <w:rPr>
                <w:rFonts w:ascii="Arial" w:cs="Arial" w:eastAsia="Arial" w:hAnsi="Arial"/>
                <w:sz w:val="16"/>
                <w:szCs w:val="16"/>
                <w:color w:val="131E29"/>
              </w:rPr>
              <w:t>Cash flows from financing activities:</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3"/>
        </w:trPr>
        <w:tc>
          <w:tcPr>
            <w:tcW w:w="8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06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Proceeds from line of credit</w:t>
            </w:r>
          </w:p>
        </w:tc>
        <w:tc>
          <w:tcPr>
            <w:tcW w:w="6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70,000</w:t>
            </w:r>
          </w:p>
        </w:tc>
        <w:tc>
          <w:tcPr>
            <w:tcW w:w="12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82,705</w:t>
            </w:r>
          </w:p>
        </w:tc>
      </w:tr>
      <w:tr>
        <w:trPr>
          <w:trHeight w:val="223"/>
        </w:trPr>
        <w:tc>
          <w:tcPr>
            <w:tcW w:w="8060" w:type="dxa"/>
            <w:vAlign w:val="bottom"/>
          </w:tcPr>
          <w:p>
            <w:pPr>
              <w:ind w:left="180"/>
              <w:spacing w:after="0"/>
              <w:rPr>
                <w:sz w:val="20"/>
                <w:szCs w:val="20"/>
                <w:color w:val="auto"/>
              </w:rPr>
            </w:pPr>
            <w:r>
              <w:rPr>
                <w:rFonts w:ascii="Arial" w:cs="Arial" w:eastAsia="Arial" w:hAnsi="Arial"/>
                <w:sz w:val="16"/>
                <w:szCs w:val="16"/>
                <w:color w:val="131E29"/>
              </w:rPr>
              <w:t>Payments on finance lease liabilities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(7,049)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(1,789)</w:t>
            </w:r>
          </w:p>
        </w:tc>
      </w:tr>
      <w:tr>
        <w:trPr>
          <w:trHeight w:val="33"/>
        </w:trPr>
        <w:tc>
          <w:tcPr>
            <w:tcW w:w="8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06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Proceeds from long-term debt</w:t>
            </w:r>
          </w:p>
        </w:tc>
        <w:tc>
          <w:tcPr>
            <w:tcW w:w="6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12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1,375</w:t>
            </w:r>
          </w:p>
        </w:tc>
      </w:tr>
      <w:tr>
        <w:trPr>
          <w:trHeight w:val="233"/>
        </w:trPr>
        <w:tc>
          <w:tcPr>
            <w:tcW w:w="8060" w:type="dxa"/>
            <w:vAlign w:val="bottom"/>
          </w:tcPr>
          <w:p>
            <w:pPr>
              <w:ind w:left="180"/>
              <w:spacing w:after="0"/>
              <w:rPr>
                <w:sz w:val="20"/>
                <w:szCs w:val="20"/>
                <w:color w:val="auto"/>
              </w:rPr>
            </w:pPr>
            <w:r>
              <w:rPr>
                <w:rFonts w:ascii="Arial" w:cs="Arial" w:eastAsia="Arial" w:hAnsi="Arial"/>
                <w:sz w:val="16"/>
                <w:szCs w:val="16"/>
                <w:color w:val="131E29"/>
              </w:rPr>
              <w:t>Payments on long-term debt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(1,301)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(685)</w:t>
            </w:r>
          </w:p>
        </w:tc>
      </w:tr>
      <w:tr>
        <w:trPr>
          <w:trHeight w:val="246"/>
        </w:trPr>
        <w:tc>
          <w:tcPr>
            <w:tcW w:w="806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6"/>
                <w:szCs w:val="16"/>
                <w:color w:val="131E29"/>
              </w:rPr>
              <w:t>Payments of debt issuance costs</w:t>
            </w:r>
          </w:p>
        </w:tc>
        <w:tc>
          <w:tcPr>
            <w:tcW w:w="68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12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(2,749)</w:t>
            </w:r>
          </w:p>
        </w:tc>
      </w:tr>
      <w:tr>
        <w:trPr>
          <w:trHeight w:val="233"/>
        </w:trPr>
        <w:tc>
          <w:tcPr>
            <w:tcW w:w="8060" w:type="dxa"/>
            <w:vAlign w:val="bottom"/>
          </w:tcPr>
          <w:p>
            <w:pPr>
              <w:ind w:left="180"/>
              <w:spacing w:after="0"/>
              <w:rPr>
                <w:sz w:val="20"/>
                <w:szCs w:val="20"/>
                <w:color w:val="auto"/>
              </w:rPr>
            </w:pPr>
            <w:r>
              <w:rPr>
                <w:rFonts w:ascii="Arial" w:cs="Arial" w:eastAsia="Arial" w:hAnsi="Arial"/>
                <w:sz w:val="16"/>
                <w:szCs w:val="16"/>
                <w:color w:val="131E29"/>
              </w:rPr>
              <w:t>Payments of IPO issuance costs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31E29"/>
              </w:rPr>
              <w:t>(250)</w:t>
            </w:r>
          </w:p>
        </w:tc>
      </w:tr>
      <w:tr>
        <w:trPr>
          <w:trHeight w:val="250"/>
        </w:trPr>
        <w:tc>
          <w:tcPr>
            <w:tcW w:w="806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6"/>
                <w:szCs w:val="16"/>
                <w:color w:val="131E29"/>
              </w:rPr>
              <w:t>Tax withholding payments upon vesting of equity awards</w:t>
            </w:r>
          </w:p>
        </w:tc>
        <w:tc>
          <w:tcPr>
            <w:tcW w:w="68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auto"/>
            </w:tcBorders>
            <w:shd w:val="clear" w:color="auto" w:fill="D2DCE5"/>
          </w:tcPr>
          <w:p>
            <w:pPr>
              <w:spacing w:after="0"/>
              <w:rPr>
                <w:sz w:val="21"/>
                <w:szCs w:val="21"/>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(1,896)</w:t>
            </w:r>
          </w:p>
        </w:tc>
        <w:tc>
          <w:tcPr>
            <w:tcW w:w="12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spacing w:after="0"/>
              <w:rPr>
                <w:sz w:val="21"/>
                <w:szCs w:val="21"/>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(3,900)</w:t>
            </w:r>
          </w:p>
        </w:tc>
      </w:tr>
      <w:tr>
        <w:trPr>
          <w:trHeight w:val="246"/>
        </w:trPr>
        <w:tc>
          <w:tcPr>
            <w:tcW w:w="8060" w:type="dxa"/>
            <w:vAlign w:val="bottom"/>
            <w:tcBorders>
              <w:bottom w:val="single" w:sz="8" w:color="D2DCE5"/>
            </w:tcBorders>
          </w:tcPr>
          <w:p>
            <w:pPr>
              <w:ind w:left="660"/>
              <w:spacing w:after="0"/>
              <w:rPr>
                <w:sz w:val="20"/>
                <w:szCs w:val="20"/>
                <w:color w:val="auto"/>
              </w:rPr>
            </w:pPr>
            <w:r>
              <w:rPr>
                <w:rFonts w:ascii="Arial" w:cs="Arial" w:eastAsia="Arial" w:hAnsi="Arial"/>
                <w:sz w:val="16"/>
                <w:szCs w:val="16"/>
                <w:color w:val="131E29"/>
              </w:rPr>
              <w:t>Net cash provided by financing activities</w:t>
            </w:r>
          </w:p>
        </w:tc>
        <w:tc>
          <w:tcPr>
            <w:tcW w:w="680" w:type="dxa"/>
            <w:vAlign w:val="bottom"/>
            <w:tcBorders>
              <w:bottom w:val="single" w:sz="8" w:color="D2DCE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59,754</w:t>
            </w:r>
          </w:p>
        </w:tc>
        <w:tc>
          <w:tcPr>
            <w:tcW w:w="120" w:type="dxa"/>
            <w:vAlign w:val="bottom"/>
            <w:tcBorders>
              <w:bottom w:val="single" w:sz="8" w:color="D2DCE5"/>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74,707</w:t>
            </w:r>
          </w:p>
        </w:tc>
      </w:tr>
      <w:tr>
        <w:trPr>
          <w:trHeight w:val="243"/>
        </w:trPr>
        <w:tc>
          <w:tcPr>
            <w:tcW w:w="8060" w:type="dxa"/>
            <w:vAlign w:val="bottom"/>
            <w:shd w:val="clear" w:color="auto" w:fill="D2DCE5"/>
          </w:tcPr>
          <w:p>
            <w:pPr>
              <w:ind w:left="820"/>
              <w:spacing w:after="0"/>
              <w:rPr>
                <w:sz w:val="20"/>
                <w:szCs w:val="20"/>
                <w:color w:val="auto"/>
              </w:rPr>
            </w:pPr>
            <w:r>
              <w:rPr>
                <w:rFonts w:ascii="Arial" w:cs="Arial" w:eastAsia="Arial" w:hAnsi="Arial"/>
                <w:sz w:val="16"/>
                <w:szCs w:val="16"/>
                <w:color w:val="131E29"/>
              </w:rPr>
              <w:t>Net increase in cash and cash equivalents</w:t>
            </w:r>
          </w:p>
        </w:tc>
        <w:tc>
          <w:tcPr>
            <w:tcW w:w="6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3,539</w:t>
            </w:r>
          </w:p>
        </w:tc>
        <w:tc>
          <w:tcPr>
            <w:tcW w:w="12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2,787</w:t>
            </w:r>
          </w:p>
        </w:tc>
      </w:tr>
      <w:tr>
        <w:trPr>
          <w:trHeight w:val="250"/>
        </w:trPr>
        <w:tc>
          <w:tcPr>
            <w:tcW w:w="8060" w:type="dxa"/>
            <w:vAlign w:val="bottom"/>
            <w:tcBorders>
              <w:bottom w:val="single" w:sz="8" w:color="D2DCE5"/>
            </w:tcBorders>
          </w:tcPr>
          <w:p>
            <w:pPr>
              <w:ind w:left="20"/>
              <w:spacing w:after="0"/>
              <w:rPr>
                <w:sz w:val="20"/>
                <w:szCs w:val="20"/>
                <w:color w:val="auto"/>
              </w:rPr>
            </w:pPr>
            <w:r>
              <w:rPr>
                <w:rFonts w:ascii="Arial" w:cs="Arial" w:eastAsia="Arial" w:hAnsi="Arial"/>
                <w:sz w:val="16"/>
                <w:szCs w:val="16"/>
                <w:color w:val="131E29"/>
              </w:rPr>
              <w:t>Cash and cash equivalents, beginning of period</w:t>
            </w:r>
          </w:p>
        </w:tc>
        <w:tc>
          <w:tcPr>
            <w:tcW w:w="680" w:type="dxa"/>
            <w:vAlign w:val="bottom"/>
            <w:tcBorders>
              <w:bottom w:val="single" w:sz="8" w:color="D2DCE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20,178</w:t>
            </w:r>
          </w:p>
        </w:tc>
        <w:tc>
          <w:tcPr>
            <w:tcW w:w="120" w:type="dxa"/>
            <w:vAlign w:val="bottom"/>
            <w:tcBorders>
              <w:bottom w:val="single" w:sz="8" w:color="D2DCE5"/>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18,506</w:t>
            </w:r>
          </w:p>
        </w:tc>
      </w:tr>
      <w:tr>
        <w:trPr>
          <w:trHeight w:val="263"/>
        </w:trPr>
        <w:tc>
          <w:tcPr>
            <w:tcW w:w="80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Cash and cash equivalents, end of period</w:t>
            </w:r>
          </w:p>
        </w:tc>
        <w:tc>
          <w:tcPr>
            <w:tcW w:w="940" w:type="dxa"/>
            <w:vAlign w:val="bottom"/>
            <w:gridSpan w:val="2"/>
            <w:shd w:val="clear" w:color="auto" w:fill="D2DCE5"/>
          </w:tcPr>
          <w:p>
            <w:pPr>
              <w:jc w:val="right"/>
              <w:ind w:right="140"/>
              <w:spacing w:after="0"/>
              <w:rPr>
                <w:sz w:val="20"/>
                <w:szCs w:val="20"/>
                <w:color w:val="auto"/>
              </w:rPr>
            </w:pPr>
            <w:r>
              <w:rPr>
                <w:rFonts w:ascii="Arial" w:cs="Arial" w:eastAsia="Arial" w:hAnsi="Arial"/>
                <w:sz w:val="16"/>
                <w:szCs w:val="16"/>
                <w:color w:val="131E29"/>
              </w:rPr>
              <w:t>$</w:t>
            </w: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23,717</w:t>
            </w: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6"/>
                <w:szCs w:val="16"/>
                <w:color w:val="131E29"/>
              </w:rPr>
              <w:t>$</w:t>
            </w: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21,293</w:t>
            </w:r>
          </w:p>
        </w:tc>
      </w:tr>
      <w:tr>
        <w:trPr>
          <w:trHeight w:val="20"/>
        </w:trPr>
        <w:tc>
          <w:tcPr>
            <w:tcW w:w="8060" w:type="dxa"/>
            <w:vAlign w:val="bottom"/>
            <w:tcBorders>
              <w:top w:val="single" w:sz="8" w:color="D2DCE5"/>
            </w:tcBorders>
          </w:tcPr>
          <w:p>
            <w:pPr>
              <w:spacing w:after="0" w:line="20" w:lineRule="exact"/>
              <w:rPr>
                <w:sz w:val="1"/>
                <w:szCs w:val="1"/>
                <w:color w:val="auto"/>
              </w:rPr>
            </w:pPr>
          </w:p>
        </w:tc>
        <w:tc>
          <w:tcPr>
            <w:tcW w:w="68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6098"/>
        </w:rPr>
        <w:t>Table of Contents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31750</wp:posOffset>
            </wp:positionV>
            <wp:extent cx="16116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0" w:type="dxa"/>
            <w:vAlign w:val="bottom"/>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131E29"/>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131E29"/>
              </w:rPr>
              <w:t>2022</w:t>
            </w:r>
          </w:p>
        </w:tc>
      </w:tr>
      <w:tr>
        <w:trPr>
          <w:trHeight w:val="21"/>
        </w:trPr>
        <w:tc>
          <w:tcPr>
            <w:tcW w:w="8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b w:val="1"/>
                <w:bCs w:val="1"/>
                <w:color w:val="131E29"/>
              </w:rPr>
              <w:t>Supplemental disclosure of cash flow information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60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6"/>
                <w:szCs w:val="16"/>
                <w:color w:val="131E29"/>
              </w:rPr>
              <w:t>Cash paid for interest</w:t>
            </w:r>
          </w:p>
        </w:tc>
        <w:tc>
          <w:tcPr>
            <w:tcW w:w="3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17,310</w:t>
            </w: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5,538</w:t>
            </w:r>
          </w:p>
        </w:tc>
      </w:tr>
      <w:tr>
        <w:trPr>
          <w:trHeight w:val="233"/>
        </w:trPr>
        <w:tc>
          <w:tcPr>
            <w:tcW w:w="8600" w:type="dxa"/>
            <w:vAlign w:val="bottom"/>
          </w:tcPr>
          <w:p>
            <w:pPr>
              <w:ind w:left="180"/>
              <w:spacing w:after="0"/>
              <w:rPr>
                <w:sz w:val="20"/>
                <w:szCs w:val="20"/>
                <w:color w:val="auto"/>
              </w:rPr>
            </w:pPr>
            <w:r>
              <w:rPr>
                <w:rFonts w:ascii="Arial" w:cs="Arial" w:eastAsia="Arial" w:hAnsi="Arial"/>
                <w:sz w:val="16"/>
                <w:szCs w:val="16"/>
                <w:color w:val="131E29"/>
              </w:rPr>
              <w:t>Income taxes paid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131E29"/>
              </w:rPr>
              <w:t>1,305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741</w:t>
            </w:r>
          </w:p>
        </w:tc>
      </w:tr>
      <w:tr>
        <w:trPr>
          <w:trHeight w:val="253"/>
        </w:trPr>
        <w:tc>
          <w:tcPr>
            <w:tcW w:w="8600" w:type="dxa"/>
            <w:vAlign w:val="bottom"/>
            <w:shd w:val="clear" w:color="auto" w:fill="D2DCE5"/>
          </w:tcPr>
          <w:p>
            <w:pPr>
              <w:ind w:left="20"/>
              <w:spacing w:after="0"/>
              <w:rPr>
                <w:sz w:val="20"/>
                <w:szCs w:val="20"/>
                <w:color w:val="auto"/>
              </w:rPr>
            </w:pPr>
            <w:r>
              <w:rPr>
                <w:rFonts w:ascii="Arial" w:cs="Arial" w:eastAsia="Arial" w:hAnsi="Arial"/>
                <w:sz w:val="16"/>
                <w:szCs w:val="16"/>
                <w:b w:val="1"/>
                <w:bCs w:val="1"/>
                <w:color w:val="131E29"/>
              </w:rPr>
              <w:t>Supplemental disclosure of noncash investing and financing activities</w:t>
            </w: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r>
      <w:tr>
        <w:trPr>
          <w:trHeight w:val="223"/>
        </w:trPr>
        <w:tc>
          <w:tcPr>
            <w:tcW w:w="8600" w:type="dxa"/>
            <w:vAlign w:val="bottom"/>
          </w:tcPr>
          <w:p>
            <w:pPr>
              <w:ind w:left="180"/>
              <w:spacing w:after="0"/>
              <w:rPr>
                <w:sz w:val="20"/>
                <w:szCs w:val="20"/>
                <w:color w:val="auto"/>
              </w:rPr>
            </w:pPr>
            <w:r>
              <w:rPr>
                <w:rFonts w:ascii="Arial" w:cs="Arial" w:eastAsia="Arial" w:hAnsi="Arial"/>
                <w:sz w:val="16"/>
                <w:szCs w:val="16"/>
                <w:color w:val="131E29"/>
              </w:rPr>
              <w:t>Additions of property and equipment accrued as of end of period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131E29"/>
              </w:rPr>
              <w:t>13,013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7,815</w:t>
            </w:r>
          </w:p>
        </w:tc>
      </w:tr>
      <w:tr>
        <w:trPr>
          <w:trHeight w:val="33"/>
        </w:trPr>
        <w:tc>
          <w:tcPr>
            <w:tcW w:w="8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60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Transfer between line of credit and term loan facility</w:t>
            </w: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100,000</w:t>
            </w: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400" w:type="dxa"/>
            <w:vAlign w:val="bottom"/>
          </w:tcPr>
          <w:p>
            <w:pPr>
              <w:ind w:left="3020"/>
              <w:spacing w:after="0"/>
              <w:rPr>
                <w:sz w:val="20"/>
                <w:szCs w:val="20"/>
                <w:color w:val="auto"/>
              </w:rPr>
            </w:pPr>
            <w:r>
              <w:rPr>
                <w:rFonts w:ascii="Arial" w:cs="Arial" w:eastAsia="Arial" w:hAnsi="Arial"/>
                <w:sz w:val="18"/>
                <w:szCs w:val="18"/>
                <w:color w:val="131E29"/>
              </w:rPr>
              <w:t>Index for Notes to Condensed Consolidated Financial Statements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10400" w:type="dxa"/>
            <w:vAlign w:val="bottom"/>
            <w:tcBorders>
              <w:bottom w:val="single" w:sz="8" w:color="131E29"/>
            </w:tcBorders>
          </w:tcPr>
          <w:p>
            <w:pPr>
              <w:ind w:left="20"/>
              <w:spacing w:after="0"/>
              <w:rPr>
                <w:sz w:val="20"/>
                <w:szCs w:val="20"/>
                <w:color w:val="auto"/>
              </w:rPr>
            </w:pPr>
            <w:r>
              <w:rPr>
                <w:rFonts w:ascii="Arial" w:cs="Arial" w:eastAsia="Arial" w:hAnsi="Arial"/>
                <w:sz w:val="18"/>
                <w:szCs w:val="18"/>
                <w:b w:val="1"/>
                <w:bCs w:val="1"/>
                <w:color w:val="131E29"/>
              </w:rPr>
              <w:t>Note</w:t>
            </w:r>
          </w:p>
        </w:tc>
        <w:tc>
          <w:tcPr>
            <w:tcW w:w="100" w:type="dxa"/>
            <w:vAlign w:val="bottom"/>
          </w:tcPr>
          <w:p>
            <w:pPr>
              <w:spacing w:after="0"/>
              <w:rPr>
                <w:sz w:val="24"/>
                <w:szCs w:val="24"/>
                <w:color w:val="auto"/>
              </w:rPr>
            </w:pPr>
          </w:p>
        </w:tc>
        <w:tc>
          <w:tcPr>
            <w:tcW w:w="740" w:type="dxa"/>
            <w:vAlign w:val="bottom"/>
            <w:tcBorders>
              <w:bottom w:val="single" w:sz="8" w:color="131E29"/>
            </w:tcBorders>
          </w:tcPr>
          <w:p>
            <w:pPr>
              <w:jc w:val="center"/>
              <w:spacing w:after="0"/>
              <w:rPr>
                <w:sz w:val="20"/>
                <w:szCs w:val="20"/>
                <w:color w:val="auto"/>
              </w:rPr>
            </w:pPr>
            <w:r>
              <w:rPr>
                <w:rFonts w:ascii="Arial" w:cs="Arial" w:eastAsia="Arial" w:hAnsi="Arial"/>
                <w:sz w:val="18"/>
                <w:szCs w:val="18"/>
                <w:b w:val="1"/>
                <w:bCs w:val="1"/>
                <w:color w:val="131E29"/>
                <w:w w:val="97"/>
              </w:rPr>
              <w:t>Page</w:t>
            </w:r>
          </w:p>
        </w:tc>
        <w:tc>
          <w:tcPr>
            <w:tcW w:w="0" w:type="dxa"/>
            <w:vAlign w:val="bottom"/>
          </w:tcPr>
          <w:p>
            <w:pPr>
              <w:spacing w:after="0"/>
              <w:rPr>
                <w:sz w:val="1"/>
                <w:szCs w:val="1"/>
                <w:color w:val="auto"/>
              </w:rPr>
            </w:pPr>
          </w:p>
        </w:tc>
      </w:tr>
      <w:tr>
        <w:trPr>
          <w:trHeight w:val="250"/>
        </w:trPr>
        <w:tc>
          <w:tcPr>
            <w:tcW w:w="10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NOTE 1 — Organization and Background</w:t>
            </w:r>
          </w:p>
        </w:tc>
        <w:tc>
          <w:tcPr>
            <w:tcW w:w="840" w:type="dxa"/>
            <w:vAlign w:val="bottom"/>
            <w:tcBorders>
              <w:bottom w:val="single" w:sz="8" w:color="D2DCE5"/>
            </w:tcBorders>
            <w:gridSpan w:val="2"/>
            <w:shd w:val="clear" w:color="auto" w:fill="D2DCE5"/>
          </w:tcPr>
          <w:p>
            <w:pPr>
              <w:jc w:val="center"/>
              <w:ind w:left="10"/>
              <w:spacing w:after="0"/>
              <w:rPr>
                <w:sz w:val="20"/>
                <w:szCs w:val="20"/>
                <w:color w:val="auto"/>
              </w:rPr>
            </w:pPr>
            <w:r>
              <w:rPr>
                <w:rFonts w:ascii="Arial" w:cs="Arial" w:eastAsia="Arial" w:hAnsi="Arial"/>
                <w:sz w:val="18"/>
                <w:szCs w:val="18"/>
                <w:color w:val="131E29"/>
              </w:rPr>
              <w:t>14</w:t>
            </w:r>
          </w:p>
        </w:tc>
        <w:tc>
          <w:tcPr>
            <w:tcW w:w="0" w:type="dxa"/>
            <w:vAlign w:val="bottom"/>
          </w:tcPr>
          <w:p>
            <w:pPr>
              <w:spacing w:after="0"/>
              <w:rPr>
                <w:sz w:val="1"/>
                <w:szCs w:val="1"/>
                <w:color w:val="auto"/>
              </w:rPr>
            </w:pPr>
          </w:p>
        </w:tc>
      </w:tr>
      <w:tr>
        <w:trPr>
          <w:trHeight w:val="243"/>
        </w:trPr>
        <w:tc>
          <w:tcPr>
            <w:tcW w:w="10400" w:type="dxa"/>
            <w:vAlign w:val="bottom"/>
          </w:tcPr>
          <w:p>
            <w:pPr>
              <w:ind w:left="20"/>
              <w:spacing w:after="0"/>
              <w:rPr>
                <w:sz w:val="20"/>
                <w:szCs w:val="20"/>
                <w:color w:val="auto"/>
              </w:rPr>
            </w:pPr>
            <w:r>
              <w:rPr>
                <w:rFonts w:ascii="Arial" w:cs="Arial" w:eastAsia="Arial" w:hAnsi="Arial"/>
                <w:sz w:val="18"/>
                <w:szCs w:val="18"/>
                <w:color w:val="131E29"/>
              </w:rPr>
              <w:t>NOTE 2 — Basis of Presentation and Summary of Significant Accounting Policies</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131E29"/>
              </w:rPr>
              <w:t>14</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NOTE 3 — Revenue Recognition</w:t>
            </w:r>
          </w:p>
        </w:tc>
        <w:tc>
          <w:tcPr>
            <w:tcW w:w="840" w:type="dxa"/>
            <w:vAlign w:val="bottom"/>
            <w:tcBorders>
              <w:bottom w:val="single" w:sz="8" w:color="D2DCE5"/>
            </w:tcBorders>
            <w:gridSpan w:val="2"/>
            <w:shd w:val="clear" w:color="auto" w:fill="D2DCE5"/>
          </w:tcPr>
          <w:p>
            <w:pPr>
              <w:jc w:val="center"/>
              <w:ind w:left="10"/>
              <w:spacing w:after="0"/>
              <w:rPr>
                <w:sz w:val="20"/>
                <w:szCs w:val="20"/>
                <w:color w:val="auto"/>
              </w:rPr>
            </w:pPr>
            <w:r>
              <w:rPr>
                <w:rFonts w:ascii="Arial" w:cs="Arial" w:eastAsia="Arial" w:hAnsi="Arial"/>
                <w:sz w:val="18"/>
                <w:szCs w:val="18"/>
                <w:color w:val="131E29"/>
              </w:rPr>
              <w:t>15</w:t>
            </w:r>
          </w:p>
        </w:tc>
        <w:tc>
          <w:tcPr>
            <w:tcW w:w="0" w:type="dxa"/>
            <w:vAlign w:val="bottom"/>
          </w:tcPr>
          <w:p>
            <w:pPr>
              <w:spacing w:after="0"/>
              <w:rPr>
                <w:sz w:val="1"/>
                <w:szCs w:val="1"/>
                <w:color w:val="auto"/>
              </w:rPr>
            </w:pPr>
          </w:p>
        </w:tc>
      </w:tr>
      <w:tr>
        <w:trPr>
          <w:trHeight w:val="243"/>
        </w:trPr>
        <w:tc>
          <w:tcPr>
            <w:tcW w:w="10400" w:type="dxa"/>
            <w:vAlign w:val="bottom"/>
          </w:tcPr>
          <w:p>
            <w:pPr>
              <w:ind w:left="20"/>
              <w:spacing w:after="0"/>
              <w:rPr>
                <w:sz w:val="20"/>
                <w:szCs w:val="20"/>
                <w:color w:val="auto"/>
              </w:rPr>
            </w:pPr>
            <w:r>
              <w:rPr>
                <w:rFonts w:ascii="Arial" w:cs="Arial" w:eastAsia="Arial" w:hAnsi="Arial"/>
                <w:sz w:val="18"/>
                <w:szCs w:val="18"/>
                <w:color w:val="131E29"/>
              </w:rPr>
              <w:t>NOTE 4 — Shop Acquisitions</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131E29"/>
              </w:rPr>
              <w:t>16</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NOTE 5 — Inventories</w:t>
            </w:r>
          </w:p>
        </w:tc>
        <w:tc>
          <w:tcPr>
            <w:tcW w:w="840" w:type="dxa"/>
            <w:vAlign w:val="bottom"/>
            <w:tcBorders>
              <w:bottom w:val="single" w:sz="8" w:color="D2DCE5"/>
            </w:tcBorders>
            <w:gridSpan w:val="2"/>
            <w:shd w:val="clear" w:color="auto" w:fill="D2DCE5"/>
          </w:tcPr>
          <w:p>
            <w:pPr>
              <w:jc w:val="center"/>
              <w:ind w:left="10"/>
              <w:spacing w:after="0"/>
              <w:rPr>
                <w:sz w:val="20"/>
                <w:szCs w:val="20"/>
                <w:color w:val="auto"/>
              </w:rPr>
            </w:pPr>
            <w:r>
              <w:rPr>
                <w:rFonts w:ascii="Arial" w:cs="Arial" w:eastAsia="Arial" w:hAnsi="Arial"/>
                <w:sz w:val="18"/>
                <w:szCs w:val="18"/>
                <w:color w:val="131E29"/>
              </w:rPr>
              <w:t>17</w:t>
            </w:r>
          </w:p>
        </w:tc>
        <w:tc>
          <w:tcPr>
            <w:tcW w:w="0" w:type="dxa"/>
            <w:vAlign w:val="bottom"/>
          </w:tcPr>
          <w:p>
            <w:pPr>
              <w:spacing w:after="0"/>
              <w:rPr>
                <w:sz w:val="1"/>
                <w:szCs w:val="1"/>
                <w:color w:val="auto"/>
              </w:rPr>
            </w:pPr>
          </w:p>
        </w:tc>
      </w:tr>
      <w:tr>
        <w:trPr>
          <w:trHeight w:val="243"/>
        </w:trPr>
        <w:tc>
          <w:tcPr>
            <w:tcW w:w="10400" w:type="dxa"/>
            <w:vAlign w:val="bottom"/>
          </w:tcPr>
          <w:p>
            <w:pPr>
              <w:ind w:left="20"/>
              <w:spacing w:after="0"/>
              <w:rPr>
                <w:sz w:val="20"/>
                <w:szCs w:val="20"/>
                <w:color w:val="auto"/>
              </w:rPr>
            </w:pPr>
            <w:r>
              <w:rPr>
                <w:rFonts w:ascii="Arial" w:cs="Arial" w:eastAsia="Arial" w:hAnsi="Arial"/>
                <w:sz w:val="18"/>
                <w:szCs w:val="18"/>
                <w:color w:val="131E29"/>
              </w:rPr>
              <w:t>NOTE 6 — Property and Equipment</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131E29"/>
              </w:rPr>
              <w:t>17</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NOTE 7 — Intangible Assets and Goodwill</w:t>
            </w:r>
          </w:p>
        </w:tc>
        <w:tc>
          <w:tcPr>
            <w:tcW w:w="840" w:type="dxa"/>
            <w:vAlign w:val="bottom"/>
            <w:tcBorders>
              <w:bottom w:val="single" w:sz="8" w:color="D2DCE5"/>
            </w:tcBorders>
            <w:gridSpan w:val="2"/>
            <w:shd w:val="clear" w:color="auto" w:fill="D2DCE5"/>
          </w:tcPr>
          <w:p>
            <w:pPr>
              <w:jc w:val="center"/>
              <w:ind w:left="10"/>
              <w:spacing w:after="0"/>
              <w:rPr>
                <w:sz w:val="20"/>
                <w:szCs w:val="20"/>
                <w:color w:val="auto"/>
              </w:rPr>
            </w:pPr>
            <w:r>
              <w:rPr>
                <w:rFonts w:ascii="Arial" w:cs="Arial" w:eastAsia="Arial" w:hAnsi="Arial"/>
                <w:sz w:val="18"/>
                <w:szCs w:val="18"/>
                <w:color w:val="131E29"/>
              </w:rPr>
              <w:t>18</w:t>
            </w:r>
          </w:p>
        </w:tc>
        <w:tc>
          <w:tcPr>
            <w:tcW w:w="0" w:type="dxa"/>
            <w:vAlign w:val="bottom"/>
          </w:tcPr>
          <w:p>
            <w:pPr>
              <w:spacing w:after="0"/>
              <w:rPr>
                <w:sz w:val="1"/>
                <w:szCs w:val="1"/>
                <w:color w:val="auto"/>
              </w:rPr>
            </w:pPr>
          </w:p>
        </w:tc>
      </w:tr>
      <w:tr>
        <w:trPr>
          <w:trHeight w:val="243"/>
        </w:trPr>
        <w:tc>
          <w:tcPr>
            <w:tcW w:w="10400" w:type="dxa"/>
            <w:vAlign w:val="bottom"/>
          </w:tcPr>
          <w:p>
            <w:pPr>
              <w:ind w:left="20"/>
              <w:spacing w:after="0"/>
              <w:rPr>
                <w:sz w:val="20"/>
                <w:szCs w:val="20"/>
                <w:color w:val="auto"/>
              </w:rPr>
            </w:pPr>
            <w:r>
              <w:rPr>
                <w:rFonts w:ascii="Arial" w:cs="Arial" w:eastAsia="Arial" w:hAnsi="Arial"/>
                <w:sz w:val="18"/>
                <w:szCs w:val="18"/>
                <w:color w:val="131E29"/>
              </w:rPr>
              <w:t>NOTE 8 — Leases</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131E29"/>
              </w:rPr>
              <w:t>19</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NOTE 9 — Debt</w:t>
            </w:r>
          </w:p>
        </w:tc>
        <w:tc>
          <w:tcPr>
            <w:tcW w:w="840" w:type="dxa"/>
            <w:vAlign w:val="bottom"/>
            <w:tcBorders>
              <w:bottom w:val="single" w:sz="8" w:color="D2DCE5"/>
            </w:tcBorders>
            <w:gridSpan w:val="2"/>
            <w:shd w:val="clear" w:color="auto" w:fill="D2DCE5"/>
          </w:tcPr>
          <w:p>
            <w:pPr>
              <w:jc w:val="center"/>
              <w:ind w:left="10"/>
              <w:spacing w:after="0"/>
              <w:rPr>
                <w:sz w:val="20"/>
                <w:szCs w:val="20"/>
                <w:color w:val="auto"/>
              </w:rPr>
            </w:pPr>
            <w:r>
              <w:rPr>
                <w:rFonts w:ascii="Arial" w:cs="Arial" w:eastAsia="Arial" w:hAnsi="Arial"/>
                <w:sz w:val="18"/>
                <w:szCs w:val="18"/>
                <w:color w:val="131E29"/>
              </w:rPr>
              <w:t>21</w:t>
            </w:r>
          </w:p>
        </w:tc>
        <w:tc>
          <w:tcPr>
            <w:tcW w:w="0" w:type="dxa"/>
            <w:vAlign w:val="bottom"/>
          </w:tcPr>
          <w:p>
            <w:pPr>
              <w:spacing w:after="0"/>
              <w:rPr>
                <w:sz w:val="1"/>
                <w:szCs w:val="1"/>
                <w:color w:val="auto"/>
              </w:rPr>
            </w:pPr>
          </w:p>
        </w:tc>
      </w:tr>
      <w:tr>
        <w:trPr>
          <w:trHeight w:val="243"/>
        </w:trPr>
        <w:tc>
          <w:tcPr>
            <w:tcW w:w="10400" w:type="dxa"/>
            <w:vAlign w:val="bottom"/>
          </w:tcPr>
          <w:p>
            <w:pPr>
              <w:ind w:left="20"/>
              <w:spacing w:after="0"/>
              <w:rPr>
                <w:sz w:val="20"/>
                <w:szCs w:val="20"/>
                <w:color w:val="auto"/>
              </w:rPr>
            </w:pPr>
            <w:r>
              <w:rPr>
                <w:rFonts w:ascii="Arial" w:cs="Arial" w:eastAsia="Arial" w:hAnsi="Arial"/>
                <w:sz w:val="18"/>
                <w:szCs w:val="18"/>
                <w:color w:val="131E29"/>
              </w:rPr>
              <w:t>NOTE 10 — Fair Value Measurements</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131E29"/>
              </w:rPr>
              <w:t>22</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NOTE 11 — Derivative Financial Instruments</w:t>
            </w:r>
          </w:p>
        </w:tc>
        <w:tc>
          <w:tcPr>
            <w:tcW w:w="840" w:type="dxa"/>
            <w:vAlign w:val="bottom"/>
            <w:tcBorders>
              <w:bottom w:val="single" w:sz="8" w:color="D2DCE5"/>
            </w:tcBorders>
            <w:gridSpan w:val="2"/>
            <w:shd w:val="clear" w:color="auto" w:fill="D2DCE5"/>
          </w:tcPr>
          <w:p>
            <w:pPr>
              <w:jc w:val="center"/>
              <w:ind w:left="10"/>
              <w:spacing w:after="0"/>
              <w:rPr>
                <w:sz w:val="20"/>
                <w:szCs w:val="20"/>
                <w:color w:val="auto"/>
              </w:rPr>
            </w:pPr>
            <w:r>
              <w:rPr>
                <w:rFonts w:ascii="Arial" w:cs="Arial" w:eastAsia="Arial" w:hAnsi="Arial"/>
                <w:sz w:val="18"/>
                <w:szCs w:val="18"/>
                <w:color w:val="131E29"/>
              </w:rPr>
              <w:t>23</w:t>
            </w:r>
          </w:p>
        </w:tc>
        <w:tc>
          <w:tcPr>
            <w:tcW w:w="0" w:type="dxa"/>
            <w:vAlign w:val="bottom"/>
          </w:tcPr>
          <w:p>
            <w:pPr>
              <w:spacing w:after="0"/>
              <w:rPr>
                <w:sz w:val="1"/>
                <w:szCs w:val="1"/>
                <w:color w:val="auto"/>
              </w:rPr>
            </w:pPr>
          </w:p>
        </w:tc>
      </w:tr>
      <w:tr>
        <w:trPr>
          <w:trHeight w:val="243"/>
        </w:trPr>
        <w:tc>
          <w:tcPr>
            <w:tcW w:w="10400" w:type="dxa"/>
            <w:vAlign w:val="bottom"/>
          </w:tcPr>
          <w:p>
            <w:pPr>
              <w:ind w:left="20"/>
              <w:spacing w:after="0"/>
              <w:rPr>
                <w:sz w:val="20"/>
                <w:szCs w:val="20"/>
                <w:color w:val="auto"/>
              </w:rPr>
            </w:pPr>
            <w:r>
              <w:rPr>
                <w:rFonts w:ascii="Arial" w:cs="Arial" w:eastAsia="Arial" w:hAnsi="Arial"/>
                <w:sz w:val="18"/>
                <w:szCs w:val="18"/>
                <w:color w:val="131E29"/>
              </w:rPr>
              <w:t>NOTE 12 — Income Taxes</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131E29"/>
              </w:rPr>
              <w:t>24</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NOTE 13 — Equity and Equity-Based Compensation</w:t>
            </w:r>
          </w:p>
        </w:tc>
        <w:tc>
          <w:tcPr>
            <w:tcW w:w="840" w:type="dxa"/>
            <w:vAlign w:val="bottom"/>
            <w:tcBorders>
              <w:bottom w:val="single" w:sz="8" w:color="D2DCE5"/>
            </w:tcBorders>
            <w:gridSpan w:val="2"/>
            <w:shd w:val="clear" w:color="auto" w:fill="D2DCE5"/>
          </w:tcPr>
          <w:p>
            <w:pPr>
              <w:jc w:val="center"/>
              <w:ind w:left="10"/>
              <w:spacing w:after="0"/>
              <w:rPr>
                <w:sz w:val="20"/>
                <w:szCs w:val="20"/>
                <w:color w:val="auto"/>
              </w:rPr>
            </w:pPr>
            <w:r>
              <w:rPr>
                <w:rFonts w:ascii="Arial" w:cs="Arial" w:eastAsia="Arial" w:hAnsi="Arial"/>
                <w:sz w:val="18"/>
                <w:szCs w:val="18"/>
                <w:color w:val="131E29"/>
              </w:rPr>
              <w:t>24</w:t>
            </w:r>
          </w:p>
        </w:tc>
        <w:tc>
          <w:tcPr>
            <w:tcW w:w="0" w:type="dxa"/>
            <w:vAlign w:val="bottom"/>
          </w:tcPr>
          <w:p>
            <w:pPr>
              <w:spacing w:after="0"/>
              <w:rPr>
                <w:sz w:val="1"/>
                <w:szCs w:val="1"/>
                <w:color w:val="auto"/>
              </w:rPr>
            </w:pPr>
          </w:p>
        </w:tc>
      </w:tr>
      <w:tr>
        <w:trPr>
          <w:trHeight w:val="243"/>
        </w:trPr>
        <w:tc>
          <w:tcPr>
            <w:tcW w:w="10400" w:type="dxa"/>
            <w:vAlign w:val="bottom"/>
          </w:tcPr>
          <w:p>
            <w:pPr>
              <w:ind w:left="20"/>
              <w:spacing w:after="0"/>
              <w:rPr>
                <w:sz w:val="20"/>
                <w:szCs w:val="20"/>
                <w:color w:val="auto"/>
              </w:rPr>
            </w:pPr>
            <w:r>
              <w:rPr>
                <w:rFonts w:ascii="Arial" w:cs="Arial" w:eastAsia="Arial" w:hAnsi="Arial"/>
                <w:sz w:val="18"/>
                <w:szCs w:val="18"/>
                <w:color w:val="131E29"/>
              </w:rPr>
              <w:t>NOTE 14 — Non-Controlling Interests</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131E29"/>
              </w:rPr>
              <w:t>26</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NOTE 15 — Income (Loss) Per Share</w:t>
            </w:r>
          </w:p>
        </w:tc>
        <w:tc>
          <w:tcPr>
            <w:tcW w:w="840" w:type="dxa"/>
            <w:vAlign w:val="bottom"/>
            <w:tcBorders>
              <w:bottom w:val="single" w:sz="8" w:color="D2DCE5"/>
            </w:tcBorders>
            <w:gridSpan w:val="2"/>
            <w:shd w:val="clear" w:color="auto" w:fill="D2DCE5"/>
          </w:tcPr>
          <w:p>
            <w:pPr>
              <w:jc w:val="center"/>
              <w:ind w:left="10"/>
              <w:spacing w:after="0"/>
              <w:rPr>
                <w:sz w:val="20"/>
                <w:szCs w:val="20"/>
                <w:color w:val="auto"/>
              </w:rPr>
            </w:pPr>
            <w:r>
              <w:rPr>
                <w:rFonts w:ascii="Arial" w:cs="Arial" w:eastAsia="Arial" w:hAnsi="Arial"/>
                <w:sz w:val="18"/>
                <w:szCs w:val="18"/>
                <w:color w:val="131E29"/>
              </w:rPr>
              <w:t>27</w:t>
            </w:r>
          </w:p>
        </w:tc>
        <w:tc>
          <w:tcPr>
            <w:tcW w:w="0" w:type="dxa"/>
            <w:vAlign w:val="bottom"/>
          </w:tcPr>
          <w:p>
            <w:pPr>
              <w:spacing w:after="0"/>
              <w:rPr>
                <w:sz w:val="1"/>
                <w:szCs w:val="1"/>
                <w:color w:val="auto"/>
              </w:rPr>
            </w:pPr>
          </w:p>
        </w:tc>
      </w:tr>
      <w:tr>
        <w:trPr>
          <w:trHeight w:val="243"/>
        </w:trPr>
        <w:tc>
          <w:tcPr>
            <w:tcW w:w="10400" w:type="dxa"/>
            <w:vAlign w:val="bottom"/>
          </w:tcPr>
          <w:p>
            <w:pPr>
              <w:ind w:left="20"/>
              <w:spacing w:after="0"/>
              <w:rPr>
                <w:sz w:val="20"/>
                <w:szCs w:val="20"/>
                <w:color w:val="auto"/>
              </w:rPr>
            </w:pPr>
            <w:r>
              <w:rPr>
                <w:rFonts w:ascii="Arial" w:cs="Arial" w:eastAsia="Arial" w:hAnsi="Arial"/>
                <w:sz w:val="18"/>
                <w:szCs w:val="18"/>
                <w:color w:val="131E29"/>
              </w:rPr>
              <w:t>NOTE 16 — Commitments and Contingencies</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131E29"/>
              </w:rPr>
              <w:t>29</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NOTE 17 — Related Party Transactions</w:t>
            </w:r>
          </w:p>
        </w:tc>
        <w:tc>
          <w:tcPr>
            <w:tcW w:w="840" w:type="dxa"/>
            <w:vAlign w:val="bottom"/>
            <w:tcBorders>
              <w:bottom w:val="single" w:sz="8" w:color="D2DCE5"/>
            </w:tcBorders>
            <w:gridSpan w:val="2"/>
            <w:shd w:val="clear" w:color="auto" w:fill="D2DCE5"/>
          </w:tcPr>
          <w:p>
            <w:pPr>
              <w:jc w:val="center"/>
              <w:ind w:left="10"/>
              <w:spacing w:after="0"/>
              <w:rPr>
                <w:sz w:val="20"/>
                <w:szCs w:val="20"/>
                <w:color w:val="auto"/>
              </w:rPr>
            </w:pPr>
            <w:r>
              <w:rPr>
                <w:rFonts w:ascii="Arial" w:cs="Arial" w:eastAsia="Arial" w:hAnsi="Arial"/>
                <w:sz w:val="18"/>
                <w:szCs w:val="18"/>
                <w:color w:val="131E29"/>
              </w:rPr>
              <w:t>31</w:t>
            </w:r>
          </w:p>
        </w:tc>
        <w:tc>
          <w:tcPr>
            <w:tcW w:w="0" w:type="dxa"/>
            <w:vAlign w:val="bottom"/>
          </w:tcPr>
          <w:p>
            <w:pPr>
              <w:spacing w:after="0"/>
              <w:rPr>
                <w:sz w:val="1"/>
                <w:szCs w:val="1"/>
                <w:color w:val="auto"/>
              </w:rPr>
            </w:pPr>
          </w:p>
        </w:tc>
      </w:tr>
      <w:tr>
        <w:trPr>
          <w:trHeight w:val="243"/>
        </w:trPr>
        <w:tc>
          <w:tcPr>
            <w:tcW w:w="10400" w:type="dxa"/>
            <w:vAlign w:val="bottom"/>
          </w:tcPr>
          <w:p>
            <w:pPr>
              <w:ind w:left="20"/>
              <w:spacing w:after="0"/>
              <w:rPr>
                <w:sz w:val="20"/>
                <w:szCs w:val="20"/>
                <w:color w:val="auto"/>
              </w:rPr>
            </w:pPr>
            <w:r>
              <w:rPr>
                <w:rFonts w:ascii="Arial" w:cs="Arial" w:eastAsia="Arial" w:hAnsi="Arial"/>
                <w:sz w:val="18"/>
                <w:szCs w:val="18"/>
                <w:color w:val="131E29"/>
              </w:rPr>
              <w:t>NOTE 18 — Segment Reporting</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131E29"/>
              </w:rPr>
              <w:t>31</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400" w:type="dxa"/>
            <w:vAlign w:val="bottom"/>
            <w:vMerge w:val="restart"/>
            <w:shd w:val="clear" w:color="auto" w:fill="D2DCE5"/>
          </w:tcPr>
          <w:p>
            <w:pPr>
              <w:ind w:left="20"/>
              <w:spacing w:after="0"/>
              <w:rPr>
                <w:sz w:val="20"/>
                <w:szCs w:val="20"/>
                <w:color w:val="auto"/>
              </w:rPr>
            </w:pPr>
            <w:r>
              <w:rPr>
                <w:rFonts w:ascii="Arial" w:cs="Arial" w:eastAsia="Arial" w:hAnsi="Arial"/>
                <w:sz w:val="18"/>
                <w:szCs w:val="18"/>
                <w:color w:val="131E29"/>
              </w:rPr>
              <w:t>NOTE 19 — Subsequent Event</w:t>
            </w:r>
          </w:p>
        </w:tc>
        <w:tc>
          <w:tcPr>
            <w:tcW w:w="840" w:type="dxa"/>
            <w:vAlign w:val="bottom"/>
            <w:gridSpan w:val="2"/>
            <w:shd w:val="clear" w:color="auto" w:fill="D2DCE5"/>
          </w:tcPr>
          <w:p>
            <w:pPr>
              <w:jc w:val="center"/>
              <w:ind w:left="10"/>
              <w:spacing w:after="0"/>
              <w:rPr>
                <w:sz w:val="20"/>
                <w:szCs w:val="20"/>
                <w:color w:val="auto"/>
              </w:rPr>
            </w:pPr>
            <w:r>
              <w:rPr>
                <w:rFonts w:ascii="Arial" w:cs="Arial" w:eastAsia="Arial" w:hAnsi="Arial"/>
                <w:sz w:val="18"/>
                <w:szCs w:val="18"/>
                <w:color w:val="131E29"/>
              </w:rPr>
              <w:t>32</w:t>
            </w:r>
          </w:p>
        </w:tc>
        <w:tc>
          <w:tcPr>
            <w:tcW w:w="0" w:type="dxa"/>
            <w:vAlign w:val="bottom"/>
          </w:tcPr>
          <w:p>
            <w:pPr>
              <w:spacing w:after="0"/>
              <w:rPr>
                <w:sz w:val="1"/>
                <w:szCs w:val="1"/>
                <w:color w:val="auto"/>
              </w:rPr>
            </w:pPr>
          </w:p>
        </w:tc>
      </w:tr>
      <w:tr>
        <w:trPr>
          <w:trHeight w:val="162"/>
        </w:trPr>
        <w:tc>
          <w:tcPr>
            <w:tcW w:w="10400" w:type="dxa"/>
            <w:vAlign w:val="bottom"/>
            <w:vMerge w:val="continue"/>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74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81" w:lineRule="exact"/>
        <w:rPr>
          <w:sz w:val="20"/>
          <w:szCs w:val="20"/>
          <w:color w:val="auto"/>
        </w:rPr>
      </w:pPr>
    </w:p>
    <w:p>
      <w:pPr>
        <w:ind w:left="2900"/>
        <w:spacing w:after="0"/>
        <w:rPr>
          <w:sz w:val="20"/>
          <w:szCs w:val="20"/>
          <w:color w:val="auto"/>
        </w:rPr>
      </w:pPr>
      <w:r>
        <w:rPr>
          <w:rFonts w:ascii="Arial" w:cs="Arial" w:eastAsia="Arial" w:hAnsi="Arial"/>
          <w:sz w:val="18"/>
          <w:szCs w:val="18"/>
          <w:color w:val="131E29"/>
        </w:rPr>
        <w:t>Notes to Condensed Consolidated Financial Statements (Unaudited)</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 — Organization and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Business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Dutch Bros is in the business of operating and franchising drive-thru coffee shops as well as the wholesale and distribution of coffee, coffee-related products, and accessories. As of June 30, 2023, there were 754 shops in operation in 14 U.S. states, of which 473 were company-operated and 281 were franchised.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Organization</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Dutch Bros Inc. was formed on June 4, 2021 as a Delaware corporation for the purpose of facilitating an IPO and other related transactions in order to carry on the business of Dutch Bros OpCo. 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As of June 30, 2023, Dutch Bros Inc. held 100.0% of the voting interest and 35.5% of the economic interest of Dutch Bros OpCo. The Continuing Members held none of the voting interest and the remaining 64.5% of the economic interest of Dutch Bros OpCo.</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2 — Basis of Presentation and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Financial Statements Presentation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The Company’s condensed consolidated financial statements as of June 30, 2023 and for the three and six months ended June 30, 2023 and 2022 have been prepared in accordance with GAAP and pursuant to the rules and regulations of the SEC, consistent in all material respects with those applied in the Company’s 2022 Form 10-K and as updated by this Form 10-Q.</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Company has made estimates and judgments affecting the amounts reported in its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Company’s 2022 Form 10-K that includes additional information on accounting estimates, policies, and the methods and assumptions used in its estimates.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In the opinion of management, the accompanying condensed consolidated financial statements reflect all adjustments, consisting of normal recurring adjustments, necessary to present fairly the Company’s consolidated financial statements for the periods presented. Operating results for the three and six months ended June 30, 2023 are not necessarily indicative of the results that may be expected for the fiscal year ending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60" w:type="dxa"/>
            <w:vAlign w:val="bottom"/>
            <w:gridSpan w:val="3"/>
          </w:tcPr>
          <w:p>
            <w:pPr>
              <w:spacing w:after="0"/>
              <w:rPr>
                <w:sz w:val="20"/>
                <w:szCs w:val="20"/>
                <w:color w:val="auto"/>
              </w:rPr>
            </w:pPr>
            <w:r>
              <w:rPr>
                <w:rFonts w:ascii="Arial" w:cs="Arial" w:eastAsia="Arial" w:hAnsi="Arial"/>
                <w:sz w:val="18"/>
                <w:szCs w:val="18"/>
                <w:b w:val="1"/>
                <w:bCs w:val="1"/>
                <w:i w:val="1"/>
                <w:iCs w:val="1"/>
                <w:color w:val="006098"/>
              </w:rPr>
              <w:t>Significant Accounting Policies Updates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26"/>
        </w:trPr>
        <w:tc>
          <w:tcPr>
            <w:tcW w:w="5660" w:type="dxa"/>
            <w:vAlign w:val="bottom"/>
            <w:gridSpan w:val="3"/>
          </w:tcPr>
          <w:p>
            <w:pPr>
              <w:spacing w:after="0"/>
              <w:rPr>
                <w:sz w:val="20"/>
                <w:szCs w:val="20"/>
                <w:color w:val="auto"/>
              </w:rPr>
            </w:pPr>
            <w:r>
              <w:rPr>
                <w:rFonts w:ascii="Arial" w:cs="Arial" w:eastAsia="Arial" w:hAnsi="Arial"/>
                <w:sz w:val="18"/>
                <w:szCs w:val="18"/>
                <w:color w:val="006098"/>
              </w:rPr>
              <w:t>Advertising Expense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640" w:type="dxa"/>
            <w:vAlign w:val="bottom"/>
            <w:shd w:val="clear" w:color="auto" w:fill="006098"/>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98"/>
        </w:trPr>
        <w:tc>
          <w:tcPr>
            <w:tcW w:w="5660" w:type="dxa"/>
            <w:vAlign w:val="bottom"/>
            <w:gridSpan w:val="3"/>
          </w:tcPr>
          <w:p>
            <w:pPr>
              <w:spacing w:after="0"/>
              <w:rPr>
                <w:sz w:val="20"/>
                <w:szCs w:val="20"/>
                <w:color w:val="auto"/>
              </w:rPr>
            </w:pPr>
            <w:r>
              <w:rPr>
                <w:rFonts w:ascii="Arial" w:cs="Arial" w:eastAsia="Arial" w:hAnsi="Arial"/>
                <w:sz w:val="18"/>
                <w:szCs w:val="18"/>
                <w:color w:val="131E29"/>
              </w:rPr>
              <w:t>Advertising expense was as follows for the periods presented: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1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4"/>
        </w:trPr>
        <w:tc>
          <w:tcPr>
            <w:tcW w:w="5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90"/>
        </w:trPr>
        <w:tc>
          <w:tcPr>
            <w:tcW w:w="5660" w:type="dxa"/>
            <w:vAlign w:val="bottom"/>
            <w:gridSpan w:val="3"/>
            <w:shd w:val="clear" w:color="auto" w:fill="D2DCE5"/>
          </w:tcPr>
          <w:p>
            <w:pPr>
              <w:ind w:left="20"/>
              <w:spacing w:after="0"/>
              <w:rPr>
                <w:sz w:val="20"/>
                <w:szCs w:val="20"/>
                <w:color w:val="auto"/>
              </w:rPr>
            </w:pPr>
            <w:r>
              <w:rPr>
                <w:rFonts w:ascii="Arial" w:cs="Arial" w:eastAsia="Arial" w:hAnsi="Arial"/>
                <w:sz w:val="18"/>
                <w:szCs w:val="18"/>
                <w:color w:val="131E29"/>
              </w:rPr>
              <w:t>Advertising expense</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6,867</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7,058</w:t>
            </w:r>
          </w:p>
        </w:tc>
        <w:tc>
          <w:tcPr>
            <w:tcW w:w="260" w:type="dxa"/>
            <w:vAlign w:val="bottom"/>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13,037</w:t>
            </w:r>
          </w:p>
        </w:tc>
        <w:tc>
          <w:tcPr>
            <w:tcW w:w="38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14,682</w:t>
            </w:r>
          </w:p>
        </w:tc>
      </w:tr>
      <w:tr>
        <w:trPr>
          <w:trHeight w:val="20"/>
        </w:trPr>
        <w:tc>
          <w:tcPr>
            <w:tcW w:w="1640" w:type="dxa"/>
            <w:vAlign w:val="bottom"/>
            <w:tcBorders>
              <w:top w:val="single" w:sz="8" w:color="D2DCE5"/>
            </w:tcBorders>
          </w:tcPr>
          <w:p>
            <w:pPr>
              <w:spacing w:after="0" w:line="20" w:lineRule="exact"/>
              <w:rPr>
                <w:sz w:val="1"/>
                <w:szCs w:val="1"/>
                <w:color w:val="auto"/>
              </w:rPr>
            </w:pPr>
          </w:p>
        </w:tc>
        <w:tc>
          <w:tcPr>
            <w:tcW w:w="39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Recently Adopted Accounting Standard</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131E29"/>
        </w:rPr>
        <w:t xml:space="preserve">In October 2021, the FASB issued ASU No. 2021-08, </w:t>
      </w:r>
      <w:r>
        <w:rPr>
          <w:rFonts w:ascii="Arial" w:cs="Arial" w:eastAsia="Arial" w:hAnsi="Arial"/>
          <w:sz w:val="18"/>
          <w:szCs w:val="18"/>
          <w:i w:val="1"/>
          <w:iCs w:val="1"/>
          <w:color w:val="131E29"/>
        </w:rPr>
        <w:t>Business Combinations (Topic 805): Accounting for Contract Assets and Contract</w:t>
      </w:r>
      <w:r>
        <w:rPr>
          <w:rFonts w:ascii="Arial" w:cs="Arial" w:eastAsia="Arial" w:hAnsi="Arial"/>
          <w:sz w:val="18"/>
          <w:szCs w:val="18"/>
          <w:color w:val="131E29"/>
        </w:rPr>
        <w:t xml:space="preserve"> </w:t>
      </w:r>
      <w:r>
        <w:rPr>
          <w:rFonts w:ascii="Arial" w:cs="Arial" w:eastAsia="Arial" w:hAnsi="Arial"/>
          <w:sz w:val="18"/>
          <w:szCs w:val="18"/>
          <w:i w:val="1"/>
          <w:iCs w:val="1"/>
          <w:color w:val="131E29"/>
        </w:rPr>
        <w:t>Liabilities from Contracts with Customers</w:t>
      </w:r>
      <w:r>
        <w:rPr>
          <w:rFonts w:ascii="Arial" w:cs="Arial" w:eastAsia="Arial" w:hAnsi="Arial"/>
          <w:sz w:val="18"/>
          <w:szCs w:val="18"/>
          <w:color w:val="131E29"/>
        </w:rPr>
        <w:t>. The amendments in this update provide specific guidance to address diversity in practice related to</w:t>
      </w:r>
    </w:p>
    <w:p>
      <w:pPr>
        <w:spacing w:after="0" w:line="2" w:lineRule="exact"/>
        <w:rPr>
          <w:sz w:val="20"/>
          <w:szCs w:val="20"/>
          <w:color w:val="auto"/>
        </w:rPr>
      </w:pPr>
    </w:p>
    <w:p>
      <w:pPr>
        <w:jc w:val="both"/>
        <w:ind w:firstLine="8"/>
        <w:spacing w:after="0" w:line="254" w:lineRule="auto"/>
        <w:tabs>
          <w:tab w:leader="none" w:pos="287" w:val="left"/>
        </w:tabs>
        <w:numPr>
          <w:ilvl w:val="0"/>
          <w:numId w:val="3"/>
        </w:numPr>
        <w:rPr>
          <w:rFonts w:ascii="Arial" w:cs="Arial" w:eastAsia="Arial" w:hAnsi="Arial"/>
          <w:sz w:val="18"/>
          <w:szCs w:val="18"/>
          <w:color w:val="131E29"/>
        </w:rPr>
      </w:pPr>
      <w:r>
        <w:rPr>
          <w:rFonts w:ascii="Arial" w:cs="Arial" w:eastAsia="Arial" w:hAnsi="Arial"/>
          <w:sz w:val="18"/>
          <w:szCs w:val="18"/>
          <w:color w:val="131E29"/>
        </w:rPr>
        <w:t>recognition of an acquired contract liability, and (2) payment terms and their effect on subsequent revenue recognized by the acquirer. The amendments in ASU 2021-08 are applied on a prospective basis, and are effective for fiscal years beginning after December 15, 2022, including interim periods within those fiscal years. Early adoption is permitted. The Company’s adoption of this standard effective January 1, 2023 did not have a material impact on its condensed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3 — Revenue Recognition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Revenue</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66"/>
        </w:trPr>
        <w:tc>
          <w:tcPr>
            <w:tcW w:w="5660" w:type="dxa"/>
            <w:vAlign w:val="bottom"/>
            <w:gridSpan w:val="2"/>
          </w:tcPr>
          <w:p>
            <w:pPr>
              <w:spacing w:after="0"/>
              <w:rPr>
                <w:sz w:val="20"/>
                <w:szCs w:val="20"/>
                <w:color w:val="auto"/>
              </w:rPr>
            </w:pPr>
            <w:r>
              <w:rPr>
                <w:rFonts w:ascii="Arial" w:cs="Arial" w:eastAsia="Arial" w:hAnsi="Arial"/>
                <w:sz w:val="18"/>
                <w:szCs w:val="18"/>
                <w:color w:val="131E29"/>
              </w:rPr>
              <w:t>The following table disaggregates revenue by major component:</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3"/>
        </w:trPr>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Borders>
              <w:bottom w:val="single" w:sz="8" w:color="D2DCE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shops</w:t>
            </w: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220,952</w:t>
            </w:r>
          </w:p>
        </w:tc>
        <w:tc>
          <w:tcPr>
            <w:tcW w:w="380" w:type="dxa"/>
            <w:vAlign w:val="bottom"/>
            <w:tcBorders>
              <w:bottom w:val="single" w:sz="8" w:color="D2DCE5"/>
            </w:tcBorders>
            <w:gridSpan w:val="2"/>
            <w:shd w:val="clear" w:color="auto" w:fill="D2DCE5"/>
          </w:tcPr>
          <w:p>
            <w:pPr>
              <w:jc w:val="right"/>
              <w:ind w:right="70"/>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160,512</w:t>
            </w:r>
          </w:p>
        </w:tc>
        <w:tc>
          <w:tcPr>
            <w:tcW w:w="2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394,116</w:t>
            </w:r>
          </w:p>
        </w:tc>
        <w:tc>
          <w:tcPr>
            <w:tcW w:w="380" w:type="dxa"/>
            <w:vAlign w:val="bottom"/>
            <w:tcBorders>
              <w:bottom w:val="single" w:sz="8" w:color="D2DCE5"/>
            </w:tcBorders>
            <w:gridSpan w:val="2"/>
            <w:shd w:val="clear" w:color="auto" w:fill="D2DCE5"/>
          </w:tcPr>
          <w:p>
            <w:pPr>
              <w:jc w:val="right"/>
              <w:ind w:right="70"/>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290,699</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Franchising</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27,524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24,453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50,169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45,226</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1,403</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1,416</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2,861</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2,612</w:t>
            </w:r>
          </w:p>
        </w:tc>
      </w:tr>
      <w:tr>
        <w:trPr>
          <w:trHeight w:val="263"/>
        </w:trPr>
        <w:tc>
          <w:tcPr>
            <w:tcW w:w="5660" w:type="dxa"/>
            <w:vAlign w:val="bottom"/>
            <w:gridSpan w:val="2"/>
          </w:tcPr>
          <w:p>
            <w:pPr>
              <w:ind w:left="140"/>
              <w:spacing w:after="0"/>
              <w:rPr>
                <w:sz w:val="20"/>
                <w:szCs w:val="20"/>
                <w:color w:val="auto"/>
              </w:rPr>
            </w:pPr>
            <w:r>
              <w:rPr>
                <w:rFonts w:ascii="Arial" w:cs="Arial" w:eastAsia="Arial" w:hAnsi="Arial"/>
                <w:sz w:val="18"/>
                <w:szCs w:val="18"/>
                <w:color w:val="131E29"/>
              </w:rPr>
              <w:t>Total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249,879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186,381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447,146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338,537</w:t>
            </w: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Deferred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131E29"/>
        </w:rPr>
        <w:t>Deferred revenue activity related to the Company’s gift card and loyalty programs was as follows:</w:t>
      </w:r>
    </w:p>
    <w:p>
      <w:pPr>
        <w:spacing w:after="0" w:line="215"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37465</wp:posOffset>
            </wp:positionV>
            <wp:extent cx="17576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2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70"/>
        </w:trPr>
        <w:tc>
          <w:tcPr>
            <w:tcW w:w="836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Beginning balance</w:t>
            </w:r>
          </w:p>
        </w:tc>
        <w:tc>
          <w:tcPr>
            <w:tcW w:w="400" w:type="dxa"/>
            <w:vAlign w:val="bottom"/>
            <w:gridSpan w:val="2"/>
            <w:shd w:val="clear" w:color="auto" w:fill="D2DCE5"/>
          </w:tcPr>
          <w:p>
            <w:pPr>
              <w:jc w:val="right"/>
              <w:ind w:right="9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26,904</w:t>
            </w:r>
          </w:p>
        </w:tc>
        <w:tc>
          <w:tcPr>
            <w:tcW w:w="400" w:type="dxa"/>
            <w:vAlign w:val="bottom"/>
            <w:gridSpan w:val="2"/>
            <w:shd w:val="clear" w:color="auto" w:fill="D2DCE5"/>
          </w:tcPr>
          <w:p>
            <w:pPr>
              <w:jc w:val="right"/>
              <w:ind w:right="9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22,765</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131E29"/>
              </w:rPr>
              <w:t>Revenue deferred - gift card activations, loyalty app loads, and loyalty points and rewards earned</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167,556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118,685</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Revenue recognized - gift card, loyalty app, and loyalty rewards redemptions, and breakage</w:t>
            </w:r>
          </w:p>
        </w:tc>
        <w:tc>
          <w:tcPr>
            <w:tcW w:w="12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(168,598)</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(115,010)</w:t>
            </w:r>
          </w:p>
        </w:tc>
      </w:tr>
      <w:tr>
        <w:trPr>
          <w:trHeight w:val="256"/>
        </w:trPr>
        <w:tc>
          <w:tcPr>
            <w:tcW w:w="8360" w:type="dxa"/>
            <w:vAlign w:val="bottom"/>
          </w:tcPr>
          <w:p>
            <w:pPr>
              <w:ind w:left="20"/>
              <w:spacing w:after="0"/>
              <w:rPr>
                <w:sz w:val="20"/>
                <w:szCs w:val="20"/>
                <w:color w:val="auto"/>
              </w:rPr>
            </w:pPr>
            <w:r>
              <w:rPr>
                <w:rFonts w:ascii="Arial" w:cs="Arial" w:eastAsia="Arial" w:hAnsi="Arial"/>
                <w:sz w:val="18"/>
                <w:szCs w:val="18"/>
                <w:b w:val="1"/>
                <w:bCs w:val="1"/>
                <w:color w:val="131E29"/>
              </w:rPr>
              <w:t>Ending balance</w:t>
            </w: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25,862</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26,440</w:t>
            </w:r>
          </w:p>
        </w:tc>
      </w:tr>
      <w:tr>
        <w:trPr>
          <w:trHeight w:val="278"/>
        </w:trPr>
        <w:tc>
          <w:tcPr>
            <w:tcW w:w="83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Less: current portion</w:t>
            </w:r>
          </w:p>
        </w:tc>
        <w:tc>
          <w:tcPr>
            <w:tcW w:w="12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D2DCE5"/>
            </w:tcBorders>
            <w:shd w:val="clear" w:color="auto" w:fill="D2DCE5"/>
          </w:tcPr>
          <w:p>
            <w:pPr>
              <w:spacing w:after="0"/>
              <w:rPr>
                <w:sz w:val="24"/>
                <w:szCs w:val="24"/>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(21,875)</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D2DCE5"/>
            </w:tcBorders>
            <w:shd w:val="clear" w:color="auto" w:fill="D2DCE5"/>
          </w:tcPr>
          <w:p>
            <w:pPr>
              <w:spacing w:after="0"/>
              <w:rPr>
                <w:sz w:val="24"/>
                <w:szCs w:val="24"/>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(23,750)</w:t>
            </w:r>
          </w:p>
        </w:tc>
      </w:tr>
      <w:tr>
        <w:trPr>
          <w:trHeight w:val="263"/>
        </w:trPr>
        <w:tc>
          <w:tcPr>
            <w:tcW w:w="8360" w:type="dxa"/>
            <w:vAlign w:val="bottom"/>
          </w:tcPr>
          <w:p>
            <w:pPr>
              <w:ind w:left="140"/>
              <w:spacing w:after="0"/>
              <w:rPr>
                <w:sz w:val="20"/>
                <w:szCs w:val="20"/>
                <w:color w:val="auto"/>
              </w:rPr>
            </w:pPr>
            <w:r>
              <w:rPr>
                <w:rFonts w:ascii="Arial" w:cs="Arial" w:eastAsia="Arial" w:hAnsi="Arial"/>
                <w:sz w:val="18"/>
                <w:szCs w:val="18"/>
                <w:color w:val="131E29"/>
              </w:rPr>
              <w:t>Deferred revenue, net of current portion, gift card and loyalty programs</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3,987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2,690</w:t>
            </w:r>
          </w:p>
        </w:tc>
      </w:tr>
      <w:tr>
        <w:trPr>
          <w:trHeight w:val="20"/>
        </w:trPr>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Deferred revenue also includes sales to distributors where the performance obligation has not been satisfied and control has not been transferred to the customer as of the reporting date, as well as initial unearned franchise fees from franchise partners. These deferred revenues reported in the Company’s condensed consolidated balance sheets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1460" w:type="dxa"/>
            <w:vAlign w:val="bottom"/>
            <w:tcBorders>
              <w:bottom w:val="single" w:sz="8" w:color="131E29"/>
            </w:tcBorders>
          </w:tcPr>
          <w:p>
            <w:pPr>
              <w:jc w:val="right"/>
              <w:ind w:right="150"/>
              <w:spacing w:after="0"/>
              <w:rPr>
                <w:sz w:val="20"/>
                <w:szCs w:val="20"/>
                <w:color w:val="auto"/>
              </w:rPr>
            </w:pPr>
            <w:r>
              <w:rPr>
                <w:rFonts w:ascii="Arial" w:cs="Arial" w:eastAsia="Arial" w:hAnsi="Arial"/>
                <w:sz w:val="18"/>
                <w:szCs w:val="18"/>
                <w:b w:val="1"/>
                <w:bCs w:val="1"/>
                <w:color w:val="131E29"/>
              </w:rPr>
              <w:t>June 30, 2023</w:t>
            </w:r>
          </w:p>
        </w:tc>
        <w:tc>
          <w:tcPr>
            <w:tcW w:w="100" w:type="dxa"/>
            <w:vAlign w:val="bottom"/>
          </w:tcPr>
          <w:p>
            <w:pPr>
              <w:spacing w:after="0"/>
              <w:rPr>
                <w:sz w:val="22"/>
                <w:szCs w:val="22"/>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131E29"/>
              </w:rPr>
              <w:t>December 31, 2022</w:t>
            </w:r>
          </w:p>
        </w:tc>
      </w:tr>
      <w:tr>
        <w:trPr>
          <w:trHeight w:val="250"/>
        </w:trPr>
        <w:tc>
          <w:tcPr>
            <w:tcW w:w="76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Outstanding performance obligations</w:t>
            </w:r>
          </w:p>
        </w:tc>
        <w:tc>
          <w:tcPr>
            <w:tcW w:w="280" w:type="dxa"/>
            <w:vAlign w:val="bottom"/>
            <w:tcBorders>
              <w:bottom w:val="single" w:sz="8" w:color="D2DCE5"/>
            </w:tcBorders>
            <w:gridSpan w:val="2"/>
            <w:shd w:val="clear" w:color="auto" w:fill="D2DCE5"/>
          </w:tcPr>
          <w:p>
            <w:pPr>
              <w:jc w:val="right"/>
              <w:ind w:right="60"/>
              <w:spacing w:after="0"/>
              <w:rPr>
                <w:sz w:val="20"/>
                <w:szCs w:val="20"/>
                <w:color w:val="auto"/>
              </w:rPr>
            </w:pPr>
            <w:r>
              <w:rPr>
                <w:rFonts w:ascii="Arial" w:cs="Arial" w:eastAsia="Arial" w:hAnsi="Arial"/>
                <w:sz w:val="18"/>
                <w:szCs w:val="18"/>
                <w:color w:val="131E29"/>
              </w:rPr>
              <w:t>$</w:t>
            </w: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720" w:type="dxa"/>
            <w:vAlign w:val="bottom"/>
            <w:tcBorders>
              <w:bottom w:val="single" w:sz="8" w:color="D2DCE5"/>
            </w:tcBorders>
            <w:gridSpan w:val="2"/>
            <w:shd w:val="clear" w:color="auto" w:fill="D2DCE5"/>
          </w:tcPr>
          <w:p>
            <w:pPr>
              <w:jc w:val="right"/>
              <w:ind w:right="410"/>
              <w:spacing w:after="0"/>
              <w:rPr>
                <w:sz w:val="20"/>
                <w:szCs w:val="20"/>
                <w:color w:val="auto"/>
              </w:rPr>
            </w:pPr>
            <w:r>
              <w:rPr>
                <w:rFonts w:ascii="Arial" w:cs="Arial" w:eastAsia="Arial" w:hAnsi="Arial"/>
                <w:sz w:val="18"/>
                <w:szCs w:val="18"/>
                <w:color w:val="131E29"/>
              </w:rPr>
              <w:t>$</w:t>
            </w:r>
          </w:p>
        </w:tc>
        <w:tc>
          <w:tcPr>
            <w:tcW w:w="1100" w:type="dxa"/>
            <w:vAlign w:val="bottom"/>
            <w:tcBorders>
              <w:bottom w:val="single" w:sz="8" w:color="D2DCE5"/>
            </w:tcBorders>
            <w:shd w:val="clear" w:color="auto" w:fill="D2DCE5"/>
          </w:tcPr>
          <w:p>
            <w:pPr>
              <w:jc w:val="center"/>
              <w:ind w:left="410"/>
              <w:spacing w:after="0"/>
              <w:rPr>
                <w:sz w:val="20"/>
                <w:szCs w:val="20"/>
                <w:color w:val="auto"/>
              </w:rPr>
            </w:pPr>
            <w:r>
              <w:rPr>
                <w:rFonts w:ascii="Arial" w:cs="Arial" w:eastAsia="Arial" w:hAnsi="Arial"/>
                <w:sz w:val="18"/>
                <w:szCs w:val="18"/>
                <w:color w:val="131E29"/>
                <w:w w:val="97"/>
              </w:rPr>
              <w:t>2,152</w:t>
            </w:r>
          </w:p>
        </w:tc>
      </w:tr>
      <w:tr>
        <w:trPr>
          <w:trHeight w:val="263"/>
        </w:trPr>
        <w:tc>
          <w:tcPr>
            <w:tcW w:w="7680" w:type="dxa"/>
            <w:vAlign w:val="bottom"/>
          </w:tcPr>
          <w:p>
            <w:pPr>
              <w:ind w:left="20"/>
              <w:spacing w:after="0"/>
              <w:rPr>
                <w:sz w:val="20"/>
                <w:szCs w:val="20"/>
                <w:color w:val="auto"/>
              </w:rPr>
            </w:pPr>
            <w:r>
              <w:rPr>
                <w:rFonts w:ascii="Arial" w:cs="Arial" w:eastAsia="Arial" w:hAnsi="Arial"/>
                <w:sz w:val="18"/>
                <w:szCs w:val="18"/>
                <w:color w:val="131E29"/>
              </w:rPr>
              <w:t>Initial unearned franchise fees from franchise partners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2,394</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131E29"/>
                <w:w w:val="97"/>
              </w:rPr>
              <w:t>2,398</w:t>
            </w:r>
          </w:p>
        </w:tc>
      </w:tr>
      <w:tr>
        <w:trPr>
          <w:trHeight w:val="250"/>
        </w:trPr>
        <w:tc>
          <w:tcPr>
            <w:tcW w:w="768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Total deferred revenue, excluding gift card and loyalty programs</w:t>
            </w:r>
          </w:p>
        </w:tc>
        <w:tc>
          <w:tcPr>
            <w:tcW w:w="10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2,394</w:t>
            </w:r>
          </w:p>
        </w:tc>
        <w:tc>
          <w:tcPr>
            <w:tcW w:w="100" w:type="dxa"/>
            <w:vAlign w:val="bottom"/>
            <w:tcBorders>
              <w:bottom w:val="single" w:sz="8" w:color="D2DCE5"/>
            </w:tcBorders>
            <w:shd w:val="clear" w:color="auto" w:fill="D2DCE5"/>
          </w:tcPr>
          <w:p>
            <w:pPr>
              <w:spacing w:after="0"/>
              <w:rPr>
                <w:sz w:val="21"/>
                <w:szCs w:val="21"/>
                <w:color w:val="auto"/>
              </w:rPr>
            </w:pPr>
          </w:p>
        </w:tc>
        <w:tc>
          <w:tcPr>
            <w:tcW w:w="62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center"/>
              <w:ind w:left="410"/>
              <w:spacing w:after="0"/>
              <w:rPr>
                <w:sz w:val="20"/>
                <w:szCs w:val="20"/>
                <w:color w:val="auto"/>
              </w:rPr>
            </w:pPr>
            <w:r>
              <w:rPr>
                <w:rFonts w:ascii="Arial" w:cs="Arial" w:eastAsia="Arial" w:hAnsi="Arial"/>
                <w:sz w:val="18"/>
                <w:szCs w:val="18"/>
                <w:color w:val="131E29"/>
                <w:w w:val="97"/>
              </w:rPr>
              <w:t>4,550</w:t>
            </w:r>
          </w:p>
        </w:tc>
      </w:tr>
      <w:tr>
        <w:trPr>
          <w:trHeight w:val="263"/>
        </w:trPr>
        <w:tc>
          <w:tcPr>
            <w:tcW w:w="7680" w:type="dxa"/>
            <w:vAlign w:val="bottom"/>
          </w:tcPr>
          <w:p>
            <w:pPr>
              <w:ind w:left="20"/>
              <w:spacing w:after="0"/>
              <w:rPr>
                <w:sz w:val="20"/>
                <w:szCs w:val="20"/>
                <w:color w:val="auto"/>
              </w:rPr>
            </w:pPr>
            <w:r>
              <w:rPr>
                <w:rFonts w:ascii="Arial" w:cs="Arial" w:eastAsia="Arial" w:hAnsi="Arial"/>
                <w:sz w:val="18"/>
                <w:szCs w:val="18"/>
                <w:color w:val="131E29"/>
              </w:rPr>
              <w:t>Less: current portion</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(425)</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131E29"/>
              </w:rPr>
              <w:t>(2,587)</w:t>
            </w:r>
          </w:p>
        </w:tc>
      </w:tr>
      <w:tr>
        <w:trPr>
          <w:trHeight w:val="290"/>
        </w:trPr>
        <w:tc>
          <w:tcPr>
            <w:tcW w:w="768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Deferred revenue, net of current portion, excluding gift card and loyalty programs</w:t>
            </w:r>
          </w:p>
        </w:tc>
        <w:tc>
          <w:tcPr>
            <w:tcW w:w="280" w:type="dxa"/>
            <w:vAlign w:val="bottom"/>
            <w:gridSpan w:val="2"/>
            <w:shd w:val="clear" w:color="auto" w:fill="D2DCE5"/>
          </w:tcPr>
          <w:p>
            <w:pPr>
              <w:jc w:val="right"/>
              <w:ind w:right="60"/>
              <w:spacing w:after="0"/>
              <w:rPr>
                <w:sz w:val="20"/>
                <w:szCs w:val="20"/>
                <w:color w:val="auto"/>
              </w:rPr>
            </w:pPr>
            <w:r>
              <w:rPr>
                <w:rFonts w:ascii="Arial" w:cs="Arial" w:eastAsia="Arial" w:hAnsi="Arial"/>
                <w:sz w:val="18"/>
                <w:szCs w:val="18"/>
                <w:color w:val="131E29"/>
              </w:rPr>
              <w:t>$</w:t>
            </w:r>
          </w:p>
        </w:tc>
        <w:tc>
          <w:tcPr>
            <w:tcW w:w="14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1,969</w:t>
            </w:r>
          </w:p>
        </w:tc>
        <w:tc>
          <w:tcPr>
            <w:tcW w:w="720" w:type="dxa"/>
            <w:vAlign w:val="bottom"/>
            <w:gridSpan w:val="2"/>
            <w:shd w:val="clear" w:color="auto" w:fill="D2DCE5"/>
          </w:tcPr>
          <w:p>
            <w:pPr>
              <w:jc w:val="right"/>
              <w:ind w:right="410"/>
              <w:spacing w:after="0"/>
              <w:rPr>
                <w:sz w:val="20"/>
                <w:szCs w:val="20"/>
                <w:color w:val="auto"/>
              </w:rPr>
            </w:pPr>
            <w:r>
              <w:rPr>
                <w:rFonts w:ascii="Arial" w:cs="Arial" w:eastAsia="Arial" w:hAnsi="Arial"/>
                <w:sz w:val="18"/>
                <w:szCs w:val="18"/>
                <w:color w:val="131E29"/>
              </w:rPr>
              <w:t>$</w:t>
            </w:r>
          </w:p>
        </w:tc>
        <w:tc>
          <w:tcPr>
            <w:tcW w:w="1100" w:type="dxa"/>
            <w:vAlign w:val="bottom"/>
            <w:shd w:val="clear" w:color="auto" w:fill="D2DCE5"/>
          </w:tcPr>
          <w:p>
            <w:pPr>
              <w:jc w:val="center"/>
              <w:ind w:left="410"/>
              <w:spacing w:after="0"/>
              <w:rPr>
                <w:sz w:val="20"/>
                <w:szCs w:val="20"/>
                <w:color w:val="auto"/>
              </w:rPr>
            </w:pPr>
            <w:r>
              <w:rPr>
                <w:rFonts w:ascii="Arial" w:cs="Arial" w:eastAsia="Arial" w:hAnsi="Arial"/>
                <w:sz w:val="18"/>
                <w:szCs w:val="18"/>
                <w:color w:val="131E29"/>
                <w:w w:val="97"/>
              </w:rPr>
              <w:t>1,963</w:t>
            </w:r>
          </w:p>
        </w:tc>
      </w:tr>
      <w:tr>
        <w:trPr>
          <w:trHeight w:val="20"/>
        </w:trPr>
        <w:tc>
          <w:tcPr>
            <w:tcW w:w="76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131E29"/>
        </w:rPr>
        <w:t>Revenue recognized from initial unearned franchise fees was as follows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56"/>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2023</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2022</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84"/>
        </w:trPr>
        <w:tc>
          <w:tcPr>
            <w:tcW w:w="56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Earned franchise fees</w:t>
            </w:r>
          </w:p>
        </w:tc>
        <w:tc>
          <w:tcPr>
            <w:tcW w:w="900" w:type="dxa"/>
            <w:vAlign w:val="bottom"/>
            <w:shd w:val="clear" w:color="auto" w:fill="D2DCE5"/>
          </w:tcPr>
          <w:p>
            <w:pPr>
              <w:jc w:val="right"/>
              <w:ind w:right="690"/>
              <w:spacing w:after="0"/>
              <w:rPr>
                <w:sz w:val="20"/>
                <w:szCs w:val="20"/>
                <w:color w:val="auto"/>
              </w:rPr>
            </w:pPr>
            <w:r>
              <w:rPr>
                <w:rFonts w:ascii="Arial" w:cs="Arial" w:eastAsia="Arial" w:hAnsi="Arial"/>
                <w:sz w:val="18"/>
                <w:szCs w:val="18"/>
                <w:color w:val="131E29"/>
                <w:w w:val="99"/>
              </w:rPr>
              <w:t>$</w:t>
            </w:r>
          </w:p>
        </w:tc>
        <w:tc>
          <w:tcPr>
            <w:tcW w:w="4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114</w:t>
            </w:r>
          </w:p>
        </w:tc>
        <w:tc>
          <w:tcPr>
            <w:tcW w:w="40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117</w:t>
            </w:r>
          </w:p>
        </w:tc>
        <w:tc>
          <w:tcPr>
            <w:tcW w:w="260" w:type="dxa"/>
            <w:vAlign w:val="bottom"/>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228</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273</w:t>
            </w:r>
          </w:p>
        </w:tc>
      </w:tr>
      <w:tr>
        <w:trPr>
          <w:trHeight w:val="20"/>
        </w:trPr>
        <w:tc>
          <w:tcPr>
            <w:tcW w:w="55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Revenue recognized during the three and six months ended June 30, 2023 and 2022 that was included in the respective deferred revenue liability balances at the beginning of the period are shown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131E29"/>
                <w:w w:val="99"/>
              </w:rPr>
              <w:t>Six Months Ended</w:t>
            </w:r>
          </w:p>
        </w:tc>
      </w:tr>
      <w:tr>
        <w:trPr>
          <w:trHeight w:val="259"/>
        </w:trPr>
        <w:tc>
          <w:tcPr>
            <w:tcW w:w="5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131E29"/>
                <w:w w:val="99"/>
              </w:rPr>
              <w:t>June 30,</w:t>
            </w:r>
          </w:p>
        </w:tc>
        <w:tc>
          <w:tcPr>
            <w:tcW w:w="860" w:type="dxa"/>
            <w:vAlign w:val="bottom"/>
            <w:tcBorders>
              <w:bottom w:val="single" w:sz="8" w:color="auto"/>
            </w:tcBorders>
          </w:tcPr>
          <w:p>
            <w:pPr>
              <w:spacing w:after="0"/>
              <w:rPr>
                <w:sz w:val="22"/>
                <w:szCs w:val="22"/>
                <w:color w:val="auto"/>
              </w:rPr>
            </w:pPr>
          </w:p>
        </w:tc>
      </w:tr>
      <w:tr>
        <w:trPr>
          <w:trHeight w:val="26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2023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2022</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2022</w:t>
            </w:r>
          </w:p>
        </w:tc>
      </w:tr>
      <w:tr>
        <w:trPr>
          <w:trHeight w:val="270"/>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Gift card redemptions </w:t>
            </w:r>
            <w:r>
              <w:rPr>
                <w:rFonts w:ascii="Arial" w:cs="Arial" w:eastAsia="Arial" w:hAnsi="Arial"/>
                <w:sz w:val="23"/>
                <w:szCs w:val="23"/>
                <w:color w:val="131E29"/>
                <w:vertAlign w:val="superscript"/>
              </w:rPr>
              <w:t>1</w:t>
            </w:r>
          </w:p>
        </w:tc>
        <w:tc>
          <w:tcPr>
            <w:tcW w:w="940" w:type="dxa"/>
            <w:vAlign w:val="bottom"/>
            <w:shd w:val="clear" w:color="auto" w:fill="D2DCE5"/>
          </w:tcPr>
          <w:p>
            <w:pPr>
              <w:jc w:val="right"/>
              <w:ind w:right="730"/>
              <w:spacing w:after="0"/>
              <w:rPr>
                <w:sz w:val="20"/>
                <w:szCs w:val="20"/>
                <w:color w:val="auto"/>
              </w:rPr>
            </w:pPr>
            <w:r>
              <w:rPr>
                <w:rFonts w:ascii="Arial" w:cs="Arial" w:eastAsia="Arial" w:hAnsi="Arial"/>
                <w:sz w:val="18"/>
                <w:szCs w:val="18"/>
                <w:color w:val="131E29"/>
                <w:w w:val="99"/>
              </w:rPr>
              <w:t>$</w:t>
            </w:r>
          </w:p>
        </w:tc>
        <w:tc>
          <w:tcPr>
            <w:tcW w:w="4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953</w:t>
            </w: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804</w:t>
            </w: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980" w:type="dxa"/>
            <w:vAlign w:val="bottom"/>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4,189</w:t>
            </w:r>
          </w:p>
        </w:tc>
        <w:tc>
          <w:tcPr>
            <w:tcW w:w="460" w:type="dxa"/>
            <w:vAlign w:val="bottom"/>
            <w:shd w:val="clear" w:color="auto" w:fill="D2DCE5"/>
          </w:tcPr>
          <w:p>
            <w:pPr>
              <w:jc w:val="right"/>
              <w:ind w:right="170"/>
              <w:spacing w:after="0"/>
              <w:rPr>
                <w:sz w:val="20"/>
                <w:szCs w:val="20"/>
                <w:color w:val="auto"/>
              </w:rPr>
            </w:pPr>
            <w:r>
              <w:rPr>
                <w:rFonts w:ascii="Arial" w:cs="Arial" w:eastAsia="Arial" w:hAnsi="Arial"/>
                <w:sz w:val="18"/>
                <w:szCs w:val="18"/>
                <w:color w:val="131E29"/>
              </w:rPr>
              <w:t>$</w:t>
            </w: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3,148</w:t>
            </w:r>
          </w:p>
        </w:tc>
      </w:tr>
      <w:tr>
        <w:trPr>
          <w:trHeight w:val="243"/>
        </w:trPr>
        <w:tc>
          <w:tcPr>
            <w:tcW w:w="5900" w:type="dxa"/>
            <w:vAlign w:val="bottom"/>
            <w:gridSpan w:val="2"/>
          </w:tcPr>
          <w:p>
            <w:pPr>
              <w:ind w:left="20"/>
              <w:spacing w:after="0"/>
              <w:rPr>
                <w:sz w:val="20"/>
                <w:szCs w:val="20"/>
                <w:color w:val="auto"/>
              </w:rPr>
            </w:pPr>
            <w:r>
              <w:rPr>
                <w:rFonts w:ascii="Arial" w:cs="Arial" w:eastAsia="Arial" w:hAnsi="Arial"/>
                <w:sz w:val="18"/>
                <w:szCs w:val="18"/>
                <w:color w:val="131E29"/>
              </w:rPr>
              <w:t>Initial unearned franchise fees</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131E29"/>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131E29"/>
              </w:rPr>
              <w:t>228</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273</w:t>
            </w:r>
          </w:p>
        </w:tc>
      </w:tr>
      <w:tr>
        <w:trPr>
          <w:trHeight w:val="285"/>
        </w:trPr>
        <w:tc>
          <w:tcPr>
            <w:tcW w:w="5800" w:type="dxa"/>
            <w:vAlign w:val="bottom"/>
          </w:tcPr>
          <w:p>
            <w:pPr>
              <w:spacing w:after="0"/>
              <w:rPr>
                <w:sz w:val="20"/>
                <w:szCs w:val="20"/>
                <w:color w:val="auto"/>
              </w:rPr>
            </w:pPr>
            <w:r>
              <w:rPr>
                <w:rFonts w:ascii="Arial" w:cs="Arial" w:eastAsia="Arial" w:hAnsi="Arial"/>
                <w:sz w:val="14"/>
                <w:szCs w:val="14"/>
                <w:color w:val="131E29"/>
              </w:rPr>
              <w:t>_____________________</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6840" w:type="dxa"/>
            <w:vAlign w:val="bottom"/>
            <w:gridSpan w:val="3"/>
          </w:tcPr>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131E29"/>
              </w:rPr>
              <w:t>Amounts exclude cash loads and transactions related to the Company’s loyalty rewards program.</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0"/>
        </w:trPr>
        <w:tc>
          <w:tcPr>
            <w:tcW w:w="6840" w:type="dxa"/>
            <w:vAlign w:val="bottom"/>
            <w:gridSpan w:val="3"/>
          </w:tcPr>
          <w:p>
            <w:pPr>
              <w:spacing w:after="0"/>
              <w:rPr>
                <w:sz w:val="20"/>
                <w:szCs w:val="20"/>
                <w:color w:val="auto"/>
              </w:rPr>
            </w:pPr>
            <w:r>
              <w:rPr>
                <w:rFonts w:ascii="Arial" w:cs="Arial" w:eastAsia="Arial" w:hAnsi="Arial"/>
                <w:sz w:val="18"/>
                <w:szCs w:val="18"/>
                <w:color w:val="131E29"/>
              </w:rPr>
              <w:t>Future recognition of initial unearned franchise fees as of June 30, 2023 is as follows: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3"/>
        </w:trPr>
        <w:tc>
          <w:tcPr>
            <w:tcW w:w="590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
        </w:trPr>
        <w:tc>
          <w:tcPr>
            <w:tcW w:w="59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2023</w:t>
            </w:r>
          </w:p>
        </w:tc>
        <w:tc>
          <w:tcPr>
            <w:tcW w:w="940" w:type="dxa"/>
            <w:vAlign w:val="bottom"/>
            <w:tcBorders>
              <w:bottom w:val="single" w:sz="8" w:color="D2DCE5"/>
            </w:tcBorders>
            <w:shd w:val="clear" w:color="auto" w:fill="D2DCE5"/>
          </w:tcPr>
          <w:p>
            <w:pPr>
              <w:spacing w:after="0"/>
              <w:rPr>
                <w:sz w:val="21"/>
                <w:szCs w:val="21"/>
                <w:color w:val="auto"/>
              </w:rPr>
            </w:pPr>
          </w:p>
        </w:tc>
        <w:tc>
          <w:tcPr>
            <w:tcW w:w="4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80" w:type="dxa"/>
            <w:vAlign w:val="bottom"/>
            <w:tcBorders>
              <w:bottom w:val="single" w:sz="8" w:color="D2DCE5"/>
            </w:tcBorders>
            <w:gridSpan w:val="3"/>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46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221</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394</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Borders>
              <w:bottom w:val="single" w:sz="8" w:color="D2DCE5"/>
            </w:tcBorders>
            <w:shd w:val="clear" w:color="auto" w:fill="D2DCE5"/>
          </w:tcPr>
          <w:p>
            <w:pPr>
              <w:spacing w:after="0"/>
              <w:rPr>
                <w:sz w:val="21"/>
                <w:szCs w:val="21"/>
                <w:color w:val="auto"/>
              </w:rPr>
            </w:pPr>
          </w:p>
        </w:tc>
        <w:tc>
          <w:tcPr>
            <w:tcW w:w="940" w:type="dxa"/>
            <w:vAlign w:val="bottom"/>
            <w:tcBorders>
              <w:bottom w:val="single" w:sz="8" w:color="D2DCE5"/>
            </w:tcBorders>
            <w:shd w:val="clear" w:color="auto" w:fill="D2DCE5"/>
          </w:tcPr>
          <w:p>
            <w:pPr>
              <w:spacing w:after="0"/>
              <w:rPr>
                <w:sz w:val="21"/>
                <w:szCs w:val="21"/>
                <w:color w:val="auto"/>
              </w:rPr>
            </w:pPr>
          </w:p>
        </w:tc>
        <w:tc>
          <w:tcPr>
            <w:tcW w:w="4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6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46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340</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298</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2027</w:t>
            </w:r>
          </w:p>
        </w:tc>
        <w:tc>
          <w:tcPr>
            <w:tcW w:w="100" w:type="dxa"/>
            <w:vAlign w:val="bottom"/>
            <w:tcBorders>
              <w:bottom w:val="single" w:sz="8" w:color="D2DCE5"/>
            </w:tcBorders>
            <w:shd w:val="clear" w:color="auto" w:fill="D2DCE5"/>
          </w:tcPr>
          <w:p>
            <w:pPr>
              <w:spacing w:after="0"/>
              <w:rPr>
                <w:sz w:val="21"/>
                <w:szCs w:val="21"/>
                <w:color w:val="auto"/>
              </w:rPr>
            </w:pPr>
          </w:p>
        </w:tc>
        <w:tc>
          <w:tcPr>
            <w:tcW w:w="940" w:type="dxa"/>
            <w:vAlign w:val="bottom"/>
            <w:tcBorders>
              <w:bottom w:val="single" w:sz="8" w:color="D2DCE5"/>
            </w:tcBorders>
            <w:shd w:val="clear" w:color="auto" w:fill="D2DCE5"/>
          </w:tcPr>
          <w:p>
            <w:pPr>
              <w:spacing w:after="0"/>
              <w:rPr>
                <w:sz w:val="21"/>
                <w:szCs w:val="21"/>
                <w:color w:val="auto"/>
              </w:rPr>
            </w:pPr>
          </w:p>
        </w:tc>
        <w:tc>
          <w:tcPr>
            <w:tcW w:w="4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6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46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253</w:t>
            </w:r>
          </w:p>
        </w:tc>
      </w:tr>
      <w:tr>
        <w:trPr>
          <w:trHeight w:val="263"/>
        </w:trPr>
        <w:tc>
          <w:tcPr>
            <w:tcW w:w="590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888</w:t>
            </w:r>
          </w:p>
        </w:tc>
      </w:tr>
      <w:tr>
        <w:trPr>
          <w:trHeight w:val="290"/>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Total</w:t>
            </w:r>
          </w:p>
        </w:tc>
        <w:tc>
          <w:tcPr>
            <w:tcW w:w="940" w:type="dxa"/>
            <w:vAlign w:val="bottom"/>
            <w:shd w:val="clear" w:color="auto" w:fill="D2DCE5"/>
          </w:tcPr>
          <w:p>
            <w:pPr>
              <w:spacing w:after="0"/>
              <w:rPr>
                <w:sz w:val="24"/>
                <w:szCs w:val="24"/>
                <w:color w:val="auto"/>
              </w:rPr>
            </w:pPr>
          </w:p>
        </w:tc>
        <w:tc>
          <w:tcPr>
            <w:tcW w:w="42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spacing w:after="0"/>
              <w:rPr>
                <w:sz w:val="24"/>
                <w:szCs w:val="24"/>
                <w:color w:val="auto"/>
              </w:rPr>
            </w:pPr>
          </w:p>
        </w:tc>
        <w:tc>
          <w:tcPr>
            <w:tcW w:w="96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spacing w:after="0"/>
              <w:rPr>
                <w:sz w:val="24"/>
                <w:szCs w:val="24"/>
                <w:color w:val="auto"/>
              </w:rPr>
            </w:pPr>
          </w:p>
        </w:tc>
        <w:tc>
          <w:tcPr>
            <w:tcW w:w="980" w:type="dxa"/>
            <w:vAlign w:val="bottom"/>
            <w:gridSpan w:val="3"/>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460" w:type="dxa"/>
            <w:vAlign w:val="bottom"/>
            <w:shd w:val="clear" w:color="auto" w:fill="D2DCE5"/>
          </w:tcPr>
          <w:p>
            <w:pPr>
              <w:spacing w:after="0"/>
              <w:rPr>
                <w:sz w:val="24"/>
                <w:szCs w:val="24"/>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2,394</w:t>
            </w:r>
          </w:p>
        </w:tc>
      </w:tr>
      <w:tr>
        <w:trPr>
          <w:trHeight w:val="20"/>
        </w:trPr>
        <w:tc>
          <w:tcPr>
            <w:tcW w:w="58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D2DCE5"/>
            </w:tcBorders>
          </w:tcPr>
          <w:p>
            <w:pPr>
              <w:spacing w:after="0" w:line="20" w:lineRule="exact"/>
              <w:rPr>
                <w:sz w:val="1"/>
                <w:szCs w:val="1"/>
                <w:color w:val="auto"/>
              </w:rPr>
            </w:pPr>
          </w:p>
        </w:tc>
        <w:tc>
          <w:tcPr>
            <w:tcW w:w="4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tcBorders>
          </w:tcPr>
          <w:p>
            <w:pPr>
              <w:spacing w:after="0" w:line="20" w:lineRule="exact"/>
              <w:rPr>
                <w:sz w:val="1"/>
                <w:szCs w:val="1"/>
                <w:color w:val="auto"/>
              </w:rPr>
            </w:pPr>
          </w:p>
        </w:tc>
        <w:tc>
          <w:tcPr>
            <w:tcW w:w="6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4 — Shop Acquisitions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During the three and six months ended June 30, 2023, the Company did not repurchase the franchise rights and assets of any shops from franchise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5 — Inventories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20"/>
                <w:szCs w:val="20"/>
                <w:color w:val="auto"/>
              </w:rPr>
            </w:pPr>
            <w:r>
              <w:rPr>
                <w:rFonts w:ascii="Arial" w:cs="Arial" w:eastAsia="Arial" w:hAnsi="Arial"/>
                <w:sz w:val="18"/>
                <w:szCs w:val="18"/>
                <w:color w:val="131E29"/>
              </w:rPr>
              <w:t>Inventories, net consist of the following: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91"/>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131E29"/>
              </w:rPr>
              <w:t>June 30, 2023</w:t>
            </w:r>
          </w:p>
        </w:tc>
        <w:tc>
          <w:tcPr>
            <w:tcW w:w="120" w:type="dxa"/>
            <w:vAlign w:val="bottom"/>
          </w:tcPr>
          <w:p>
            <w:pPr>
              <w:spacing w:after="0"/>
              <w:rPr>
                <w:sz w:val="24"/>
                <w:szCs w:val="2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131E29"/>
              </w:rPr>
              <w:t>December 31, 2022</w:t>
            </w:r>
          </w:p>
        </w:tc>
      </w:tr>
      <w:tr>
        <w:trPr>
          <w:trHeight w:val="250"/>
        </w:trPr>
        <w:tc>
          <w:tcPr>
            <w:tcW w:w="77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Raw materials</w:t>
            </w:r>
          </w:p>
        </w:tc>
        <w:tc>
          <w:tcPr>
            <w:tcW w:w="280" w:type="dxa"/>
            <w:vAlign w:val="bottom"/>
            <w:tcBorders>
              <w:bottom w:val="single" w:sz="8" w:color="D2DCE5"/>
            </w:tcBorders>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4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30,471</w:t>
            </w:r>
          </w:p>
        </w:tc>
        <w:tc>
          <w:tcPr>
            <w:tcW w:w="720" w:type="dxa"/>
            <w:vAlign w:val="bottom"/>
            <w:tcBorders>
              <w:bottom w:val="single" w:sz="8" w:color="D2DCE5"/>
            </w:tcBorders>
            <w:gridSpan w:val="2"/>
            <w:shd w:val="clear" w:color="auto" w:fill="D2DCE5"/>
          </w:tcPr>
          <w:p>
            <w:pPr>
              <w:jc w:val="right"/>
              <w:ind w:right="410"/>
              <w:spacing w:after="0"/>
              <w:rPr>
                <w:sz w:val="20"/>
                <w:szCs w:val="20"/>
                <w:color w:val="auto"/>
              </w:rPr>
            </w:pPr>
            <w:r>
              <w:rPr>
                <w:rFonts w:ascii="Arial" w:cs="Arial" w:eastAsia="Arial" w:hAnsi="Arial"/>
                <w:sz w:val="18"/>
                <w:szCs w:val="18"/>
                <w:color w:val="131E29"/>
              </w:rPr>
              <w:t>$</w:t>
            </w: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21,335</w:t>
            </w:r>
          </w:p>
        </w:tc>
      </w:tr>
      <w:tr>
        <w:trPr>
          <w:trHeight w:val="263"/>
        </w:trPr>
        <w:tc>
          <w:tcPr>
            <w:tcW w:w="7720" w:type="dxa"/>
            <w:vAlign w:val="bottom"/>
          </w:tcPr>
          <w:p>
            <w:pPr>
              <w:ind w:left="20"/>
              <w:spacing w:after="0"/>
              <w:rPr>
                <w:sz w:val="20"/>
                <w:szCs w:val="20"/>
                <w:color w:val="auto"/>
              </w:rPr>
            </w:pPr>
            <w:r>
              <w:rPr>
                <w:rFonts w:ascii="Arial" w:cs="Arial" w:eastAsia="Arial" w:hAnsi="Arial"/>
                <w:sz w:val="18"/>
                <w:szCs w:val="18"/>
                <w:color w:val="131E29"/>
              </w:rPr>
              <w:t>Finished goods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17,137</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17,894</w:t>
            </w:r>
          </w:p>
        </w:tc>
      </w:tr>
      <w:tr>
        <w:trPr>
          <w:trHeight w:val="290"/>
        </w:trPr>
        <w:tc>
          <w:tcPr>
            <w:tcW w:w="7720" w:type="dxa"/>
            <w:vAlign w:val="bottom"/>
            <w:shd w:val="clear" w:color="auto" w:fill="D2DCE5"/>
          </w:tcPr>
          <w:p>
            <w:pPr>
              <w:ind w:left="140"/>
              <w:spacing w:after="0"/>
              <w:rPr>
                <w:sz w:val="20"/>
                <w:szCs w:val="20"/>
                <w:color w:val="auto"/>
              </w:rPr>
            </w:pPr>
            <w:r>
              <w:rPr>
                <w:rFonts w:ascii="Arial" w:cs="Arial" w:eastAsia="Arial" w:hAnsi="Arial"/>
                <w:sz w:val="18"/>
                <w:szCs w:val="18"/>
                <w:color w:val="131E29"/>
              </w:rPr>
              <w:t>Total inventories</w:t>
            </w:r>
          </w:p>
        </w:tc>
        <w:tc>
          <w:tcPr>
            <w:tcW w:w="280" w:type="dxa"/>
            <w:vAlign w:val="bottom"/>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4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47,608</w:t>
            </w:r>
          </w:p>
        </w:tc>
        <w:tc>
          <w:tcPr>
            <w:tcW w:w="720" w:type="dxa"/>
            <w:vAlign w:val="bottom"/>
            <w:gridSpan w:val="2"/>
            <w:shd w:val="clear" w:color="auto" w:fill="D2DCE5"/>
          </w:tcPr>
          <w:p>
            <w:pPr>
              <w:jc w:val="right"/>
              <w:ind w:right="410"/>
              <w:spacing w:after="0"/>
              <w:rPr>
                <w:sz w:val="20"/>
                <w:szCs w:val="20"/>
                <w:color w:val="auto"/>
              </w:rPr>
            </w:pPr>
            <w:r>
              <w:rPr>
                <w:rFonts w:ascii="Arial" w:cs="Arial" w:eastAsia="Arial" w:hAnsi="Arial"/>
                <w:sz w:val="18"/>
                <w:szCs w:val="18"/>
                <w:color w:val="131E29"/>
              </w:rPr>
              <w:t>$</w:t>
            </w:r>
          </w:p>
        </w:tc>
        <w:tc>
          <w:tcPr>
            <w:tcW w:w="11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39,229</w:t>
            </w:r>
          </w:p>
        </w:tc>
      </w:tr>
      <w:tr>
        <w:trPr>
          <w:trHeight w:val="20"/>
        </w:trPr>
        <w:tc>
          <w:tcPr>
            <w:tcW w:w="772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131E29"/>
        </w:rPr>
        <w:t>As of June 30, 2023 and December 31, 2022, reserves for inventories were $0.1 million and $0.1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6 — Property and Equipment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131E29"/>
        </w:rPr>
        <w:t>Property and equipment, net consists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940" w:type="dxa"/>
            <w:vAlign w:val="bottom"/>
            <w:vMerge w:val="restart"/>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1"/>
                <w:szCs w:val="21"/>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131E29"/>
              </w:rPr>
              <w:t xml:space="preserve">Useful Life </w:t>
            </w:r>
            <w:r>
              <w:rPr>
                <w:rFonts w:ascii="Arial" w:cs="Arial" w:eastAsia="Arial" w:hAnsi="Arial"/>
                <w:sz w:val="14"/>
                <w:szCs w:val="14"/>
                <w:color w:val="131E29"/>
              </w:rPr>
              <w:t>(Years)</w:t>
            </w:r>
          </w:p>
        </w:tc>
        <w:tc>
          <w:tcPr>
            <w:tcW w:w="14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131E29"/>
              </w:rPr>
              <w:t>June 30, 2023</w:t>
            </w:r>
          </w:p>
        </w:tc>
        <w:tc>
          <w:tcPr>
            <w:tcW w:w="80" w:type="dxa"/>
            <w:vAlign w:val="bottom"/>
          </w:tcPr>
          <w:p>
            <w:pPr>
              <w:spacing w:after="0"/>
              <w:rPr>
                <w:sz w:val="21"/>
                <w:szCs w:val="21"/>
                <w:color w:val="auto"/>
              </w:rPr>
            </w:pP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1E29"/>
              </w:rPr>
              <w:t>December 31, 2022</w:t>
            </w:r>
          </w:p>
        </w:tc>
        <w:tc>
          <w:tcPr>
            <w:tcW w:w="0" w:type="dxa"/>
            <w:vAlign w:val="bottom"/>
          </w:tcPr>
          <w:p>
            <w:pPr>
              <w:spacing w:after="0"/>
              <w:rPr>
                <w:sz w:val="1"/>
                <w:szCs w:val="1"/>
                <w:color w:val="auto"/>
              </w:rPr>
            </w:pPr>
          </w:p>
        </w:tc>
      </w:tr>
      <w:tr>
        <w:trPr>
          <w:trHeight w:val="171"/>
        </w:trPr>
        <w:tc>
          <w:tcPr>
            <w:tcW w:w="59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Software</w:t>
            </w: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3</w:t>
            </w:r>
          </w:p>
        </w:tc>
        <w:tc>
          <w:tcPr>
            <w:tcW w:w="840" w:type="dxa"/>
            <w:vAlign w:val="bottom"/>
            <w:tcBorders>
              <w:bottom w:val="single" w:sz="8" w:color="D2DCE5"/>
            </w:tcBorders>
            <w:gridSpan w:val="3"/>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4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rPr>
              <w:t>7,430</w:t>
            </w:r>
          </w:p>
        </w:tc>
        <w:tc>
          <w:tcPr>
            <w:tcW w:w="640" w:type="dxa"/>
            <w:vAlign w:val="bottom"/>
            <w:tcBorders>
              <w:bottom w:val="single" w:sz="8" w:color="D2DCE5"/>
            </w:tcBorders>
            <w:gridSpan w:val="2"/>
            <w:shd w:val="clear" w:color="auto" w:fill="D2DCE5"/>
          </w:tcPr>
          <w:p>
            <w:pPr>
              <w:jc w:val="right"/>
              <w:ind w:right="350"/>
              <w:spacing w:after="0"/>
              <w:rPr>
                <w:sz w:val="20"/>
                <w:szCs w:val="20"/>
                <w:color w:val="auto"/>
              </w:rPr>
            </w:pPr>
            <w:r>
              <w:rPr>
                <w:rFonts w:ascii="Arial" w:cs="Arial" w:eastAsia="Arial" w:hAnsi="Arial"/>
                <w:sz w:val="18"/>
                <w:szCs w:val="18"/>
                <w:color w:val="131E29"/>
              </w:rPr>
              <w:t>$</w:t>
            </w: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7,430</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131E29"/>
              </w:rPr>
              <w:t>Equipment and fixtures</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131E29"/>
                <w:w w:val="99"/>
              </w:rPr>
              <w:t>3</w:t>
            </w:r>
          </w:p>
        </w:tc>
        <w:tc>
          <w:tcPr>
            <w:tcW w:w="560" w:type="dxa"/>
            <w:vAlign w:val="bottom"/>
          </w:tcPr>
          <w:p>
            <w:pPr>
              <w:jc w:val="center"/>
              <w:spacing w:after="0"/>
              <w:rPr>
                <w:sz w:val="20"/>
                <w:szCs w:val="20"/>
                <w:color w:val="auto"/>
              </w:rPr>
            </w:pPr>
            <w:r>
              <w:rPr>
                <w:rFonts w:ascii="Arial" w:cs="Arial" w:eastAsia="Arial" w:hAnsi="Arial"/>
                <w:sz w:val="11"/>
                <w:szCs w:val="11"/>
                <w:color w:val="131E29"/>
              </w:rPr>
              <w:t>—</w:t>
            </w:r>
          </w:p>
        </w:tc>
        <w:tc>
          <w:tcPr>
            <w:tcW w:w="580" w:type="dxa"/>
            <w:vAlign w:val="bottom"/>
          </w:tcPr>
          <w:p>
            <w:pPr>
              <w:jc w:val="center"/>
              <w:ind w:right="70"/>
              <w:spacing w:after="0"/>
              <w:rPr>
                <w:sz w:val="20"/>
                <w:szCs w:val="20"/>
                <w:color w:val="auto"/>
              </w:rPr>
            </w:pPr>
            <w:r>
              <w:rPr>
                <w:rFonts w:ascii="Arial" w:cs="Arial" w:eastAsia="Arial" w:hAnsi="Arial"/>
                <w:sz w:val="18"/>
                <w:szCs w:val="18"/>
                <w:color w:val="131E29"/>
                <w:w w:val="99"/>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131E29"/>
              </w:rPr>
              <w:t>128,440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93,908</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Leasehold improvements</w:t>
            </w:r>
          </w:p>
        </w:tc>
        <w:tc>
          <w:tcPr>
            <w:tcW w:w="680" w:type="dxa"/>
            <w:vAlign w:val="bottom"/>
            <w:tcBorders>
              <w:bottom w:val="single" w:sz="8" w:color="D2DCE5"/>
            </w:tcBorders>
            <w:gridSpan w:val="2"/>
            <w:shd w:val="clear" w:color="auto" w:fill="D2DCE5"/>
          </w:tcPr>
          <w:p>
            <w:pPr>
              <w:jc w:val="center"/>
              <w:ind w:left="170"/>
              <w:spacing w:after="0"/>
              <w:rPr>
                <w:sz w:val="20"/>
                <w:szCs w:val="20"/>
                <w:color w:val="auto"/>
              </w:rPr>
            </w:pPr>
            <w:r>
              <w:rPr>
                <w:rFonts w:ascii="Arial" w:cs="Arial" w:eastAsia="Arial" w:hAnsi="Arial"/>
                <w:sz w:val="18"/>
                <w:szCs w:val="18"/>
                <w:color w:val="131E29"/>
                <w:w w:val="99"/>
              </w:rPr>
              <w:t>5</w:t>
            </w:r>
          </w:p>
        </w:tc>
        <w:tc>
          <w:tcPr>
            <w:tcW w:w="5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1"/>
                <w:szCs w:val="11"/>
                <w:color w:val="131E29"/>
              </w:rPr>
              <w:t>—</w:t>
            </w:r>
          </w:p>
        </w:tc>
        <w:tc>
          <w:tcPr>
            <w:tcW w:w="580" w:type="dxa"/>
            <w:vAlign w:val="bottom"/>
            <w:tcBorders>
              <w:bottom w:val="single" w:sz="8" w:color="D2DCE5"/>
            </w:tcBorders>
            <w:shd w:val="clear" w:color="auto" w:fill="D2DCE5"/>
          </w:tcPr>
          <w:p>
            <w:pPr>
              <w:jc w:val="center"/>
              <w:ind w:right="50"/>
              <w:spacing w:after="0"/>
              <w:rPr>
                <w:sz w:val="20"/>
                <w:szCs w:val="20"/>
                <w:color w:val="auto"/>
              </w:rPr>
            </w:pPr>
            <w:r>
              <w:rPr>
                <w:rFonts w:ascii="Arial" w:cs="Arial" w:eastAsia="Arial" w:hAnsi="Arial"/>
                <w:sz w:val="18"/>
                <w:szCs w:val="18"/>
                <w:color w:val="131E29"/>
                <w:w w:val="99"/>
              </w:rPr>
              <w:t>15</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4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rPr>
              <w:t>36,034</w:t>
            </w:r>
          </w:p>
        </w:tc>
        <w:tc>
          <w:tcPr>
            <w:tcW w:w="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29,985</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131E29"/>
              </w:rPr>
              <w:t>Buildings</w:t>
            </w:r>
          </w:p>
        </w:tc>
        <w:tc>
          <w:tcPr>
            <w:tcW w:w="680" w:type="dxa"/>
            <w:vAlign w:val="bottom"/>
            <w:gridSpan w:val="2"/>
          </w:tcPr>
          <w:p>
            <w:pPr>
              <w:jc w:val="center"/>
              <w:ind w:left="150"/>
              <w:spacing w:after="0"/>
              <w:rPr>
                <w:sz w:val="20"/>
                <w:szCs w:val="20"/>
                <w:color w:val="auto"/>
              </w:rPr>
            </w:pPr>
            <w:r>
              <w:rPr>
                <w:rFonts w:ascii="Arial" w:cs="Arial" w:eastAsia="Arial" w:hAnsi="Arial"/>
                <w:sz w:val="18"/>
                <w:szCs w:val="18"/>
                <w:color w:val="131E29"/>
                <w:w w:val="99"/>
              </w:rPr>
              <w:t>10</w:t>
            </w:r>
          </w:p>
        </w:tc>
        <w:tc>
          <w:tcPr>
            <w:tcW w:w="560" w:type="dxa"/>
            <w:vAlign w:val="bottom"/>
          </w:tcPr>
          <w:p>
            <w:pPr>
              <w:jc w:val="center"/>
              <w:spacing w:after="0"/>
              <w:rPr>
                <w:sz w:val="20"/>
                <w:szCs w:val="20"/>
                <w:color w:val="auto"/>
              </w:rPr>
            </w:pPr>
            <w:r>
              <w:rPr>
                <w:rFonts w:ascii="Arial" w:cs="Arial" w:eastAsia="Arial" w:hAnsi="Arial"/>
                <w:sz w:val="11"/>
                <w:szCs w:val="11"/>
                <w:color w:val="131E29"/>
              </w:rPr>
              <w:t>—</w:t>
            </w:r>
          </w:p>
        </w:tc>
        <w:tc>
          <w:tcPr>
            <w:tcW w:w="580" w:type="dxa"/>
            <w:vAlign w:val="bottom"/>
          </w:tcPr>
          <w:p>
            <w:pPr>
              <w:jc w:val="center"/>
              <w:ind w:right="50"/>
              <w:spacing w:after="0"/>
              <w:rPr>
                <w:sz w:val="20"/>
                <w:szCs w:val="20"/>
                <w:color w:val="auto"/>
              </w:rPr>
            </w:pPr>
            <w:r>
              <w:rPr>
                <w:rFonts w:ascii="Arial" w:cs="Arial" w:eastAsia="Arial" w:hAnsi="Arial"/>
                <w:sz w:val="18"/>
                <w:szCs w:val="18"/>
                <w:color w:val="131E29"/>
                <w:w w:val="99"/>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131E29"/>
              </w:rPr>
              <w:t>209,129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158,250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Land</w:t>
            </w: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N/A</w:t>
            </w:r>
          </w:p>
        </w:tc>
        <w:tc>
          <w:tcPr>
            <w:tcW w:w="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4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rPr>
              <w:t>7,715</w:t>
            </w:r>
          </w:p>
        </w:tc>
        <w:tc>
          <w:tcPr>
            <w:tcW w:w="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7,956</w:t>
            </w: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Arial" w:cs="Arial" w:eastAsia="Arial" w:hAnsi="Arial"/>
                <w:sz w:val="18"/>
                <w:szCs w:val="18"/>
                <w:color w:val="131E29"/>
              </w:rPr>
              <w:t xml:space="preserve">Aircraft </w:t>
            </w:r>
            <w:r>
              <w:rPr>
                <w:rFonts w:ascii="Arial" w:cs="Arial" w:eastAsia="Arial" w:hAnsi="Arial"/>
                <w:sz w:val="23"/>
                <w:szCs w:val="23"/>
                <w:color w:val="131E29"/>
                <w:vertAlign w:val="superscript"/>
              </w:rPr>
              <w:t>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131E29"/>
              </w:rPr>
              <w:t>9,195</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9,195</w:t>
            </w:r>
          </w:p>
        </w:tc>
        <w:tc>
          <w:tcPr>
            <w:tcW w:w="0" w:type="dxa"/>
            <w:vAlign w:val="bottom"/>
          </w:tcPr>
          <w:p>
            <w:pPr>
              <w:spacing w:after="0"/>
              <w:rPr>
                <w:sz w:val="1"/>
                <w:szCs w:val="1"/>
                <w:color w:val="auto"/>
              </w:rPr>
            </w:pPr>
          </w:p>
        </w:tc>
      </w:tr>
      <w:tr>
        <w:trPr>
          <w:trHeight w:val="270"/>
        </w:trPr>
        <w:tc>
          <w:tcPr>
            <w:tcW w:w="59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 xml:space="preserve">Construction-in-progress </w:t>
            </w:r>
            <w:r>
              <w:rPr>
                <w:rFonts w:ascii="Arial" w:cs="Arial" w:eastAsia="Arial" w:hAnsi="Arial"/>
                <w:sz w:val="23"/>
                <w:szCs w:val="23"/>
                <w:color w:val="131E29"/>
                <w:vertAlign w:val="superscript"/>
              </w:rPr>
              <w:t>2</w:t>
            </w:r>
          </w:p>
        </w:tc>
        <w:tc>
          <w:tcPr>
            <w:tcW w:w="100" w:type="dxa"/>
            <w:vAlign w:val="bottom"/>
            <w:tcBorders>
              <w:bottom w:val="single" w:sz="8" w:color="D2DCE5"/>
            </w:tcBorders>
            <w:shd w:val="clear" w:color="auto" w:fill="D2DCE5"/>
          </w:tcPr>
          <w:p>
            <w:pPr>
              <w:spacing w:after="0"/>
              <w:rPr>
                <w:sz w:val="23"/>
                <w:szCs w:val="23"/>
                <w:color w:val="auto"/>
              </w:rPr>
            </w:pPr>
          </w:p>
        </w:tc>
        <w:tc>
          <w:tcPr>
            <w:tcW w:w="580" w:type="dxa"/>
            <w:vAlign w:val="bottom"/>
            <w:tcBorders>
              <w:bottom w:val="single" w:sz="8" w:color="D2DCE5"/>
            </w:tcBorders>
            <w:shd w:val="clear" w:color="auto" w:fill="D2DCE5"/>
          </w:tcPr>
          <w:p>
            <w:pPr>
              <w:spacing w:after="0"/>
              <w:rPr>
                <w:sz w:val="23"/>
                <w:szCs w:val="23"/>
                <w:color w:val="auto"/>
              </w:rPr>
            </w:pPr>
          </w:p>
        </w:tc>
        <w:tc>
          <w:tcPr>
            <w:tcW w:w="5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N/A</w:t>
            </w:r>
          </w:p>
        </w:tc>
        <w:tc>
          <w:tcPr>
            <w:tcW w:w="58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auto"/>
            </w:tcBorders>
            <w:shd w:val="clear" w:color="auto" w:fill="D2DCE5"/>
          </w:tcPr>
          <w:p>
            <w:pPr>
              <w:spacing w:after="0"/>
              <w:rPr>
                <w:sz w:val="23"/>
                <w:szCs w:val="23"/>
                <w:color w:val="auto"/>
              </w:rPr>
            </w:pPr>
          </w:p>
        </w:tc>
        <w:tc>
          <w:tcPr>
            <w:tcW w:w="1420" w:type="dxa"/>
            <w:vAlign w:val="bottom"/>
            <w:tcBorders>
              <w:bottom w:val="single" w:sz="8" w:color="auto"/>
            </w:tcBorders>
            <w:shd w:val="clear" w:color="auto" w:fill="D2DCE5"/>
          </w:tcPr>
          <w:p>
            <w:pPr>
              <w:jc w:val="right"/>
              <w:ind w:right="10"/>
              <w:spacing w:after="0"/>
              <w:rPr>
                <w:sz w:val="20"/>
                <w:szCs w:val="20"/>
                <w:color w:val="auto"/>
              </w:rPr>
            </w:pPr>
            <w:r>
              <w:rPr>
                <w:rFonts w:ascii="Arial" w:cs="Arial" w:eastAsia="Arial" w:hAnsi="Arial"/>
                <w:sz w:val="18"/>
                <w:szCs w:val="18"/>
                <w:color w:val="131E29"/>
              </w:rPr>
              <w:t>141,045</w:t>
            </w:r>
          </w:p>
        </w:tc>
        <w:tc>
          <w:tcPr>
            <w:tcW w:w="80" w:type="dxa"/>
            <w:vAlign w:val="bottom"/>
            <w:tcBorders>
              <w:bottom w:val="single" w:sz="8" w:color="D2DCE5"/>
            </w:tcBorders>
            <w:shd w:val="clear" w:color="auto" w:fill="D2DCE5"/>
          </w:tcPr>
          <w:p>
            <w:pPr>
              <w:spacing w:after="0"/>
              <w:rPr>
                <w:sz w:val="23"/>
                <w:szCs w:val="23"/>
                <w:color w:val="auto"/>
              </w:rPr>
            </w:pPr>
          </w:p>
        </w:tc>
        <w:tc>
          <w:tcPr>
            <w:tcW w:w="560" w:type="dxa"/>
            <w:vAlign w:val="bottom"/>
            <w:tcBorders>
              <w:bottom w:val="single" w:sz="8" w:color="auto"/>
            </w:tcBorders>
            <w:shd w:val="clear" w:color="auto" w:fill="D2DCE5"/>
          </w:tcPr>
          <w:p>
            <w:pPr>
              <w:spacing w:after="0"/>
              <w:rPr>
                <w:sz w:val="23"/>
                <w:szCs w:val="23"/>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131,240</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131E29"/>
              </w:rPr>
              <w:t>Property and equipment, gross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131E29"/>
              </w:rPr>
              <w:t>538,988</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437,964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Less: accumulated depreciation</w:t>
            </w:r>
          </w:p>
        </w:tc>
        <w:tc>
          <w:tcPr>
            <w:tcW w:w="100" w:type="dxa"/>
            <w:vAlign w:val="bottom"/>
            <w:tcBorders>
              <w:bottom w:val="single" w:sz="8" w:color="D2DCE5"/>
            </w:tcBorders>
            <w:shd w:val="clear" w:color="auto" w:fill="D2DCE5"/>
          </w:tcPr>
          <w:p>
            <w:pPr>
              <w:spacing w:after="0"/>
              <w:rPr>
                <w:sz w:val="22"/>
                <w:szCs w:val="22"/>
                <w:color w:val="auto"/>
              </w:rPr>
            </w:pPr>
          </w:p>
        </w:tc>
        <w:tc>
          <w:tcPr>
            <w:tcW w:w="580" w:type="dxa"/>
            <w:vAlign w:val="bottom"/>
            <w:tcBorders>
              <w:bottom w:val="single" w:sz="8" w:color="D2DCE5"/>
            </w:tcBorders>
            <w:shd w:val="clear" w:color="auto" w:fill="D2DCE5"/>
          </w:tcPr>
          <w:p>
            <w:pPr>
              <w:spacing w:after="0"/>
              <w:rPr>
                <w:sz w:val="22"/>
                <w:szCs w:val="22"/>
                <w:color w:val="auto"/>
              </w:rPr>
            </w:pPr>
          </w:p>
        </w:tc>
        <w:tc>
          <w:tcPr>
            <w:tcW w:w="560" w:type="dxa"/>
            <w:vAlign w:val="bottom"/>
            <w:tcBorders>
              <w:bottom w:val="single" w:sz="8" w:color="D2DCE5"/>
            </w:tcBorders>
            <w:shd w:val="clear" w:color="auto" w:fill="D2DCE5"/>
          </w:tcPr>
          <w:p>
            <w:pPr>
              <w:spacing w:after="0"/>
              <w:rPr>
                <w:sz w:val="22"/>
                <w:szCs w:val="22"/>
                <w:color w:val="auto"/>
              </w:rPr>
            </w:pPr>
          </w:p>
        </w:tc>
        <w:tc>
          <w:tcPr>
            <w:tcW w:w="580" w:type="dxa"/>
            <w:vAlign w:val="bottom"/>
            <w:tcBorders>
              <w:bottom w:val="single" w:sz="8" w:color="D2DCE5"/>
            </w:tcBorders>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(92,423)</w:t>
            </w:r>
          </w:p>
        </w:tc>
        <w:tc>
          <w:tcPr>
            <w:tcW w:w="80" w:type="dxa"/>
            <w:vAlign w:val="bottom"/>
            <w:tcBorders>
              <w:bottom w:val="single" w:sz="8" w:color="D2DCE5"/>
            </w:tcBorders>
            <w:shd w:val="clear" w:color="auto" w:fill="D2DCE5"/>
          </w:tcPr>
          <w:p>
            <w:pPr>
              <w:spacing w:after="0"/>
              <w:rPr>
                <w:sz w:val="22"/>
                <w:szCs w:val="22"/>
                <w:color w:val="auto"/>
              </w:rPr>
            </w:pPr>
          </w:p>
        </w:tc>
        <w:tc>
          <w:tcPr>
            <w:tcW w:w="560" w:type="dxa"/>
            <w:vAlign w:val="bottom"/>
            <w:tcBorders>
              <w:bottom w:val="single" w:sz="8" w:color="auto"/>
            </w:tcBorders>
            <w:shd w:val="clear" w:color="auto" w:fill="D2DCE5"/>
          </w:tcPr>
          <w:p>
            <w:pPr>
              <w:spacing w:after="0"/>
              <w:rPr>
                <w:sz w:val="22"/>
                <w:szCs w:val="22"/>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(72,496)</w:t>
            </w: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Arial" w:cs="Arial" w:eastAsia="Arial" w:hAnsi="Arial"/>
                <w:sz w:val="18"/>
                <w:szCs w:val="18"/>
                <w:color w:val="131E29"/>
              </w:rPr>
              <w:t>Property and equipment, net</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131E2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131E29"/>
              </w:rPr>
              <w:t>446,565</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131E2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365,468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1</w:t>
            </w:r>
          </w:p>
        </w:tc>
        <w:tc>
          <w:tcPr>
            <w:tcW w:w="3540" w:type="dxa"/>
            <w:vAlign w:val="bottom"/>
            <w:vMerge w:val="restart"/>
          </w:tcPr>
          <w:p>
            <w:pPr>
              <w:ind w:left="80"/>
              <w:spacing w:after="0"/>
              <w:rPr>
                <w:sz w:val="20"/>
                <w:szCs w:val="20"/>
                <w:color w:val="auto"/>
              </w:rPr>
            </w:pPr>
            <w:r>
              <w:rPr>
                <w:rFonts w:ascii="Arial" w:cs="Arial" w:eastAsia="Arial" w:hAnsi="Arial"/>
                <w:sz w:val="14"/>
                <w:szCs w:val="14"/>
                <w:color w:val="auto"/>
              </w:rPr>
              <w:t>Aircraft is depreciated under the consumption method.</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3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60" w:hanging="152"/>
        <w:spacing w:after="0"/>
        <w:tabs>
          <w:tab w:leader="none" w:pos="160" w:val="left"/>
        </w:tabs>
        <w:numPr>
          <w:ilvl w:val="0"/>
          <w:numId w:val="4"/>
        </w:numPr>
        <w:rPr>
          <w:rFonts w:ascii="Arial" w:cs="Arial" w:eastAsia="Arial" w:hAnsi="Arial"/>
          <w:sz w:val="9"/>
          <w:szCs w:val="9"/>
          <w:color w:val="131E29"/>
        </w:rPr>
      </w:pPr>
      <w:r>
        <w:rPr>
          <w:rFonts w:ascii="Arial" w:cs="Arial" w:eastAsia="Arial" w:hAnsi="Arial"/>
          <w:sz w:val="14"/>
          <w:szCs w:val="14"/>
          <w:color w:val="131E29"/>
        </w:rPr>
        <w:t>Construction-in-progress primarily consists of construction and equipment costs for new and existing shops, as well as our new roasting facility in Texas.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131E29"/>
        </w:rPr>
        <w:t>Depreciation expense included in the Company’s condensed consolidated statements of operations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10,136</w:t>
            </w:r>
          </w:p>
        </w:tc>
        <w:tc>
          <w:tcPr>
            <w:tcW w:w="4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6,180</w:t>
            </w:r>
          </w:p>
        </w:tc>
        <w:tc>
          <w:tcPr>
            <w:tcW w:w="260" w:type="dxa"/>
            <w:vAlign w:val="bottom"/>
            <w:tcBorders>
              <w:bottom w:val="single" w:sz="8" w:color="D2DCE5"/>
            </w:tcBorders>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19,246</w:t>
            </w:r>
          </w:p>
        </w:tc>
        <w:tc>
          <w:tcPr>
            <w:tcW w:w="4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11,554</w:t>
            </w:r>
          </w:p>
        </w:tc>
      </w:tr>
      <w:tr>
        <w:trPr>
          <w:trHeight w:val="26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713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827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1,412</w:t>
            </w:r>
          </w:p>
        </w:tc>
      </w:tr>
      <w:tr>
        <w:trPr>
          <w:trHeight w:val="290"/>
        </w:trPr>
        <w:tc>
          <w:tcPr>
            <w:tcW w:w="56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Total depreciation expense</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10,551</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6,893</w:t>
            </w:r>
          </w:p>
        </w:tc>
        <w:tc>
          <w:tcPr>
            <w:tcW w:w="260" w:type="dxa"/>
            <w:vAlign w:val="bottom"/>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20,073</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12,966</w:t>
            </w:r>
          </w:p>
        </w:tc>
      </w:tr>
      <w:tr>
        <w:trPr>
          <w:trHeight w:val="20"/>
        </w:trPr>
        <w:tc>
          <w:tcPr>
            <w:tcW w:w="55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131E29"/>
        </w:rPr>
        <w:t>No impairment charges were recognized for the three and six months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b w:val="1"/>
          <w:bCs w:val="1"/>
          <w:color w:val="00416B"/>
        </w:rPr>
        <w:t>NOTE 7 — Intangible Assets and Goodwill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131E29"/>
        </w:rPr>
        <w:t>The details of the intangible assets are as follows:</w:t>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32658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Reacquired franchise rights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accumulated amortization</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131E29"/>
        </w:rPr>
        <w:t>Intangibles,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jc w:val="center"/>
              <w:spacing w:after="0"/>
              <w:rPr>
                <w:sz w:val="20"/>
                <w:szCs w:val="20"/>
                <w:color w:val="auto"/>
              </w:rPr>
            </w:pPr>
            <w:r>
              <w:rPr>
                <w:rFonts w:ascii="Arial" w:cs="Arial" w:eastAsia="Arial" w:hAnsi="Arial"/>
                <w:sz w:val="18"/>
                <w:szCs w:val="18"/>
                <w:b w:val="1"/>
                <w:bCs w:val="1"/>
                <w:color w:val="131E29"/>
              </w:rPr>
              <w:t>Weighted-average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9"/>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131E29"/>
              </w:rPr>
              <w:t xml:space="preserve">amortization period </w:t>
            </w:r>
            <w:r>
              <w:rPr>
                <w:rFonts w:ascii="Arial" w:cs="Arial" w:eastAsia="Arial" w:hAnsi="Arial"/>
                <w:sz w:val="14"/>
                <w:szCs w:val="14"/>
                <w:color w:val="131E29"/>
              </w:rPr>
              <w:t>(in years)</w:t>
            </w:r>
          </w:p>
        </w:tc>
        <w:tc>
          <w:tcPr>
            <w:tcW w:w="120" w:type="dxa"/>
            <w:vAlign w:val="bottom"/>
          </w:tcPr>
          <w:p>
            <w:pPr>
              <w:spacing w:after="0"/>
              <w:rPr>
                <w:sz w:val="22"/>
                <w:szCs w:val="22"/>
                <w:color w:val="auto"/>
              </w:rPr>
            </w:pPr>
          </w:p>
        </w:tc>
        <w:tc>
          <w:tcPr>
            <w:tcW w:w="140" w:type="dxa"/>
            <w:vAlign w:val="bottom"/>
            <w:tcBorders>
              <w:bottom w:val="single" w:sz="8" w:color="131E29"/>
            </w:tcBorders>
          </w:tcPr>
          <w:p>
            <w:pPr>
              <w:spacing w:after="0"/>
              <w:rPr>
                <w:sz w:val="22"/>
                <w:szCs w:val="22"/>
                <w:color w:val="auto"/>
              </w:rPr>
            </w:pPr>
          </w:p>
        </w:tc>
        <w:tc>
          <w:tcPr>
            <w:tcW w:w="1420" w:type="dxa"/>
            <w:vAlign w:val="bottom"/>
            <w:tcBorders>
              <w:bottom w:val="single" w:sz="8" w:color="131E29"/>
            </w:tcBorders>
          </w:tcPr>
          <w:p>
            <w:pPr>
              <w:jc w:val="right"/>
              <w:ind w:right="110"/>
              <w:spacing w:after="0"/>
              <w:rPr>
                <w:sz w:val="20"/>
                <w:szCs w:val="20"/>
                <w:color w:val="auto"/>
              </w:rPr>
            </w:pPr>
            <w:r>
              <w:rPr>
                <w:rFonts w:ascii="Arial" w:cs="Arial" w:eastAsia="Arial" w:hAnsi="Arial"/>
                <w:sz w:val="18"/>
                <w:szCs w:val="18"/>
                <w:b w:val="1"/>
                <w:bCs w:val="1"/>
                <w:color w:val="131E29"/>
              </w:rPr>
              <w:t>June 30, 2023</w:t>
            </w:r>
          </w:p>
        </w:tc>
        <w:tc>
          <w:tcPr>
            <w:tcW w:w="100" w:type="dxa"/>
            <w:vAlign w:val="bottom"/>
          </w:tcPr>
          <w:p>
            <w:pPr>
              <w:spacing w:after="0"/>
              <w:rPr>
                <w:sz w:val="22"/>
                <w:szCs w:val="22"/>
                <w:color w:val="auto"/>
              </w:rPr>
            </w:pPr>
          </w:p>
        </w:tc>
        <w:tc>
          <w:tcPr>
            <w:tcW w:w="1720" w:type="dxa"/>
            <w:vAlign w:val="bottom"/>
            <w:tcBorders>
              <w:bottom w:val="single" w:sz="8" w:color="131E29"/>
            </w:tcBorders>
            <w:gridSpan w:val="2"/>
          </w:tcPr>
          <w:p>
            <w:pPr>
              <w:jc w:val="right"/>
              <w:spacing w:after="0"/>
              <w:rPr>
                <w:sz w:val="20"/>
                <w:szCs w:val="20"/>
                <w:color w:val="auto"/>
              </w:rPr>
            </w:pPr>
            <w:r>
              <w:rPr>
                <w:rFonts w:ascii="Arial" w:cs="Arial" w:eastAsia="Arial" w:hAnsi="Arial"/>
                <w:sz w:val="18"/>
                <w:szCs w:val="18"/>
                <w:b w:val="1"/>
                <w:bCs w:val="1"/>
                <w:color w:val="131E29"/>
              </w:rPr>
              <w:t>December 31, 2022</w:t>
            </w:r>
          </w:p>
        </w:tc>
      </w:tr>
      <w:tr>
        <w:trPr>
          <w:trHeight w:val="243"/>
        </w:trPr>
        <w:tc>
          <w:tcPr>
            <w:tcW w:w="2480" w:type="dxa"/>
            <w:vAlign w:val="bottom"/>
          </w:tcPr>
          <w:p>
            <w:pPr>
              <w:jc w:val="center"/>
              <w:spacing w:after="0"/>
              <w:rPr>
                <w:sz w:val="20"/>
                <w:szCs w:val="20"/>
                <w:color w:val="auto"/>
              </w:rPr>
            </w:pPr>
            <w:r>
              <w:rPr>
                <w:rFonts w:ascii="Arial" w:cs="Arial" w:eastAsia="Arial" w:hAnsi="Arial"/>
                <w:sz w:val="18"/>
                <w:szCs w:val="18"/>
                <w:color w:val="131E29"/>
              </w:rPr>
              <w:t>3.27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131E29"/>
              </w:rPr>
              <w:t>$</w:t>
            </w:r>
          </w:p>
        </w:tc>
        <w:tc>
          <w:tcPr>
            <w:tcW w:w="1420" w:type="dxa"/>
            <w:vAlign w:val="bottom"/>
          </w:tcPr>
          <w:p>
            <w:pPr>
              <w:jc w:val="right"/>
              <w:spacing w:after="0"/>
              <w:rPr>
                <w:sz w:val="20"/>
                <w:szCs w:val="20"/>
                <w:color w:val="auto"/>
              </w:rPr>
            </w:pPr>
            <w:r>
              <w:rPr>
                <w:rFonts w:ascii="Arial" w:cs="Arial" w:eastAsia="Arial" w:hAnsi="Arial"/>
                <w:sz w:val="18"/>
                <w:szCs w:val="18"/>
                <w:color w:val="131E29"/>
              </w:rPr>
              <w:t>27,049</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131E2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27,049</w:t>
            </w:r>
          </w:p>
        </w:tc>
      </w:tr>
      <w:tr>
        <w:trPr>
          <w:trHeight w:val="270"/>
        </w:trPr>
        <w:tc>
          <w:tcPr>
            <w:tcW w:w="2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131E29"/>
              </w:rPr>
              <w:t>(20,014)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(18,245)</w:t>
            </w: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131E29"/>
              </w:rPr>
              <w:t>$</w:t>
            </w:r>
          </w:p>
        </w:tc>
        <w:tc>
          <w:tcPr>
            <w:tcW w:w="1420" w:type="dxa"/>
            <w:vAlign w:val="bottom"/>
          </w:tcPr>
          <w:p>
            <w:pPr>
              <w:jc w:val="right"/>
              <w:spacing w:after="0"/>
              <w:rPr>
                <w:sz w:val="20"/>
                <w:szCs w:val="20"/>
                <w:color w:val="auto"/>
              </w:rPr>
            </w:pPr>
            <w:r>
              <w:rPr>
                <w:rFonts w:ascii="Arial" w:cs="Arial" w:eastAsia="Arial" w:hAnsi="Arial"/>
                <w:sz w:val="18"/>
                <w:szCs w:val="18"/>
                <w:color w:val="131E29"/>
              </w:rPr>
              <w:t>7,035</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131E2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8,804</w:t>
            </w: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-556895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-205105</wp:posOffset>
            </wp:positionV>
            <wp:extent cx="71323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5980"/>
          </w:cols>
          <w:pgMar w:left="320" w:top="134" w:right="33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131E29"/>
        </w:rPr>
        <w:t>Amortization expense included in the Company’s condensed consolidated statements of operations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2023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Borders>
              <w:bottom w:val="single" w:sz="8" w:color="D2DCE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90"/>
        </w:trPr>
        <w:tc>
          <w:tcPr>
            <w:tcW w:w="56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880" w:type="dxa"/>
            <w:vAlign w:val="bottom"/>
            <w:tcBorders>
              <w:bottom w:val="single" w:sz="8" w:color="auto"/>
            </w:tcBorders>
            <w:shd w:val="clear" w:color="auto" w:fill="D2DCE5"/>
          </w:tcPr>
          <w:p>
            <w:pPr>
              <w:jc w:val="right"/>
              <w:ind w:right="670"/>
              <w:spacing w:after="0"/>
              <w:rPr>
                <w:sz w:val="20"/>
                <w:szCs w:val="20"/>
                <w:color w:val="auto"/>
              </w:rPr>
            </w:pPr>
            <w:r>
              <w:rPr>
                <w:rFonts w:ascii="Arial" w:cs="Arial" w:eastAsia="Arial" w:hAnsi="Arial"/>
                <w:sz w:val="18"/>
                <w:szCs w:val="18"/>
                <w:color w:val="131E29"/>
                <w:w w:val="99"/>
              </w:rPr>
              <w:t>$</w:t>
            </w:r>
          </w:p>
        </w:tc>
        <w:tc>
          <w:tcPr>
            <w:tcW w:w="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858</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1,042</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1,769</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1,957</w:t>
            </w:r>
          </w:p>
        </w:tc>
      </w:tr>
      <w:tr>
        <w:trPr>
          <w:trHeight w:val="20"/>
        </w:trPr>
        <w:tc>
          <w:tcPr>
            <w:tcW w:w="568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20"/>
        </w:trPr>
        <w:tc>
          <w:tcPr>
            <w:tcW w:w="9820" w:type="dxa"/>
            <w:vAlign w:val="bottom"/>
            <w:gridSpan w:val="12"/>
          </w:tcPr>
          <w:p>
            <w:pPr>
              <w:spacing w:after="0"/>
              <w:rPr>
                <w:sz w:val="20"/>
                <w:szCs w:val="20"/>
                <w:color w:val="auto"/>
              </w:rPr>
            </w:pPr>
            <w:r>
              <w:rPr>
                <w:rFonts w:ascii="Arial" w:cs="Arial" w:eastAsia="Arial" w:hAnsi="Arial"/>
                <w:sz w:val="18"/>
                <w:szCs w:val="18"/>
                <w:color w:val="131E29"/>
              </w:rPr>
              <w:t>The estimated future amortization expense of the reacquired franchise rights as of June 30, 2023 is as follows: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9"/>
        </w:trPr>
        <w:tc>
          <w:tcPr>
            <w:tcW w:w="5680" w:type="dxa"/>
            <w:vAlign w:val="bottom"/>
            <w:tcBorders>
              <w:bottom w:val="single" w:sz="8" w:color="131E29"/>
            </w:tcBorders>
            <w:gridSpan w:val="2"/>
          </w:tcPr>
          <w:p>
            <w:pPr>
              <w:ind w:left="20"/>
              <w:spacing w:after="0"/>
              <w:rPr>
                <w:sz w:val="20"/>
                <w:szCs w:val="20"/>
                <w:color w:val="auto"/>
              </w:rPr>
            </w:pPr>
            <w:r>
              <w:rPr>
                <w:rFonts w:ascii="Arial" w:cs="Arial" w:eastAsia="Arial" w:hAnsi="Arial"/>
                <w:sz w:val="14"/>
                <w:szCs w:val="14"/>
                <w:color w:val="131E29"/>
              </w:rPr>
              <w:t>(in thousands)</w:t>
            </w:r>
          </w:p>
        </w:tc>
        <w:tc>
          <w:tcPr>
            <w:tcW w:w="880" w:type="dxa"/>
            <w:vAlign w:val="bottom"/>
            <w:tcBorders>
              <w:bottom w:val="single" w:sz="8" w:color="131E29"/>
            </w:tcBorders>
          </w:tcPr>
          <w:p>
            <w:pPr>
              <w:spacing w:after="0"/>
              <w:rPr>
                <w:sz w:val="24"/>
                <w:szCs w:val="24"/>
                <w:color w:val="auto"/>
              </w:rPr>
            </w:pPr>
          </w:p>
        </w:tc>
        <w:tc>
          <w:tcPr>
            <w:tcW w:w="420" w:type="dxa"/>
            <w:vAlign w:val="bottom"/>
            <w:tcBorders>
              <w:bottom w:val="single" w:sz="8" w:color="131E29"/>
            </w:tcBorders>
          </w:tcPr>
          <w:p>
            <w:pPr>
              <w:spacing w:after="0"/>
              <w:rPr>
                <w:sz w:val="24"/>
                <w:szCs w:val="24"/>
                <w:color w:val="auto"/>
              </w:rPr>
            </w:pPr>
          </w:p>
        </w:tc>
        <w:tc>
          <w:tcPr>
            <w:tcW w:w="100" w:type="dxa"/>
            <w:vAlign w:val="bottom"/>
            <w:tcBorders>
              <w:bottom w:val="single" w:sz="8" w:color="131E29"/>
            </w:tcBorders>
          </w:tcPr>
          <w:p>
            <w:pPr>
              <w:spacing w:after="0"/>
              <w:rPr>
                <w:sz w:val="24"/>
                <w:szCs w:val="24"/>
                <w:color w:val="auto"/>
              </w:rPr>
            </w:pPr>
          </w:p>
        </w:tc>
        <w:tc>
          <w:tcPr>
            <w:tcW w:w="300" w:type="dxa"/>
            <w:vAlign w:val="bottom"/>
            <w:tcBorders>
              <w:bottom w:val="single" w:sz="8" w:color="131E29"/>
            </w:tcBorders>
          </w:tcPr>
          <w:p>
            <w:pPr>
              <w:spacing w:after="0"/>
              <w:rPr>
                <w:sz w:val="24"/>
                <w:szCs w:val="24"/>
                <w:color w:val="auto"/>
              </w:rPr>
            </w:pPr>
          </w:p>
        </w:tc>
        <w:tc>
          <w:tcPr>
            <w:tcW w:w="1020" w:type="dxa"/>
            <w:vAlign w:val="bottom"/>
            <w:tcBorders>
              <w:bottom w:val="single" w:sz="8" w:color="131E29"/>
            </w:tcBorders>
          </w:tcPr>
          <w:p>
            <w:pPr>
              <w:spacing w:after="0"/>
              <w:rPr>
                <w:sz w:val="24"/>
                <w:szCs w:val="24"/>
                <w:color w:val="auto"/>
              </w:rPr>
            </w:pPr>
          </w:p>
        </w:tc>
        <w:tc>
          <w:tcPr>
            <w:tcW w:w="100" w:type="dxa"/>
            <w:vAlign w:val="bottom"/>
            <w:tcBorders>
              <w:bottom w:val="single" w:sz="8" w:color="131E29"/>
            </w:tcBorders>
          </w:tcPr>
          <w:p>
            <w:pPr>
              <w:spacing w:after="0"/>
              <w:rPr>
                <w:sz w:val="24"/>
                <w:szCs w:val="24"/>
                <w:color w:val="auto"/>
              </w:rPr>
            </w:pPr>
          </w:p>
        </w:tc>
        <w:tc>
          <w:tcPr>
            <w:tcW w:w="160" w:type="dxa"/>
            <w:vAlign w:val="bottom"/>
            <w:tcBorders>
              <w:bottom w:val="single" w:sz="8" w:color="131E29"/>
            </w:tcBorders>
          </w:tcPr>
          <w:p>
            <w:pPr>
              <w:spacing w:after="0"/>
              <w:rPr>
                <w:sz w:val="24"/>
                <w:szCs w:val="24"/>
                <w:color w:val="auto"/>
              </w:rPr>
            </w:pPr>
          </w:p>
        </w:tc>
        <w:tc>
          <w:tcPr>
            <w:tcW w:w="900" w:type="dxa"/>
            <w:vAlign w:val="bottom"/>
            <w:tcBorders>
              <w:bottom w:val="single" w:sz="8" w:color="131E29"/>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50"/>
        </w:trPr>
        <w:tc>
          <w:tcPr>
            <w:tcW w:w="56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2023</w:t>
            </w:r>
          </w:p>
        </w:tc>
        <w:tc>
          <w:tcPr>
            <w:tcW w:w="880" w:type="dxa"/>
            <w:vAlign w:val="bottom"/>
            <w:tcBorders>
              <w:bottom w:val="single" w:sz="8" w:color="D2DCE5"/>
            </w:tcBorders>
            <w:shd w:val="clear" w:color="auto" w:fill="D2DCE5"/>
          </w:tcPr>
          <w:p>
            <w:pPr>
              <w:spacing w:after="0"/>
              <w:rPr>
                <w:sz w:val="21"/>
                <w:szCs w:val="21"/>
                <w:color w:val="auto"/>
              </w:rPr>
            </w:pPr>
          </w:p>
        </w:tc>
        <w:tc>
          <w:tcPr>
            <w:tcW w:w="4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gridSpan w:val="3"/>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1,620</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2,469</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Borders>
              <w:bottom w:val="single" w:sz="8" w:color="D2DCE5"/>
            </w:tcBorders>
            <w:shd w:val="clear" w:color="auto" w:fill="D2DCE5"/>
          </w:tcPr>
          <w:p>
            <w:pPr>
              <w:spacing w:after="0"/>
              <w:rPr>
                <w:sz w:val="21"/>
                <w:szCs w:val="21"/>
                <w:color w:val="auto"/>
              </w:rPr>
            </w:pPr>
          </w:p>
        </w:tc>
        <w:tc>
          <w:tcPr>
            <w:tcW w:w="880" w:type="dxa"/>
            <w:vAlign w:val="bottom"/>
            <w:tcBorders>
              <w:bottom w:val="single" w:sz="8" w:color="D2DCE5"/>
            </w:tcBorders>
            <w:shd w:val="clear" w:color="auto" w:fill="D2DCE5"/>
          </w:tcPr>
          <w:p>
            <w:pPr>
              <w:spacing w:after="0"/>
              <w:rPr>
                <w:sz w:val="21"/>
                <w:szCs w:val="21"/>
                <w:color w:val="auto"/>
              </w:rPr>
            </w:pPr>
          </w:p>
        </w:tc>
        <w:tc>
          <w:tcPr>
            <w:tcW w:w="4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9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1,435</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681</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2027</w:t>
            </w:r>
          </w:p>
        </w:tc>
        <w:tc>
          <w:tcPr>
            <w:tcW w:w="100" w:type="dxa"/>
            <w:vAlign w:val="bottom"/>
            <w:tcBorders>
              <w:bottom w:val="single" w:sz="8" w:color="D2DCE5"/>
            </w:tcBorders>
            <w:shd w:val="clear" w:color="auto" w:fill="D2DCE5"/>
          </w:tcPr>
          <w:p>
            <w:pPr>
              <w:spacing w:after="0"/>
              <w:rPr>
                <w:sz w:val="21"/>
                <w:szCs w:val="21"/>
                <w:color w:val="auto"/>
              </w:rPr>
            </w:pPr>
          </w:p>
        </w:tc>
        <w:tc>
          <w:tcPr>
            <w:tcW w:w="880" w:type="dxa"/>
            <w:vAlign w:val="bottom"/>
            <w:tcBorders>
              <w:bottom w:val="single" w:sz="8" w:color="D2DCE5"/>
            </w:tcBorders>
            <w:shd w:val="clear" w:color="auto" w:fill="D2DCE5"/>
          </w:tcPr>
          <w:p>
            <w:pPr>
              <w:spacing w:after="0"/>
              <w:rPr>
                <w:sz w:val="21"/>
                <w:szCs w:val="21"/>
                <w:color w:val="auto"/>
              </w:rPr>
            </w:pPr>
          </w:p>
        </w:tc>
        <w:tc>
          <w:tcPr>
            <w:tcW w:w="4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9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383</w:t>
            </w:r>
          </w:p>
        </w:tc>
      </w:tr>
      <w:tr>
        <w:trPr>
          <w:trHeight w:val="263"/>
        </w:trPr>
        <w:tc>
          <w:tcPr>
            <w:tcW w:w="568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131E29"/>
            </w:tcBorders>
          </w:tcPr>
          <w:p>
            <w:pPr>
              <w:spacing w:after="0"/>
              <w:rPr>
                <w:sz w:val="22"/>
                <w:szCs w:val="22"/>
                <w:color w:val="auto"/>
              </w:rPr>
            </w:pPr>
          </w:p>
        </w:tc>
        <w:tc>
          <w:tcPr>
            <w:tcW w:w="100" w:type="dxa"/>
            <w:vAlign w:val="bottom"/>
            <w:tcBorders>
              <w:bottom w:val="single" w:sz="8" w:color="131E29"/>
            </w:tcBorders>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020" w:type="dxa"/>
            <w:vAlign w:val="bottom"/>
            <w:tcBorders>
              <w:bottom w:val="single" w:sz="8" w:color="131E29"/>
            </w:tcBorders>
          </w:tcPr>
          <w:p>
            <w:pPr>
              <w:jc w:val="right"/>
              <w:spacing w:after="0"/>
              <w:rPr>
                <w:sz w:val="20"/>
                <w:szCs w:val="20"/>
                <w:color w:val="auto"/>
              </w:rPr>
            </w:pPr>
            <w:r>
              <w:rPr>
                <w:rFonts w:ascii="Arial" w:cs="Arial" w:eastAsia="Arial" w:hAnsi="Arial"/>
                <w:sz w:val="18"/>
                <w:szCs w:val="18"/>
                <w:color w:val="131E29"/>
              </w:rPr>
              <w:t>447</w:t>
            </w:r>
          </w:p>
        </w:tc>
      </w:tr>
      <w:tr>
        <w:trPr>
          <w:trHeight w:val="290"/>
        </w:trPr>
        <w:tc>
          <w:tcPr>
            <w:tcW w:w="56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Total</w:t>
            </w:r>
          </w:p>
        </w:tc>
        <w:tc>
          <w:tcPr>
            <w:tcW w:w="880" w:type="dxa"/>
            <w:vAlign w:val="bottom"/>
            <w:shd w:val="clear" w:color="auto" w:fill="D2DCE5"/>
          </w:tcPr>
          <w:p>
            <w:pPr>
              <w:spacing w:after="0"/>
              <w:rPr>
                <w:sz w:val="24"/>
                <w:szCs w:val="24"/>
                <w:color w:val="auto"/>
              </w:rPr>
            </w:pPr>
          </w:p>
        </w:tc>
        <w:tc>
          <w:tcPr>
            <w:tcW w:w="42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spacing w:after="0"/>
              <w:rPr>
                <w:sz w:val="24"/>
                <w:szCs w:val="24"/>
                <w:color w:val="auto"/>
              </w:rPr>
            </w:pPr>
          </w:p>
        </w:tc>
        <w:tc>
          <w:tcPr>
            <w:tcW w:w="102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1160" w:type="dxa"/>
            <w:vAlign w:val="bottom"/>
            <w:gridSpan w:val="3"/>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spacing w:after="0"/>
              <w:rPr>
                <w:sz w:val="24"/>
                <w:szCs w:val="24"/>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7,035</w:t>
            </w:r>
          </w:p>
        </w:tc>
      </w:tr>
      <w:tr>
        <w:trPr>
          <w:trHeight w:val="20"/>
        </w:trPr>
        <w:tc>
          <w:tcPr>
            <w:tcW w:w="55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80" w:type="dxa"/>
            <w:vAlign w:val="bottom"/>
            <w:tcBorders>
              <w:top w:val="single" w:sz="8" w:color="D2DCE5"/>
            </w:tcBorders>
          </w:tcPr>
          <w:p>
            <w:pPr>
              <w:spacing w:after="0" w:line="20" w:lineRule="exact"/>
              <w:rPr>
                <w:sz w:val="1"/>
                <w:szCs w:val="1"/>
                <w:color w:val="auto"/>
              </w:rPr>
            </w:pPr>
          </w:p>
        </w:tc>
        <w:tc>
          <w:tcPr>
            <w:tcW w:w="4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tcBorders>
          </w:tcPr>
          <w:p>
            <w:pPr>
              <w:spacing w:after="0" w:line="20" w:lineRule="exact"/>
              <w:rPr>
                <w:sz w:val="1"/>
                <w:szCs w:val="1"/>
                <w:color w:val="auto"/>
              </w:rPr>
            </w:pPr>
          </w:p>
        </w:tc>
        <w:tc>
          <w:tcPr>
            <w:tcW w:w="10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131E29"/>
              <w:bottom w:val="single" w:sz="8" w:color="131E29"/>
            </w:tcBorders>
          </w:tcPr>
          <w:p>
            <w:pPr>
              <w:spacing w:after="0" w:line="20" w:lineRule="exact"/>
              <w:rPr>
                <w:sz w:val="1"/>
                <w:szCs w:val="1"/>
                <w:color w:val="auto"/>
              </w:rPr>
            </w:pPr>
          </w:p>
        </w:tc>
        <w:tc>
          <w:tcPr>
            <w:tcW w:w="100" w:type="dxa"/>
            <w:vAlign w:val="bottom"/>
            <w:tcBorders>
              <w:top w:val="single" w:sz="8" w:color="131E29"/>
              <w:bottom w:val="single" w:sz="8" w:color="131E29"/>
            </w:tcBorders>
          </w:tcPr>
          <w:p>
            <w:pPr>
              <w:spacing w:after="0" w:line="20" w:lineRule="exact"/>
              <w:rPr>
                <w:sz w:val="1"/>
                <w:szCs w:val="1"/>
                <w:color w:val="auto"/>
              </w:rPr>
            </w:pPr>
          </w:p>
        </w:tc>
        <w:tc>
          <w:tcPr>
            <w:tcW w:w="300" w:type="dxa"/>
            <w:vAlign w:val="bottom"/>
            <w:tcBorders>
              <w:top w:val="single" w:sz="8" w:color="131E29"/>
              <w:bottom w:val="single" w:sz="8" w:color="131E29"/>
            </w:tcBorders>
          </w:tcPr>
          <w:p>
            <w:pPr>
              <w:spacing w:after="0" w:line="20" w:lineRule="exact"/>
              <w:rPr>
                <w:sz w:val="1"/>
                <w:szCs w:val="1"/>
                <w:color w:val="auto"/>
              </w:rPr>
            </w:pPr>
          </w:p>
        </w:tc>
        <w:tc>
          <w:tcPr>
            <w:tcW w:w="1020" w:type="dxa"/>
            <w:vAlign w:val="bottom"/>
            <w:tcBorders>
              <w:top w:val="single" w:sz="8" w:color="131E29"/>
              <w:bottom w:val="single" w:sz="8" w:color="131E29"/>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131E29"/>
        </w:rPr>
        <w:t>Goodwill is allocated entirely to the Company-operated shops segment. The carrying amount and activity of goodwill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70"/>
        </w:trPr>
        <w:tc>
          <w:tcPr>
            <w:tcW w:w="956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Balance, December 31, 2022</w:t>
            </w:r>
          </w:p>
        </w:tc>
        <w:tc>
          <w:tcPr>
            <w:tcW w:w="640" w:type="dxa"/>
            <w:vAlign w:val="bottom"/>
            <w:gridSpan w:val="2"/>
            <w:shd w:val="clear" w:color="auto" w:fill="D2DCE5"/>
          </w:tcPr>
          <w:p>
            <w:pPr>
              <w:jc w:val="right"/>
              <w:ind w:right="42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21,629</w:t>
            </w:r>
          </w:p>
        </w:tc>
      </w:tr>
      <w:tr>
        <w:trPr>
          <w:trHeight w:val="263"/>
        </w:trPr>
        <w:tc>
          <w:tcPr>
            <w:tcW w:w="9560" w:type="dxa"/>
            <w:vAlign w:val="bottom"/>
          </w:tcPr>
          <w:p>
            <w:pPr>
              <w:ind w:left="20"/>
              <w:spacing w:after="0"/>
              <w:rPr>
                <w:sz w:val="20"/>
                <w:szCs w:val="20"/>
                <w:color w:val="auto"/>
              </w:rPr>
            </w:pPr>
            <w:r>
              <w:rPr>
                <w:rFonts w:ascii="Arial" w:cs="Arial" w:eastAsia="Arial" w:hAnsi="Arial"/>
                <w:sz w:val="18"/>
                <w:szCs w:val="18"/>
                <w:color w:val="131E29"/>
              </w:rPr>
              <w:t>Business combinations</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w:t>
            </w:r>
          </w:p>
        </w:tc>
      </w:tr>
      <w:tr>
        <w:trPr>
          <w:trHeight w:val="290"/>
        </w:trPr>
        <w:tc>
          <w:tcPr>
            <w:tcW w:w="956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Balance, June 30, 2023</w:t>
            </w:r>
          </w:p>
        </w:tc>
        <w:tc>
          <w:tcPr>
            <w:tcW w:w="640" w:type="dxa"/>
            <w:vAlign w:val="bottom"/>
            <w:gridSpan w:val="2"/>
            <w:shd w:val="clear" w:color="auto" w:fill="D2DCE5"/>
          </w:tcPr>
          <w:p>
            <w:pPr>
              <w:jc w:val="right"/>
              <w:ind w:right="42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21,629</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131E29"/>
        </w:rPr>
        <w:t>No impairment charges were recognized for the three and six months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8 —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Nature of Leases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The Company leases all of its domestic company-operated shops, warehouse facilities, most headquarters buildings, and certain equipment under various non-cancelable lease agreements that expire on various dates through 2043.</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Company’s real estate leases consist of commercial ground leases (land only) and build-to-suit leases (land and building). Generally, the Company’s real estate leases have an initial term of 15 years and typically include two to three renewal options of five-years each. These renewal options are included in the lease term when it is reasonably certain that the option will be exercised. For commercial ground leases, one five-year renewal is included in the Company’s initial lease term calculations. For operating leases, the Company recognizes straight-line lease expense over the lease term from the date the Company takes possession of the leased property. For finance leases, lease expense follows an accelerated expense recognition. Lease expense incurred prior to lease commencement is included in the calculation of the right-of-use asset. Once a lease commences, the Company records lease expense in the Company’s condensed consolidated statements of operations. Variable lease costs generally include payments for additional rent such as real estate taxes, insurance, and common area maintenance, and are excluded from the measurement of the lease liability.</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The Company calculates right-of-use assets and lease liabilities based on the present value of the fixed lease payments, including any estimated lease incentives, at lease commencement using its incremental borrowing rate, which is established by a third party. The discount rate is equal to the rate the Company would pay on a collateralized basis to borrow an amount equal to the lease payments under similar terms.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131E29"/>
        </w:rPr>
        <w:t>A summary of finance and operating lease right-of-use assets and lease liabilities as of June 30, 2023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131E29"/>
              </w:rPr>
              <w:t>June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131E29"/>
              </w:rPr>
              <w:t>December 31,</w:t>
            </w:r>
          </w:p>
        </w:tc>
      </w:tr>
      <w:tr>
        <w:trPr>
          <w:trHeight w:val="25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2"/>
                <w:szCs w:val="22"/>
                <w:color w:val="auto"/>
              </w:rPr>
            </w:pPr>
          </w:p>
        </w:tc>
        <w:tc>
          <w:tcPr>
            <w:tcW w:w="41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131E29"/>
              </w:rPr>
              <w:t>Balance Sheet Classification</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131E29"/>
              </w:rPr>
              <w:t>2023</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131E29"/>
              </w:rPr>
              <w:t>2022</w:t>
            </w:r>
          </w:p>
        </w:tc>
      </w:tr>
      <w:tr>
        <w:trPr>
          <w:trHeight w:val="270"/>
        </w:trPr>
        <w:tc>
          <w:tcPr>
            <w:tcW w:w="298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Right-of-use assets</w:t>
            </w:r>
          </w:p>
        </w:tc>
        <w:tc>
          <w:tcPr>
            <w:tcW w:w="100" w:type="dxa"/>
            <w:vAlign w:val="bottom"/>
            <w:shd w:val="clear" w:color="auto" w:fill="D2DCE5"/>
          </w:tcPr>
          <w:p>
            <w:pPr>
              <w:spacing w:after="0"/>
              <w:rPr>
                <w:sz w:val="23"/>
                <w:szCs w:val="23"/>
                <w:color w:val="auto"/>
              </w:rPr>
            </w:pPr>
          </w:p>
        </w:tc>
        <w:tc>
          <w:tcPr>
            <w:tcW w:w="4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5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1680" w:type="dxa"/>
            <w:vAlign w:val="bottom"/>
            <w:shd w:val="clear" w:color="auto" w:fill="D2DCE5"/>
          </w:tcPr>
          <w:p>
            <w:pPr>
              <w:spacing w:after="0"/>
              <w:rPr>
                <w:sz w:val="23"/>
                <w:szCs w:val="23"/>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131E29"/>
              </w:rPr>
              <w:t>Finance leases</w:t>
            </w:r>
          </w:p>
        </w:tc>
        <w:tc>
          <w:tcPr>
            <w:tcW w:w="10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131E29"/>
              </w:rPr>
              <w:t>Finance lease right-of-use assets, net</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131E2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332,790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131E29"/>
              </w:rPr>
              <w:t>$</w:t>
            </w:r>
          </w:p>
        </w:tc>
        <w:tc>
          <w:tcPr>
            <w:tcW w:w="1680" w:type="dxa"/>
            <w:vAlign w:val="bottom"/>
          </w:tcPr>
          <w:p>
            <w:pPr>
              <w:jc w:val="right"/>
              <w:spacing w:after="0"/>
              <w:rPr>
                <w:sz w:val="20"/>
                <w:szCs w:val="20"/>
                <w:color w:val="auto"/>
              </w:rPr>
            </w:pPr>
            <w:r>
              <w:rPr>
                <w:rFonts w:ascii="Arial" w:cs="Arial" w:eastAsia="Arial" w:hAnsi="Arial"/>
                <w:sz w:val="18"/>
                <w:szCs w:val="18"/>
                <w:color w:val="131E29"/>
              </w:rPr>
              <w:t>247,943</w:t>
            </w: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3"/>
        </w:trPr>
        <w:tc>
          <w:tcPr>
            <w:tcW w:w="298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100" w:type="dxa"/>
            <w:vAlign w:val="bottom"/>
            <w:tcBorders>
              <w:bottom w:val="single" w:sz="8" w:color="D2DCE5"/>
            </w:tcBorders>
            <w:shd w:val="clear" w:color="auto" w:fill="D2DCE5"/>
          </w:tcPr>
          <w:p>
            <w:pPr>
              <w:spacing w:after="0"/>
              <w:rPr>
                <w:sz w:val="22"/>
                <w:szCs w:val="22"/>
                <w:color w:val="auto"/>
              </w:rPr>
            </w:pPr>
          </w:p>
        </w:tc>
        <w:tc>
          <w:tcPr>
            <w:tcW w:w="41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Operating lease right-of-use assets, net</w:t>
            </w: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auto"/>
            </w:tcBorders>
            <w:shd w:val="clear" w:color="auto" w:fill="D2DCE5"/>
          </w:tcPr>
          <w:p>
            <w:pPr>
              <w:spacing w:after="0"/>
              <w:rPr>
                <w:sz w:val="22"/>
                <w:szCs w:val="22"/>
                <w:color w:val="auto"/>
              </w:rPr>
            </w:pPr>
          </w:p>
        </w:tc>
        <w:tc>
          <w:tcPr>
            <w:tcW w:w="1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177,605</w:t>
            </w:r>
          </w:p>
        </w:tc>
        <w:tc>
          <w:tcPr>
            <w:tcW w:w="8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169,302</w:t>
            </w: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b w:val="1"/>
                <w:bCs w:val="1"/>
                <w:color w:val="131E29"/>
              </w:rPr>
              <w:t>Total right-of-use assets</w:t>
            </w:r>
          </w:p>
        </w:tc>
        <w:tc>
          <w:tcPr>
            <w:tcW w:w="10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131E2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510,395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131E29"/>
              </w:rPr>
              <w:t>$</w:t>
            </w:r>
          </w:p>
        </w:tc>
        <w:tc>
          <w:tcPr>
            <w:tcW w:w="1680" w:type="dxa"/>
            <w:vAlign w:val="bottom"/>
          </w:tcPr>
          <w:p>
            <w:pPr>
              <w:jc w:val="right"/>
              <w:spacing w:after="0"/>
              <w:rPr>
                <w:sz w:val="20"/>
                <w:szCs w:val="20"/>
                <w:color w:val="auto"/>
              </w:rPr>
            </w:pPr>
            <w:r>
              <w:rPr>
                <w:rFonts w:ascii="Arial" w:cs="Arial" w:eastAsia="Arial" w:hAnsi="Arial"/>
                <w:sz w:val="18"/>
                <w:szCs w:val="18"/>
                <w:color w:val="131E29"/>
              </w:rPr>
              <w:t>417,245</w:t>
            </w:r>
          </w:p>
        </w:tc>
      </w:tr>
      <w:tr>
        <w:trPr>
          <w:trHeight w:val="20"/>
        </w:trPr>
        <w:tc>
          <w:tcPr>
            <w:tcW w:w="29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1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1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5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1680" w:type="dxa"/>
            <w:vAlign w:val="bottom"/>
            <w:shd w:val="clear" w:color="auto" w:fill="D2DCE5"/>
          </w:tcPr>
          <w:p>
            <w:pPr>
              <w:spacing w:after="0"/>
              <w:rPr>
                <w:sz w:val="19"/>
                <w:szCs w:val="19"/>
                <w:color w:val="auto"/>
              </w:rPr>
            </w:pPr>
          </w:p>
        </w:tc>
      </w:tr>
      <w:tr>
        <w:trPr>
          <w:trHeight w:val="262"/>
        </w:trPr>
        <w:tc>
          <w:tcPr>
            <w:tcW w:w="2980" w:type="dxa"/>
            <w:vAlign w:val="bottom"/>
          </w:tcPr>
          <w:p>
            <w:pPr>
              <w:ind w:left="20"/>
              <w:spacing w:after="0"/>
              <w:rPr>
                <w:sz w:val="20"/>
                <w:szCs w:val="20"/>
                <w:color w:val="auto"/>
              </w:rPr>
            </w:pPr>
            <w:r>
              <w:rPr>
                <w:rFonts w:ascii="Arial" w:cs="Arial" w:eastAsia="Arial" w:hAnsi="Arial"/>
                <w:sz w:val="18"/>
                <w:szCs w:val="18"/>
                <w:b w:val="1"/>
                <w:bCs w:val="1"/>
                <w:color w:val="131E29"/>
              </w:rPr>
              <w:t>Lease liabilities</w:t>
            </w:r>
          </w:p>
        </w:tc>
        <w:tc>
          <w:tcPr>
            <w:tcW w:w="1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8"/>
        </w:trPr>
        <w:tc>
          <w:tcPr>
            <w:tcW w:w="298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Finance leases</w:t>
            </w:r>
          </w:p>
        </w:tc>
        <w:tc>
          <w:tcPr>
            <w:tcW w:w="100" w:type="dxa"/>
            <w:vAlign w:val="bottom"/>
            <w:tcBorders>
              <w:bottom w:val="single" w:sz="8" w:color="D2DCE5"/>
            </w:tcBorders>
            <w:shd w:val="clear" w:color="auto" w:fill="D2DCE5"/>
          </w:tcPr>
          <w:p>
            <w:pPr>
              <w:spacing w:after="0"/>
              <w:rPr>
                <w:sz w:val="22"/>
                <w:szCs w:val="22"/>
                <w:color w:val="auto"/>
              </w:rPr>
            </w:pPr>
          </w:p>
        </w:tc>
        <w:tc>
          <w:tcPr>
            <w:tcW w:w="41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Current portion of finance lease liabilities</w:t>
            </w:r>
          </w:p>
        </w:tc>
        <w:tc>
          <w:tcPr>
            <w:tcW w:w="460" w:type="dxa"/>
            <w:vAlign w:val="bottom"/>
            <w:tcBorders>
              <w:bottom w:val="single" w:sz="8" w:color="D2DCE5"/>
            </w:tcBorders>
            <w:gridSpan w:val="2"/>
            <w:shd w:val="clear" w:color="auto" w:fill="D2DCE5"/>
          </w:tcPr>
          <w:p>
            <w:pPr>
              <w:jc w:val="right"/>
              <w:ind w:right="150"/>
              <w:spacing w:after="0"/>
              <w:rPr>
                <w:sz w:val="20"/>
                <w:szCs w:val="20"/>
                <w:color w:val="auto"/>
              </w:rPr>
            </w:pPr>
            <w:r>
              <w:rPr>
                <w:rFonts w:ascii="Arial" w:cs="Arial" w:eastAsia="Arial" w:hAnsi="Arial"/>
                <w:sz w:val="18"/>
                <w:szCs w:val="18"/>
                <w:color w:val="131E29"/>
              </w:rPr>
              <w:t>$</w:t>
            </w: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9,867</w:t>
            </w:r>
          </w:p>
        </w:tc>
        <w:tc>
          <w:tcPr>
            <w:tcW w:w="340" w:type="dxa"/>
            <w:vAlign w:val="bottom"/>
            <w:tcBorders>
              <w:bottom w:val="single" w:sz="8" w:color="D2DCE5"/>
            </w:tcBorders>
            <w:gridSpan w:val="2"/>
            <w:shd w:val="clear" w:color="auto" w:fill="D2DCE5"/>
          </w:tcPr>
          <w:p>
            <w:pPr>
              <w:jc w:val="right"/>
              <w:ind w:right="30"/>
              <w:spacing w:after="0"/>
              <w:rPr>
                <w:sz w:val="20"/>
                <w:szCs w:val="20"/>
                <w:color w:val="auto"/>
              </w:rPr>
            </w:pPr>
            <w:r>
              <w:rPr>
                <w:rFonts w:ascii="Arial" w:cs="Arial" w:eastAsia="Arial" w:hAnsi="Arial"/>
                <w:sz w:val="18"/>
                <w:szCs w:val="18"/>
                <w:color w:val="131E29"/>
              </w:rPr>
              <w:t>$</w:t>
            </w: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7,971</w:t>
            </w:r>
          </w:p>
        </w:tc>
      </w:tr>
      <w:tr>
        <w:trPr>
          <w:trHeight w:val="243"/>
        </w:trPr>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131E29"/>
              </w:rPr>
              <w:t>Finance lease liabilities, net of current portion</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315,385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237,130</w:t>
            </w: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29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5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1680" w:type="dxa"/>
            <w:vAlign w:val="bottom"/>
            <w:shd w:val="clear" w:color="auto" w:fill="D2DCE5"/>
          </w:tcPr>
          <w:p>
            <w:pPr>
              <w:spacing w:after="0"/>
              <w:rPr>
                <w:sz w:val="23"/>
                <w:szCs w:val="23"/>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131E29"/>
              </w:rPr>
              <w:t>Operating leases</w:t>
            </w:r>
          </w:p>
        </w:tc>
        <w:tc>
          <w:tcPr>
            <w:tcW w:w="10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131E29"/>
              </w:rPr>
              <w:t>Current portion of operating lease liabilities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9,612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9,317</w:t>
            </w: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298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41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Operating lease liabilities, net of current portion</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169,444</w:t>
            </w:r>
          </w:p>
        </w:tc>
        <w:tc>
          <w:tcPr>
            <w:tcW w:w="8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161,228</w:t>
            </w:r>
          </w:p>
        </w:tc>
      </w:tr>
      <w:tr>
        <w:trPr>
          <w:trHeight w:val="264"/>
        </w:trPr>
        <w:tc>
          <w:tcPr>
            <w:tcW w:w="2980" w:type="dxa"/>
            <w:vAlign w:val="bottom"/>
          </w:tcPr>
          <w:p>
            <w:pPr>
              <w:ind w:left="20"/>
              <w:spacing w:after="0"/>
              <w:rPr>
                <w:sz w:val="20"/>
                <w:szCs w:val="20"/>
                <w:color w:val="auto"/>
              </w:rPr>
            </w:pPr>
            <w:r>
              <w:rPr>
                <w:rFonts w:ascii="Arial" w:cs="Arial" w:eastAsia="Arial" w:hAnsi="Arial"/>
                <w:sz w:val="18"/>
                <w:szCs w:val="18"/>
                <w:b w:val="1"/>
                <w:bCs w:val="1"/>
                <w:color w:val="131E29"/>
              </w:rPr>
              <w:t>Total lease liabilities</w:t>
            </w:r>
          </w:p>
        </w:tc>
        <w:tc>
          <w:tcPr>
            <w:tcW w:w="1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504,308</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131E2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415,646</w:t>
            </w: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131E29"/>
        </w:rPr>
        <w:t>The components of lease cost were as follows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5"/>
          </w:tcPr>
          <w:p>
            <w:pPr>
              <w:jc w:val="right"/>
              <w:ind w:right="50"/>
              <w:spacing w:after="0"/>
              <w:rPr>
                <w:sz w:val="20"/>
                <w:szCs w:val="20"/>
                <w:color w:val="auto"/>
              </w:rPr>
            </w:pPr>
            <w:r>
              <w:rPr>
                <w:rFonts w:ascii="Arial" w:cs="Arial" w:eastAsia="Arial" w:hAnsi="Arial"/>
                <w:sz w:val="18"/>
                <w:szCs w:val="18"/>
                <w:b w:val="1"/>
                <w:bCs w:val="1"/>
                <w:color w:val="131E29"/>
                <w:w w:val="98"/>
              </w:rPr>
              <w:t>Three Months Ended June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9"/>
        </w:trPr>
        <w:tc>
          <w:tcPr>
            <w:tcW w:w="2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131E29"/>
                <w:w w:val="87"/>
              </w:rPr>
              <w:t>30,</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131E29"/>
              </w:rPr>
              <w:t>Six Months Ended June 30,</w:t>
            </w:r>
          </w:p>
        </w:tc>
      </w:tr>
      <w:tr>
        <w:trPr>
          <w:trHeight w:val="220"/>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ind w:left="460"/>
              <w:spacing w:after="0"/>
              <w:rPr>
                <w:sz w:val="20"/>
                <w:szCs w:val="20"/>
                <w:color w:val="auto"/>
              </w:rPr>
            </w:pPr>
            <w:r>
              <w:rPr>
                <w:rFonts w:ascii="Arial" w:cs="Arial" w:eastAsia="Arial" w:hAnsi="Arial"/>
                <w:sz w:val="18"/>
                <w:szCs w:val="18"/>
                <w:b w:val="1"/>
                <w:bCs w:val="1"/>
                <w:color w:val="131E29"/>
              </w:rPr>
              <w:t>Statement of Operations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9"/>
        </w:trPr>
        <w:tc>
          <w:tcPr>
            <w:tcW w:w="2900" w:type="dxa"/>
            <w:vAlign w:val="bottom"/>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2"/>
                <w:szCs w:val="22"/>
                <w:color w:val="auto"/>
              </w:rPr>
            </w:pPr>
          </w:p>
        </w:tc>
        <w:tc>
          <w:tcPr>
            <w:tcW w:w="3100" w:type="dxa"/>
            <w:vAlign w:val="bottom"/>
            <w:gridSpan w:val="2"/>
          </w:tcPr>
          <w:p>
            <w:pPr>
              <w:ind w:left="920"/>
              <w:spacing w:after="0"/>
              <w:rPr>
                <w:sz w:val="20"/>
                <w:szCs w:val="20"/>
                <w:color w:val="auto"/>
              </w:rPr>
            </w:pPr>
            <w:r>
              <w:rPr>
                <w:rFonts w:ascii="Arial" w:cs="Arial" w:eastAsia="Arial" w:hAnsi="Arial"/>
                <w:sz w:val="18"/>
                <w:szCs w:val="18"/>
                <w:b w:val="1"/>
                <w:bCs w:val="1"/>
                <w:color w:val="131E29"/>
              </w:rPr>
              <w:t>Classification</w:t>
            </w:r>
          </w:p>
        </w:tc>
        <w:tc>
          <w:tcPr>
            <w:tcW w:w="140" w:type="dxa"/>
            <w:vAlign w:val="bottom"/>
          </w:tcPr>
          <w:p>
            <w:pPr>
              <w:spacing w:after="0"/>
              <w:rPr>
                <w:sz w:val="22"/>
                <w:szCs w:val="22"/>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131E29"/>
              </w:rPr>
              <w:t>2023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131E29"/>
              </w:rPr>
              <w:t>2022</w:t>
            </w:r>
          </w:p>
        </w:tc>
      </w:tr>
      <w:tr>
        <w:trPr>
          <w:trHeight w:val="250"/>
        </w:trPr>
        <w:tc>
          <w:tcPr>
            <w:tcW w:w="2900" w:type="dxa"/>
            <w:vAlign w:val="bottom"/>
            <w:tcBorders>
              <w:top w:val="single" w:sz="8" w:color="auto"/>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Finance lease cost</w:t>
            </w:r>
          </w:p>
        </w:tc>
        <w:tc>
          <w:tcPr>
            <w:tcW w:w="100" w:type="dxa"/>
            <w:vAlign w:val="bottom"/>
            <w:tcBorders>
              <w:top w:val="single" w:sz="8" w:color="D2DCE5"/>
              <w:bottom w:val="single" w:sz="8" w:color="D2DCE5"/>
            </w:tcBorders>
            <w:shd w:val="clear" w:color="auto" w:fill="D2DCE5"/>
          </w:tcPr>
          <w:p>
            <w:pPr>
              <w:spacing w:after="0"/>
              <w:rPr>
                <w:sz w:val="21"/>
                <w:szCs w:val="21"/>
                <w:color w:val="auto"/>
              </w:rPr>
            </w:pPr>
          </w:p>
        </w:tc>
        <w:tc>
          <w:tcPr>
            <w:tcW w:w="3000" w:type="dxa"/>
            <w:vAlign w:val="bottom"/>
            <w:tcBorders>
              <w:top w:val="single" w:sz="8" w:color="auto"/>
              <w:bottom w:val="single" w:sz="8" w:color="D2DCE5"/>
            </w:tcBorders>
            <w:shd w:val="clear" w:color="auto" w:fill="D2DCE5"/>
          </w:tcPr>
          <w:p>
            <w:pPr>
              <w:spacing w:after="0"/>
              <w:rPr>
                <w:sz w:val="21"/>
                <w:szCs w:val="21"/>
                <w:color w:val="auto"/>
              </w:rPr>
            </w:pPr>
          </w:p>
        </w:tc>
        <w:tc>
          <w:tcPr>
            <w:tcW w:w="100" w:type="dxa"/>
            <w:vAlign w:val="bottom"/>
            <w:tcBorders>
              <w:top w:val="single" w:sz="8" w:color="D2DCE5"/>
              <w:bottom w:val="single" w:sz="8" w:color="D2DCE5"/>
            </w:tcBorders>
            <w:shd w:val="clear" w:color="auto" w:fill="D2DCE5"/>
          </w:tcPr>
          <w:p>
            <w:pPr>
              <w:spacing w:after="0"/>
              <w:rPr>
                <w:sz w:val="21"/>
                <w:szCs w:val="21"/>
                <w:color w:val="auto"/>
              </w:rPr>
            </w:pPr>
          </w:p>
        </w:tc>
        <w:tc>
          <w:tcPr>
            <w:tcW w:w="140" w:type="dxa"/>
            <w:vAlign w:val="bottom"/>
            <w:tcBorders>
              <w:top w:val="single" w:sz="8" w:color="auto"/>
              <w:bottom w:val="single" w:sz="8" w:color="D2DCE5"/>
            </w:tcBorders>
            <w:shd w:val="clear" w:color="auto" w:fill="D2DCE5"/>
          </w:tcPr>
          <w:p>
            <w:pPr>
              <w:spacing w:after="0"/>
              <w:rPr>
                <w:sz w:val="21"/>
                <w:szCs w:val="21"/>
                <w:color w:val="auto"/>
              </w:rPr>
            </w:pPr>
          </w:p>
        </w:tc>
        <w:tc>
          <w:tcPr>
            <w:tcW w:w="1000" w:type="dxa"/>
            <w:vAlign w:val="bottom"/>
            <w:tcBorders>
              <w:top w:val="single" w:sz="8" w:color="auto"/>
              <w:bottom w:val="single" w:sz="8" w:color="D2DCE5"/>
            </w:tcBorders>
            <w:shd w:val="clear" w:color="auto" w:fill="D2DCE5"/>
          </w:tcPr>
          <w:p>
            <w:pPr>
              <w:spacing w:after="0"/>
              <w:rPr>
                <w:sz w:val="21"/>
                <w:szCs w:val="21"/>
                <w:color w:val="auto"/>
              </w:rPr>
            </w:pPr>
          </w:p>
        </w:tc>
        <w:tc>
          <w:tcPr>
            <w:tcW w:w="80" w:type="dxa"/>
            <w:vAlign w:val="bottom"/>
            <w:tcBorders>
              <w:top w:val="single" w:sz="8" w:color="auto"/>
              <w:bottom w:val="single" w:sz="8" w:color="D2DCE5"/>
            </w:tcBorders>
            <w:shd w:val="clear" w:color="auto" w:fill="D2DCE5"/>
          </w:tcPr>
          <w:p>
            <w:pPr>
              <w:spacing w:after="0"/>
              <w:rPr>
                <w:sz w:val="21"/>
                <w:szCs w:val="21"/>
                <w:color w:val="auto"/>
              </w:rPr>
            </w:pPr>
          </w:p>
        </w:tc>
        <w:tc>
          <w:tcPr>
            <w:tcW w:w="80" w:type="dxa"/>
            <w:vAlign w:val="bottom"/>
            <w:tcBorders>
              <w:top w:val="single" w:sz="8" w:color="D2DCE5"/>
              <w:bottom w:val="single" w:sz="8" w:color="D2DCE5"/>
            </w:tcBorders>
            <w:shd w:val="clear" w:color="auto" w:fill="D2DCE5"/>
          </w:tcPr>
          <w:p>
            <w:pPr>
              <w:spacing w:after="0"/>
              <w:rPr>
                <w:sz w:val="21"/>
                <w:szCs w:val="21"/>
                <w:color w:val="auto"/>
              </w:rPr>
            </w:pPr>
          </w:p>
        </w:tc>
        <w:tc>
          <w:tcPr>
            <w:tcW w:w="280" w:type="dxa"/>
            <w:vAlign w:val="bottom"/>
            <w:tcBorders>
              <w:top w:val="single" w:sz="8" w:color="auto"/>
              <w:bottom w:val="single" w:sz="8" w:color="D2DCE5"/>
            </w:tcBorders>
            <w:shd w:val="clear" w:color="auto" w:fill="D2DCE5"/>
          </w:tcPr>
          <w:p>
            <w:pPr>
              <w:spacing w:after="0"/>
              <w:rPr>
                <w:sz w:val="21"/>
                <w:szCs w:val="21"/>
                <w:color w:val="auto"/>
              </w:rPr>
            </w:pPr>
          </w:p>
        </w:tc>
        <w:tc>
          <w:tcPr>
            <w:tcW w:w="940" w:type="dxa"/>
            <w:vAlign w:val="bottom"/>
            <w:tcBorders>
              <w:top w:val="single" w:sz="8" w:color="auto"/>
              <w:bottom w:val="single" w:sz="8" w:color="D2DCE5"/>
            </w:tcBorders>
            <w:shd w:val="clear" w:color="auto" w:fill="D2DCE5"/>
          </w:tcPr>
          <w:p>
            <w:pPr>
              <w:spacing w:after="0"/>
              <w:rPr>
                <w:sz w:val="21"/>
                <w:szCs w:val="21"/>
                <w:color w:val="auto"/>
              </w:rPr>
            </w:pPr>
          </w:p>
        </w:tc>
        <w:tc>
          <w:tcPr>
            <w:tcW w:w="100" w:type="dxa"/>
            <w:vAlign w:val="bottom"/>
            <w:tcBorders>
              <w:top w:val="single" w:sz="8" w:color="D2DCE5"/>
              <w:bottom w:val="single" w:sz="8" w:color="D2DCE5"/>
            </w:tcBorders>
            <w:shd w:val="clear" w:color="auto" w:fill="D2DCE5"/>
          </w:tcPr>
          <w:p>
            <w:pPr>
              <w:spacing w:after="0"/>
              <w:rPr>
                <w:sz w:val="21"/>
                <w:szCs w:val="21"/>
                <w:color w:val="auto"/>
              </w:rPr>
            </w:pPr>
          </w:p>
        </w:tc>
        <w:tc>
          <w:tcPr>
            <w:tcW w:w="260" w:type="dxa"/>
            <w:vAlign w:val="bottom"/>
            <w:tcBorders>
              <w:top w:val="single" w:sz="8" w:color="auto"/>
              <w:bottom w:val="single" w:sz="8" w:color="D2DCE5"/>
            </w:tcBorders>
            <w:shd w:val="clear" w:color="auto" w:fill="D2DCE5"/>
          </w:tcPr>
          <w:p>
            <w:pPr>
              <w:spacing w:after="0"/>
              <w:rPr>
                <w:sz w:val="21"/>
                <w:szCs w:val="21"/>
                <w:color w:val="auto"/>
              </w:rPr>
            </w:pPr>
          </w:p>
        </w:tc>
        <w:tc>
          <w:tcPr>
            <w:tcW w:w="960" w:type="dxa"/>
            <w:vAlign w:val="bottom"/>
            <w:tcBorders>
              <w:top w:val="single" w:sz="8" w:color="auto"/>
              <w:bottom w:val="single" w:sz="8" w:color="D2DCE5"/>
            </w:tcBorders>
            <w:shd w:val="clear" w:color="auto" w:fill="D2DCE5"/>
          </w:tcPr>
          <w:p>
            <w:pPr>
              <w:spacing w:after="0"/>
              <w:rPr>
                <w:sz w:val="21"/>
                <w:szCs w:val="21"/>
                <w:color w:val="auto"/>
              </w:rPr>
            </w:pPr>
          </w:p>
        </w:tc>
        <w:tc>
          <w:tcPr>
            <w:tcW w:w="100" w:type="dxa"/>
            <w:vAlign w:val="bottom"/>
            <w:tcBorders>
              <w:top w:val="single" w:sz="8" w:color="D2DCE5"/>
              <w:bottom w:val="single" w:sz="8" w:color="D2DCE5"/>
            </w:tcBorders>
            <w:shd w:val="clear" w:color="auto" w:fill="D2DCE5"/>
          </w:tcPr>
          <w:p>
            <w:pPr>
              <w:spacing w:after="0"/>
              <w:rPr>
                <w:sz w:val="21"/>
                <w:szCs w:val="21"/>
                <w:color w:val="auto"/>
              </w:rPr>
            </w:pPr>
          </w:p>
        </w:tc>
        <w:tc>
          <w:tcPr>
            <w:tcW w:w="260" w:type="dxa"/>
            <w:vAlign w:val="bottom"/>
            <w:tcBorders>
              <w:top w:val="single" w:sz="8" w:color="auto"/>
              <w:bottom w:val="single" w:sz="8" w:color="D2DCE5"/>
            </w:tcBorders>
            <w:shd w:val="clear" w:color="auto" w:fill="D2DCE5"/>
          </w:tcPr>
          <w:p>
            <w:pPr>
              <w:spacing w:after="0"/>
              <w:rPr>
                <w:sz w:val="21"/>
                <w:szCs w:val="21"/>
                <w:color w:val="auto"/>
              </w:rPr>
            </w:pPr>
          </w:p>
        </w:tc>
        <w:tc>
          <w:tcPr>
            <w:tcW w:w="940" w:type="dxa"/>
            <w:vAlign w:val="bottom"/>
            <w:tcBorders>
              <w:top w:val="single" w:sz="8" w:color="auto"/>
              <w:bottom w:val="single" w:sz="8" w:color="D2DCE5"/>
            </w:tcBorders>
            <w:shd w:val="clear" w:color="auto" w:fill="D2DCE5"/>
          </w:tcPr>
          <w:p>
            <w:pPr>
              <w:spacing w:after="0"/>
              <w:rPr>
                <w:sz w:val="21"/>
                <w:szCs w:val="21"/>
                <w:color w:val="auto"/>
              </w:rPr>
            </w:pPr>
          </w:p>
        </w:tc>
      </w:tr>
      <w:tr>
        <w:trPr>
          <w:trHeight w:val="230"/>
        </w:trPr>
        <w:tc>
          <w:tcPr>
            <w:tcW w:w="2900" w:type="dxa"/>
            <w:vAlign w:val="bottom"/>
          </w:tcPr>
          <w:p>
            <w:pPr>
              <w:ind w:left="180"/>
              <w:spacing w:after="0"/>
              <w:rPr>
                <w:sz w:val="20"/>
                <w:szCs w:val="20"/>
                <w:color w:val="auto"/>
              </w:rPr>
            </w:pPr>
            <w:r>
              <w:rPr>
                <w:rFonts w:ascii="Arial" w:cs="Arial" w:eastAsia="Arial" w:hAnsi="Arial"/>
                <w:sz w:val="18"/>
                <w:szCs w:val="18"/>
                <w:color w:val="131E29"/>
              </w:rPr>
              <w:t>Amortization of right-of-use</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2900" w:type="dxa"/>
            <w:vAlign w:val="bottom"/>
          </w:tcPr>
          <w:p>
            <w:pPr>
              <w:ind w:left="180"/>
              <w:spacing w:after="0"/>
              <w:rPr>
                <w:sz w:val="20"/>
                <w:szCs w:val="20"/>
                <w:color w:val="auto"/>
              </w:rPr>
            </w:pPr>
            <w:r>
              <w:rPr>
                <w:rFonts w:ascii="Arial" w:cs="Arial" w:eastAsia="Arial" w:hAnsi="Arial"/>
                <w:sz w:val="18"/>
                <w:szCs w:val="18"/>
                <w:color w:val="131E29"/>
              </w:rPr>
              <w:t>assets</w:t>
            </w:r>
          </w:p>
        </w:tc>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131E29"/>
              </w:rPr>
              <w:t>5,107</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131E29"/>
              </w:rPr>
              <w:t>$</w:t>
            </w:r>
          </w:p>
        </w:tc>
        <w:tc>
          <w:tcPr>
            <w:tcW w:w="940" w:type="dxa"/>
            <w:vAlign w:val="bottom"/>
          </w:tcPr>
          <w:p>
            <w:pPr>
              <w:jc w:val="right"/>
              <w:spacing w:after="0"/>
              <w:rPr>
                <w:sz w:val="20"/>
                <w:szCs w:val="20"/>
                <w:color w:val="auto"/>
              </w:rPr>
            </w:pPr>
            <w:r>
              <w:rPr>
                <w:rFonts w:ascii="Arial" w:cs="Arial" w:eastAsia="Arial" w:hAnsi="Arial"/>
                <w:sz w:val="18"/>
                <w:szCs w:val="18"/>
                <w:color w:val="131E29"/>
              </w:rPr>
              <w:t>2,604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131E2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9,453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131E29"/>
              </w:rPr>
              <w:t>$</w:t>
            </w:r>
          </w:p>
        </w:tc>
        <w:tc>
          <w:tcPr>
            <w:tcW w:w="940" w:type="dxa"/>
            <w:vAlign w:val="bottom"/>
          </w:tcPr>
          <w:p>
            <w:pPr>
              <w:jc w:val="right"/>
              <w:spacing w:after="0"/>
              <w:rPr>
                <w:sz w:val="20"/>
                <w:szCs w:val="20"/>
                <w:color w:val="auto"/>
              </w:rPr>
            </w:pPr>
            <w:r>
              <w:rPr>
                <w:rFonts w:ascii="Arial" w:cs="Arial" w:eastAsia="Arial" w:hAnsi="Arial"/>
                <w:sz w:val="18"/>
                <w:szCs w:val="18"/>
                <w:color w:val="131E29"/>
              </w:rPr>
              <w:t>4,798</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90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Interest on lease liabilities</w:t>
            </w:r>
          </w:p>
        </w:tc>
        <w:tc>
          <w:tcPr>
            <w:tcW w:w="100" w:type="dxa"/>
            <w:vAlign w:val="bottom"/>
            <w:tcBorders>
              <w:bottom w:val="single" w:sz="8" w:color="D2DCE5"/>
            </w:tcBorders>
            <w:shd w:val="clear" w:color="auto" w:fill="D2DCE5"/>
          </w:tcPr>
          <w:p>
            <w:pPr>
              <w:spacing w:after="0"/>
              <w:rPr>
                <w:sz w:val="23"/>
                <w:szCs w:val="23"/>
                <w:color w:val="auto"/>
              </w:rPr>
            </w:pPr>
          </w:p>
        </w:tc>
        <w:tc>
          <w:tcPr>
            <w:tcW w:w="31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w:t>
            </w:r>
          </w:p>
        </w:tc>
        <w:tc>
          <w:tcPr>
            <w:tcW w:w="140" w:type="dxa"/>
            <w:vAlign w:val="bottom"/>
            <w:tcBorders>
              <w:bottom w:val="single" w:sz="8" w:color="D2DCE5"/>
            </w:tcBorders>
            <w:shd w:val="clear" w:color="auto" w:fill="D2DCE5"/>
          </w:tcPr>
          <w:p>
            <w:pPr>
              <w:spacing w:after="0"/>
              <w:rPr>
                <w:sz w:val="23"/>
                <w:szCs w:val="23"/>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4,134</w:t>
            </w:r>
          </w:p>
        </w:tc>
        <w:tc>
          <w:tcPr>
            <w:tcW w:w="8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2,056</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7,589</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3,779</w:t>
            </w:r>
          </w:p>
        </w:tc>
      </w:tr>
      <w:tr>
        <w:trPr>
          <w:trHeight w:val="237"/>
        </w:trPr>
        <w:tc>
          <w:tcPr>
            <w:tcW w:w="2900" w:type="dxa"/>
            <w:vAlign w:val="bottom"/>
          </w:tcPr>
          <w:p>
            <w:pPr>
              <w:ind w:left="360"/>
              <w:spacing w:after="0"/>
              <w:rPr>
                <w:sz w:val="20"/>
                <w:szCs w:val="20"/>
                <w:color w:val="auto"/>
              </w:rPr>
            </w:pPr>
            <w:r>
              <w:rPr>
                <w:rFonts w:ascii="Arial" w:cs="Arial" w:eastAsia="Arial" w:hAnsi="Arial"/>
                <w:sz w:val="18"/>
                <w:szCs w:val="18"/>
                <w:color w:val="131E29"/>
              </w:rPr>
              <w:t>Total finance lease cost</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9,241</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4,660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17,042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8,577</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29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40" w:type="dxa"/>
            <w:vAlign w:val="bottom"/>
            <w:shd w:val="clear" w:color="auto" w:fill="D2DCE5"/>
          </w:tcPr>
          <w:p>
            <w:pPr>
              <w:spacing w:after="0"/>
              <w:rPr>
                <w:sz w:val="21"/>
                <w:szCs w:val="21"/>
                <w:color w:val="auto"/>
              </w:rPr>
            </w:pPr>
          </w:p>
        </w:tc>
        <w:tc>
          <w:tcPr>
            <w:tcW w:w="100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40" w:type="dxa"/>
            <w:vAlign w:val="bottom"/>
            <w:shd w:val="clear" w:color="auto" w:fill="D2DCE5"/>
          </w:tcPr>
          <w:p>
            <w:pPr>
              <w:spacing w:after="0"/>
              <w:rPr>
                <w:sz w:val="21"/>
                <w:szCs w:val="2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131E29"/>
              </w:rPr>
              <w:t>Operating lease cost</w:t>
            </w:r>
          </w:p>
        </w:tc>
        <w:tc>
          <w:tcPr>
            <w:tcW w:w="10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4,686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31E29"/>
              </w:rPr>
              <w:t>4,034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9,198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131E29"/>
              </w:rPr>
              <w:t>$</w:t>
            </w:r>
          </w:p>
        </w:tc>
        <w:tc>
          <w:tcPr>
            <w:tcW w:w="940" w:type="dxa"/>
            <w:vAlign w:val="bottom"/>
          </w:tcPr>
          <w:p>
            <w:pPr>
              <w:jc w:val="right"/>
              <w:spacing w:after="0"/>
              <w:rPr>
                <w:sz w:val="20"/>
                <w:szCs w:val="20"/>
                <w:color w:val="auto"/>
              </w:rPr>
            </w:pPr>
            <w:r>
              <w:rPr>
                <w:rFonts w:ascii="Arial" w:cs="Arial" w:eastAsia="Arial" w:hAnsi="Arial"/>
                <w:sz w:val="18"/>
                <w:szCs w:val="18"/>
                <w:color w:val="131E29"/>
              </w:rPr>
              <w:t>7,881</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9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10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9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40" w:type="dxa"/>
            <w:vAlign w:val="bottom"/>
            <w:shd w:val="clear" w:color="auto" w:fill="D2DCE5"/>
          </w:tcPr>
          <w:p>
            <w:pPr>
              <w:spacing w:after="0"/>
              <w:rPr>
                <w:sz w:val="23"/>
                <w:szCs w:val="23"/>
                <w:color w:val="auto"/>
              </w:rPr>
            </w:pPr>
          </w:p>
        </w:tc>
      </w:tr>
      <w:tr>
        <w:trPr>
          <w:trHeight w:val="264"/>
        </w:trPr>
        <w:tc>
          <w:tcPr>
            <w:tcW w:w="2900" w:type="dxa"/>
            <w:vAlign w:val="bottom"/>
          </w:tcPr>
          <w:p>
            <w:pPr>
              <w:ind w:left="20"/>
              <w:spacing w:after="0"/>
              <w:rPr>
                <w:sz w:val="20"/>
                <w:szCs w:val="20"/>
                <w:color w:val="auto"/>
              </w:rPr>
            </w:pPr>
            <w:r>
              <w:rPr>
                <w:rFonts w:ascii="Arial" w:cs="Arial" w:eastAsia="Arial" w:hAnsi="Arial"/>
                <w:sz w:val="18"/>
                <w:szCs w:val="18"/>
                <w:color w:val="131E29"/>
              </w:rPr>
              <w:t>Variable lease cost</w:t>
            </w:r>
          </w:p>
        </w:tc>
        <w:tc>
          <w:tcPr>
            <w:tcW w:w="100" w:type="dxa"/>
            <w:vAlign w:val="bottom"/>
          </w:tcPr>
          <w:p>
            <w:pPr>
              <w:spacing w:after="0"/>
              <w:rPr>
                <w:sz w:val="22"/>
                <w:szCs w:val="22"/>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1,066</w:t>
            </w:r>
          </w:p>
        </w:tc>
        <w:tc>
          <w:tcPr>
            <w:tcW w:w="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566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2,444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1,059</w:t>
            </w:r>
          </w:p>
        </w:tc>
      </w:tr>
      <w:tr>
        <w:trPr>
          <w:trHeight w:val="290"/>
        </w:trPr>
        <w:tc>
          <w:tcPr>
            <w:tcW w:w="29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Total lease cost</w:t>
            </w:r>
          </w:p>
        </w:tc>
        <w:tc>
          <w:tcPr>
            <w:tcW w:w="100" w:type="dxa"/>
            <w:vAlign w:val="bottom"/>
            <w:shd w:val="clear" w:color="auto" w:fill="D2DCE5"/>
          </w:tcPr>
          <w:p>
            <w:pPr>
              <w:spacing w:after="0"/>
              <w:rPr>
                <w:sz w:val="24"/>
                <w:szCs w:val="24"/>
                <w:color w:val="auto"/>
              </w:rPr>
            </w:pPr>
          </w:p>
        </w:tc>
        <w:tc>
          <w:tcPr>
            <w:tcW w:w="300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0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14,993</w:t>
            </w:r>
          </w:p>
        </w:tc>
        <w:tc>
          <w:tcPr>
            <w:tcW w:w="440" w:type="dxa"/>
            <w:vAlign w:val="bottom"/>
            <w:gridSpan w:val="3"/>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9,260</w:t>
            </w:r>
          </w:p>
        </w:tc>
        <w:tc>
          <w:tcPr>
            <w:tcW w:w="360" w:type="dxa"/>
            <w:vAlign w:val="bottom"/>
            <w:gridSpan w:val="2"/>
            <w:shd w:val="clear" w:color="auto" w:fill="D2DCE5"/>
          </w:tcPr>
          <w:p>
            <w:pPr>
              <w:jc w:val="right"/>
              <w:ind w:right="5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28,684</w:t>
            </w: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17,517</w:t>
            </w:r>
          </w:p>
        </w:tc>
      </w:tr>
      <w:tr>
        <w:trPr>
          <w:trHeight w:val="20"/>
        </w:trPr>
        <w:tc>
          <w:tcPr>
            <w:tcW w:w="29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131E29"/>
        </w:rPr>
        <w:t>Future minimum lease payments for finance and operating lease liabilities as of June 30, 2023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2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131E29"/>
              </w:rPr>
              <w:t>Finance</w:t>
            </w:r>
          </w:p>
        </w:tc>
        <w:tc>
          <w:tcPr>
            <w:tcW w:w="40" w:type="dxa"/>
            <w:vAlign w:val="bottom"/>
            <w:tcBorders>
              <w:bottom w:val="single" w:sz="8" w:color="D2DCE5"/>
            </w:tcBorders>
          </w:tcPr>
          <w:p>
            <w:pPr>
              <w:spacing w:after="0"/>
              <w:rPr>
                <w:sz w:val="22"/>
                <w:szCs w:val="22"/>
                <w:color w:val="auto"/>
              </w:rPr>
            </w:pPr>
          </w:p>
        </w:tc>
        <w:tc>
          <w:tcPr>
            <w:tcW w:w="60" w:type="dxa"/>
            <w:vAlign w:val="bottom"/>
            <w:tcBorders>
              <w:bottom w:val="single" w:sz="8" w:color="D2DCE5"/>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131E29"/>
              </w:rPr>
              <w:t>Operating</w:t>
            </w:r>
          </w:p>
        </w:tc>
      </w:tr>
      <w:tr>
        <w:trPr>
          <w:trHeight w:val="250"/>
        </w:trPr>
        <w:tc>
          <w:tcPr>
            <w:tcW w:w="72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2023</w:t>
            </w:r>
          </w:p>
        </w:tc>
        <w:tc>
          <w:tcPr>
            <w:tcW w:w="36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w w:val="79"/>
              </w:rPr>
              <w:t>$</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13,718</w:t>
            </w:r>
          </w:p>
        </w:tc>
        <w:tc>
          <w:tcPr>
            <w:tcW w:w="440" w:type="dxa"/>
            <w:vAlign w:val="bottom"/>
            <w:tcBorders>
              <w:bottom w:val="single" w:sz="8" w:color="D2DCE5"/>
            </w:tcBorders>
            <w:gridSpan w:val="4"/>
            <w:shd w:val="clear" w:color="auto" w:fill="D2DCE5"/>
          </w:tcPr>
          <w:p>
            <w:pPr>
              <w:jc w:val="right"/>
              <w:ind w:right="220"/>
              <w:spacing w:after="0"/>
              <w:rPr>
                <w:sz w:val="20"/>
                <w:szCs w:val="20"/>
                <w:color w:val="auto"/>
              </w:rPr>
            </w:pPr>
            <w:r>
              <w:rPr>
                <w:rFonts w:ascii="Arial" w:cs="Arial" w:eastAsia="Arial" w:hAnsi="Arial"/>
                <w:sz w:val="18"/>
                <w:szCs w:val="18"/>
                <w:color w:val="131E29"/>
              </w:rPr>
              <w:t>$</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8,462</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131E29"/>
              </w:rPr>
              <w:t>2024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27,599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17,196</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2025</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28,285</w:t>
            </w:r>
          </w:p>
        </w:tc>
        <w:tc>
          <w:tcPr>
            <w:tcW w:w="4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16,944</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131E29"/>
              </w:rPr>
              <w:t>2026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28,573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16,786</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2027</w:t>
            </w:r>
          </w:p>
        </w:tc>
        <w:tc>
          <w:tcPr>
            <w:tcW w:w="12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29,239</w:t>
            </w:r>
          </w:p>
        </w:tc>
        <w:tc>
          <w:tcPr>
            <w:tcW w:w="4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16,465</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373,221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171,244</w:t>
            </w:r>
          </w:p>
        </w:tc>
      </w:tr>
      <w:tr>
        <w:trPr>
          <w:trHeight w:val="27"/>
        </w:trPr>
        <w:tc>
          <w:tcPr>
            <w:tcW w:w="7160" w:type="dxa"/>
            <w:vAlign w:val="bottom"/>
            <w:tcBorders>
              <w:bottom w:val="single" w:sz="8" w:color="D2DCE5"/>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3"/>
        </w:trPr>
        <w:tc>
          <w:tcPr>
            <w:tcW w:w="72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Total</w:t>
            </w:r>
          </w:p>
        </w:tc>
        <w:tc>
          <w:tcPr>
            <w:tcW w:w="360" w:type="dxa"/>
            <w:vAlign w:val="bottom"/>
            <w:shd w:val="clear" w:color="auto" w:fill="D2DCE5"/>
          </w:tcPr>
          <w:p>
            <w:pPr>
              <w:jc w:val="right"/>
              <w:ind w:right="170"/>
              <w:spacing w:after="0"/>
              <w:rPr>
                <w:sz w:val="20"/>
                <w:szCs w:val="20"/>
                <w:color w:val="auto"/>
              </w:rPr>
            </w:pPr>
            <w:r>
              <w:rPr>
                <w:rFonts w:ascii="Arial" w:cs="Arial" w:eastAsia="Arial" w:hAnsi="Arial"/>
                <w:sz w:val="18"/>
                <w:szCs w:val="18"/>
                <w:color w:val="131E29"/>
                <w:w w:val="79"/>
              </w:rPr>
              <w:t>$</w:t>
            </w: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500,635</w:t>
            </w:r>
          </w:p>
        </w:tc>
        <w:tc>
          <w:tcPr>
            <w:tcW w:w="440" w:type="dxa"/>
            <w:vAlign w:val="bottom"/>
            <w:gridSpan w:val="4"/>
            <w:shd w:val="clear" w:color="auto" w:fill="D2DCE5"/>
          </w:tcPr>
          <w:p>
            <w:pPr>
              <w:jc w:val="right"/>
              <w:ind w:right="220"/>
              <w:spacing w:after="0"/>
              <w:rPr>
                <w:sz w:val="20"/>
                <w:szCs w:val="20"/>
                <w:color w:val="auto"/>
              </w:rPr>
            </w:pPr>
            <w:r>
              <w:rPr>
                <w:rFonts w:ascii="Arial" w:cs="Arial" w:eastAsia="Arial" w:hAnsi="Arial"/>
                <w:sz w:val="18"/>
                <w:szCs w:val="18"/>
                <w:color w:val="131E29"/>
              </w:rPr>
              <w:t>$</w:t>
            </w:r>
          </w:p>
        </w:tc>
        <w:tc>
          <w:tcPr>
            <w:tcW w:w="1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247,097</w:t>
            </w:r>
          </w:p>
        </w:tc>
      </w:tr>
      <w:tr>
        <w:trPr>
          <w:trHeight w:val="20"/>
        </w:trPr>
        <w:tc>
          <w:tcPr>
            <w:tcW w:w="7280" w:type="dxa"/>
            <w:vAlign w:val="bottom"/>
            <w:tcBorders>
              <w:top w:val="single" w:sz="8" w:color="D2DCE5"/>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280" w:type="dxa"/>
            <w:vAlign w:val="bottom"/>
            <w:gridSpan w:val="2"/>
          </w:tcPr>
          <w:p>
            <w:pPr>
              <w:ind w:left="20"/>
              <w:spacing w:after="0"/>
              <w:rPr>
                <w:sz w:val="20"/>
                <w:szCs w:val="20"/>
                <w:color w:val="auto"/>
              </w:rPr>
            </w:pPr>
            <w:r>
              <w:rPr>
                <w:rFonts w:ascii="Arial" w:cs="Arial" w:eastAsia="Arial" w:hAnsi="Arial"/>
                <w:sz w:val="18"/>
                <w:szCs w:val="18"/>
                <w:color w:val="131E29"/>
              </w:rPr>
              <w:t>Less: imputed interest</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(175,383)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(68,041)</w:t>
            </w:r>
          </w:p>
        </w:tc>
      </w:tr>
      <w:tr>
        <w:trPr>
          <w:trHeight w:val="27"/>
        </w:trPr>
        <w:tc>
          <w:tcPr>
            <w:tcW w:w="7160" w:type="dxa"/>
            <w:vAlign w:val="bottom"/>
            <w:tcBorders>
              <w:bottom w:val="single" w:sz="8" w:color="D2DCE5"/>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2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Present value of minimum lease payments</w:t>
            </w: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325,252</w:t>
            </w:r>
          </w:p>
        </w:tc>
        <w:tc>
          <w:tcPr>
            <w:tcW w:w="4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179,056</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8"/>
                <w:szCs w:val="18"/>
                <w:color w:val="131E29"/>
              </w:rPr>
              <w:t>Less: current portion</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(9,867)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(9,612)</w:t>
            </w:r>
          </w:p>
        </w:tc>
      </w:tr>
      <w:tr>
        <w:trPr>
          <w:trHeight w:val="27"/>
        </w:trPr>
        <w:tc>
          <w:tcPr>
            <w:tcW w:w="7160" w:type="dxa"/>
            <w:vAlign w:val="bottom"/>
            <w:tcBorders>
              <w:bottom w:val="single" w:sz="8" w:color="D2DCE5"/>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3"/>
        </w:trPr>
        <w:tc>
          <w:tcPr>
            <w:tcW w:w="72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Lease liabilities, net of current portion</w:t>
            </w:r>
          </w:p>
        </w:tc>
        <w:tc>
          <w:tcPr>
            <w:tcW w:w="360" w:type="dxa"/>
            <w:vAlign w:val="bottom"/>
            <w:shd w:val="clear" w:color="auto" w:fill="D2DCE5"/>
          </w:tcPr>
          <w:p>
            <w:pPr>
              <w:jc w:val="right"/>
              <w:ind w:right="170"/>
              <w:spacing w:after="0"/>
              <w:rPr>
                <w:sz w:val="20"/>
                <w:szCs w:val="20"/>
                <w:color w:val="auto"/>
              </w:rPr>
            </w:pPr>
            <w:r>
              <w:rPr>
                <w:rFonts w:ascii="Arial" w:cs="Arial" w:eastAsia="Arial" w:hAnsi="Arial"/>
                <w:sz w:val="18"/>
                <w:szCs w:val="18"/>
                <w:color w:val="131E29"/>
                <w:w w:val="79"/>
              </w:rPr>
              <w:t>$</w:t>
            </w: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315,385</w:t>
            </w:r>
          </w:p>
        </w:tc>
        <w:tc>
          <w:tcPr>
            <w:tcW w:w="440" w:type="dxa"/>
            <w:vAlign w:val="bottom"/>
            <w:gridSpan w:val="4"/>
            <w:shd w:val="clear" w:color="auto" w:fill="D2DCE5"/>
          </w:tcPr>
          <w:p>
            <w:pPr>
              <w:jc w:val="right"/>
              <w:ind w:right="220"/>
              <w:spacing w:after="0"/>
              <w:rPr>
                <w:sz w:val="20"/>
                <w:szCs w:val="20"/>
                <w:color w:val="auto"/>
              </w:rPr>
            </w:pPr>
            <w:r>
              <w:rPr>
                <w:rFonts w:ascii="Arial" w:cs="Arial" w:eastAsia="Arial" w:hAnsi="Arial"/>
                <w:sz w:val="18"/>
                <w:szCs w:val="18"/>
                <w:color w:val="131E29"/>
              </w:rPr>
              <w:t>$</w:t>
            </w:r>
          </w:p>
        </w:tc>
        <w:tc>
          <w:tcPr>
            <w:tcW w:w="1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169,444</w:t>
            </w:r>
          </w:p>
        </w:tc>
      </w:tr>
      <w:tr>
        <w:trPr>
          <w:trHeight w:val="20"/>
        </w:trPr>
        <w:tc>
          <w:tcPr>
            <w:tcW w:w="7280" w:type="dxa"/>
            <w:vAlign w:val="bottom"/>
            <w:tcBorders>
              <w:top w:val="single" w:sz="8" w:color="D2DCE5"/>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433"/>
        </w:trPr>
        <w:tc>
          <w:tcPr>
            <w:tcW w:w="7280" w:type="dxa"/>
            <w:vAlign w:val="bottom"/>
            <w:gridSpan w:val="2"/>
          </w:tcPr>
          <w:p>
            <w:pPr>
              <w:spacing w:after="0"/>
              <w:rPr>
                <w:sz w:val="20"/>
                <w:szCs w:val="20"/>
                <w:color w:val="auto"/>
              </w:rPr>
            </w:pPr>
            <w:r>
              <w:rPr>
                <w:rFonts w:ascii="Arial" w:cs="Arial" w:eastAsia="Arial" w:hAnsi="Arial"/>
                <w:sz w:val="18"/>
                <w:szCs w:val="18"/>
                <w:color w:val="131E29"/>
                <w:w w:val="99"/>
              </w:rPr>
              <w:t>A summary of lease terms and discount rates for finance and operating leases is as follows:</w:t>
            </w: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9"/>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131E29"/>
              </w:rPr>
              <w:t>June 30,</w:t>
            </w:r>
          </w:p>
        </w:tc>
      </w:tr>
      <w:tr>
        <w:trPr>
          <w:trHeight w:val="259"/>
        </w:trPr>
        <w:tc>
          <w:tcPr>
            <w:tcW w:w="7160" w:type="dxa"/>
            <w:vAlign w:val="bottom"/>
            <w:tcBorders>
              <w:bottom w:val="single" w:sz="8" w:color="131E29"/>
            </w:tcBorders>
          </w:tcPr>
          <w:p>
            <w:pPr>
              <w:spacing w:after="0"/>
              <w:rPr>
                <w:sz w:val="22"/>
                <w:szCs w:val="22"/>
                <w:color w:val="auto"/>
              </w:rPr>
            </w:pPr>
          </w:p>
        </w:tc>
        <w:tc>
          <w:tcPr>
            <w:tcW w:w="120" w:type="dxa"/>
            <w:vAlign w:val="bottom"/>
            <w:tcBorders>
              <w:bottom w:val="single" w:sz="8" w:color="131E29"/>
            </w:tcBorders>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1560" w:type="dxa"/>
            <w:vAlign w:val="bottom"/>
            <w:tcBorders>
              <w:bottom w:val="single" w:sz="8" w:color="131E29"/>
            </w:tcBorders>
          </w:tcPr>
          <w:p>
            <w:pPr>
              <w:spacing w:after="0"/>
              <w:rPr>
                <w:sz w:val="22"/>
                <w:szCs w:val="22"/>
                <w:color w:val="auto"/>
              </w:rPr>
            </w:pPr>
          </w:p>
        </w:tc>
        <w:tc>
          <w:tcPr>
            <w:tcW w:w="40" w:type="dxa"/>
            <w:vAlign w:val="bottom"/>
            <w:tcBorders>
              <w:bottom w:val="single" w:sz="8" w:color="131E29"/>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131E29"/>
                <w:w w:val="99"/>
              </w:rPr>
              <w:t>2023</w:t>
            </w:r>
          </w:p>
        </w:tc>
      </w:tr>
      <w:tr>
        <w:trPr>
          <w:trHeight w:val="270"/>
        </w:trPr>
        <w:tc>
          <w:tcPr>
            <w:tcW w:w="72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Weighted-average remaining lease term (years)</w:t>
            </w:r>
          </w:p>
        </w:tc>
        <w:tc>
          <w:tcPr>
            <w:tcW w:w="360" w:type="dxa"/>
            <w:vAlign w:val="bottom"/>
            <w:shd w:val="clear" w:color="auto" w:fill="D2DCE5"/>
          </w:tcPr>
          <w:p>
            <w:pPr>
              <w:spacing w:after="0"/>
              <w:rPr>
                <w:sz w:val="23"/>
                <w:szCs w:val="23"/>
                <w:color w:val="auto"/>
              </w:rPr>
            </w:pPr>
          </w:p>
        </w:tc>
        <w:tc>
          <w:tcPr>
            <w:tcW w:w="15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600" w:type="dxa"/>
            <w:vAlign w:val="bottom"/>
            <w:shd w:val="clear" w:color="auto" w:fill="D2DCE5"/>
          </w:tcPr>
          <w:p>
            <w:pPr>
              <w:spacing w:after="0"/>
              <w:rPr>
                <w:sz w:val="23"/>
                <w:szCs w:val="23"/>
                <w:color w:val="auto"/>
              </w:rPr>
            </w:pPr>
          </w:p>
        </w:tc>
      </w:tr>
      <w:tr>
        <w:trPr>
          <w:trHeight w:val="243"/>
        </w:trPr>
        <w:tc>
          <w:tcPr>
            <w:tcW w:w="7280" w:type="dxa"/>
            <w:vAlign w:val="bottom"/>
            <w:gridSpan w:val="2"/>
          </w:tcPr>
          <w:p>
            <w:pPr>
              <w:ind w:left="180"/>
              <w:spacing w:after="0"/>
              <w:rPr>
                <w:sz w:val="20"/>
                <w:szCs w:val="20"/>
                <w:color w:val="auto"/>
              </w:rPr>
            </w:pPr>
            <w:r>
              <w:rPr>
                <w:rFonts w:ascii="Arial" w:cs="Arial" w:eastAsia="Arial" w:hAnsi="Arial"/>
                <w:sz w:val="18"/>
                <w:szCs w:val="18"/>
                <w:color w:val="131E29"/>
              </w:rPr>
              <w:t>Finance leases</w:t>
            </w: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color w:val="131E29"/>
                <w:w w:val="96"/>
              </w:rPr>
              <w:t>16.2</w:t>
            </w:r>
          </w:p>
        </w:tc>
      </w:tr>
      <w:tr>
        <w:trPr>
          <w:trHeight w:val="27"/>
        </w:trPr>
        <w:tc>
          <w:tcPr>
            <w:tcW w:w="7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2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3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center"/>
              <w:ind w:right="210"/>
              <w:spacing w:after="0"/>
              <w:rPr>
                <w:sz w:val="20"/>
                <w:szCs w:val="20"/>
                <w:color w:val="auto"/>
              </w:rPr>
            </w:pPr>
            <w:r>
              <w:rPr>
                <w:rFonts w:ascii="Arial" w:cs="Arial" w:eastAsia="Arial" w:hAnsi="Arial"/>
                <w:sz w:val="18"/>
                <w:szCs w:val="18"/>
                <w:color w:val="131E29"/>
                <w:w w:val="96"/>
              </w:rPr>
              <w:t>14.7</w:t>
            </w:r>
          </w:p>
        </w:tc>
      </w:tr>
      <w:tr>
        <w:trPr>
          <w:trHeight w:val="270"/>
        </w:trPr>
        <w:tc>
          <w:tcPr>
            <w:tcW w:w="7280" w:type="dxa"/>
            <w:vAlign w:val="bottom"/>
            <w:gridSpan w:val="2"/>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72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Weighted-average discount rate (percentages)</w:t>
            </w:r>
          </w:p>
        </w:tc>
        <w:tc>
          <w:tcPr>
            <w:tcW w:w="360" w:type="dxa"/>
            <w:vAlign w:val="bottom"/>
            <w:shd w:val="clear" w:color="auto" w:fill="D2DCE5"/>
          </w:tcPr>
          <w:p>
            <w:pPr>
              <w:spacing w:after="0"/>
              <w:rPr>
                <w:sz w:val="23"/>
                <w:szCs w:val="23"/>
                <w:color w:val="auto"/>
              </w:rPr>
            </w:pPr>
          </w:p>
        </w:tc>
        <w:tc>
          <w:tcPr>
            <w:tcW w:w="15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600" w:type="dxa"/>
            <w:vAlign w:val="bottom"/>
            <w:shd w:val="clear" w:color="auto" w:fill="D2DCE5"/>
          </w:tcPr>
          <w:p>
            <w:pPr>
              <w:spacing w:after="0"/>
              <w:rPr>
                <w:sz w:val="23"/>
                <w:szCs w:val="23"/>
                <w:color w:val="auto"/>
              </w:rPr>
            </w:pPr>
          </w:p>
        </w:tc>
      </w:tr>
      <w:tr>
        <w:trPr>
          <w:trHeight w:val="243"/>
        </w:trPr>
        <w:tc>
          <w:tcPr>
            <w:tcW w:w="7280" w:type="dxa"/>
            <w:vAlign w:val="bottom"/>
            <w:gridSpan w:val="2"/>
          </w:tcPr>
          <w:p>
            <w:pPr>
              <w:ind w:left="180"/>
              <w:spacing w:after="0"/>
              <w:rPr>
                <w:sz w:val="20"/>
                <w:szCs w:val="20"/>
                <w:color w:val="auto"/>
              </w:rPr>
            </w:pPr>
            <w:r>
              <w:rPr>
                <w:rFonts w:ascii="Arial" w:cs="Arial" w:eastAsia="Arial" w:hAnsi="Arial"/>
                <w:sz w:val="18"/>
                <w:szCs w:val="18"/>
                <w:color w:val="131E29"/>
              </w:rPr>
              <w:t>Finance leases</w:t>
            </w: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color w:val="131E29"/>
              </w:rPr>
              <w:t>5.5%</w:t>
            </w:r>
          </w:p>
        </w:tc>
      </w:tr>
      <w:tr>
        <w:trPr>
          <w:trHeight w:val="27"/>
        </w:trPr>
        <w:tc>
          <w:tcPr>
            <w:tcW w:w="7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2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36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6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600" w:type="dxa"/>
            <w:vAlign w:val="bottom"/>
            <w:shd w:val="clear" w:color="auto" w:fill="D2DCE5"/>
          </w:tcPr>
          <w:p>
            <w:pPr>
              <w:jc w:val="center"/>
              <w:ind w:right="210"/>
              <w:spacing w:after="0"/>
              <w:rPr>
                <w:sz w:val="20"/>
                <w:szCs w:val="20"/>
                <w:color w:val="auto"/>
              </w:rPr>
            </w:pPr>
            <w:r>
              <w:rPr>
                <w:rFonts w:ascii="Arial" w:cs="Arial" w:eastAsia="Arial" w:hAnsi="Arial"/>
                <w:sz w:val="18"/>
                <w:szCs w:val="18"/>
                <w:color w:val="131E29"/>
              </w:rPr>
              <w:t>4.4%</w:t>
            </w:r>
          </w:p>
        </w:tc>
      </w:tr>
      <w:tr>
        <w:trPr>
          <w:trHeight w:val="27"/>
        </w:trPr>
        <w:tc>
          <w:tcPr>
            <w:tcW w:w="716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360" w:type="dxa"/>
            <w:vAlign w:val="bottom"/>
            <w:shd w:val="clear" w:color="auto" w:fill="D2DCE5"/>
          </w:tcPr>
          <w:p>
            <w:pPr>
              <w:spacing w:after="0"/>
              <w:rPr>
                <w:sz w:val="2"/>
                <w:szCs w:val="2"/>
                <w:color w:val="auto"/>
              </w:rPr>
            </w:pPr>
          </w:p>
        </w:tc>
        <w:tc>
          <w:tcPr>
            <w:tcW w:w="1560" w:type="dxa"/>
            <w:vAlign w:val="bottom"/>
            <w:shd w:val="clear" w:color="auto" w:fill="D2DCE5"/>
          </w:tcPr>
          <w:p>
            <w:pPr>
              <w:spacing w:after="0"/>
              <w:rPr>
                <w:sz w:val="2"/>
                <w:szCs w:val="2"/>
                <w:color w:val="auto"/>
              </w:rPr>
            </w:pPr>
          </w:p>
        </w:tc>
        <w:tc>
          <w:tcPr>
            <w:tcW w:w="40" w:type="dxa"/>
            <w:vAlign w:val="bottom"/>
            <w:shd w:val="clear" w:color="auto" w:fill="D2DCE5"/>
          </w:tcPr>
          <w:p>
            <w:pPr>
              <w:spacing w:after="0"/>
              <w:rPr>
                <w:sz w:val="2"/>
                <w:szCs w:val="2"/>
                <w:color w:val="auto"/>
              </w:rPr>
            </w:pPr>
          </w:p>
        </w:tc>
        <w:tc>
          <w:tcPr>
            <w:tcW w:w="60" w:type="dxa"/>
            <w:vAlign w:val="bottom"/>
            <w:shd w:val="clear" w:color="auto" w:fill="D2DCE5"/>
          </w:tcPr>
          <w:p>
            <w:pPr>
              <w:spacing w:after="0"/>
              <w:rPr>
                <w:sz w:val="2"/>
                <w:szCs w:val="2"/>
                <w:color w:val="auto"/>
              </w:rPr>
            </w:pPr>
          </w:p>
        </w:tc>
        <w:tc>
          <w:tcPr>
            <w:tcW w:w="40" w:type="dxa"/>
            <w:vAlign w:val="bottom"/>
            <w:shd w:val="clear" w:color="auto" w:fill="D2DCE5"/>
          </w:tcPr>
          <w:p>
            <w:pPr>
              <w:spacing w:after="0"/>
              <w:rPr>
                <w:sz w:val="2"/>
                <w:szCs w:val="2"/>
                <w:color w:val="auto"/>
              </w:rPr>
            </w:pPr>
          </w:p>
        </w:tc>
        <w:tc>
          <w:tcPr>
            <w:tcW w:w="300" w:type="dxa"/>
            <w:vAlign w:val="bottom"/>
            <w:shd w:val="clear" w:color="auto" w:fill="D2DCE5"/>
          </w:tcPr>
          <w:p>
            <w:pPr>
              <w:spacing w:after="0"/>
              <w:rPr>
                <w:sz w:val="2"/>
                <w:szCs w:val="2"/>
                <w:color w:val="auto"/>
              </w:rPr>
            </w:pPr>
          </w:p>
        </w:tc>
        <w:tc>
          <w:tcPr>
            <w:tcW w:w="1600" w:type="dxa"/>
            <w:vAlign w:val="bottom"/>
            <w:shd w:val="clear" w:color="auto" w:fill="D2DCE5"/>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131E29"/>
        </w:rPr>
        <w:t>Supplemental cash flow information related to leases as of June 30, 2023 is as follows for the periods presented:</w:t>
      </w:r>
    </w:p>
    <w:p>
      <w:pPr>
        <w:spacing w:after="0" w:line="215"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37465</wp:posOffset>
            </wp:positionV>
            <wp:extent cx="17399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70"/>
        </w:trPr>
        <w:tc>
          <w:tcPr>
            <w:tcW w:w="834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Cash paid for amounts included in the measurement of lease liabilities:</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131E29"/>
              </w:rPr>
              <w:t>Operating cash flows from finance leases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7,589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3,779</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Operating cash flows from operating leases</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8,696</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131E29"/>
              </w:rPr>
              <w:t>Financing cash flows from finance leases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7,049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1,789</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Right-of-use assets obtained in exchange for lease obligations</w:t>
            </w:r>
            <w:r>
              <w:rPr>
                <w:rFonts w:ascii="Arial" w:cs="Arial" w:eastAsia="Arial" w:hAnsi="Arial"/>
                <w:sz w:val="23"/>
                <w:szCs w:val="23"/>
                <w:b w:val="1"/>
                <w:bCs w:val="1"/>
                <w:color w:val="131E29"/>
                <w:vertAlign w:val="superscript"/>
              </w:rPr>
              <w:t>1</w:t>
            </w:r>
            <w:r>
              <w:rPr>
                <w:rFonts w:ascii="Arial" w:cs="Arial" w:eastAsia="Arial" w:hAnsi="Arial"/>
                <w:sz w:val="18"/>
                <w:szCs w:val="18"/>
                <w:b w:val="1"/>
                <w:bCs w:val="1"/>
                <w:color w:val="131E29"/>
              </w:rPr>
              <w:t>:</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131E29"/>
              </w:rPr>
              <w:t>Finance leases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87,201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90,947</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13,495</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163,511</w:t>
            </w:r>
          </w:p>
        </w:tc>
      </w:tr>
      <w:tr>
        <w:trPr>
          <w:trHeight w:val="311"/>
        </w:trPr>
        <w:tc>
          <w:tcPr>
            <w:tcW w:w="8340" w:type="dxa"/>
            <w:vAlign w:val="bottom"/>
          </w:tcPr>
          <w:p>
            <w:pPr>
              <w:spacing w:after="0"/>
              <w:rPr>
                <w:sz w:val="20"/>
                <w:szCs w:val="20"/>
                <w:color w:val="auto"/>
              </w:rPr>
            </w:pPr>
            <w:r>
              <w:rPr>
                <w:rFonts w:ascii="Arial" w:cs="Arial" w:eastAsia="Arial" w:hAnsi="Arial"/>
                <w:sz w:val="18"/>
                <w:szCs w:val="18"/>
                <w:color w:val="131E29"/>
              </w:rPr>
              <w:t>________________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02"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3"/>
          <w:szCs w:val="23"/>
          <w:color w:val="131E29"/>
          <w:vertAlign w:val="superscript"/>
        </w:rPr>
      </w:pPr>
      <w:r>
        <w:rPr>
          <w:rFonts w:ascii="Arial" w:cs="Arial" w:eastAsia="Arial" w:hAnsi="Arial"/>
          <w:sz w:val="14"/>
          <w:szCs w:val="14"/>
          <w:color w:val="131E29"/>
        </w:rPr>
        <w:t>The 2022 amounts include the transition adjustment for the adoption of ASU 2016-02, as amended.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9 —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On February 28, 2022 (the Effective Date), the Company amended its credit facility entered into on May 12, 2021 with JPMorgan Chase, N.A. (the Senior Secured Credit Facility). The amended facility (the 2022 Credit Facility) has a total capacity of $500 million, consisting of a $250 million revolving credit facility, a delayed draw term loan facility of up to $150 million, and a term loan facility of up to $100 million. The revolving credit facility includes sub-limits for issuance of letters of credit and swing line loans of up to $50 million and $15 million, respectively. The 2022 Credit Facility also contains an option allowing the Company to increase the size of the 2022 Credit Facility by up to an additional $150 million, with the agreement of the committing lenders. The 2022 Credit Facility expires five years after the Effective Date.</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Upon entering into the 2022 Credit Facility in February 2022, the Company drew the full $100 million term loan facility and approximately $28 million in revolving loans, and the existing credit facility was repaid and terminated.</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The Company is required to pay a commitment fee on a quarterly basis, at a per annum rate of between 0.20% and 0.45% (depending on the Company’s maximum net lease-adjusted total leverage ratio) based on the (i) average daily unused portion of the revolving credit facility, and (ii) the daily undrawn amount of the delayed draw term loan facility. These fees are recorded as interest expense on the Company’s condensed consolidated statements of operations.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limit the Company’s ability to incur additional debt, grant liens on assets, merge with or acquire other companies, make other investments, dispose of assets, and enter into sale and leaseback transactions and swap agreements. Obligations under the 2022 Credit Facility are guaranteed by Dutch Bros OpCo and its subsidiaries, and secured by a first priority perfected security interest in substantially all of the assets of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As of June 30, 2023, approximately $96.9 million and $182.7 million of principal amounts were outstanding on the term loan and revolving loans, respectively, and $67.3 million was available for borrowing on the revolving loans. The term loan bears interest at 7.45% and revolving loans bear interest at approximately 7.47% as of June 30, 2023. The Company was in compliance with its financial covenants as of that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131E29"/>
        </w:rPr>
        <w:t>See NOTE 19 — Subsequent Event for additional details related to the the Company’s credit facility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006098"/>
              </w:rPr>
              <w:t>Long-Term Debt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7720" w:type="dxa"/>
            <w:vAlign w:val="bottom"/>
          </w:tcPr>
          <w:p>
            <w:pPr>
              <w:spacing w:after="0"/>
              <w:rPr>
                <w:sz w:val="20"/>
                <w:szCs w:val="20"/>
                <w:color w:val="auto"/>
              </w:rPr>
            </w:pPr>
            <w:r>
              <w:rPr>
                <w:rFonts w:ascii="Arial" w:cs="Arial" w:eastAsia="Arial" w:hAnsi="Arial"/>
                <w:sz w:val="18"/>
                <w:szCs w:val="18"/>
                <w:color w:val="131E29"/>
              </w:rPr>
              <w:t>The Company’s long-term debt consisted of the following for the periods presented: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20" w:type="dxa"/>
            <w:vAlign w:val="bottom"/>
          </w:tcPr>
          <w:p>
            <w:pPr>
              <w:spacing w:after="0"/>
              <w:rPr>
                <w:sz w:val="24"/>
                <w:szCs w:val="24"/>
                <w:color w:val="auto"/>
              </w:rPr>
            </w:pPr>
          </w:p>
        </w:tc>
        <w:tc>
          <w:tcPr>
            <w:tcW w:w="160" w:type="dxa"/>
            <w:vAlign w:val="bottom"/>
            <w:tcBorders>
              <w:bottom w:val="single" w:sz="8" w:color="131E29"/>
            </w:tcBorders>
          </w:tcPr>
          <w:p>
            <w:pPr>
              <w:spacing w:after="0"/>
              <w:rPr>
                <w:sz w:val="24"/>
                <w:szCs w:val="24"/>
                <w:color w:val="auto"/>
              </w:rPr>
            </w:pPr>
          </w:p>
        </w:tc>
        <w:tc>
          <w:tcPr>
            <w:tcW w:w="1400" w:type="dxa"/>
            <w:vAlign w:val="bottom"/>
            <w:tcBorders>
              <w:bottom w:val="single" w:sz="8" w:color="131E29"/>
            </w:tcBorders>
          </w:tcPr>
          <w:p>
            <w:pPr>
              <w:jc w:val="right"/>
              <w:ind w:right="110"/>
              <w:spacing w:after="0"/>
              <w:rPr>
                <w:sz w:val="20"/>
                <w:szCs w:val="20"/>
                <w:color w:val="auto"/>
              </w:rPr>
            </w:pPr>
            <w:r>
              <w:rPr>
                <w:rFonts w:ascii="Arial" w:cs="Arial" w:eastAsia="Arial" w:hAnsi="Arial"/>
                <w:sz w:val="18"/>
                <w:szCs w:val="18"/>
                <w:b w:val="1"/>
                <w:bCs w:val="1"/>
                <w:color w:val="131E29"/>
              </w:rPr>
              <w:t>June 30, 2023</w:t>
            </w:r>
          </w:p>
        </w:tc>
        <w:tc>
          <w:tcPr>
            <w:tcW w:w="120" w:type="dxa"/>
            <w:vAlign w:val="bottom"/>
          </w:tcPr>
          <w:p>
            <w:pPr>
              <w:spacing w:after="0"/>
              <w:rPr>
                <w:sz w:val="24"/>
                <w:szCs w:val="24"/>
                <w:color w:val="auto"/>
              </w:rPr>
            </w:pPr>
          </w:p>
        </w:tc>
        <w:tc>
          <w:tcPr>
            <w:tcW w:w="40" w:type="dxa"/>
            <w:vAlign w:val="bottom"/>
            <w:tcBorders>
              <w:bottom w:val="single" w:sz="8" w:color="131E29"/>
            </w:tcBorders>
          </w:tcPr>
          <w:p>
            <w:pPr>
              <w:spacing w:after="0"/>
              <w:rPr>
                <w:sz w:val="24"/>
                <w:szCs w:val="24"/>
                <w:color w:val="auto"/>
              </w:rPr>
            </w:pPr>
          </w:p>
        </w:tc>
        <w:tc>
          <w:tcPr>
            <w:tcW w:w="1680" w:type="dxa"/>
            <w:vAlign w:val="bottom"/>
            <w:tcBorders>
              <w:bottom w:val="single" w:sz="8" w:color="131E29"/>
            </w:tcBorders>
            <w:gridSpan w:val="3"/>
          </w:tcPr>
          <w:p>
            <w:pPr>
              <w:jc w:val="right"/>
              <w:spacing w:after="0"/>
              <w:rPr>
                <w:sz w:val="20"/>
                <w:szCs w:val="20"/>
                <w:color w:val="auto"/>
              </w:rPr>
            </w:pPr>
            <w:r>
              <w:rPr>
                <w:rFonts w:ascii="Arial" w:cs="Arial" w:eastAsia="Arial" w:hAnsi="Arial"/>
                <w:sz w:val="18"/>
                <w:szCs w:val="18"/>
                <w:b w:val="1"/>
                <w:bCs w:val="1"/>
                <w:color w:val="131E29"/>
                <w:w w:val="98"/>
              </w:rPr>
              <w:t>December 31, 2022</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Term loan under credit facility</w:t>
            </w:r>
          </w:p>
        </w:tc>
        <w:tc>
          <w:tcPr>
            <w:tcW w:w="280" w:type="dxa"/>
            <w:vAlign w:val="bottom"/>
            <w:tcBorders>
              <w:bottom w:val="single" w:sz="8" w:color="D2DCE5"/>
            </w:tcBorders>
            <w:gridSpan w:val="2"/>
            <w:shd w:val="clear" w:color="auto" w:fill="D2DCE5"/>
          </w:tcPr>
          <w:p>
            <w:pPr>
              <w:jc w:val="right"/>
              <w:ind w:right="60"/>
              <w:spacing w:after="0"/>
              <w:rPr>
                <w:sz w:val="20"/>
                <w:szCs w:val="20"/>
                <w:color w:val="auto"/>
              </w:rPr>
            </w:pPr>
            <w:r>
              <w:rPr>
                <w:rFonts w:ascii="Arial" w:cs="Arial" w:eastAsia="Arial" w:hAnsi="Arial"/>
                <w:sz w:val="18"/>
                <w:szCs w:val="18"/>
                <w:color w:val="131E29"/>
              </w:rPr>
              <w:t>$</w:t>
            </w:r>
          </w:p>
        </w:tc>
        <w:tc>
          <w:tcPr>
            <w:tcW w:w="14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96,875</w:t>
            </w:r>
          </w:p>
        </w:tc>
        <w:tc>
          <w:tcPr>
            <w:tcW w:w="260" w:type="dxa"/>
            <w:vAlign w:val="bottom"/>
            <w:tcBorders>
              <w:bottom w:val="single" w:sz="8" w:color="D2DCE5"/>
            </w:tcBorders>
            <w:gridSpan w:val="3"/>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98,125</w:t>
            </w:r>
          </w:p>
        </w:tc>
        <w:tc>
          <w:tcPr>
            <w:tcW w:w="0" w:type="dxa"/>
            <w:vAlign w:val="bottom"/>
          </w:tcPr>
          <w:p>
            <w:pPr>
              <w:spacing w:after="0"/>
              <w:rPr>
                <w:sz w:val="1"/>
                <w:szCs w:val="1"/>
                <w:color w:val="auto"/>
              </w:rPr>
            </w:pPr>
          </w:p>
        </w:tc>
      </w:tr>
      <w:tr>
        <w:trPr>
          <w:trHeight w:val="270"/>
        </w:trPr>
        <w:tc>
          <w:tcPr>
            <w:tcW w:w="7720" w:type="dxa"/>
            <w:vAlign w:val="bottom"/>
          </w:tcPr>
          <w:p>
            <w:pPr>
              <w:ind w:left="20"/>
              <w:spacing w:after="0"/>
              <w:rPr>
                <w:sz w:val="20"/>
                <w:szCs w:val="20"/>
                <w:color w:val="auto"/>
              </w:rPr>
            </w:pPr>
            <w:r>
              <w:rPr>
                <w:rFonts w:ascii="Arial" w:cs="Arial" w:eastAsia="Arial" w:hAnsi="Arial"/>
                <w:sz w:val="18"/>
                <w:szCs w:val="18"/>
                <w:color w:val="131E29"/>
              </w:rPr>
              <w:t>Finance obligation</w:t>
            </w:r>
            <w:r>
              <w:rPr>
                <w:rFonts w:ascii="Arial" w:cs="Arial" w:eastAsia="Arial" w:hAnsi="Arial"/>
                <w:sz w:val="23"/>
                <w:szCs w:val="23"/>
                <w:color w:val="131E29"/>
                <w:vertAlign w:val="superscript"/>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131E29"/>
              </w:rPr>
              <w:t>1,383</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1,379</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Unsecured note payable</w:t>
            </w:r>
          </w:p>
        </w:tc>
        <w:tc>
          <w:tcPr>
            <w:tcW w:w="12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471</w:t>
            </w:r>
          </w:p>
        </w:tc>
        <w:tc>
          <w:tcPr>
            <w:tcW w:w="120" w:type="dxa"/>
            <w:vAlign w:val="bottom"/>
            <w:tcBorders>
              <w:bottom w:val="single" w:sz="8" w:color="D2DCE5"/>
            </w:tcBorders>
            <w:shd w:val="clear" w:color="auto" w:fill="D2DCE5"/>
          </w:tcPr>
          <w:p>
            <w:pPr>
              <w:spacing w:after="0"/>
              <w:rPr>
                <w:sz w:val="22"/>
                <w:szCs w:val="22"/>
                <w:color w:val="auto"/>
              </w:rPr>
            </w:pPr>
          </w:p>
        </w:tc>
        <w:tc>
          <w:tcPr>
            <w:tcW w:w="40" w:type="dxa"/>
            <w:vAlign w:val="bottom"/>
            <w:tcBorders>
              <w:bottom w:val="single" w:sz="8" w:color="auto"/>
            </w:tcBorders>
            <w:shd w:val="clear" w:color="auto" w:fill="D2DCE5"/>
          </w:tcPr>
          <w:p>
            <w:pPr>
              <w:spacing w:after="0"/>
              <w:rPr>
                <w:sz w:val="22"/>
                <w:szCs w:val="22"/>
                <w:color w:val="auto"/>
              </w:rPr>
            </w:pPr>
          </w:p>
        </w:tc>
        <w:tc>
          <w:tcPr>
            <w:tcW w:w="100" w:type="dxa"/>
            <w:vAlign w:val="bottom"/>
            <w:tcBorders>
              <w:bottom w:val="single" w:sz="8" w:color="auto"/>
            </w:tcBorders>
            <w:shd w:val="clear" w:color="auto" w:fill="D2DCE5"/>
          </w:tcPr>
          <w:p>
            <w:pPr>
              <w:spacing w:after="0"/>
              <w:rPr>
                <w:sz w:val="22"/>
                <w:szCs w:val="22"/>
                <w:color w:val="auto"/>
              </w:rPr>
            </w:pPr>
          </w:p>
        </w:tc>
        <w:tc>
          <w:tcPr>
            <w:tcW w:w="480" w:type="dxa"/>
            <w:vAlign w:val="bottom"/>
            <w:tcBorders>
              <w:bottom w:val="single" w:sz="8" w:color="auto"/>
            </w:tcBorders>
            <w:shd w:val="clear" w:color="auto" w:fill="D2DCE5"/>
          </w:tcPr>
          <w:p>
            <w:pPr>
              <w:spacing w:after="0"/>
              <w:rPr>
                <w:sz w:val="22"/>
                <w:szCs w:val="22"/>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524</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rPr>
                <w:sz w:val="20"/>
                <w:szCs w:val="20"/>
                <w:color w:val="auto"/>
              </w:rPr>
            </w:pPr>
            <w:r>
              <w:rPr>
                <w:rFonts w:ascii="Arial" w:cs="Arial" w:eastAsia="Arial" w:hAnsi="Arial"/>
                <w:sz w:val="18"/>
                <w:szCs w:val="18"/>
                <w:color w:val="131E29"/>
              </w:rPr>
              <w:t>Total debt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131E29"/>
              </w:rPr>
              <w:t>98,729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100,028</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Less: loan origination fees</w:t>
            </w:r>
          </w:p>
        </w:tc>
        <w:tc>
          <w:tcPr>
            <w:tcW w:w="12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4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(985)</w:t>
            </w:r>
          </w:p>
        </w:tc>
        <w:tc>
          <w:tcPr>
            <w:tcW w:w="12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(1,122)</w:t>
            </w:r>
          </w:p>
        </w:tc>
        <w:tc>
          <w:tcPr>
            <w:tcW w:w="0" w:type="dxa"/>
            <w:vAlign w:val="bottom"/>
          </w:tcPr>
          <w:p>
            <w:pPr>
              <w:spacing w:after="0"/>
              <w:rPr>
                <w:sz w:val="1"/>
                <w:szCs w:val="1"/>
                <w:color w:val="auto"/>
              </w:rPr>
            </w:pPr>
          </w:p>
        </w:tc>
      </w:tr>
      <w:tr>
        <w:trPr>
          <w:trHeight w:val="263"/>
        </w:trPr>
        <w:tc>
          <w:tcPr>
            <w:tcW w:w="7720" w:type="dxa"/>
            <w:vAlign w:val="bottom"/>
          </w:tcPr>
          <w:p>
            <w:pPr>
              <w:ind w:left="20"/>
              <w:spacing w:after="0"/>
              <w:rPr>
                <w:sz w:val="20"/>
                <w:szCs w:val="20"/>
                <w:color w:val="auto"/>
              </w:rPr>
            </w:pPr>
            <w:r>
              <w:rPr>
                <w:rFonts w:ascii="Arial" w:cs="Arial" w:eastAsia="Arial" w:hAnsi="Arial"/>
                <w:sz w:val="18"/>
                <w:szCs w:val="18"/>
                <w:color w:val="131E29"/>
              </w:rPr>
              <w:t>Less: current portion</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(3,238)</w:t>
            </w: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(2,609)</w:t>
            </w:r>
          </w:p>
        </w:tc>
        <w:tc>
          <w:tcPr>
            <w:tcW w:w="0" w:type="dxa"/>
            <w:vAlign w:val="bottom"/>
          </w:tcPr>
          <w:p>
            <w:pPr>
              <w:spacing w:after="0"/>
              <w:rPr>
                <w:sz w:val="1"/>
                <w:szCs w:val="1"/>
                <w:color w:val="auto"/>
              </w:rPr>
            </w:pPr>
          </w:p>
        </w:tc>
      </w:tr>
      <w:tr>
        <w:trPr>
          <w:trHeight w:val="290"/>
        </w:trPr>
        <w:tc>
          <w:tcPr>
            <w:tcW w:w="772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Total long-term debt, net of current portion</w:t>
            </w:r>
          </w:p>
        </w:tc>
        <w:tc>
          <w:tcPr>
            <w:tcW w:w="280" w:type="dxa"/>
            <w:vAlign w:val="bottom"/>
            <w:gridSpan w:val="2"/>
            <w:shd w:val="clear" w:color="auto" w:fill="D2DCE5"/>
          </w:tcPr>
          <w:p>
            <w:pPr>
              <w:jc w:val="right"/>
              <w:ind w:right="60"/>
              <w:spacing w:after="0"/>
              <w:rPr>
                <w:sz w:val="20"/>
                <w:szCs w:val="20"/>
                <w:color w:val="auto"/>
              </w:rPr>
            </w:pPr>
            <w:r>
              <w:rPr>
                <w:rFonts w:ascii="Arial" w:cs="Arial" w:eastAsia="Arial" w:hAnsi="Arial"/>
                <w:sz w:val="18"/>
                <w:szCs w:val="18"/>
                <w:color w:val="131E29"/>
              </w:rPr>
              <w:t>$</w:t>
            </w:r>
          </w:p>
        </w:tc>
        <w:tc>
          <w:tcPr>
            <w:tcW w:w="14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94,506</w:t>
            </w:r>
          </w:p>
        </w:tc>
        <w:tc>
          <w:tcPr>
            <w:tcW w:w="260" w:type="dxa"/>
            <w:vAlign w:val="bottom"/>
            <w:gridSpan w:val="3"/>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480" w:type="dxa"/>
            <w:vAlign w:val="bottom"/>
            <w:shd w:val="clear" w:color="auto" w:fill="D2DCE5"/>
          </w:tcPr>
          <w:p>
            <w:pPr>
              <w:spacing w:after="0"/>
              <w:rPr>
                <w:sz w:val="24"/>
                <w:szCs w:val="24"/>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96,297</w:t>
            </w:r>
          </w:p>
        </w:tc>
        <w:tc>
          <w:tcPr>
            <w:tcW w:w="0" w:type="dxa"/>
            <w:vAlign w:val="bottom"/>
          </w:tcPr>
          <w:p>
            <w:pPr>
              <w:spacing w:after="0"/>
              <w:rPr>
                <w:sz w:val="1"/>
                <w:szCs w:val="1"/>
                <w:color w:val="auto"/>
              </w:rPr>
            </w:pPr>
          </w:p>
        </w:tc>
      </w:tr>
      <w:tr>
        <w:trPr>
          <w:trHeight w:val="20"/>
        </w:trPr>
        <w:tc>
          <w:tcPr>
            <w:tcW w:w="772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8"/>
                <w:szCs w:val="18"/>
                <w:color w:val="131E29"/>
              </w:rPr>
              <w:t>_______________</w:t>
            </w:r>
          </w:p>
        </w:tc>
        <w:tc>
          <w:tcPr>
            <w:tcW w:w="12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720" w:type="dxa"/>
            <w:vAlign w:val="bottom"/>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Represents failed sale-leaseback arrangements under ASC 842.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720" w:type="dxa"/>
            <w:vAlign w:val="bottom"/>
          </w:tcPr>
          <w:p>
            <w:pPr>
              <w:spacing w:after="0"/>
              <w:rPr>
                <w:sz w:val="20"/>
                <w:szCs w:val="20"/>
                <w:color w:val="auto"/>
              </w:rPr>
            </w:pPr>
            <w:r>
              <w:rPr>
                <w:rFonts w:ascii="Arial" w:cs="Arial" w:eastAsia="Arial" w:hAnsi="Arial"/>
                <w:sz w:val="18"/>
                <w:szCs w:val="18"/>
                <w:color w:val="131E29"/>
              </w:rPr>
              <w:t>Future annual maturities of long-term debt as of June 30, 2023 are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720" w:type="dxa"/>
            <w:vAlign w:val="bottom"/>
          </w:tcPr>
          <w:p>
            <w:pPr>
              <w:ind w:left="20"/>
              <w:spacing w:after="0"/>
              <w:rPr>
                <w:sz w:val="20"/>
                <w:szCs w:val="20"/>
                <w:color w:val="auto"/>
              </w:rPr>
            </w:pPr>
            <w:r>
              <w:rPr>
                <w:rFonts w:ascii="Arial" w:cs="Arial" w:eastAsia="Arial" w:hAnsi="Arial"/>
                <w:sz w:val="14"/>
                <w:szCs w:val="14"/>
                <w:color w:val="131E29"/>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Remainder of 2023</w:t>
            </w:r>
          </w:p>
        </w:tc>
        <w:tc>
          <w:tcPr>
            <w:tcW w:w="12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400" w:type="dxa"/>
            <w:vAlign w:val="bottom"/>
            <w:tcBorders>
              <w:bottom w:val="single" w:sz="8" w:color="D2DCE5"/>
            </w:tcBorders>
            <w:shd w:val="clear" w:color="auto" w:fill="D2DCE5"/>
          </w:tcPr>
          <w:p>
            <w:pPr>
              <w:spacing w:after="0"/>
              <w:rPr>
                <w:sz w:val="21"/>
                <w:szCs w:val="21"/>
                <w:color w:val="auto"/>
              </w:rPr>
            </w:pPr>
          </w:p>
        </w:tc>
        <w:tc>
          <w:tcPr>
            <w:tcW w:w="740" w:type="dxa"/>
            <w:vAlign w:val="bottom"/>
            <w:tcBorders>
              <w:bottom w:val="single" w:sz="8" w:color="D2DCE5"/>
            </w:tcBorders>
            <w:gridSpan w:val="4"/>
            <w:shd w:val="clear" w:color="auto" w:fill="D2DCE5"/>
          </w:tcPr>
          <w:p>
            <w:pPr>
              <w:jc w:val="right"/>
              <w:ind w:right="360"/>
              <w:spacing w:after="0"/>
              <w:rPr>
                <w:sz w:val="20"/>
                <w:szCs w:val="20"/>
                <w:color w:val="auto"/>
              </w:rPr>
            </w:pPr>
            <w:r>
              <w:rPr>
                <w:rFonts w:ascii="Arial" w:cs="Arial" w:eastAsia="Arial" w:hAnsi="Arial"/>
                <w:sz w:val="18"/>
                <w:szCs w:val="18"/>
                <w:color w:val="131E29"/>
              </w:rPr>
              <w: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1,306</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131E29"/>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4,491</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2025</w:t>
            </w:r>
          </w:p>
        </w:tc>
        <w:tc>
          <w:tcPr>
            <w:tcW w:w="12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4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6,998</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131E29"/>
              </w:rPr>
              <w:t>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13,256</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2027</w:t>
            </w:r>
          </w:p>
        </w:tc>
        <w:tc>
          <w:tcPr>
            <w:tcW w:w="12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4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71,295</w:t>
            </w:r>
          </w:p>
        </w:tc>
        <w:tc>
          <w:tcPr>
            <w:tcW w:w="0" w:type="dxa"/>
            <w:vAlign w:val="bottom"/>
          </w:tcPr>
          <w:p>
            <w:pPr>
              <w:spacing w:after="0"/>
              <w:rPr>
                <w:sz w:val="1"/>
                <w:szCs w:val="1"/>
                <w:color w:val="auto"/>
              </w:rPr>
            </w:pPr>
          </w:p>
        </w:tc>
      </w:tr>
      <w:tr>
        <w:trPr>
          <w:trHeight w:val="263"/>
        </w:trPr>
        <w:tc>
          <w:tcPr>
            <w:tcW w:w="7720" w:type="dxa"/>
            <w:vAlign w:val="bottom"/>
          </w:tcPr>
          <w:p>
            <w:pPr>
              <w:ind w:left="20"/>
              <w:spacing w:after="0"/>
              <w:rPr>
                <w:sz w:val="20"/>
                <w:szCs w:val="20"/>
                <w:color w:val="auto"/>
              </w:rPr>
            </w:pPr>
            <w:r>
              <w:rPr>
                <w:rFonts w:ascii="Arial" w:cs="Arial" w:eastAsia="Arial" w:hAnsi="Arial"/>
                <w:sz w:val="18"/>
                <w:szCs w:val="18"/>
                <w:color w:val="131E29"/>
              </w:rPr>
              <w:t>Thereafter</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1,383</w:t>
            </w:r>
          </w:p>
        </w:tc>
        <w:tc>
          <w:tcPr>
            <w:tcW w:w="0" w:type="dxa"/>
            <w:vAlign w:val="bottom"/>
          </w:tcPr>
          <w:p>
            <w:pPr>
              <w:spacing w:after="0"/>
              <w:rPr>
                <w:sz w:val="1"/>
                <w:szCs w:val="1"/>
                <w:color w:val="auto"/>
              </w:rPr>
            </w:pPr>
          </w:p>
        </w:tc>
      </w:tr>
      <w:tr>
        <w:trPr>
          <w:trHeight w:val="290"/>
        </w:trPr>
        <w:tc>
          <w:tcPr>
            <w:tcW w:w="772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Total</w:t>
            </w:r>
          </w:p>
        </w:tc>
        <w:tc>
          <w:tcPr>
            <w:tcW w:w="12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1400" w:type="dxa"/>
            <w:vAlign w:val="bottom"/>
            <w:shd w:val="clear" w:color="auto" w:fill="D2DCE5"/>
          </w:tcPr>
          <w:p>
            <w:pPr>
              <w:spacing w:after="0"/>
              <w:rPr>
                <w:sz w:val="24"/>
                <w:szCs w:val="24"/>
                <w:color w:val="auto"/>
              </w:rPr>
            </w:pPr>
          </w:p>
        </w:tc>
        <w:tc>
          <w:tcPr>
            <w:tcW w:w="740" w:type="dxa"/>
            <w:vAlign w:val="bottom"/>
            <w:gridSpan w:val="4"/>
            <w:shd w:val="clear" w:color="auto" w:fill="D2DCE5"/>
          </w:tcPr>
          <w:p>
            <w:pPr>
              <w:jc w:val="right"/>
              <w:ind w:right="360"/>
              <w:spacing w:after="0"/>
              <w:rPr>
                <w:sz w:val="20"/>
                <w:szCs w:val="20"/>
                <w:color w:val="auto"/>
              </w:rPr>
            </w:pPr>
            <w:r>
              <w:rPr>
                <w:rFonts w:ascii="Arial" w:cs="Arial" w:eastAsia="Arial" w:hAnsi="Arial"/>
                <w:sz w:val="18"/>
                <w:szCs w:val="18"/>
                <w:color w:val="131E29"/>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98,729</w:t>
            </w:r>
          </w:p>
        </w:tc>
        <w:tc>
          <w:tcPr>
            <w:tcW w:w="0" w:type="dxa"/>
            <w:vAlign w:val="bottom"/>
          </w:tcPr>
          <w:p>
            <w:pPr>
              <w:spacing w:after="0"/>
              <w:rPr>
                <w:sz w:val="1"/>
                <w:szCs w:val="1"/>
                <w:color w:val="auto"/>
              </w:rPr>
            </w:pPr>
          </w:p>
        </w:tc>
      </w:tr>
      <w:tr>
        <w:trPr>
          <w:trHeight w:val="20"/>
        </w:trPr>
        <w:tc>
          <w:tcPr>
            <w:tcW w:w="772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tcBorders>
          </w:tcPr>
          <w:p>
            <w:pPr>
              <w:spacing w:after="0" w:line="20" w:lineRule="exact"/>
              <w:rPr>
                <w:sz w:val="1"/>
                <w:szCs w:val="1"/>
                <w:color w:val="auto"/>
              </w:rPr>
            </w:pPr>
          </w:p>
        </w:tc>
        <w:tc>
          <w:tcPr>
            <w:tcW w:w="14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10 — Fair Value Measurements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The Company’s condensed consolidated financial statements include cash and cash equivalents, accounts receivable, accounts payable, accrued expenses and other current liabilities, for which the carrying amounts approximate fair value due to their short-term maturity. The fair value of the Company’s variable-rate term loan and revolving loans approximate their carrying amounts; these debt instruments are designated as Level 2 within the fair value hierarchy. The Company’s cost of borrowing is variable and approximates current market rates.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The Company has an interest rate swap, which is required to be measured at fair value on a recurring basis. Designated as a Level 2 instrument within the fair value hierarchy, the interest rate swap as of June 30, 2023 had a fair value of $3.4 million, and is recorded as an asset on the Company’s condensed consolidated balance sheet.</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The fair value of the Company’s interest rate swap was determined based on the present value of expected future cash flows considering the risks involved, including nonperformance risk, and using discount rates appropriate for the duration based on 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131E29"/>
        </w:rPr>
        <w:t>See NOTE 11 — Derivative Financial Instruments for additional details related to the interest rate swap.</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11 — Derivative Financial Instruments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From time to time, the Company may enter into interest rate swaps to fix a portion of interest expense. The Company does not enter into derivative instruments for any other purpose other than to manage its risks related to fluctuations in interest rates and does not engage in interest rate speculation using derivative instruments.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During 2022, the Company entered into a receive-variable (Receive Leg), pay-fixed (Pay Leg) interest rate swap with JPMorgan Chase Bank, N.A with respect to $70 million of the term loan under the 2022 Credit Facility. The interest rate swap matures on February 28, 2027 and has a fixed rate of 2.67% per annum for the Pay Leg. The variable rate on the Receive Leg of the interest rate swap is the one-month adjusted term SOFR plus an applicable margin. As of June 30, 2023, the one-month adjusted term SOFR was 5.10%.</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The Company typically designates all interest rate swaps as cash flow hedges, and accordingly, records the change in fair value for the effective portion of the interest rate swap in AOCI rather than in current period earnings until the underlying hedged transaction affects earnings. As of June 30, 2023, the Company expects to reclassify a gain of approximately $1.7 million from AOCI to earnings within the next twelve months.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131E29"/>
        </w:rPr>
        <w:t>The fair value and effect of the derivative instrument included in the Company’s condensed consolidated financial statements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Pr>
          <w:p>
            <w:pPr>
              <w:jc w:val="right"/>
              <w:ind w:right="610"/>
              <w:spacing w:after="0"/>
              <w:rPr>
                <w:sz w:val="20"/>
                <w:szCs w:val="20"/>
                <w:color w:val="auto"/>
              </w:rPr>
            </w:pPr>
            <w:r>
              <w:rPr>
                <w:rFonts w:ascii="Arial" w:cs="Arial" w:eastAsia="Arial" w:hAnsi="Arial"/>
                <w:sz w:val="18"/>
                <w:szCs w:val="18"/>
                <w:b w:val="1"/>
                <w:bCs w:val="1"/>
                <w:color w:val="131E29"/>
              </w:rPr>
              <w:t>June 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131E29"/>
              </w:rPr>
              <w:t>December 31,</w:t>
            </w:r>
          </w:p>
        </w:tc>
        <w:tc>
          <w:tcPr>
            <w:tcW w:w="0" w:type="dxa"/>
            <w:vAlign w:val="bottom"/>
          </w:tcPr>
          <w:p>
            <w:pPr>
              <w:spacing w:after="0"/>
              <w:rPr>
                <w:sz w:val="1"/>
                <w:szCs w:val="1"/>
                <w:color w:val="auto"/>
              </w:rPr>
            </w:pPr>
          </w:p>
        </w:tc>
      </w:tr>
      <w:tr>
        <w:trPr>
          <w:trHeight w:val="25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20" w:type="dxa"/>
            <w:vAlign w:val="bottom"/>
          </w:tcPr>
          <w:p>
            <w:pPr>
              <w:spacing w:after="0"/>
              <w:rPr>
                <w:sz w:val="22"/>
                <w:szCs w:val="22"/>
                <w:color w:val="auto"/>
              </w:rPr>
            </w:pPr>
          </w:p>
        </w:tc>
        <w:tc>
          <w:tcPr>
            <w:tcW w:w="27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131E29"/>
              </w:rPr>
              <w:t>Balance Sheet Classification</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131E29"/>
              </w:rPr>
              <w:t>2023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131E29"/>
              </w:rPr>
              <w:t>2022</w:t>
            </w:r>
          </w:p>
        </w:tc>
        <w:tc>
          <w:tcPr>
            <w:tcW w:w="0" w:type="dxa"/>
            <w:vAlign w:val="bottom"/>
          </w:tcPr>
          <w:p>
            <w:pPr>
              <w:spacing w:after="0"/>
              <w:rPr>
                <w:sz w:val="1"/>
                <w:szCs w:val="1"/>
                <w:color w:val="auto"/>
              </w:rPr>
            </w:pPr>
          </w:p>
        </w:tc>
      </w:tr>
      <w:tr>
        <w:trPr>
          <w:trHeight w:val="230"/>
        </w:trPr>
        <w:tc>
          <w:tcPr>
            <w:tcW w:w="362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Derivative instrument designated as cash</w:t>
            </w:r>
          </w:p>
        </w:tc>
        <w:tc>
          <w:tcPr>
            <w:tcW w:w="120" w:type="dxa"/>
            <w:vAlign w:val="bottom"/>
            <w:shd w:val="clear" w:color="auto" w:fill="D2DCE5"/>
          </w:tcPr>
          <w:p>
            <w:pPr>
              <w:spacing w:after="0"/>
              <w:rPr>
                <w:sz w:val="20"/>
                <w:szCs w:val="20"/>
                <w:color w:val="auto"/>
              </w:rPr>
            </w:pPr>
          </w:p>
        </w:tc>
        <w:tc>
          <w:tcPr>
            <w:tcW w:w="27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420" w:type="dxa"/>
            <w:vAlign w:val="bottom"/>
            <w:shd w:val="clear" w:color="auto" w:fill="D2DCE5"/>
          </w:tcPr>
          <w:p>
            <w:pPr>
              <w:spacing w:after="0"/>
              <w:rPr>
                <w:sz w:val="20"/>
                <w:szCs w:val="20"/>
                <w:color w:val="auto"/>
              </w:rPr>
            </w:pPr>
          </w:p>
        </w:tc>
        <w:tc>
          <w:tcPr>
            <w:tcW w:w="170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360" w:type="dxa"/>
            <w:vAlign w:val="bottom"/>
            <w:shd w:val="clear" w:color="auto" w:fill="D2DCE5"/>
          </w:tcPr>
          <w:p>
            <w:pPr>
              <w:spacing w:after="0"/>
              <w:rPr>
                <w:sz w:val="20"/>
                <w:szCs w:val="20"/>
                <w:color w:val="auto"/>
              </w:rPr>
            </w:pPr>
          </w:p>
        </w:tc>
        <w:tc>
          <w:tcPr>
            <w:tcW w:w="204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flow hedge:</w:t>
            </w:r>
          </w:p>
        </w:tc>
        <w:tc>
          <w:tcPr>
            <w:tcW w:w="120" w:type="dxa"/>
            <w:vAlign w:val="bottom"/>
            <w:tcBorders>
              <w:bottom w:val="single" w:sz="8" w:color="D2DCE5"/>
            </w:tcBorders>
            <w:shd w:val="clear" w:color="auto" w:fill="D2DCE5"/>
          </w:tcPr>
          <w:p>
            <w:pPr>
              <w:spacing w:after="0"/>
              <w:rPr>
                <w:sz w:val="20"/>
                <w:szCs w:val="20"/>
                <w:color w:val="auto"/>
              </w:rPr>
            </w:pPr>
          </w:p>
        </w:tc>
        <w:tc>
          <w:tcPr>
            <w:tcW w:w="276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420" w:type="dxa"/>
            <w:vAlign w:val="bottom"/>
            <w:tcBorders>
              <w:bottom w:val="single" w:sz="8" w:color="D2DCE5"/>
            </w:tcBorders>
            <w:shd w:val="clear" w:color="auto" w:fill="D2DCE5"/>
          </w:tcPr>
          <w:p>
            <w:pPr>
              <w:spacing w:after="0"/>
              <w:rPr>
                <w:sz w:val="20"/>
                <w:szCs w:val="20"/>
                <w:color w:val="auto"/>
              </w:rPr>
            </w:pPr>
          </w:p>
        </w:tc>
        <w:tc>
          <w:tcPr>
            <w:tcW w:w="1700" w:type="dxa"/>
            <w:vAlign w:val="bottom"/>
            <w:tcBorders>
              <w:bottom w:val="single" w:sz="8" w:color="D2DCE5"/>
            </w:tcBorders>
            <w:shd w:val="clear" w:color="auto" w:fill="D2DCE5"/>
          </w:tcPr>
          <w:p>
            <w:pPr>
              <w:spacing w:after="0"/>
              <w:rPr>
                <w:sz w:val="20"/>
                <w:szCs w:val="20"/>
                <w:color w:val="auto"/>
              </w:rPr>
            </w:pPr>
          </w:p>
        </w:tc>
        <w:tc>
          <w:tcPr>
            <w:tcW w:w="120" w:type="dxa"/>
            <w:vAlign w:val="bottom"/>
            <w:tcBorders>
              <w:bottom w:val="single" w:sz="8" w:color="D2DCE5"/>
            </w:tcBorders>
            <w:shd w:val="clear" w:color="auto" w:fill="D2DCE5"/>
          </w:tcPr>
          <w:p>
            <w:pPr>
              <w:spacing w:after="0"/>
              <w:rPr>
                <w:sz w:val="20"/>
                <w:szCs w:val="20"/>
                <w:color w:val="auto"/>
              </w:rPr>
            </w:pPr>
          </w:p>
        </w:tc>
        <w:tc>
          <w:tcPr>
            <w:tcW w:w="360" w:type="dxa"/>
            <w:vAlign w:val="bottom"/>
            <w:tcBorders>
              <w:bottom w:val="single" w:sz="8" w:color="D2DCE5"/>
            </w:tcBorders>
            <w:shd w:val="clear" w:color="auto" w:fill="D2DCE5"/>
          </w:tcPr>
          <w:p>
            <w:pPr>
              <w:spacing w:after="0"/>
              <w:rPr>
                <w:sz w:val="20"/>
                <w:szCs w:val="20"/>
                <w:color w:val="auto"/>
              </w:rPr>
            </w:pPr>
          </w:p>
        </w:tc>
        <w:tc>
          <w:tcPr>
            <w:tcW w:w="2040" w:type="dxa"/>
            <w:vAlign w:val="bottom"/>
            <w:tcBorders>
              <w:bottom w:val="single" w:sz="8" w:color="D2DCE5"/>
            </w:tcBorders>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131E29"/>
              </w:rPr>
              <w:t>Prepaid expenses and other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131E29"/>
              </w:rPr>
              <w:t>Interest rate swap contract</w:t>
            </w:r>
          </w:p>
        </w:tc>
        <w:tc>
          <w:tcPr>
            <w:tcW w:w="1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131E29"/>
              </w:rPr>
              <w:t>current assets</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131E29"/>
              </w:rPr>
              <w:t>$</w:t>
            </w:r>
          </w:p>
        </w:tc>
        <w:tc>
          <w:tcPr>
            <w:tcW w:w="1700" w:type="dxa"/>
            <w:vAlign w:val="bottom"/>
          </w:tcPr>
          <w:p>
            <w:pPr>
              <w:jc w:val="right"/>
              <w:spacing w:after="0"/>
              <w:rPr>
                <w:sz w:val="20"/>
                <w:szCs w:val="20"/>
                <w:color w:val="auto"/>
              </w:rPr>
            </w:pPr>
            <w:r>
              <w:rPr>
                <w:rFonts w:ascii="Arial" w:cs="Arial" w:eastAsia="Arial" w:hAnsi="Arial"/>
                <w:sz w:val="18"/>
                <w:szCs w:val="18"/>
                <w:color w:val="131E29"/>
              </w:rPr>
              <w:t>1,738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131E29"/>
              </w:rPr>
              <w:t>$</w:t>
            </w:r>
          </w:p>
        </w:tc>
        <w:tc>
          <w:tcPr>
            <w:tcW w:w="2040" w:type="dxa"/>
            <w:vAlign w:val="bottom"/>
          </w:tcPr>
          <w:p>
            <w:pPr>
              <w:jc w:val="right"/>
              <w:spacing w:after="0"/>
              <w:rPr>
                <w:sz w:val="20"/>
                <w:szCs w:val="20"/>
                <w:color w:val="auto"/>
              </w:rPr>
            </w:pPr>
            <w:r>
              <w:rPr>
                <w:rFonts w:ascii="Arial" w:cs="Arial" w:eastAsia="Arial" w:hAnsi="Arial"/>
                <w:sz w:val="18"/>
                <w:szCs w:val="18"/>
                <w:color w:val="131E29"/>
              </w:rPr>
              <w:t>1,457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620" w:type="dxa"/>
            <w:vAlign w:val="bottom"/>
            <w:tcBorders>
              <w:bottom w:val="single" w:sz="8" w:color="D2DCE5"/>
            </w:tcBorders>
            <w:shd w:val="clear" w:color="auto" w:fill="D2DCE5"/>
          </w:tcPr>
          <w:p>
            <w:pPr>
              <w:spacing w:after="0"/>
              <w:rPr>
                <w:sz w:val="22"/>
                <w:szCs w:val="22"/>
                <w:color w:val="auto"/>
              </w:rPr>
            </w:pPr>
          </w:p>
        </w:tc>
        <w:tc>
          <w:tcPr>
            <w:tcW w:w="120" w:type="dxa"/>
            <w:vAlign w:val="bottom"/>
            <w:tcBorders>
              <w:bottom w:val="single" w:sz="8" w:color="D2DCE5"/>
            </w:tcBorders>
            <w:shd w:val="clear" w:color="auto" w:fill="D2DCE5"/>
          </w:tcPr>
          <w:p>
            <w:pPr>
              <w:spacing w:after="0"/>
              <w:rPr>
                <w:sz w:val="22"/>
                <w:szCs w:val="22"/>
                <w:color w:val="auto"/>
              </w:rPr>
            </w:pPr>
          </w:p>
        </w:tc>
        <w:tc>
          <w:tcPr>
            <w:tcW w:w="27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Other long-term assets</w:t>
            </w:r>
          </w:p>
        </w:tc>
        <w:tc>
          <w:tcPr>
            <w:tcW w:w="100" w:type="dxa"/>
            <w:vAlign w:val="bottom"/>
            <w:tcBorders>
              <w:bottom w:val="single" w:sz="8" w:color="D2DCE5"/>
            </w:tcBorders>
            <w:shd w:val="clear" w:color="auto" w:fill="D2DCE5"/>
          </w:tcPr>
          <w:p>
            <w:pPr>
              <w:spacing w:after="0"/>
              <w:rPr>
                <w:sz w:val="22"/>
                <w:szCs w:val="22"/>
                <w:color w:val="auto"/>
              </w:rPr>
            </w:pPr>
          </w:p>
        </w:tc>
        <w:tc>
          <w:tcPr>
            <w:tcW w:w="420" w:type="dxa"/>
            <w:vAlign w:val="bottom"/>
            <w:tcBorders>
              <w:bottom w:val="single" w:sz="8" w:color="auto"/>
            </w:tcBorders>
            <w:shd w:val="clear" w:color="auto" w:fill="D2DCE5"/>
          </w:tcPr>
          <w:p>
            <w:pPr>
              <w:spacing w:after="0"/>
              <w:rPr>
                <w:sz w:val="22"/>
                <w:szCs w:val="22"/>
                <w:color w:val="auto"/>
              </w:rPr>
            </w:pPr>
          </w:p>
        </w:tc>
        <w:tc>
          <w:tcPr>
            <w:tcW w:w="17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1,706</w:t>
            </w:r>
          </w:p>
        </w:tc>
        <w:tc>
          <w:tcPr>
            <w:tcW w:w="12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auto"/>
            </w:tcBorders>
            <w:shd w:val="clear" w:color="auto" w:fill="D2DCE5"/>
          </w:tcPr>
          <w:p>
            <w:pPr>
              <w:spacing w:after="0"/>
              <w:rPr>
                <w:sz w:val="22"/>
                <w:szCs w:val="22"/>
                <w:color w:val="auto"/>
              </w:rPr>
            </w:pPr>
          </w:p>
        </w:tc>
        <w:tc>
          <w:tcPr>
            <w:tcW w:w="2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1,706</w:t>
            </w:r>
          </w:p>
        </w:tc>
        <w:tc>
          <w:tcPr>
            <w:tcW w:w="0" w:type="dxa"/>
            <w:vAlign w:val="bottom"/>
          </w:tcPr>
          <w:p>
            <w:pPr>
              <w:spacing w:after="0"/>
              <w:rPr>
                <w:sz w:val="1"/>
                <w:szCs w:val="1"/>
                <w:color w:val="auto"/>
              </w:rPr>
            </w:pPr>
          </w:p>
        </w:tc>
      </w:tr>
      <w:tr>
        <w:trPr>
          <w:trHeight w:val="220"/>
        </w:trPr>
        <w:tc>
          <w:tcPr>
            <w:tcW w:w="3620" w:type="dxa"/>
            <w:vAlign w:val="bottom"/>
          </w:tcPr>
          <w:p>
            <w:pPr>
              <w:ind w:left="20"/>
              <w:spacing w:after="0"/>
              <w:rPr>
                <w:sz w:val="20"/>
                <w:szCs w:val="20"/>
                <w:color w:val="auto"/>
              </w:rPr>
            </w:pPr>
            <w:r>
              <w:rPr>
                <w:rFonts w:ascii="Arial" w:cs="Arial" w:eastAsia="Arial" w:hAnsi="Arial"/>
                <w:sz w:val="18"/>
                <w:szCs w:val="18"/>
                <w:b w:val="1"/>
                <w:bCs w:val="1"/>
                <w:color w:val="131E29"/>
              </w:rPr>
              <w:t>Total derivative instrument designated as</w:t>
            </w: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131E29"/>
              </w:rPr>
              <w:t>$</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131E29"/>
              </w:rPr>
              <w:t>3,444</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131E29"/>
              </w:rPr>
              <w:t>$</w:t>
            </w:r>
          </w:p>
        </w:tc>
        <w:tc>
          <w:tcPr>
            <w:tcW w:w="2040" w:type="dxa"/>
            <w:vAlign w:val="bottom"/>
            <w:vMerge w:val="restart"/>
          </w:tcPr>
          <w:p>
            <w:pPr>
              <w:jc w:val="right"/>
              <w:spacing w:after="0"/>
              <w:rPr>
                <w:sz w:val="20"/>
                <w:szCs w:val="20"/>
                <w:color w:val="auto"/>
              </w:rPr>
            </w:pPr>
            <w:r>
              <w:rPr>
                <w:rFonts w:ascii="Arial" w:cs="Arial" w:eastAsia="Arial" w:hAnsi="Arial"/>
                <w:sz w:val="18"/>
                <w:szCs w:val="18"/>
                <w:color w:val="131E29"/>
              </w:rPr>
              <w:t>3,163</w:t>
            </w:r>
          </w:p>
        </w:tc>
        <w:tc>
          <w:tcPr>
            <w:tcW w:w="0" w:type="dxa"/>
            <w:vAlign w:val="bottom"/>
          </w:tcPr>
          <w:p>
            <w:pPr>
              <w:spacing w:after="0"/>
              <w:rPr>
                <w:sz w:val="1"/>
                <w:szCs w:val="1"/>
                <w:color w:val="auto"/>
              </w:rPr>
            </w:pPr>
          </w:p>
        </w:tc>
      </w:tr>
      <w:tr>
        <w:trPr>
          <w:trHeight w:val="239"/>
        </w:trPr>
        <w:tc>
          <w:tcPr>
            <w:tcW w:w="3620" w:type="dxa"/>
            <w:vAlign w:val="bottom"/>
          </w:tcPr>
          <w:p>
            <w:pPr>
              <w:ind w:left="20"/>
              <w:spacing w:after="0"/>
              <w:rPr>
                <w:sz w:val="20"/>
                <w:szCs w:val="20"/>
                <w:color w:val="auto"/>
              </w:rPr>
            </w:pPr>
            <w:r>
              <w:rPr>
                <w:rFonts w:ascii="Arial" w:cs="Arial" w:eastAsia="Arial" w:hAnsi="Arial"/>
                <w:sz w:val="18"/>
                <w:szCs w:val="18"/>
                <w:b w:val="1"/>
                <w:bCs w:val="1"/>
                <w:color w:val="131E29"/>
              </w:rPr>
              <w:t>cash flow hedge</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Six Months Ended June 30,</w:t>
            </w:r>
          </w:p>
        </w:tc>
      </w:tr>
      <w:tr>
        <w:trPr>
          <w:trHeight w:val="220"/>
        </w:trPr>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2"/>
          </w:tcPr>
          <w:p>
            <w:pPr>
              <w:ind w:left="500"/>
              <w:spacing w:after="0"/>
              <w:rPr>
                <w:sz w:val="20"/>
                <w:szCs w:val="20"/>
                <w:color w:val="auto"/>
              </w:rPr>
            </w:pPr>
            <w:r>
              <w:rPr>
                <w:rFonts w:ascii="Arial" w:cs="Arial" w:eastAsia="Arial" w:hAnsi="Arial"/>
                <w:sz w:val="18"/>
                <w:szCs w:val="18"/>
                <w:b w:val="1"/>
                <w:bCs w:val="1"/>
                <w:color w:val="131E29"/>
              </w:rPr>
              <w:t>Financial Statements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9"/>
        </w:trPr>
        <w:tc>
          <w:tcPr>
            <w:tcW w:w="2920" w:type="dxa"/>
            <w:vAlign w:val="bottom"/>
          </w:tcPr>
          <w:p>
            <w:pPr>
              <w:ind w:left="20"/>
              <w:spacing w:after="0"/>
              <w:rPr>
                <w:sz w:val="20"/>
                <w:szCs w:val="20"/>
                <w:color w:val="auto"/>
              </w:rPr>
            </w:pPr>
            <w:r>
              <w:rPr>
                <w:rFonts w:ascii="Arial" w:cs="Arial" w:eastAsia="Arial" w:hAnsi="Arial"/>
                <w:sz w:val="14"/>
                <w:szCs w:val="14"/>
                <w:color w:val="131E29"/>
              </w:rPr>
              <w:t>(in thousands)</w:t>
            </w:r>
          </w:p>
        </w:tc>
        <w:tc>
          <w:tcPr>
            <w:tcW w:w="120" w:type="dxa"/>
            <w:vAlign w:val="bottom"/>
          </w:tcPr>
          <w:p>
            <w:pPr>
              <w:spacing w:after="0"/>
              <w:rPr>
                <w:sz w:val="22"/>
                <w:szCs w:val="22"/>
                <w:color w:val="auto"/>
              </w:rPr>
            </w:pPr>
          </w:p>
        </w:tc>
        <w:tc>
          <w:tcPr>
            <w:tcW w:w="2900" w:type="dxa"/>
            <w:vAlign w:val="bottom"/>
            <w:gridSpan w:val="2"/>
          </w:tcPr>
          <w:p>
            <w:pPr>
              <w:ind w:left="800"/>
              <w:spacing w:after="0"/>
              <w:rPr>
                <w:sz w:val="20"/>
                <w:szCs w:val="20"/>
                <w:color w:val="auto"/>
              </w:rPr>
            </w:pPr>
            <w:r>
              <w:rPr>
                <w:rFonts w:ascii="Arial" w:cs="Arial" w:eastAsia="Arial" w:hAnsi="Arial"/>
                <w:sz w:val="18"/>
                <w:szCs w:val="18"/>
                <w:b w:val="1"/>
                <w:bCs w:val="1"/>
                <w:color w:val="131E29"/>
              </w:rPr>
              <w:t>Classification</w:t>
            </w:r>
          </w:p>
        </w:tc>
        <w:tc>
          <w:tcPr>
            <w:tcW w:w="280" w:type="dxa"/>
            <w:vAlign w:val="bottom"/>
          </w:tcPr>
          <w:p>
            <w:pPr>
              <w:spacing w:after="0"/>
              <w:rPr>
                <w:sz w:val="22"/>
                <w:szCs w:val="22"/>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131E29"/>
              </w:rPr>
              <w:t>2022</w:t>
            </w:r>
          </w:p>
        </w:tc>
      </w:tr>
      <w:tr>
        <w:trPr>
          <w:trHeight w:val="230"/>
        </w:trPr>
        <w:tc>
          <w:tcPr>
            <w:tcW w:w="2920" w:type="dxa"/>
            <w:vAlign w:val="bottom"/>
            <w:tcBorders>
              <w:top w:val="single" w:sz="8" w:color="auto"/>
            </w:tcBorders>
            <w:shd w:val="clear" w:color="auto" w:fill="D2DCE5"/>
          </w:tcPr>
          <w:p>
            <w:pPr>
              <w:ind w:left="20"/>
              <w:spacing w:after="0"/>
              <w:rPr>
                <w:sz w:val="20"/>
                <w:szCs w:val="20"/>
                <w:color w:val="auto"/>
              </w:rPr>
            </w:pPr>
            <w:r>
              <w:rPr>
                <w:rFonts w:ascii="Arial" w:cs="Arial" w:eastAsia="Arial" w:hAnsi="Arial"/>
                <w:sz w:val="18"/>
                <w:szCs w:val="18"/>
                <w:color w:val="131E29"/>
              </w:rPr>
              <w:t>Derivative instrument designated as</w:t>
            </w:r>
          </w:p>
        </w:tc>
        <w:tc>
          <w:tcPr>
            <w:tcW w:w="120" w:type="dxa"/>
            <w:vAlign w:val="bottom"/>
            <w:tcBorders>
              <w:top w:val="single" w:sz="8" w:color="D2DCE5"/>
            </w:tcBorders>
            <w:shd w:val="clear" w:color="auto" w:fill="D2DCE5"/>
          </w:tcPr>
          <w:p>
            <w:pPr>
              <w:spacing w:after="0"/>
              <w:rPr>
                <w:sz w:val="20"/>
                <w:szCs w:val="20"/>
                <w:color w:val="auto"/>
              </w:rPr>
            </w:pPr>
          </w:p>
        </w:tc>
        <w:tc>
          <w:tcPr>
            <w:tcW w:w="2800" w:type="dxa"/>
            <w:vAlign w:val="bottom"/>
            <w:tcBorders>
              <w:top w:val="single" w:sz="8" w:color="auto"/>
            </w:tcBorders>
            <w:shd w:val="clear" w:color="auto" w:fill="D2DCE5"/>
          </w:tcPr>
          <w:p>
            <w:pPr>
              <w:spacing w:after="0"/>
              <w:rPr>
                <w:sz w:val="20"/>
                <w:szCs w:val="20"/>
                <w:color w:val="auto"/>
              </w:rPr>
            </w:pPr>
          </w:p>
        </w:tc>
        <w:tc>
          <w:tcPr>
            <w:tcW w:w="100" w:type="dxa"/>
            <w:vAlign w:val="bottom"/>
            <w:tcBorders>
              <w:top w:val="single" w:sz="8" w:color="D2DCE5"/>
            </w:tcBorders>
            <w:shd w:val="clear" w:color="auto" w:fill="D2DCE5"/>
          </w:tcPr>
          <w:p>
            <w:pPr>
              <w:spacing w:after="0"/>
              <w:rPr>
                <w:sz w:val="20"/>
                <w:szCs w:val="20"/>
                <w:color w:val="auto"/>
              </w:rPr>
            </w:pPr>
          </w:p>
        </w:tc>
        <w:tc>
          <w:tcPr>
            <w:tcW w:w="280" w:type="dxa"/>
            <w:vAlign w:val="bottom"/>
            <w:tcBorders>
              <w:top w:val="single" w:sz="8" w:color="auto"/>
            </w:tcBorders>
            <w:shd w:val="clear" w:color="auto" w:fill="D2DCE5"/>
          </w:tcPr>
          <w:p>
            <w:pPr>
              <w:spacing w:after="0"/>
              <w:rPr>
                <w:sz w:val="20"/>
                <w:szCs w:val="20"/>
                <w:color w:val="auto"/>
              </w:rPr>
            </w:pPr>
          </w:p>
        </w:tc>
        <w:tc>
          <w:tcPr>
            <w:tcW w:w="1020" w:type="dxa"/>
            <w:vAlign w:val="bottom"/>
            <w:tcBorders>
              <w:top w:val="single" w:sz="8" w:color="auto"/>
            </w:tcBorders>
            <w:shd w:val="clear" w:color="auto" w:fill="D2DCE5"/>
          </w:tcPr>
          <w:p>
            <w:pPr>
              <w:spacing w:after="0"/>
              <w:rPr>
                <w:sz w:val="20"/>
                <w:szCs w:val="20"/>
                <w:color w:val="auto"/>
              </w:rPr>
            </w:pPr>
          </w:p>
        </w:tc>
        <w:tc>
          <w:tcPr>
            <w:tcW w:w="100" w:type="dxa"/>
            <w:vAlign w:val="bottom"/>
            <w:tcBorders>
              <w:top w:val="single" w:sz="8" w:color="D2DCE5"/>
            </w:tcBorders>
            <w:shd w:val="clear" w:color="auto" w:fill="D2DCE5"/>
          </w:tcPr>
          <w:p>
            <w:pPr>
              <w:spacing w:after="0"/>
              <w:rPr>
                <w:sz w:val="20"/>
                <w:szCs w:val="20"/>
                <w:color w:val="auto"/>
              </w:rPr>
            </w:pPr>
          </w:p>
        </w:tc>
        <w:tc>
          <w:tcPr>
            <w:tcW w:w="280" w:type="dxa"/>
            <w:vAlign w:val="bottom"/>
            <w:tcBorders>
              <w:top w:val="single" w:sz="8" w:color="auto"/>
            </w:tcBorders>
            <w:shd w:val="clear" w:color="auto" w:fill="D2DCE5"/>
          </w:tcPr>
          <w:p>
            <w:pPr>
              <w:spacing w:after="0"/>
              <w:rPr>
                <w:sz w:val="20"/>
                <w:szCs w:val="20"/>
                <w:color w:val="auto"/>
              </w:rPr>
            </w:pPr>
          </w:p>
        </w:tc>
        <w:tc>
          <w:tcPr>
            <w:tcW w:w="1020" w:type="dxa"/>
            <w:vAlign w:val="bottom"/>
            <w:tcBorders>
              <w:top w:val="single" w:sz="8" w:color="auto"/>
            </w:tcBorders>
            <w:shd w:val="clear" w:color="auto" w:fill="D2DCE5"/>
          </w:tcPr>
          <w:p>
            <w:pPr>
              <w:spacing w:after="0"/>
              <w:rPr>
                <w:sz w:val="20"/>
                <w:szCs w:val="20"/>
                <w:color w:val="auto"/>
              </w:rPr>
            </w:pPr>
          </w:p>
        </w:tc>
        <w:tc>
          <w:tcPr>
            <w:tcW w:w="100" w:type="dxa"/>
            <w:vAlign w:val="bottom"/>
            <w:tcBorders>
              <w:top w:val="single" w:sz="8" w:color="D2DCE5"/>
            </w:tcBorders>
            <w:shd w:val="clear" w:color="auto" w:fill="D2DCE5"/>
          </w:tcPr>
          <w:p>
            <w:pPr>
              <w:spacing w:after="0"/>
              <w:rPr>
                <w:sz w:val="20"/>
                <w:szCs w:val="20"/>
                <w:color w:val="auto"/>
              </w:rPr>
            </w:pPr>
          </w:p>
        </w:tc>
        <w:tc>
          <w:tcPr>
            <w:tcW w:w="260" w:type="dxa"/>
            <w:vAlign w:val="bottom"/>
            <w:tcBorders>
              <w:top w:val="single" w:sz="8" w:color="auto"/>
            </w:tcBorders>
            <w:shd w:val="clear" w:color="auto" w:fill="D2DCE5"/>
          </w:tcPr>
          <w:p>
            <w:pPr>
              <w:spacing w:after="0"/>
              <w:rPr>
                <w:sz w:val="20"/>
                <w:szCs w:val="20"/>
                <w:color w:val="auto"/>
              </w:rPr>
            </w:pPr>
          </w:p>
        </w:tc>
        <w:tc>
          <w:tcPr>
            <w:tcW w:w="940" w:type="dxa"/>
            <w:vAlign w:val="bottom"/>
            <w:tcBorders>
              <w:top w:val="single" w:sz="8" w:color="auto"/>
            </w:tcBorders>
            <w:shd w:val="clear" w:color="auto" w:fill="D2DCE5"/>
          </w:tcPr>
          <w:p>
            <w:pPr>
              <w:spacing w:after="0"/>
              <w:rPr>
                <w:sz w:val="20"/>
                <w:szCs w:val="20"/>
                <w:color w:val="auto"/>
              </w:rPr>
            </w:pPr>
          </w:p>
        </w:tc>
        <w:tc>
          <w:tcPr>
            <w:tcW w:w="100" w:type="dxa"/>
            <w:vAlign w:val="bottom"/>
            <w:tcBorders>
              <w:top w:val="single" w:sz="8" w:color="D2DCE5"/>
            </w:tcBorders>
            <w:shd w:val="clear" w:color="auto" w:fill="D2DCE5"/>
          </w:tcPr>
          <w:p>
            <w:pPr>
              <w:spacing w:after="0"/>
              <w:rPr>
                <w:sz w:val="20"/>
                <w:szCs w:val="20"/>
                <w:color w:val="auto"/>
              </w:rPr>
            </w:pPr>
          </w:p>
        </w:tc>
        <w:tc>
          <w:tcPr>
            <w:tcW w:w="260" w:type="dxa"/>
            <w:vAlign w:val="bottom"/>
            <w:tcBorders>
              <w:top w:val="single" w:sz="8" w:color="auto"/>
            </w:tcBorders>
            <w:shd w:val="clear" w:color="auto" w:fill="D2DCE5"/>
          </w:tcPr>
          <w:p>
            <w:pPr>
              <w:spacing w:after="0"/>
              <w:rPr>
                <w:sz w:val="20"/>
                <w:szCs w:val="20"/>
                <w:color w:val="auto"/>
              </w:rPr>
            </w:pPr>
          </w:p>
        </w:tc>
        <w:tc>
          <w:tcPr>
            <w:tcW w:w="940" w:type="dxa"/>
            <w:vAlign w:val="bottom"/>
            <w:tcBorders>
              <w:top w:val="single" w:sz="8" w:color="auto"/>
            </w:tcBorders>
            <w:shd w:val="clear" w:color="auto" w:fill="D2DCE5"/>
          </w:tcPr>
          <w:p>
            <w:pPr>
              <w:spacing w:after="0"/>
              <w:rPr>
                <w:sz w:val="20"/>
                <w:szCs w:val="20"/>
                <w:color w:val="auto"/>
              </w:rPr>
            </w:pPr>
          </w:p>
        </w:tc>
      </w:tr>
      <w:tr>
        <w:trPr>
          <w:trHeight w:val="236"/>
        </w:trPr>
        <w:tc>
          <w:tcPr>
            <w:tcW w:w="29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cash flow hedge:</w:t>
            </w:r>
          </w:p>
        </w:tc>
        <w:tc>
          <w:tcPr>
            <w:tcW w:w="120" w:type="dxa"/>
            <w:vAlign w:val="bottom"/>
            <w:tcBorders>
              <w:bottom w:val="single" w:sz="8" w:color="D2DCE5"/>
            </w:tcBorders>
            <w:shd w:val="clear" w:color="auto" w:fill="D2DCE5"/>
          </w:tcPr>
          <w:p>
            <w:pPr>
              <w:spacing w:after="0"/>
              <w:rPr>
                <w:sz w:val="20"/>
                <w:szCs w:val="20"/>
                <w:color w:val="auto"/>
              </w:rPr>
            </w:pPr>
          </w:p>
        </w:tc>
        <w:tc>
          <w:tcPr>
            <w:tcW w:w="280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D2DCE5"/>
            </w:tcBorders>
            <w:shd w:val="clear" w:color="auto" w:fill="D2DCE5"/>
          </w:tcPr>
          <w:p>
            <w:pPr>
              <w:spacing w:after="0"/>
              <w:rPr>
                <w:sz w:val="20"/>
                <w:szCs w:val="20"/>
                <w:color w:val="auto"/>
              </w:rPr>
            </w:pPr>
          </w:p>
        </w:tc>
        <w:tc>
          <w:tcPr>
            <w:tcW w:w="94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D2DCE5"/>
            </w:tcBorders>
            <w:shd w:val="clear" w:color="auto" w:fill="D2DCE5"/>
          </w:tcPr>
          <w:p>
            <w:pPr>
              <w:spacing w:after="0"/>
              <w:rPr>
                <w:sz w:val="20"/>
                <w:szCs w:val="20"/>
                <w:color w:val="auto"/>
              </w:rPr>
            </w:pPr>
          </w:p>
        </w:tc>
        <w:tc>
          <w:tcPr>
            <w:tcW w:w="940" w:type="dxa"/>
            <w:vAlign w:val="bottom"/>
            <w:tcBorders>
              <w:bottom w:val="single" w:sz="8" w:color="D2DCE5"/>
            </w:tcBorders>
            <w:shd w:val="clear" w:color="auto" w:fill="D2DCE5"/>
          </w:tcPr>
          <w:p>
            <w:pPr>
              <w:spacing w:after="0"/>
              <w:rPr>
                <w:sz w:val="20"/>
                <w:szCs w:val="20"/>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131E29"/>
              </w:rPr>
              <w:t>Income recognized in other</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2920" w:type="dxa"/>
            <w:vAlign w:val="bottom"/>
          </w:tcPr>
          <w:p>
            <w:pPr>
              <w:ind w:left="140"/>
              <w:spacing w:after="0"/>
              <w:rPr>
                <w:sz w:val="20"/>
                <w:szCs w:val="20"/>
                <w:color w:val="auto"/>
              </w:rPr>
            </w:pPr>
            <w:r>
              <w:rPr>
                <w:rFonts w:ascii="Arial" w:cs="Arial" w:eastAsia="Arial" w:hAnsi="Arial"/>
                <w:sz w:val="18"/>
                <w:szCs w:val="18"/>
                <w:color w:val="131E29"/>
              </w:rPr>
              <w:t>comprehensive income (loss)</w:t>
            </w:r>
          </w:p>
        </w:tc>
        <w:tc>
          <w:tcPr>
            <w:tcW w:w="1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131E29"/>
              </w:rPr>
              <w:t>Statement of Comprehensive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131E29"/>
              </w:rPr>
              <w:t>before reclassifications</w:t>
            </w:r>
          </w:p>
        </w:tc>
        <w:tc>
          <w:tcPr>
            <w:tcW w:w="1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131E29"/>
              </w:rPr>
              <w:t>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1,621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284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131E29"/>
              </w:rPr>
              <w:t>$</w:t>
            </w:r>
          </w:p>
        </w:tc>
        <w:tc>
          <w:tcPr>
            <w:tcW w:w="940" w:type="dxa"/>
            <w:vAlign w:val="bottom"/>
          </w:tcPr>
          <w:p>
            <w:pPr>
              <w:jc w:val="right"/>
              <w:spacing w:after="0"/>
              <w:rPr>
                <w:sz w:val="20"/>
                <w:szCs w:val="20"/>
                <w:color w:val="auto"/>
              </w:rPr>
            </w:pPr>
            <w:r>
              <w:rPr>
                <w:rFonts w:ascii="Arial" w:cs="Arial" w:eastAsia="Arial" w:hAnsi="Arial"/>
                <w:sz w:val="18"/>
                <w:szCs w:val="18"/>
                <w:color w:val="131E29"/>
              </w:rPr>
              <w:t>1,050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131E29"/>
              </w:rPr>
              <w:t>$</w:t>
            </w:r>
          </w:p>
        </w:tc>
        <w:tc>
          <w:tcPr>
            <w:tcW w:w="940" w:type="dxa"/>
            <w:vAlign w:val="bottom"/>
          </w:tcPr>
          <w:p>
            <w:pPr>
              <w:jc w:val="right"/>
              <w:spacing w:after="0"/>
              <w:rPr>
                <w:sz w:val="20"/>
                <w:szCs w:val="20"/>
                <w:color w:val="auto"/>
              </w:rPr>
            </w:pPr>
            <w:r>
              <w:rPr>
                <w:rFonts w:ascii="Arial" w:cs="Arial" w:eastAsia="Arial" w:hAnsi="Arial"/>
                <w:sz w:val="18"/>
                <w:szCs w:val="18"/>
                <w:color w:val="131E29"/>
              </w:rPr>
              <w:t>284</w:t>
            </w: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2920" w:type="dxa"/>
            <w:vAlign w:val="bottom"/>
            <w:shd w:val="clear" w:color="auto" w:fill="D2DCE5"/>
          </w:tcPr>
          <w:p>
            <w:pPr>
              <w:ind w:left="140"/>
              <w:spacing w:after="0"/>
              <w:rPr>
                <w:sz w:val="20"/>
                <w:szCs w:val="20"/>
                <w:color w:val="auto"/>
              </w:rPr>
            </w:pPr>
            <w:r>
              <w:rPr>
                <w:rFonts w:ascii="Arial" w:cs="Arial" w:eastAsia="Arial" w:hAnsi="Arial"/>
                <w:sz w:val="18"/>
                <w:szCs w:val="18"/>
                <w:color w:val="131E29"/>
              </w:rPr>
              <w:t>Reclassification from accumulated</w:t>
            </w:r>
          </w:p>
        </w:tc>
        <w:tc>
          <w:tcPr>
            <w:tcW w:w="120" w:type="dxa"/>
            <w:vAlign w:val="bottom"/>
            <w:shd w:val="clear" w:color="auto" w:fill="D2DCE5"/>
          </w:tcPr>
          <w:p>
            <w:pPr>
              <w:spacing w:after="0"/>
              <w:rPr>
                <w:sz w:val="20"/>
                <w:szCs w:val="20"/>
                <w:color w:val="auto"/>
              </w:rPr>
            </w:pPr>
          </w:p>
        </w:tc>
        <w:tc>
          <w:tcPr>
            <w:tcW w:w="28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r>
      <w:tr>
        <w:trPr>
          <w:trHeight w:val="216"/>
        </w:trPr>
        <w:tc>
          <w:tcPr>
            <w:tcW w:w="2920" w:type="dxa"/>
            <w:vAlign w:val="bottom"/>
            <w:shd w:val="clear" w:color="auto" w:fill="D2DCE5"/>
          </w:tcPr>
          <w:p>
            <w:pPr>
              <w:ind w:left="140"/>
              <w:spacing w:after="0"/>
              <w:rPr>
                <w:sz w:val="20"/>
                <w:szCs w:val="20"/>
                <w:color w:val="auto"/>
              </w:rPr>
            </w:pPr>
            <w:r>
              <w:rPr>
                <w:rFonts w:ascii="Arial" w:cs="Arial" w:eastAsia="Arial" w:hAnsi="Arial"/>
                <w:sz w:val="18"/>
                <w:szCs w:val="18"/>
                <w:color w:val="131E29"/>
              </w:rPr>
              <w:t>other comprehensive income to</w:t>
            </w:r>
          </w:p>
        </w:tc>
        <w:tc>
          <w:tcPr>
            <w:tcW w:w="120" w:type="dxa"/>
            <w:vAlign w:val="bottom"/>
            <w:shd w:val="clear" w:color="auto" w:fill="D2DCE5"/>
          </w:tcPr>
          <w:p>
            <w:pPr>
              <w:spacing w:after="0"/>
              <w:rPr>
                <w:sz w:val="18"/>
                <w:szCs w:val="18"/>
                <w:color w:val="auto"/>
              </w:rPr>
            </w:pPr>
          </w:p>
        </w:tc>
        <w:tc>
          <w:tcPr>
            <w:tcW w:w="2900" w:type="dxa"/>
            <w:vAlign w:val="bottom"/>
            <w:gridSpan w:val="2"/>
            <w:shd w:val="clear" w:color="auto" w:fill="D2DCE5"/>
          </w:tcPr>
          <w:p>
            <w:pPr>
              <w:spacing w:after="0"/>
              <w:rPr>
                <w:sz w:val="20"/>
                <w:szCs w:val="20"/>
                <w:color w:val="auto"/>
              </w:rPr>
            </w:pPr>
            <w:r>
              <w:rPr>
                <w:rFonts w:ascii="Arial" w:cs="Arial" w:eastAsia="Arial" w:hAnsi="Arial"/>
                <w:sz w:val="18"/>
                <w:szCs w:val="18"/>
                <w:color w:val="131E29"/>
              </w:rPr>
              <w:t>Statement of Operations - Interest</w:t>
            </w:r>
          </w:p>
        </w:tc>
        <w:tc>
          <w:tcPr>
            <w:tcW w:w="28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r>
      <w:tr>
        <w:trPr>
          <w:trHeight w:val="236"/>
        </w:trPr>
        <w:tc>
          <w:tcPr>
            <w:tcW w:w="2920" w:type="dxa"/>
            <w:vAlign w:val="bottom"/>
            <w:tcBorders>
              <w:bottom w:val="single" w:sz="8" w:color="D2DCE5"/>
            </w:tcBorders>
            <w:shd w:val="clear" w:color="auto" w:fill="D2DCE5"/>
          </w:tcPr>
          <w:p>
            <w:pPr>
              <w:ind w:left="140"/>
              <w:spacing w:after="0"/>
              <w:rPr>
                <w:sz w:val="20"/>
                <w:szCs w:val="20"/>
                <w:color w:val="auto"/>
              </w:rPr>
            </w:pPr>
            <w:r>
              <w:rPr>
                <w:rFonts w:ascii="Arial" w:cs="Arial" w:eastAsia="Arial" w:hAnsi="Arial"/>
                <w:sz w:val="18"/>
                <w:szCs w:val="18"/>
                <w:color w:val="131E29"/>
              </w:rPr>
              <w:t>earnings for the effective portion</w:t>
            </w:r>
          </w:p>
        </w:tc>
        <w:tc>
          <w:tcPr>
            <w:tcW w:w="120" w:type="dxa"/>
            <w:vAlign w:val="bottom"/>
            <w:tcBorders>
              <w:bottom w:val="single" w:sz="8" w:color="D2DCE5"/>
            </w:tcBorders>
            <w:shd w:val="clear" w:color="auto" w:fill="D2DCE5"/>
          </w:tcPr>
          <w:p>
            <w:pPr>
              <w:spacing w:after="0"/>
              <w:rPr>
                <w:sz w:val="20"/>
                <w:szCs w:val="20"/>
                <w:color w:val="auto"/>
              </w:rPr>
            </w:pPr>
          </w:p>
        </w:tc>
        <w:tc>
          <w:tcPr>
            <w:tcW w:w="2900" w:type="dxa"/>
            <w:vAlign w:val="bottom"/>
            <w:tcBorders>
              <w:bottom w:val="single" w:sz="8" w:color="D2DCE5"/>
            </w:tcBorders>
            <w:gridSpan w:val="2"/>
            <w:shd w:val="clear" w:color="auto" w:fill="D2DCE5"/>
          </w:tcPr>
          <w:p>
            <w:pPr>
              <w:spacing w:after="0"/>
              <w:rPr>
                <w:sz w:val="20"/>
                <w:szCs w:val="20"/>
                <w:color w:val="auto"/>
              </w:rPr>
            </w:pPr>
            <w:r>
              <w:rPr>
                <w:rFonts w:ascii="Arial" w:cs="Arial" w:eastAsia="Arial" w:hAnsi="Arial"/>
                <w:sz w:val="18"/>
                <w:szCs w:val="18"/>
                <w:color w:val="131E29"/>
              </w:rPr>
              <w:t>expense, net</w:t>
            </w: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(418)</w:t>
            </w: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332</w:t>
            </w:r>
          </w:p>
        </w:tc>
        <w:tc>
          <w:tcPr>
            <w:tcW w:w="360" w:type="dxa"/>
            <w:vAlign w:val="bottom"/>
            <w:tcBorders>
              <w:bottom w:val="single" w:sz="8" w:color="D2DCE5"/>
            </w:tcBorders>
            <w:gridSpan w:val="2"/>
            <w:shd w:val="clear" w:color="auto" w:fill="D2DCE5"/>
          </w:tcPr>
          <w:p>
            <w:pPr>
              <w:jc w:val="right"/>
              <w:ind w:right="50"/>
              <w:spacing w:after="0"/>
              <w:rPr>
                <w:sz w:val="20"/>
                <w:szCs w:val="20"/>
                <w:color w:val="auto"/>
              </w:rPr>
            </w:pPr>
            <w:r>
              <w:rPr>
                <w:rFonts w:ascii="Arial" w:cs="Arial" w:eastAsia="Arial" w:hAnsi="Arial"/>
                <w:sz w:val="18"/>
                <w:szCs w:val="18"/>
                <w:color w:val="131E29"/>
              </w:rPr>
              <w: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(751)</w:t>
            </w: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D2DCE5"/>
            </w:tcBorders>
            <w:shd w:val="clear" w:color="auto" w:fill="D2DCE5"/>
          </w:tcPr>
          <w:p>
            <w:pPr>
              <w:spacing w:after="0"/>
              <w:rPr>
                <w:sz w:val="20"/>
                <w:szCs w:val="20"/>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332</w:t>
            </w:r>
          </w:p>
        </w:tc>
      </w:tr>
      <w:tr>
        <w:trPr>
          <w:trHeight w:val="230"/>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131E29"/>
              </w:rPr>
              <w:t>Statement of Operations - Income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131E29"/>
              </w:rPr>
              <w:t>Income tax expense</w:t>
            </w:r>
          </w:p>
        </w:tc>
        <w:tc>
          <w:tcPr>
            <w:tcW w:w="1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131E29"/>
              </w:rPr>
              <w:t>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(50)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131E29"/>
              </w:rPr>
              <w:t>$</w:t>
            </w:r>
          </w:p>
        </w:tc>
        <w:tc>
          <w:tcPr>
            <w:tcW w:w="940" w:type="dxa"/>
            <w:vAlign w:val="bottom"/>
          </w:tcPr>
          <w:p>
            <w:pPr>
              <w:jc w:val="right"/>
              <w:spacing w:after="0"/>
              <w:rPr>
                <w:sz w:val="20"/>
                <w:szCs w:val="20"/>
                <w:color w:val="auto"/>
              </w:rPr>
            </w:pPr>
            <w:r>
              <w:rPr>
                <w:rFonts w:ascii="Arial" w:cs="Arial" w:eastAsia="Arial" w:hAnsi="Arial"/>
                <w:sz w:val="18"/>
                <w:szCs w:val="18"/>
                <w:color w:val="131E29"/>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31E29"/>
              </w:rPr>
              <w:t>(50)</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131E29"/>
        </w:rPr>
        <w:t>For additional information related to the Company’s derivative instrument, see NOTE 10 — Fair Value Measurements.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12 — Income Taxes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131E29"/>
              </w:rPr>
              <w:t>Six Months Ended June 30,</w:t>
            </w:r>
          </w:p>
        </w:tc>
      </w:tr>
      <w:tr>
        <w:trPr>
          <w:trHeight w:val="26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131E29"/>
              </w:rPr>
              <w:t>2023</w:t>
            </w:r>
          </w:p>
        </w:tc>
        <w:tc>
          <w:tcPr>
            <w:tcW w:w="120" w:type="dxa"/>
            <w:vAlign w:val="bottom"/>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100" w:type="dxa"/>
            <w:vAlign w:val="bottom"/>
            <w:tcBorders>
              <w:bottom w:val="single" w:sz="8" w:color="131E29"/>
            </w:tcBorders>
          </w:tcPr>
          <w:p>
            <w:pPr>
              <w:jc w:val="right"/>
              <w:ind w:right="4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1200" w:type="dxa"/>
            <w:vAlign w:val="bottom"/>
            <w:tcBorders>
              <w:bottom w:val="single" w:sz="8" w:color="131E29"/>
            </w:tcBorders>
          </w:tcPr>
          <w:p>
            <w:pPr>
              <w:jc w:val="right"/>
              <w:ind w:right="41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100" w:type="dxa"/>
            <w:vAlign w:val="bottom"/>
            <w:tcBorders>
              <w:bottom w:val="single" w:sz="8" w:color="131E29"/>
            </w:tcBorders>
          </w:tcPr>
          <w:p>
            <w:pPr>
              <w:jc w:val="right"/>
              <w:ind w:right="410"/>
              <w:spacing w:after="0"/>
              <w:rPr>
                <w:sz w:val="20"/>
                <w:szCs w:val="20"/>
                <w:color w:val="auto"/>
              </w:rPr>
            </w:pPr>
            <w:r>
              <w:rPr>
                <w:rFonts w:ascii="Arial" w:cs="Arial" w:eastAsia="Arial" w:hAnsi="Arial"/>
                <w:sz w:val="18"/>
                <w:szCs w:val="18"/>
                <w:b w:val="1"/>
                <w:bCs w:val="1"/>
                <w:color w:val="131E29"/>
              </w:rPr>
              <w:t>2022</w:t>
            </w:r>
          </w:p>
        </w:tc>
      </w:tr>
      <w:tr>
        <w:trPr>
          <w:trHeight w:val="249"/>
        </w:trPr>
        <w:tc>
          <w:tcPr>
            <w:tcW w:w="52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26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rPr>
              <w:t>1,851</w:t>
            </w:r>
          </w:p>
        </w:tc>
        <w:tc>
          <w:tcPr>
            <w:tcW w:w="420" w:type="dxa"/>
            <w:vAlign w:val="bottom"/>
            <w:tcBorders>
              <w:bottom w:val="single" w:sz="8" w:color="D2DCE5"/>
            </w:tcBorders>
            <w:gridSpan w:val="2"/>
            <w:shd w:val="clear" w:color="auto" w:fill="D2DCE5"/>
          </w:tcPr>
          <w:p>
            <w:pPr>
              <w:jc w:val="right"/>
              <w:ind w:right="200"/>
              <w:spacing w:after="0"/>
              <w:rPr>
                <w:sz w:val="20"/>
                <w:szCs w:val="20"/>
                <w:color w:val="auto"/>
              </w:rPr>
            </w:pPr>
            <w:r>
              <w:rPr>
                <w:rFonts w:ascii="Arial" w:cs="Arial" w:eastAsia="Arial" w:hAnsi="Arial"/>
                <w:sz w:val="18"/>
                <w:szCs w:val="18"/>
                <w:color w:val="131E29"/>
              </w:rPr>
              <w:t>$</w:t>
            </w:r>
          </w:p>
        </w:tc>
        <w:tc>
          <w:tcPr>
            <w:tcW w:w="110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rPr>
              <w:t>885</w:t>
            </w:r>
          </w:p>
        </w:tc>
        <w:tc>
          <w:tcPr>
            <w:tcW w:w="320" w:type="dxa"/>
            <w:vAlign w:val="bottom"/>
            <w:tcBorders>
              <w:bottom w:val="single" w:sz="8" w:color="D2DCE5"/>
            </w:tcBorders>
            <w:gridSpan w:val="2"/>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120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rPr>
              <w:t>4,431</w:t>
            </w:r>
          </w:p>
        </w:tc>
        <w:tc>
          <w:tcPr>
            <w:tcW w:w="4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100" w:type="dxa"/>
            <w:vAlign w:val="bottom"/>
            <w:tcBorders>
              <w:bottom w:val="single" w:sz="8" w:color="D2DCE5"/>
            </w:tcBorders>
            <w:shd w:val="clear" w:color="auto" w:fill="D2DCE5"/>
          </w:tcPr>
          <w:p>
            <w:pPr>
              <w:ind w:left="580"/>
              <w:spacing w:after="0"/>
              <w:rPr>
                <w:sz w:val="20"/>
                <w:szCs w:val="20"/>
                <w:color w:val="auto"/>
              </w:rPr>
            </w:pPr>
            <w:r>
              <w:rPr>
                <w:rFonts w:ascii="Arial" w:cs="Arial" w:eastAsia="Arial" w:hAnsi="Arial"/>
                <w:sz w:val="18"/>
                <w:szCs w:val="18"/>
                <w:color w:val="131E29"/>
              </w:rPr>
              <w:t>671</w:t>
            </w: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131E29"/>
              </w:rPr>
              <w:t>16.0 %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93.3 %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131E29"/>
                <w:w w:val="98"/>
              </w:rPr>
              <w:t>(3.9)%</w:t>
            </w: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2023 v.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tax expense was primarily driven by increased current year pre-tax income and changes in state earnings mix.</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2023 v. 2022</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 in tax expense was primarily driven by increased current year pre-tax income, vested equity-based compensation adjustments, and changes in state earnings mix.</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13 — Equity and Equity-Based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Equity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131E29"/>
        </w:rPr>
        <w:t>As of June 30, 2023, the Company had equity-based compensation awards outstanding consisting of RSAs and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006098"/>
              </w:rPr>
              <w:t>Restricted Stock Awards</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6700" w:type="dxa"/>
            <w:vAlign w:val="bottom"/>
          </w:tcPr>
          <w:p>
            <w:pPr>
              <w:spacing w:after="0"/>
              <w:rPr>
                <w:sz w:val="20"/>
                <w:szCs w:val="20"/>
                <w:color w:val="auto"/>
              </w:rPr>
            </w:pPr>
            <w:r>
              <w:rPr>
                <w:rFonts w:ascii="Arial" w:cs="Arial" w:eastAsia="Arial" w:hAnsi="Arial"/>
                <w:sz w:val="18"/>
                <w:szCs w:val="18"/>
                <w:color w:val="131E29"/>
              </w:rPr>
              <w:t>Activity for the Company’s RSAs was as follows:</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131E29"/>
                <w:w w:val="99"/>
              </w:rPr>
              <w:t>Restricted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b w:val="1"/>
                <w:bCs w:val="1"/>
                <w:color w:val="131E29"/>
              </w:rPr>
              <w:t>Weighted-average grant</w:t>
            </w:r>
          </w:p>
        </w:tc>
        <w:tc>
          <w:tcPr>
            <w:tcW w:w="0" w:type="dxa"/>
            <w:vAlign w:val="bottom"/>
          </w:tcPr>
          <w:p>
            <w:pPr>
              <w:spacing w:after="0"/>
              <w:rPr>
                <w:sz w:val="1"/>
                <w:szCs w:val="1"/>
                <w:color w:val="auto"/>
              </w:rPr>
            </w:pPr>
          </w:p>
        </w:tc>
      </w:tr>
      <w:tr>
        <w:trPr>
          <w:trHeight w:val="25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100" w:type="dxa"/>
            <w:vAlign w:val="bottom"/>
            <w:tcBorders>
              <w:bottom w:val="single" w:sz="8" w:color="D2DCE5"/>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131E29"/>
              </w:rPr>
              <w:t>Awards</w:t>
            </w:r>
          </w:p>
        </w:tc>
        <w:tc>
          <w:tcPr>
            <w:tcW w:w="12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131E29"/>
              </w:rPr>
              <w:t>date fair value per share</w:t>
            </w:r>
          </w:p>
        </w:tc>
        <w:tc>
          <w:tcPr>
            <w:tcW w:w="0" w:type="dxa"/>
            <w:vAlign w:val="bottom"/>
          </w:tcPr>
          <w:p>
            <w:pPr>
              <w:spacing w:after="0"/>
              <w:rPr>
                <w:sz w:val="1"/>
                <w:szCs w:val="1"/>
                <w:color w:val="auto"/>
              </w:rPr>
            </w:pPr>
          </w:p>
        </w:tc>
      </w:tr>
      <w:tr>
        <w:trPr>
          <w:trHeight w:val="270"/>
        </w:trPr>
        <w:tc>
          <w:tcPr>
            <w:tcW w:w="67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Balance, December 31, 2022</w:t>
            </w:r>
          </w:p>
        </w:tc>
        <w:tc>
          <w:tcPr>
            <w:tcW w:w="202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2,667</w:t>
            </w:r>
          </w:p>
        </w:tc>
        <w:tc>
          <w:tcPr>
            <w:tcW w:w="26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22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23.00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131E29"/>
              </w:rPr>
              <w:t>Vested</w:t>
            </w:r>
          </w:p>
        </w:tc>
        <w:tc>
          <w:tcPr>
            <w:tcW w:w="2020" w:type="dxa"/>
            <w:vAlign w:val="bottom"/>
            <w:gridSpan w:val="2"/>
          </w:tcPr>
          <w:p>
            <w:pPr>
              <w:jc w:val="right"/>
              <w:spacing w:after="0"/>
              <w:rPr>
                <w:sz w:val="20"/>
                <w:szCs w:val="20"/>
                <w:color w:val="auto"/>
              </w:rPr>
            </w:pPr>
            <w:r>
              <w:rPr>
                <w:rFonts w:ascii="Arial" w:cs="Arial" w:eastAsia="Arial" w:hAnsi="Arial"/>
                <w:sz w:val="18"/>
                <w:szCs w:val="18"/>
                <w:color w:val="131E29"/>
              </w:rPr>
              <w:t>(1,333)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131E29"/>
              </w:rPr>
              <w:t>23.00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Forfeitures</w:t>
            </w:r>
          </w:p>
        </w:tc>
        <w:tc>
          <w:tcPr>
            <w:tcW w:w="100" w:type="dxa"/>
            <w:vAlign w:val="bottom"/>
            <w:tcBorders>
              <w:bottom w:val="single" w:sz="8" w:color="D2DCE5"/>
            </w:tcBorders>
            <w:shd w:val="clear" w:color="auto" w:fill="D2DCE5"/>
          </w:tcPr>
          <w:p>
            <w:pPr>
              <w:spacing w:after="0"/>
              <w:rPr>
                <w:sz w:val="23"/>
                <w:szCs w:val="23"/>
                <w:color w:val="auto"/>
              </w:rPr>
            </w:pPr>
          </w:p>
        </w:tc>
        <w:tc>
          <w:tcPr>
            <w:tcW w:w="1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w:t>
            </w:r>
          </w:p>
        </w:tc>
        <w:tc>
          <w:tcPr>
            <w:tcW w:w="120" w:type="dxa"/>
            <w:vAlign w:val="bottom"/>
            <w:tcBorders>
              <w:bottom w:val="single" w:sz="8" w:color="D2DCE5"/>
            </w:tcBorders>
            <w:shd w:val="clear" w:color="auto" w:fill="D2DCE5"/>
          </w:tcPr>
          <w:p>
            <w:pPr>
              <w:spacing w:after="0"/>
              <w:rPr>
                <w:sz w:val="23"/>
                <w:szCs w:val="23"/>
                <w:color w:val="auto"/>
              </w:rPr>
            </w:pPr>
          </w:p>
        </w:tc>
        <w:tc>
          <w:tcPr>
            <w:tcW w:w="140" w:type="dxa"/>
            <w:vAlign w:val="bottom"/>
            <w:tcBorders>
              <w:bottom w:val="single" w:sz="8" w:color="D2DCE5"/>
            </w:tcBorders>
            <w:shd w:val="clear" w:color="auto" w:fill="D2DCE5"/>
          </w:tcPr>
          <w:p>
            <w:pPr>
              <w:spacing w:after="0"/>
              <w:rPr>
                <w:sz w:val="23"/>
                <w:szCs w:val="23"/>
                <w:color w:val="auto"/>
              </w:rPr>
            </w:pPr>
          </w:p>
        </w:tc>
        <w:tc>
          <w:tcPr>
            <w:tcW w:w="22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23.00</w:t>
            </w:r>
          </w:p>
        </w:tc>
        <w:tc>
          <w:tcPr>
            <w:tcW w:w="0" w:type="dxa"/>
            <w:vAlign w:val="bottom"/>
          </w:tcPr>
          <w:p>
            <w:pPr>
              <w:spacing w:after="0"/>
              <w:rPr>
                <w:sz w:val="1"/>
                <w:szCs w:val="1"/>
                <w:color w:val="auto"/>
              </w:rPr>
            </w:pPr>
          </w:p>
        </w:tc>
      </w:tr>
      <w:tr>
        <w:trPr>
          <w:trHeight w:val="263"/>
        </w:trPr>
        <w:tc>
          <w:tcPr>
            <w:tcW w:w="6700" w:type="dxa"/>
            <w:vAlign w:val="bottom"/>
          </w:tcPr>
          <w:p>
            <w:pPr>
              <w:ind w:left="20"/>
              <w:spacing w:after="0"/>
              <w:rPr>
                <w:sz w:val="20"/>
                <w:szCs w:val="20"/>
                <w:color w:val="auto"/>
              </w:rPr>
            </w:pPr>
            <w:r>
              <w:rPr>
                <w:rFonts w:ascii="Arial" w:cs="Arial" w:eastAsia="Arial" w:hAnsi="Arial"/>
                <w:sz w:val="18"/>
                <w:szCs w:val="18"/>
                <w:b w:val="1"/>
                <w:bCs w:val="1"/>
                <w:color w:val="131E29"/>
              </w:rPr>
              <w:t>Balance, June 30, 2023</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1,316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23.00</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i w:val="1"/>
                <w:iCs w:val="1"/>
                <w:color w:val="006098"/>
              </w:rPr>
              <w:t>Restricted Stock Units</w:t>
            </w: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6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700" w:type="dxa"/>
            <w:vAlign w:val="bottom"/>
          </w:tcPr>
          <w:p>
            <w:pPr>
              <w:spacing w:after="0"/>
              <w:rPr>
                <w:sz w:val="20"/>
                <w:szCs w:val="20"/>
                <w:color w:val="auto"/>
              </w:rPr>
            </w:pPr>
            <w:r>
              <w:rPr>
                <w:rFonts w:ascii="Arial" w:cs="Arial" w:eastAsia="Arial" w:hAnsi="Arial"/>
                <w:sz w:val="18"/>
                <w:szCs w:val="18"/>
                <w:color w:val="131E29"/>
              </w:rPr>
              <w:t>Activity for the Company’s RSUs was as follows:</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131E29"/>
                <w:w w:val="99"/>
              </w:rPr>
              <w:t>Restricted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b w:val="1"/>
                <w:bCs w:val="1"/>
                <w:color w:val="131E29"/>
              </w:rPr>
              <w:t>Weighted-average grant</w:t>
            </w:r>
          </w:p>
        </w:tc>
        <w:tc>
          <w:tcPr>
            <w:tcW w:w="0" w:type="dxa"/>
            <w:vAlign w:val="bottom"/>
          </w:tcPr>
          <w:p>
            <w:pPr>
              <w:spacing w:after="0"/>
              <w:rPr>
                <w:sz w:val="1"/>
                <w:szCs w:val="1"/>
                <w:color w:val="auto"/>
              </w:rPr>
            </w:pPr>
          </w:p>
        </w:tc>
      </w:tr>
      <w:tr>
        <w:trPr>
          <w:trHeight w:val="25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100" w:type="dxa"/>
            <w:vAlign w:val="bottom"/>
            <w:tcBorders>
              <w:bottom w:val="single" w:sz="8" w:color="D2DCE5"/>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131E29"/>
              </w:rPr>
              <w:t>Units</w:t>
            </w:r>
          </w:p>
        </w:tc>
        <w:tc>
          <w:tcPr>
            <w:tcW w:w="12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131E29"/>
              </w:rPr>
              <w:t>date fair value per share</w:t>
            </w:r>
          </w:p>
        </w:tc>
        <w:tc>
          <w:tcPr>
            <w:tcW w:w="0" w:type="dxa"/>
            <w:vAlign w:val="bottom"/>
          </w:tcPr>
          <w:p>
            <w:pPr>
              <w:spacing w:after="0"/>
              <w:rPr>
                <w:sz w:val="1"/>
                <w:szCs w:val="1"/>
                <w:color w:val="auto"/>
              </w:rPr>
            </w:pPr>
          </w:p>
        </w:tc>
      </w:tr>
      <w:tr>
        <w:trPr>
          <w:trHeight w:val="270"/>
        </w:trPr>
        <w:tc>
          <w:tcPr>
            <w:tcW w:w="67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Balance, December 31, 2022</w:t>
            </w:r>
          </w:p>
        </w:tc>
        <w:tc>
          <w:tcPr>
            <w:tcW w:w="202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583</w:t>
            </w:r>
          </w:p>
        </w:tc>
        <w:tc>
          <w:tcPr>
            <w:tcW w:w="26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22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44.34</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131E29"/>
              </w:rPr>
              <w:t>New grants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131E29"/>
              </w:rPr>
              <w:t>419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131E29"/>
              </w:rPr>
              <w:t>31.51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Vested</w:t>
            </w:r>
          </w:p>
        </w:tc>
        <w:tc>
          <w:tcPr>
            <w:tcW w:w="20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(217)</w:t>
            </w:r>
          </w:p>
        </w:tc>
        <w:tc>
          <w:tcPr>
            <w:tcW w:w="12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22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42.30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131E29"/>
              </w:rPr>
              <w:t>Forfeitures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131E29"/>
              </w:rPr>
              <w:t>(158)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131E29"/>
              </w:rPr>
              <w:t>43.46</w:t>
            </w:r>
          </w:p>
        </w:tc>
        <w:tc>
          <w:tcPr>
            <w:tcW w:w="0" w:type="dxa"/>
            <w:vAlign w:val="bottom"/>
          </w:tcPr>
          <w:p>
            <w:pPr>
              <w:spacing w:after="0"/>
              <w:rPr>
                <w:sz w:val="1"/>
                <w:szCs w:val="1"/>
                <w:color w:val="auto"/>
              </w:rPr>
            </w:pPr>
          </w:p>
        </w:tc>
      </w:tr>
      <w:tr>
        <w:trPr>
          <w:trHeight w:val="27"/>
        </w:trPr>
        <w:tc>
          <w:tcPr>
            <w:tcW w:w="67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70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Balance, June 30, 2023</w:t>
            </w:r>
          </w:p>
        </w:tc>
        <w:tc>
          <w:tcPr>
            <w:tcW w:w="202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627</w:t>
            </w:r>
          </w:p>
        </w:tc>
        <w:tc>
          <w:tcPr>
            <w:tcW w:w="26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22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36.70</w:t>
            </w:r>
          </w:p>
        </w:tc>
        <w:tc>
          <w:tcPr>
            <w:tcW w:w="0" w:type="dxa"/>
            <w:vAlign w:val="bottom"/>
          </w:tcPr>
          <w:p>
            <w:pPr>
              <w:spacing w:after="0"/>
              <w:rPr>
                <w:sz w:val="1"/>
                <w:szCs w:val="1"/>
                <w:color w:val="auto"/>
              </w:rPr>
            </w:pPr>
          </w:p>
        </w:tc>
      </w:tr>
      <w:tr>
        <w:trPr>
          <w:trHeight w:val="20"/>
        </w:trPr>
        <w:tc>
          <w:tcPr>
            <w:tcW w:w="67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Total release date fair value of vested restricted stock awards and units for the six months ended June 30, 2023 and 2022 are presented below.</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2377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41" w:lineRule="exact"/>
        <w:rPr>
          <w:sz w:val="20"/>
          <w:szCs w:val="20"/>
          <w:color w:val="auto"/>
        </w:rPr>
      </w:pPr>
    </w:p>
    <w:p>
      <w:pPr>
        <w:ind w:left="20" w:right="960"/>
        <w:spacing w:after="0" w:line="338" w:lineRule="auto"/>
        <w:rPr>
          <w:sz w:val="20"/>
          <w:szCs w:val="20"/>
          <w:color w:val="auto"/>
        </w:rPr>
      </w:pPr>
      <w:r>
        <w:rPr>
          <w:rFonts w:ascii="Arial" w:cs="Arial" w:eastAsia="Arial" w:hAnsi="Arial"/>
          <w:sz w:val="18"/>
          <w:szCs w:val="18"/>
          <w:color w:val="131E29"/>
        </w:rPr>
        <w:t>Restricted stock awards Restricted stock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Equity-Based Compensation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131E29"/>
                <w:w w:val="98"/>
              </w:rPr>
              <w:t>Weighted-</w:t>
            </w:r>
          </w:p>
        </w:tc>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131E29"/>
                <w:w w:val="98"/>
              </w:rPr>
              <w:t>Weighted-</w:t>
            </w:r>
          </w:p>
        </w:tc>
      </w:tr>
      <w:tr>
        <w:trPr>
          <w:trHeight w:val="216"/>
        </w:trPr>
        <w:tc>
          <w:tcPr>
            <w:tcW w:w="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131E29"/>
                <w:w w:val="99"/>
              </w:rPr>
              <w:t>average vest date</w:t>
            </w:r>
          </w:p>
        </w:tc>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131E29"/>
              </w:rPr>
              <w:t>average vest date</w:t>
            </w:r>
          </w:p>
        </w:tc>
      </w:tr>
      <w:tr>
        <w:trPr>
          <w:trHeight w:val="216"/>
        </w:trPr>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131E29"/>
              </w:rPr>
              <w:t>Six Months Ended June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131E29"/>
                <w:w w:val="99"/>
              </w:rPr>
              <w:t>fair value per</w:t>
            </w: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131E29"/>
              </w:rPr>
              <w:t>Six Months Ended June</w:t>
            </w:r>
          </w:p>
        </w:tc>
        <w:tc>
          <w:tcPr>
            <w:tcW w:w="2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131E29"/>
                <w:w w:val="99"/>
              </w:rPr>
              <w:t>fair value per</w:t>
            </w:r>
          </w:p>
        </w:tc>
      </w:tr>
      <w:tr>
        <w:trPr>
          <w:trHeight w:val="259"/>
        </w:trPr>
        <w:tc>
          <w:tcPr>
            <w:tcW w:w="4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131E29"/>
              </w:rPr>
              <w:t>30, 2023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131E29"/>
                <w:w w:val="99"/>
              </w:rPr>
              <w:t>share</w:t>
            </w:r>
          </w:p>
        </w:tc>
        <w:tc>
          <w:tcPr>
            <w:tcW w:w="4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131E29"/>
              </w:rPr>
              <w:t>30, 2022</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131E29"/>
                <w:w w:val="99"/>
              </w:rPr>
              <w:t>share</w:t>
            </w:r>
          </w:p>
        </w:tc>
      </w:tr>
      <w:tr>
        <w:trPr>
          <w:trHeight w:val="243"/>
        </w:trPr>
        <w:tc>
          <w:tcPr>
            <w:tcW w:w="440" w:type="dxa"/>
            <w:vAlign w:val="bottom"/>
          </w:tcPr>
          <w:p>
            <w:pPr>
              <w:jc w:val="right"/>
              <w:ind w:right="230"/>
              <w:spacing w:after="0"/>
              <w:rPr>
                <w:sz w:val="20"/>
                <w:szCs w:val="20"/>
                <w:color w:val="auto"/>
              </w:rPr>
            </w:pPr>
            <w:r>
              <w:rPr>
                <w:rFonts w:ascii="Arial" w:cs="Arial" w:eastAsia="Arial" w:hAnsi="Arial"/>
                <w:sz w:val="18"/>
                <w:szCs w:val="18"/>
                <w:color w:val="131E29"/>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131E29"/>
              </w:rPr>
              <w:t>36,451</w:t>
            </w:r>
          </w:p>
        </w:tc>
        <w:tc>
          <w:tcPr>
            <w:tcW w:w="280" w:type="dxa"/>
            <w:vAlign w:val="bottom"/>
            <w:gridSpan w:val="2"/>
          </w:tcPr>
          <w:p>
            <w:pPr>
              <w:jc w:val="right"/>
              <w:spacing w:after="0"/>
              <w:rPr>
                <w:sz w:val="20"/>
                <w:szCs w:val="20"/>
                <w:color w:val="auto"/>
              </w:rPr>
            </w:pPr>
            <w:r>
              <w:rPr>
                <w:rFonts w:ascii="Arial" w:cs="Arial" w:eastAsia="Arial" w:hAnsi="Arial"/>
                <w:sz w:val="18"/>
                <w:szCs w:val="18"/>
                <w:color w:val="131E29"/>
              </w:rPr>
              <w:t>$</w:t>
            </w:r>
          </w:p>
        </w:tc>
        <w:tc>
          <w:tcPr>
            <w:tcW w:w="1380" w:type="dxa"/>
            <w:vAlign w:val="bottom"/>
          </w:tcPr>
          <w:p>
            <w:pPr>
              <w:jc w:val="right"/>
              <w:spacing w:after="0"/>
              <w:rPr>
                <w:sz w:val="20"/>
                <w:szCs w:val="20"/>
                <w:color w:val="auto"/>
              </w:rPr>
            </w:pPr>
            <w:r>
              <w:rPr>
                <w:rFonts w:ascii="Arial" w:cs="Arial" w:eastAsia="Arial" w:hAnsi="Arial"/>
                <w:sz w:val="18"/>
                <w:szCs w:val="18"/>
                <w:color w:val="131E29"/>
              </w:rPr>
              <w:t>27.34</w:t>
            </w:r>
          </w:p>
        </w:tc>
        <w:tc>
          <w:tcPr>
            <w:tcW w:w="440" w:type="dxa"/>
            <w:vAlign w:val="bottom"/>
          </w:tcPr>
          <w:p>
            <w:pPr>
              <w:jc w:val="right"/>
              <w:ind w:right="230"/>
              <w:spacing w:after="0"/>
              <w:rPr>
                <w:sz w:val="20"/>
                <w:szCs w:val="20"/>
                <w:color w:val="auto"/>
              </w:rPr>
            </w:pPr>
            <w:r>
              <w:rPr>
                <w:rFonts w:ascii="Arial" w:cs="Arial" w:eastAsia="Arial" w:hAnsi="Arial"/>
                <w:sz w:val="18"/>
                <w:szCs w:val="18"/>
                <w:color w:val="131E29"/>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131E29"/>
              </w:rPr>
              <w:t>69,604</w:t>
            </w:r>
          </w:p>
        </w:tc>
        <w:tc>
          <w:tcPr>
            <w:tcW w:w="200" w:type="dxa"/>
            <w:vAlign w:val="bottom"/>
          </w:tcPr>
          <w:p>
            <w:pPr>
              <w:jc w:val="right"/>
              <w:spacing w:after="0"/>
              <w:rPr>
                <w:sz w:val="20"/>
                <w:szCs w:val="20"/>
                <w:color w:val="auto"/>
              </w:rPr>
            </w:pPr>
            <w:r>
              <w:rPr>
                <w:rFonts w:ascii="Arial" w:cs="Arial" w:eastAsia="Arial" w:hAnsi="Arial"/>
                <w:sz w:val="18"/>
                <w:szCs w:val="18"/>
                <w:color w:val="131E29"/>
              </w:rPr>
              <w:t>$</w:t>
            </w:r>
          </w:p>
        </w:tc>
        <w:tc>
          <w:tcPr>
            <w:tcW w:w="1380" w:type="dxa"/>
            <w:vAlign w:val="bottom"/>
          </w:tcPr>
          <w:p>
            <w:pPr>
              <w:jc w:val="right"/>
              <w:spacing w:after="0"/>
              <w:rPr>
                <w:sz w:val="20"/>
                <w:szCs w:val="20"/>
                <w:color w:val="auto"/>
              </w:rPr>
            </w:pPr>
            <w:r>
              <w:rPr>
                <w:rFonts w:ascii="Arial" w:cs="Arial" w:eastAsia="Arial" w:hAnsi="Arial"/>
                <w:sz w:val="18"/>
                <w:szCs w:val="18"/>
                <w:color w:val="131E29"/>
              </w:rPr>
              <w:t>52.21</w:t>
            </w:r>
          </w:p>
        </w:tc>
      </w:tr>
      <w:tr>
        <w:trPr>
          <w:trHeight w:val="270"/>
        </w:trPr>
        <w:tc>
          <w:tcPr>
            <w:tcW w:w="4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131E29"/>
              </w:rPr>
              <w:t>5,907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131E29"/>
              </w:rPr>
              <w:t>27.17</w:t>
            </w:r>
          </w:p>
        </w:tc>
        <w:tc>
          <w:tcPr>
            <w:tcW w:w="4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131E29"/>
              </w:rPr>
              <w:t>10,442</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131E29"/>
              </w:rPr>
              <w:t>52.34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-325120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2">
            <w:col w:w="2900" w:space="720"/>
            <w:col w:w="7620"/>
          </w:cols>
          <w:pgMar w:left="320" w:top="134" w:right="339" w:bottom="1440" w:gutter="0" w:footer="0" w:header="0"/>
          <w:type w:val="continuous"/>
        </w:sectPr>
      </w:pPr>
    </w:p>
    <w:p>
      <w:pPr>
        <w:spacing w:after="0" w:line="275" w:lineRule="auto"/>
        <w:rPr>
          <w:sz w:val="20"/>
          <w:szCs w:val="20"/>
          <w:color w:val="auto"/>
        </w:rPr>
      </w:pPr>
      <w:r>
        <w:rPr>
          <w:rFonts w:ascii="Arial" w:cs="Arial" w:eastAsia="Arial" w:hAnsi="Arial"/>
          <w:sz w:val="18"/>
          <w:szCs w:val="18"/>
          <w:color w:val="131E29"/>
        </w:rPr>
        <w:t>Equity-based compensation expense is recognized on a straight-line basis and is included in the Company’s condensed consolidated statements of operations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56"/>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84"/>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10,149</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10,446</w:t>
            </w:r>
          </w:p>
        </w:tc>
        <w:tc>
          <w:tcPr>
            <w:tcW w:w="260" w:type="dxa"/>
            <w:vAlign w:val="bottom"/>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19,319</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20,346</w:t>
            </w:r>
          </w:p>
        </w:tc>
      </w:tr>
      <w:tr>
        <w:trPr>
          <w:trHeight w:val="20"/>
        </w:trPr>
        <w:tc>
          <w:tcPr>
            <w:tcW w:w="55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As of June 30, 2023, total unrecognized stock-based compensation related to unvested stock awards was $34.2 million, which will be recognized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560" w:type="dxa"/>
            <w:vAlign w:val="bottom"/>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6"/>
        </w:trPr>
        <w:tc>
          <w:tcPr>
            <w:tcW w:w="9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r>
      <w:tr>
        <w:trPr>
          <w:trHeight w:val="243"/>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Remainder of 2023</w:t>
            </w:r>
          </w:p>
        </w:tc>
        <w:tc>
          <w:tcPr>
            <w:tcW w:w="640" w:type="dxa"/>
            <w:vAlign w:val="bottom"/>
            <w:tcBorders>
              <w:bottom w:val="single" w:sz="8" w:color="D2DCE5"/>
            </w:tcBorders>
            <w:gridSpan w:val="2"/>
            <w:shd w:val="clear" w:color="auto" w:fill="D2DCE5"/>
          </w:tcPr>
          <w:p>
            <w:pPr>
              <w:jc w:val="right"/>
              <w:ind w:right="420"/>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20,193</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8,061</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5,129</w:t>
            </w:r>
          </w:p>
        </w:tc>
      </w:tr>
      <w:tr>
        <w:trPr>
          <w:trHeight w:val="250"/>
        </w:trPr>
        <w:tc>
          <w:tcPr>
            <w:tcW w:w="9560" w:type="dxa"/>
            <w:vAlign w:val="bottom"/>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850</w:t>
            </w:r>
          </w:p>
        </w:tc>
      </w:tr>
      <w:tr>
        <w:trPr>
          <w:trHeight w:val="290"/>
        </w:trPr>
        <w:tc>
          <w:tcPr>
            <w:tcW w:w="9560" w:type="dxa"/>
            <w:vAlign w:val="bottom"/>
            <w:shd w:val="clear" w:color="auto" w:fill="D2DCE5"/>
          </w:tcPr>
          <w:p>
            <w:pPr>
              <w:ind w:left="140"/>
              <w:spacing w:after="0"/>
              <w:rPr>
                <w:sz w:val="20"/>
                <w:szCs w:val="20"/>
                <w:color w:val="auto"/>
              </w:rPr>
            </w:pPr>
            <w:r>
              <w:rPr>
                <w:rFonts w:ascii="Arial" w:cs="Arial" w:eastAsia="Arial" w:hAnsi="Arial"/>
                <w:sz w:val="18"/>
                <w:szCs w:val="18"/>
                <w:color w:val="131E29"/>
              </w:rPr>
              <w:t>Total unrecognized stock-based compensation</w:t>
            </w:r>
          </w:p>
        </w:tc>
        <w:tc>
          <w:tcPr>
            <w:tcW w:w="640" w:type="dxa"/>
            <w:vAlign w:val="bottom"/>
            <w:gridSpan w:val="2"/>
            <w:shd w:val="clear" w:color="auto" w:fill="D2DCE5"/>
          </w:tcPr>
          <w:p>
            <w:pPr>
              <w:jc w:val="right"/>
              <w:ind w:right="42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34,233</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14 — Non-Controlling Interests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Dutch Bros Inc. is the sole managing member of Dutch Bros OpCo, and, as a result, consolidates the financial results of Dutch Bros OpCo. The Company reports a non-controlling interest representing the economic interest in the Dutch Bros OpCo held by the other members of Dutch Bros OpCo. The Amended and Restated Limited Liability Company Agreement of Dutch Bros OpCo provides that holders of Dutch Bros OpCo Class A common units may, from time to time, require Dutch Bros OpCo to redeem all or a portion of its Dutch Bros OpCo Class A common units for newly-issued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ownership interest in Dutch Bros OpCo:</w:t>
      </w:r>
    </w:p>
    <w:p>
      <w:pPr>
        <w:spacing w:after="0" w:line="215"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131E29"/>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37465</wp:posOffset>
            </wp:positionV>
            <wp:extent cx="24263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26335" cy="82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p>
      <w:pPr>
        <w:spacing w:after="0" w:line="13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Dutch Bros OpCo Class A common units held by Dutch Bros Inc.</w:t>
      </w:r>
      <w:r>
        <w:rPr>
          <w:rFonts w:ascii="Arial" w:cs="Arial" w:eastAsia="Arial" w:hAnsi="Arial"/>
          <w:sz w:val="23"/>
          <w:szCs w:val="23"/>
          <w:color w:val="131E29"/>
          <w:vertAlign w:val="superscript"/>
        </w:rPr>
        <w:t>1</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131E29"/>
        </w:rPr>
        <w:t>Dutch Bros OpCo Class A common units held by non-controlling interest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Total Dutch Bros OpCo Class A common units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right"/>
        <w:ind w:right="320"/>
        <w:spacing w:after="0"/>
        <w:rPr>
          <w:sz w:val="20"/>
          <w:szCs w:val="20"/>
          <w:color w:val="auto"/>
        </w:rPr>
      </w:pPr>
      <w:r>
        <w:rPr>
          <w:rFonts w:ascii="Arial" w:cs="Arial" w:eastAsia="Arial" w:hAnsi="Arial"/>
          <w:sz w:val="17"/>
          <w:szCs w:val="17"/>
          <w:b w:val="1"/>
          <w:bCs w:val="1"/>
          <w:color w:val="131E29"/>
        </w:rPr>
        <w:t>OpCo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44450</wp:posOffset>
            </wp:positionV>
            <wp:extent cx="11315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color w:val="131E29"/>
        </w:rPr>
        <w:t>58,085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131E29"/>
        </w:rPr>
        <w:t>105,756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31115</wp:posOffset>
            </wp:positionV>
            <wp:extent cx="11315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131E29"/>
        </w:rPr>
        <w:t>163,841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56515</wp:posOffset>
            </wp:positionV>
            <wp:extent cx="11315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right"/>
        <w:ind w:right="400"/>
        <w:spacing w:after="0"/>
        <w:rPr>
          <w:sz w:val="20"/>
          <w:szCs w:val="20"/>
          <w:color w:val="auto"/>
        </w:rPr>
      </w:pPr>
      <w:r>
        <w:rPr>
          <w:rFonts w:ascii="Arial" w:cs="Arial" w:eastAsia="Arial" w:hAnsi="Arial"/>
          <w:sz w:val="17"/>
          <w:szCs w:val="17"/>
          <w:b w:val="1"/>
          <w:bCs w:val="1"/>
          <w:color w:val="131E29"/>
        </w:rPr>
        <w:t>Ownership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44450</wp:posOffset>
            </wp:positionV>
            <wp:extent cx="1234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131E29"/>
        </w:rPr>
        <w:t>35.5 %</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131E29"/>
        </w:rPr>
        <w:t>64.5 %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31115</wp:posOffset>
            </wp:positionV>
            <wp:extent cx="12344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131E29"/>
        </w:rPr>
        <w:t>100.0 %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56515</wp:posOffset>
            </wp:positionV>
            <wp:extent cx="1234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570" w:lineRule="exact"/>
        <w:rPr>
          <w:sz w:val="20"/>
          <w:szCs w:val="20"/>
          <w:color w:val="auto"/>
        </w:rPr>
      </w:pPr>
    </w:p>
    <w:p>
      <w:pPr>
        <w:sectPr>
          <w:pgSz w:w="11900" w:h="16838" w:orient="portrait"/>
          <w:cols w:equalWidth="0" w:num="3">
            <w:col w:w="7100" w:space="720"/>
            <w:col w:w="1300" w:space="580"/>
            <w:col w:w="1540"/>
          </w:cols>
          <w:pgMar w:left="320" w:top="134" w:right="339" w:bottom="1440" w:gutter="0" w:footer="0" w:header="0"/>
          <w:type w:val="continuous"/>
        </w:sectPr>
      </w:pPr>
    </w:p>
    <w:p>
      <w:pPr>
        <w:ind w:left="180" w:hanging="172"/>
        <w:spacing w:after="0" w:line="226" w:lineRule="auto"/>
        <w:tabs>
          <w:tab w:leader="none" w:pos="208" w:val="left"/>
        </w:tabs>
        <w:numPr>
          <w:ilvl w:val="0"/>
          <w:numId w:val="6"/>
        </w:numPr>
        <w:rPr>
          <w:rFonts w:ascii="Arial" w:cs="Arial" w:eastAsia="Arial" w:hAnsi="Arial"/>
          <w:sz w:val="19"/>
          <w:szCs w:val="19"/>
          <w:color w:val="131E29"/>
          <w:vertAlign w:val="superscript"/>
        </w:rPr>
      </w:pPr>
      <w:r>
        <w:rPr>
          <w:rFonts w:ascii="Arial" w:cs="Arial" w:eastAsia="Arial" w:hAnsi="Arial"/>
          <w:sz w:val="14"/>
          <w:szCs w:val="14"/>
          <w:color w:val="131E29"/>
        </w:rPr>
        <w:t>Includes approximately 1.3 million Dutch Bros OpCo Class A common units related to unvested restricted stock awards held by former Profits Interest Units holders. These Dutch Bros OpCo Class A common units are excluded from non-controlling interest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effect of changes in ownership of Dutch Bros OpCo on the Company’s equity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2"/>
                <w:szCs w:val="22"/>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63"/>
        </w:trPr>
        <w:tc>
          <w:tcPr>
            <w:tcW w:w="5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Net income (loss) attributable to Dutch Bros Inc.</w:t>
            </w:r>
          </w:p>
        </w:tc>
        <w:tc>
          <w:tcPr>
            <w:tcW w:w="380" w:type="dxa"/>
            <w:vAlign w:val="bottom"/>
            <w:tcBorders>
              <w:bottom w:val="single" w:sz="8" w:color="D2DCE5"/>
            </w:tcBorders>
            <w:gridSpan w:val="2"/>
            <w:shd w:val="clear" w:color="auto" w:fill="D2DCE5"/>
          </w:tcPr>
          <w:p>
            <w:pPr>
              <w:jc w:val="right"/>
              <w:ind w:right="70"/>
              <w:spacing w:after="0"/>
              <w:rPr>
                <w:sz w:val="20"/>
                <w:szCs w:val="20"/>
                <w:color w:val="auto"/>
              </w:rPr>
            </w:pPr>
            <w:r>
              <w:rPr>
                <w:rFonts w:ascii="Arial" w:cs="Arial" w:eastAsia="Arial" w:hAnsi="Arial"/>
                <w:sz w:val="18"/>
                <w:szCs w:val="18"/>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2,752</w:t>
            </w:r>
          </w:p>
        </w:tc>
        <w:tc>
          <w:tcPr>
            <w:tcW w:w="4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(906)</w:t>
            </w:r>
          </w:p>
        </w:tc>
        <w:tc>
          <w:tcPr>
            <w:tcW w:w="260" w:type="dxa"/>
            <w:vAlign w:val="bottom"/>
            <w:tcBorders>
              <w:bottom w:val="single" w:sz="8" w:color="D2DCE5"/>
            </w:tcBorders>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(1,090)</w:t>
            </w:r>
          </w:p>
        </w:tc>
        <w:tc>
          <w:tcPr>
            <w:tcW w:w="4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(5,853)</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131E29"/>
              </w:rPr>
              <w:t>Other comprehensive income:</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D2DCE5"/>
          </w:tcPr>
          <w:p>
            <w:pPr>
              <w:ind w:left="140"/>
              <w:spacing w:after="0"/>
              <w:rPr>
                <w:sz w:val="20"/>
                <w:szCs w:val="20"/>
                <w:color w:val="auto"/>
              </w:rPr>
            </w:pPr>
            <w:r>
              <w:rPr>
                <w:rFonts w:ascii="Arial" w:cs="Arial" w:eastAsia="Arial" w:hAnsi="Arial"/>
                <w:sz w:val="18"/>
                <w:szCs w:val="18"/>
                <w:color w:val="131E29"/>
              </w:rPr>
              <w:t>Unrealized gain on derivative securities, effective portion, net of</w:t>
            </w: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11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80" w:type="dxa"/>
            <w:vAlign w:val="bottom"/>
            <w:tcBorders>
              <w:bottom w:val="single" w:sz="8" w:color="D2DCE5"/>
            </w:tcBorders>
            <w:shd w:val="clear" w:color="auto" w:fill="D2DCE5"/>
          </w:tcPr>
          <w:p>
            <w:pPr>
              <w:ind w:left="140"/>
              <w:spacing w:after="0"/>
              <w:rPr>
                <w:sz w:val="20"/>
                <w:szCs w:val="20"/>
                <w:color w:val="auto"/>
              </w:rPr>
            </w:pPr>
            <w:r>
              <w:rPr>
                <w:rFonts w:ascii="Arial" w:cs="Arial" w:eastAsia="Arial" w:hAnsi="Arial"/>
                <w:sz w:val="18"/>
                <w:szCs w:val="18"/>
                <w:color w:val="131E29"/>
              </w:rPr>
              <w:t>income tax expense</w:t>
            </w: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315</w:t>
            </w:r>
          </w:p>
        </w:tc>
        <w:tc>
          <w:tcPr>
            <w:tcW w:w="12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145</w:t>
            </w:r>
          </w:p>
        </w:tc>
        <w:tc>
          <w:tcPr>
            <w:tcW w:w="10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D2DCE5"/>
            </w:tcBorders>
            <w:shd w:val="clear" w:color="auto" w:fill="D2DCE5"/>
          </w:tcPr>
          <w:p>
            <w:pPr>
              <w:spacing w:after="0"/>
              <w:rPr>
                <w:sz w:val="20"/>
                <w:szCs w:val="20"/>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92</w:t>
            </w: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145</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131E29"/>
              </w:rPr>
              <w:t>Transfers from (to) non-controlling interests: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Decrease in accumulated deficit as a result of the adoption of ASC</w:t>
            </w: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11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8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842</w:t>
            </w: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2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D2DCE5"/>
            </w:tcBorders>
            <w:shd w:val="clear" w:color="auto" w:fill="D2DCE5"/>
          </w:tcPr>
          <w:p>
            <w:pPr>
              <w:spacing w:after="0"/>
              <w:rPr>
                <w:sz w:val="20"/>
                <w:szCs w:val="20"/>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386</w:t>
            </w: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131E29"/>
              </w:rPr>
              <w:t>Increase in additional paid-in capital as a result of equity-based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131E29"/>
              </w:rPr>
              <w:t>compensation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3,545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6,745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6,427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Decrease in additional paid-in capital as a result of common stock</w:t>
            </w: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11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issuances pursuant to vesting of equity awards, net of stock</w:t>
            </w: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1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withheld for tax</w:t>
            </w: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2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D2DCE5"/>
            </w:tcBorders>
            <w:shd w:val="clear" w:color="auto" w:fill="D2DCE5"/>
          </w:tcPr>
          <w:p>
            <w:pPr>
              <w:spacing w:after="0"/>
              <w:rPr>
                <w:sz w:val="20"/>
                <w:szCs w:val="20"/>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(661)</w:t>
            </w: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(1,145)</w:t>
            </w: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131E29"/>
              </w:rPr>
              <w:t>Increase in additional paid-in capital as a result of the acquisition of</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131E29"/>
              </w:rPr>
              <w:t>Dutch Bros OpCo Class A common units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4,880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580" w:type="dxa"/>
            <w:vAlign w:val="bottom"/>
            <w:shd w:val="clear" w:color="auto" w:fill="D2DCE5"/>
          </w:tcPr>
          <w:p>
            <w:pPr>
              <w:ind w:left="20"/>
              <w:spacing w:after="0" w:line="201" w:lineRule="exact"/>
              <w:rPr>
                <w:sz w:val="20"/>
                <w:szCs w:val="20"/>
                <w:color w:val="auto"/>
              </w:rPr>
            </w:pPr>
            <w:r>
              <w:rPr>
                <w:rFonts w:ascii="Arial" w:cs="Arial" w:eastAsia="Arial" w:hAnsi="Arial"/>
                <w:sz w:val="18"/>
                <w:szCs w:val="18"/>
                <w:b w:val="1"/>
                <w:bCs w:val="1"/>
                <w:color w:val="131E29"/>
              </w:rPr>
              <w:t>Total effect of changes in ownership interest on equity</w:t>
            </w:r>
          </w:p>
        </w:tc>
        <w:tc>
          <w:tcPr>
            <w:tcW w:w="380" w:type="dxa"/>
            <w:vAlign w:val="bottom"/>
            <w:gridSpan w:val="2"/>
            <w:vMerge w:val="restart"/>
            <w:shd w:val="clear" w:color="auto" w:fill="D2DCE5"/>
          </w:tcPr>
          <w:p>
            <w:pPr>
              <w:jc w:val="right"/>
              <w:ind w:right="70"/>
              <w:spacing w:after="0"/>
              <w:rPr>
                <w:sz w:val="20"/>
                <w:szCs w:val="20"/>
                <w:color w:val="auto"/>
              </w:rPr>
            </w:pPr>
            <w:r>
              <w:rPr>
                <w:rFonts w:ascii="Arial" w:cs="Arial" w:eastAsia="Arial" w:hAnsi="Arial"/>
                <w:sz w:val="18"/>
                <w:szCs w:val="18"/>
                <w:color w:val="131E29"/>
              </w:rPr>
              <w:t>$</w:t>
            </w: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6,680</w:t>
            </w:r>
          </w:p>
        </w:tc>
        <w:tc>
          <w:tcPr>
            <w:tcW w:w="400" w:type="dxa"/>
            <w:vAlign w:val="bottom"/>
            <w:gridSpan w:val="2"/>
            <w:vMerge w:val="restart"/>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2,596</w:t>
            </w:r>
          </w:p>
        </w:tc>
        <w:tc>
          <w:tcPr>
            <w:tcW w:w="260" w:type="dxa"/>
            <w:vAlign w:val="bottom"/>
            <w:gridSpan w:val="2"/>
            <w:vMerge w:val="restart"/>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6,208</w:t>
            </w:r>
          </w:p>
        </w:tc>
        <w:tc>
          <w:tcPr>
            <w:tcW w:w="400" w:type="dxa"/>
            <w:vAlign w:val="bottom"/>
            <w:gridSpan w:val="2"/>
            <w:vMerge w:val="restart"/>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4,840</w:t>
            </w:r>
          </w:p>
        </w:tc>
        <w:tc>
          <w:tcPr>
            <w:tcW w:w="0" w:type="dxa"/>
            <w:vAlign w:val="bottom"/>
          </w:tcPr>
          <w:p>
            <w:pPr>
              <w:spacing w:after="0"/>
              <w:rPr>
                <w:sz w:val="1"/>
                <w:szCs w:val="1"/>
                <w:color w:val="auto"/>
              </w:rPr>
            </w:pPr>
          </w:p>
        </w:tc>
      </w:tr>
      <w:tr>
        <w:trPr>
          <w:trHeight w:val="259"/>
        </w:trPr>
        <w:tc>
          <w:tcPr>
            <w:tcW w:w="558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attributable to Dutch Bros Inc.</w:t>
            </w:r>
          </w:p>
        </w:tc>
        <w:tc>
          <w:tcPr>
            <w:tcW w:w="380" w:type="dxa"/>
            <w:vAlign w:val="bottom"/>
            <w:gridSpan w:val="2"/>
            <w:vMerge w:val="continue"/>
            <w:shd w:val="clear" w:color="auto" w:fill="D2DCE5"/>
          </w:tcPr>
          <w:p>
            <w:pPr>
              <w:spacing w:after="0"/>
              <w:rPr>
                <w:sz w:val="22"/>
                <w:szCs w:val="22"/>
                <w:color w:val="auto"/>
              </w:rPr>
            </w:pPr>
          </w:p>
        </w:tc>
        <w:tc>
          <w:tcPr>
            <w:tcW w:w="1020" w:type="dxa"/>
            <w:vAlign w:val="bottom"/>
            <w:vMerge w:val="continue"/>
            <w:shd w:val="clear" w:color="auto" w:fill="D2DCE5"/>
          </w:tcPr>
          <w:p>
            <w:pPr>
              <w:spacing w:after="0"/>
              <w:rPr>
                <w:sz w:val="22"/>
                <w:szCs w:val="22"/>
                <w:color w:val="auto"/>
              </w:rPr>
            </w:pPr>
          </w:p>
        </w:tc>
        <w:tc>
          <w:tcPr>
            <w:tcW w:w="400" w:type="dxa"/>
            <w:vAlign w:val="bottom"/>
            <w:gridSpan w:val="2"/>
            <w:vMerge w:val="continue"/>
            <w:shd w:val="clear" w:color="auto" w:fill="D2DCE5"/>
          </w:tcPr>
          <w:p>
            <w:pPr>
              <w:spacing w:after="0"/>
              <w:rPr>
                <w:sz w:val="22"/>
                <w:szCs w:val="22"/>
                <w:color w:val="auto"/>
              </w:rPr>
            </w:pPr>
          </w:p>
        </w:tc>
        <w:tc>
          <w:tcPr>
            <w:tcW w:w="1020" w:type="dxa"/>
            <w:vAlign w:val="bottom"/>
            <w:vMerge w:val="continue"/>
            <w:shd w:val="clear" w:color="auto" w:fill="D2DCE5"/>
          </w:tcPr>
          <w:p>
            <w:pPr>
              <w:spacing w:after="0"/>
              <w:rPr>
                <w:sz w:val="22"/>
                <w:szCs w:val="22"/>
                <w:color w:val="auto"/>
              </w:rPr>
            </w:pPr>
          </w:p>
        </w:tc>
        <w:tc>
          <w:tcPr>
            <w:tcW w:w="260" w:type="dxa"/>
            <w:vAlign w:val="bottom"/>
            <w:gridSpan w:val="2"/>
            <w:vMerge w:val="continue"/>
            <w:shd w:val="clear" w:color="auto" w:fill="D2DCE5"/>
          </w:tcPr>
          <w:p>
            <w:pPr>
              <w:spacing w:after="0"/>
              <w:rPr>
                <w:sz w:val="22"/>
                <w:szCs w:val="22"/>
                <w:color w:val="auto"/>
              </w:rPr>
            </w:pPr>
          </w:p>
        </w:tc>
        <w:tc>
          <w:tcPr>
            <w:tcW w:w="1160" w:type="dxa"/>
            <w:vAlign w:val="bottom"/>
            <w:vMerge w:val="continue"/>
            <w:shd w:val="clear" w:color="auto" w:fill="D2DCE5"/>
          </w:tcPr>
          <w:p>
            <w:pPr>
              <w:spacing w:after="0"/>
              <w:rPr>
                <w:sz w:val="22"/>
                <w:szCs w:val="22"/>
                <w:color w:val="auto"/>
              </w:rPr>
            </w:pPr>
          </w:p>
        </w:tc>
        <w:tc>
          <w:tcPr>
            <w:tcW w:w="400" w:type="dxa"/>
            <w:vAlign w:val="bottom"/>
            <w:gridSpan w:val="2"/>
            <w:vMerge w:val="continue"/>
            <w:shd w:val="clear" w:color="auto" w:fill="D2DCE5"/>
          </w:tcPr>
          <w:p>
            <w:pPr>
              <w:spacing w:after="0"/>
              <w:rPr>
                <w:sz w:val="22"/>
                <w:szCs w:val="22"/>
                <w:color w:val="auto"/>
              </w:rPr>
            </w:pPr>
          </w:p>
        </w:tc>
        <w:tc>
          <w:tcPr>
            <w:tcW w:w="1020" w:type="dxa"/>
            <w:vAlign w:val="bottom"/>
            <w:vMerge w:val="continue"/>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The weighted-average ownership percentage for the applicable reporting period is used to attribute net income (loss) to Dutch Bros Inc. and the non-controlling interest holders. The non-controlling interest holders’ weighted-average ownership percentage were as follows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131E29"/>
              </w:rPr>
              <w:t>Three Months Ended June 30,</w:t>
            </w:r>
          </w:p>
        </w:tc>
        <w:tc>
          <w:tcPr>
            <w:tcW w:w="120" w:type="dxa"/>
            <w:vAlign w:val="bottom"/>
          </w:tcPr>
          <w:p>
            <w:pPr>
              <w:spacing w:after="0"/>
              <w:rPr>
                <w:sz w:val="22"/>
                <w:szCs w:val="22"/>
                <w:color w:val="auto"/>
              </w:rPr>
            </w:pPr>
          </w:p>
        </w:tc>
        <w:tc>
          <w:tcPr>
            <w:tcW w:w="28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131E29"/>
              </w:rPr>
              <w:t>Six Months Ended June 30,</w:t>
            </w:r>
          </w:p>
        </w:tc>
      </w:tr>
      <w:tr>
        <w:trPr>
          <w:trHeight w:val="264"/>
        </w:trPr>
        <w:tc>
          <w:tcPr>
            <w:tcW w:w="5400" w:type="dxa"/>
            <w:vAlign w:val="bottom"/>
            <w:tcBorders>
              <w:bottom w:val="single" w:sz="8" w:color="auto"/>
            </w:tcBorders>
          </w:tcPr>
          <w:p>
            <w:pPr>
              <w:spacing w:after="0"/>
              <w:rPr>
                <w:sz w:val="22"/>
                <w:szCs w:val="22"/>
                <w:color w:val="auto"/>
              </w:rPr>
            </w:pPr>
          </w:p>
        </w:tc>
        <w:tc>
          <w:tcPr>
            <w:tcW w:w="120" w:type="dxa"/>
            <w:vAlign w:val="bottom"/>
            <w:tcBorders>
              <w:bottom w:val="single" w:sz="8" w:color="D2DCE5"/>
            </w:tcBorders>
          </w:tcPr>
          <w:p>
            <w:pPr>
              <w:spacing w:after="0"/>
              <w:rPr>
                <w:sz w:val="22"/>
                <w:szCs w:val="22"/>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2022</w:t>
            </w:r>
          </w:p>
        </w:tc>
        <w:tc>
          <w:tcPr>
            <w:tcW w:w="120" w:type="dxa"/>
            <w:vAlign w:val="bottom"/>
            <w:tcBorders>
              <w:bottom w:val="single" w:sz="8" w:color="D2DCE5"/>
            </w:tcBorders>
          </w:tcPr>
          <w:p>
            <w:pPr>
              <w:spacing w:after="0"/>
              <w:rPr>
                <w:sz w:val="22"/>
                <w:szCs w:val="22"/>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131E29"/>
              </w:rPr>
              <w:t>2023</w:t>
            </w:r>
          </w:p>
        </w:tc>
        <w:tc>
          <w:tcPr>
            <w:tcW w:w="120" w:type="dxa"/>
            <w:vAlign w:val="bottom"/>
            <w:tcBorders>
              <w:bottom w:val="single" w:sz="8" w:color="D2DCE5"/>
            </w:tcBorders>
          </w:tcPr>
          <w:p>
            <w:pPr>
              <w:spacing w:after="0"/>
              <w:rPr>
                <w:sz w:val="22"/>
                <w:szCs w:val="22"/>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2022</w:t>
            </w:r>
          </w:p>
        </w:tc>
      </w:tr>
      <w:tr>
        <w:trPr>
          <w:trHeight w:val="243"/>
        </w:trPr>
        <w:tc>
          <w:tcPr>
            <w:tcW w:w="55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Weighted-average ownership percentage</w:t>
            </w:r>
          </w:p>
        </w:tc>
        <w:tc>
          <w:tcPr>
            <w:tcW w:w="14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65.1 %</w:t>
            </w:r>
          </w:p>
        </w:tc>
        <w:tc>
          <w:tcPr>
            <w:tcW w:w="1380" w:type="dxa"/>
            <w:vAlign w:val="bottom"/>
            <w:gridSpan w:val="2"/>
            <w:shd w:val="clear" w:color="auto" w:fill="D2DCE5"/>
          </w:tcPr>
          <w:p>
            <w:pPr>
              <w:jc w:val="right"/>
              <w:ind w:right="290"/>
              <w:spacing w:after="0"/>
              <w:rPr>
                <w:sz w:val="20"/>
                <w:szCs w:val="20"/>
                <w:color w:val="auto"/>
              </w:rPr>
            </w:pPr>
            <w:r>
              <w:rPr>
                <w:rFonts w:ascii="Arial" w:cs="Arial" w:eastAsia="Arial" w:hAnsi="Arial"/>
                <w:sz w:val="18"/>
                <w:szCs w:val="18"/>
                <w:color w:val="131E29"/>
              </w:rPr>
              <w:t>68.4%</w:t>
            </w:r>
          </w:p>
        </w:tc>
        <w:tc>
          <w:tcPr>
            <w:tcW w:w="152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65.1 %</w:t>
            </w:r>
          </w:p>
        </w:tc>
        <w:tc>
          <w:tcPr>
            <w:tcW w:w="1400" w:type="dxa"/>
            <w:vAlign w:val="bottom"/>
            <w:gridSpan w:val="2"/>
            <w:shd w:val="clear" w:color="auto" w:fill="D2DCE5"/>
          </w:tcPr>
          <w:p>
            <w:pPr>
              <w:jc w:val="right"/>
              <w:ind w:right="290"/>
              <w:spacing w:after="0"/>
              <w:rPr>
                <w:sz w:val="20"/>
                <w:szCs w:val="20"/>
                <w:color w:val="auto"/>
              </w:rPr>
            </w:pPr>
            <w:r>
              <w:rPr>
                <w:rFonts w:ascii="Arial" w:cs="Arial" w:eastAsia="Arial" w:hAnsi="Arial"/>
                <w:sz w:val="18"/>
                <w:szCs w:val="18"/>
                <w:color w:val="131E29"/>
              </w:rPr>
              <w:t>69.2%</w:t>
            </w:r>
          </w:p>
        </w:tc>
      </w:tr>
      <w:tr>
        <w:trPr>
          <w:trHeight w:val="27"/>
        </w:trPr>
        <w:tc>
          <w:tcPr>
            <w:tcW w:w="540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14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28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140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1280" w:type="dxa"/>
            <w:vAlign w:val="bottom"/>
            <w:shd w:val="clear" w:color="auto" w:fill="D2DCE5"/>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15 — Income (Loss) Per Share</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Basic net income (loss) per share of Class A and Class D common stock is computed by dividing net income (loss) attributable to Dutch Bros Inc. by the weighted-average number of shares of Class A and Class D common stock outstanding during the period.</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Diluted net income (loss) per share of Class A and Class D common stock is computed by dividing net income (loss) attributable to the Company, adjusted for the assumed exchange of all potentially dilutive instruments for Class A common stock, by the weighted-average number of shares of Class A and Class D common stock outstanding, adjusted to give effect to potentially dilutive elements. Share counts used in the diluted net income (loss) per share calculations are adjusted for the deemed repurchases provided for in the treasury stock method for restricted stock awards and restricted stock units, and under the if-converted method for the outstanding convertible Class B and 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5" w:lineRule="auto"/>
        <w:rPr>
          <w:sz w:val="20"/>
          <w:szCs w:val="20"/>
          <w:color w:val="auto"/>
        </w:rPr>
      </w:pPr>
      <w:r>
        <w:rPr>
          <w:rFonts w:ascii="Arial" w:cs="Arial" w:eastAsia="Arial" w:hAnsi="Arial"/>
          <w:sz w:val="18"/>
          <w:szCs w:val="18"/>
          <w:color w:val="131E29"/>
        </w:rPr>
        <w:t>The following tables set forth the numerators and denominators used to compute basic and diluted net income (loss) per share of Class A and Class D common stock for the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70"/>
        </w:trPr>
        <w:tc>
          <w:tcPr>
            <w:tcW w:w="57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Numerator:</w:t>
            </w:r>
          </w:p>
        </w:tc>
        <w:tc>
          <w:tcPr>
            <w:tcW w:w="28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1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43"/>
        </w:trPr>
        <w:tc>
          <w:tcPr>
            <w:tcW w:w="5700" w:type="dxa"/>
            <w:vAlign w:val="bottom"/>
            <w:gridSpan w:val="2"/>
          </w:tcPr>
          <w:p>
            <w:pPr>
              <w:ind w:left="180"/>
              <w:spacing w:after="0"/>
              <w:rPr>
                <w:sz w:val="20"/>
                <w:szCs w:val="20"/>
                <w:color w:val="auto"/>
              </w:rPr>
            </w:pPr>
            <w:r>
              <w:rPr>
                <w:rFonts w:ascii="Arial" w:cs="Arial" w:eastAsia="Arial" w:hAnsi="Arial"/>
                <w:sz w:val="18"/>
                <w:szCs w:val="18"/>
                <w:color w:val="131E29"/>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9,711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(1,751)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131E29"/>
              </w:rPr>
              <w:t>$</w:t>
            </w:r>
          </w:p>
        </w:tc>
        <w:tc>
          <w:tcPr>
            <w:tcW w:w="1140" w:type="dxa"/>
            <w:vAlign w:val="bottom"/>
          </w:tcPr>
          <w:p>
            <w:pPr>
              <w:jc w:val="right"/>
              <w:spacing w:after="0"/>
              <w:rPr>
                <w:sz w:val="20"/>
                <w:szCs w:val="20"/>
                <w:color w:val="auto"/>
              </w:rPr>
            </w:pPr>
            <w:r>
              <w:rPr>
                <w:rFonts w:ascii="Arial" w:cs="Arial" w:eastAsia="Arial" w:hAnsi="Arial"/>
                <w:sz w:val="18"/>
                <w:szCs w:val="18"/>
                <w:color w:val="131E29"/>
              </w:rPr>
              <w:t>320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(18,030)</w:t>
            </w: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5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(loss) attributable to non-controlling interests</w:t>
            </w: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6,959</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(845)</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1,410</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(12,177)</w:t>
            </w:r>
          </w:p>
        </w:tc>
      </w:tr>
      <w:tr>
        <w:trPr>
          <w:trHeight w:val="270"/>
        </w:trPr>
        <w:tc>
          <w:tcPr>
            <w:tcW w:w="5700" w:type="dxa"/>
            <w:vAlign w:val="bottom"/>
            <w:gridSpan w:val="2"/>
          </w:tcPr>
          <w:p>
            <w:pPr>
              <w:ind w:left="20"/>
              <w:spacing w:after="0"/>
              <w:rPr>
                <w:sz w:val="20"/>
                <w:szCs w:val="20"/>
                <w:color w:val="auto"/>
              </w:rPr>
            </w:pPr>
            <w:r>
              <w:rPr>
                <w:rFonts w:ascii="Arial" w:cs="Arial" w:eastAsia="Arial" w:hAnsi="Arial"/>
                <w:sz w:val="18"/>
                <w:szCs w:val="18"/>
                <w:color w:val="131E29"/>
              </w:rPr>
              <w:t>Net income (loss) attributable to Dutch Bros Inc.</w:t>
            </w:r>
          </w:p>
        </w:tc>
        <w:tc>
          <w:tcPr>
            <w:tcW w:w="280" w:type="dxa"/>
            <w:vAlign w:val="bottom"/>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2,752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(906)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131E29"/>
              </w:rPr>
              <w:t>$</w:t>
            </w:r>
          </w:p>
        </w:tc>
        <w:tc>
          <w:tcPr>
            <w:tcW w:w="1140" w:type="dxa"/>
            <w:vAlign w:val="bottom"/>
          </w:tcPr>
          <w:p>
            <w:pPr>
              <w:jc w:val="right"/>
              <w:spacing w:after="0"/>
              <w:rPr>
                <w:sz w:val="20"/>
                <w:szCs w:val="20"/>
                <w:color w:val="auto"/>
              </w:rPr>
            </w:pPr>
            <w:r>
              <w:rPr>
                <w:rFonts w:ascii="Arial" w:cs="Arial" w:eastAsia="Arial" w:hAnsi="Arial"/>
                <w:sz w:val="18"/>
                <w:szCs w:val="18"/>
                <w:color w:val="131E29"/>
              </w:rPr>
              <w:t>(1,090)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(5,853)</w:t>
            </w:r>
          </w:p>
        </w:tc>
      </w:tr>
      <w:tr>
        <w:trPr>
          <w:trHeight w:val="21"/>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tcBorders>
              <w:bottom w:val="single" w:sz="8" w:color="auto"/>
            </w:tcBorders>
            <w:gridSpan w:val="5"/>
          </w:tcPr>
          <w:p>
            <w:pPr>
              <w:jc w:val="right"/>
              <w:ind w:right="17"/>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6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12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b w:val="1"/>
                <w:bCs w:val="1"/>
                <w:color w:val="131E29"/>
              </w:rPr>
              <w:t>2022</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b w:val="1"/>
                <w:bCs w:val="1"/>
                <w:color w:val="131E29"/>
              </w:rPr>
              <w:t>2023</w:t>
            </w:r>
          </w:p>
        </w:tc>
        <w:tc>
          <w:tcPr>
            <w:tcW w:w="12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b w:val="1"/>
                <w:bCs w:val="1"/>
                <w:color w:val="131E29"/>
              </w:rPr>
              <w:t>2022</w:t>
            </w: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Basic net income (loss) per share attributable to common stockholders</w:t>
            </w:r>
          </w:p>
        </w:tc>
        <w:tc>
          <w:tcPr>
            <w:tcW w:w="28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40" w:type="dxa"/>
            <w:vAlign w:val="bottom"/>
            <w:shd w:val="clear" w:color="auto" w:fill="D2DCE5"/>
          </w:tcPr>
          <w:p>
            <w:pPr>
              <w:spacing w:after="0"/>
              <w:rPr>
                <w:sz w:val="21"/>
                <w:szCs w:val="21"/>
                <w:color w:val="auto"/>
              </w:rPr>
            </w:pPr>
          </w:p>
        </w:tc>
        <w:tc>
          <w:tcPr>
            <w:tcW w:w="116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00" w:type="dxa"/>
            <w:vAlign w:val="bottom"/>
            <w:gridSpan w:val="2"/>
          </w:tcPr>
          <w:p>
            <w:pPr>
              <w:ind w:left="140"/>
              <w:spacing w:after="0"/>
              <w:rPr>
                <w:sz w:val="20"/>
                <w:szCs w:val="20"/>
                <w:color w:val="auto"/>
              </w:rPr>
            </w:pPr>
            <w:r>
              <w:rPr>
                <w:rFonts w:ascii="Arial" w:cs="Arial" w:eastAsia="Arial" w:hAnsi="Arial"/>
                <w:sz w:val="16"/>
                <w:szCs w:val="16"/>
                <w:b w:val="1"/>
                <w:bCs w:val="1"/>
                <w:color w:val="131E29"/>
              </w:rPr>
              <w:t>Numerator:</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700" w:type="dxa"/>
            <w:vAlign w:val="bottom"/>
            <w:gridSpan w:val="2"/>
            <w:shd w:val="clear" w:color="auto" w:fill="D2DCE5"/>
          </w:tcPr>
          <w:p>
            <w:pPr>
              <w:ind w:left="300"/>
              <w:spacing w:after="0"/>
              <w:rPr>
                <w:sz w:val="20"/>
                <w:szCs w:val="20"/>
                <w:color w:val="auto"/>
              </w:rPr>
            </w:pPr>
            <w:r>
              <w:rPr>
                <w:rFonts w:ascii="Arial" w:cs="Arial" w:eastAsia="Arial" w:hAnsi="Arial"/>
                <w:sz w:val="16"/>
                <w:szCs w:val="16"/>
                <w:color w:val="131E29"/>
              </w:rPr>
              <w:t>Net income (loss) attributable to Dutch Bros Inc.</w:t>
            </w:r>
          </w:p>
        </w:tc>
        <w:tc>
          <w:tcPr>
            <w:tcW w:w="280" w:type="dxa"/>
            <w:vAlign w:val="bottom"/>
            <w:vMerge w:val="restart"/>
            <w:shd w:val="clear" w:color="auto" w:fill="D2DCE5"/>
          </w:tcPr>
          <w:p>
            <w:pPr>
              <w:jc w:val="right"/>
              <w:ind w:right="96"/>
              <w:spacing w:after="0"/>
              <w:rPr>
                <w:sz w:val="20"/>
                <w:szCs w:val="20"/>
                <w:color w:val="auto"/>
              </w:rPr>
            </w:pPr>
            <w:r>
              <w:rPr>
                <w:rFonts w:ascii="Arial" w:cs="Arial" w:eastAsia="Arial" w:hAnsi="Arial"/>
                <w:sz w:val="16"/>
                <w:szCs w:val="16"/>
                <w:color w:val="131E29"/>
                <w:w w:val="89"/>
              </w:rPr>
              <w:t>$</w:t>
            </w: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2,752</w:t>
            </w:r>
          </w:p>
        </w:tc>
        <w:tc>
          <w:tcPr>
            <w:tcW w:w="3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(906)</w:t>
            </w:r>
          </w:p>
        </w:tc>
        <w:tc>
          <w:tcPr>
            <w:tcW w:w="240" w:type="dxa"/>
            <w:vAlign w:val="bottom"/>
            <w:gridSpan w:val="2"/>
            <w:vMerge w:val="restart"/>
            <w:shd w:val="clear" w:color="auto" w:fill="D2DCE5"/>
          </w:tcPr>
          <w:p>
            <w:pPr>
              <w:jc w:val="right"/>
              <w:ind w:right="40"/>
              <w:spacing w:after="0"/>
              <w:rPr>
                <w:sz w:val="20"/>
                <w:szCs w:val="20"/>
                <w:color w:val="auto"/>
              </w:rPr>
            </w:pPr>
            <w:r>
              <w:rPr>
                <w:rFonts w:ascii="Arial" w:cs="Arial" w:eastAsia="Arial" w:hAnsi="Arial"/>
                <w:sz w:val="16"/>
                <w:szCs w:val="16"/>
                <w:color w:val="131E29"/>
              </w:rPr>
              <w:t>$</w:t>
            </w:r>
          </w:p>
        </w:tc>
        <w:tc>
          <w:tcPr>
            <w:tcW w:w="116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(1,090)</w:t>
            </w:r>
          </w:p>
        </w:tc>
        <w:tc>
          <w:tcPr>
            <w:tcW w:w="400" w:type="dxa"/>
            <w:vAlign w:val="bottom"/>
            <w:gridSpan w:val="2"/>
            <w:vMerge w:val="restart"/>
            <w:shd w:val="clear" w:color="auto" w:fill="D2DCE5"/>
          </w:tcPr>
          <w:p>
            <w:pPr>
              <w:jc w:val="right"/>
              <w:ind w:right="180"/>
              <w:spacing w:after="0"/>
              <w:rPr>
                <w:sz w:val="20"/>
                <w:szCs w:val="20"/>
                <w:color w:val="auto"/>
              </w:rPr>
            </w:pPr>
            <w:r>
              <w:rPr>
                <w:rFonts w:ascii="Arial" w:cs="Arial" w:eastAsia="Arial" w:hAnsi="Arial"/>
                <w:sz w:val="16"/>
                <w:szCs w:val="16"/>
                <w:color w:val="131E29"/>
              </w:rPr>
              <w:t>$</w:t>
            </w: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(5,853)</w:t>
            </w:r>
          </w:p>
        </w:tc>
        <w:tc>
          <w:tcPr>
            <w:tcW w:w="0" w:type="dxa"/>
            <w:vAlign w:val="bottom"/>
          </w:tcPr>
          <w:p>
            <w:pPr>
              <w:spacing w:after="0"/>
              <w:rPr>
                <w:sz w:val="1"/>
                <w:szCs w:val="1"/>
                <w:color w:val="auto"/>
              </w:rPr>
            </w:pPr>
          </w:p>
        </w:tc>
      </w:tr>
      <w:tr>
        <w:trPr>
          <w:trHeight w:val="175"/>
        </w:trPr>
        <w:tc>
          <w:tcPr>
            <w:tcW w:w="5580" w:type="dxa"/>
            <w:vAlign w:val="bottom"/>
            <w:tcBorders>
              <w:bottom w:val="single" w:sz="8" w:color="D2DCE5"/>
            </w:tcBorders>
            <w:shd w:val="clear" w:color="auto" w:fill="D2DCE5"/>
          </w:tcPr>
          <w:p>
            <w:pPr>
              <w:spacing w:after="0"/>
              <w:rPr>
                <w:sz w:val="15"/>
                <w:szCs w:val="15"/>
                <w:color w:val="auto"/>
              </w:rPr>
            </w:pPr>
          </w:p>
        </w:tc>
        <w:tc>
          <w:tcPr>
            <w:tcW w:w="120" w:type="dxa"/>
            <w:vAlign w:val="bottom"/>
            <w:tcBorders>
              <w:bottom w:val="single" w:sz="8" w:color="D2DCE5"/>
            </w:tcBorders>
            <w:shd w:val="clear" w:color="auto" w:fill="D2DCE5"/>
          </w:tcPr>
          <w:p>
            <w:pPr>
              <w:spacing w:after="0"/>
              <w:rPr>
                <w:sz w:val="15"/>
                <w:szCs w:val="15"/>
                <w:color w:val="auto"/>
              </w:rPr>
            </w:pPr>
          </w:p>
        </w:tc>
        <w:tc>
          <w:tcPr>
            <w:tcW w:w="280" w:type="dxa"/>
            <w:vAlign w:val="bottom"/>
            <w:tcBorders>
              <w:bottom w:val="single" w:sz="8" w:color="D2DCE5"/>
            </w:tcBorders>
            <w:vMerge w:val="continue"/>
            <w:shd w:val="clear" w:color="auto" w:fill="D2DCE5"/>
          </w:tcPr>
          <w:p>
            <w:pPr>
              <w:spacing w:after="0"/>
              <w:rPr>
                <w:sz w:val="15"/>
                <w:szCs w:val="15"/>
                <w:color w:val="auto"/>
              </w:rPr>
            </w:pPr>
          </w:p>
        </w:tc>
        <w:tc>
          <w:tcPr>
            <w:tcW w:w="1020" w:type="dxa"/>
            <w:vAlign w:val="bottom"/>
            <w:tcBorders>
              <w:bottom w:val="single" w:sz="8" w:color="D2DCE5"/>
            </w:tcBorders>
            <w:vMerge w:val="continue"/>
            <w:shd w:val="clear" w:color="auto" w:fill="D2DCE5"/>
          </w:tcPr>
          <w:p>
            <w:pPr>
              <w:spacing w:after="0"/>
              <w:rPr>
                <w:sz w:val="15"/>
                <w:szCs w:val="15"/>
                <w:color w:val="auto"/>
              </w:rPr>
            </w:pPr>
          </w:p>
        </w:tc>
        <w:tc>
          <w:tcPr>
            <w:tcW w:w="380" w:type="dxa"/>
            <w:vAlign w:val="bottom"/>
            <w:tcBorders>
              <w:bottom w:val="single" w:sz="8" w:color="D2DCE5"/>
            </w:tcBorders>
            <w:gridSpan w:val="2"/>
            <w:vMerge w:val="continue"/>
            <w:shd w:val="clear" w:color="auto" w:fill="D2DCE5"/>
          </w:tcPr>
          <w:p>
            <w:pPr>
              <w:spacing w:after="0"/>
              <w:rPr>
                <w:sz w:val="15"/>
                <w:szCs w:val="15"/>
                <w:color w:val="auto"/>
              </w:rPr>
            </w:pPr>
          </w:p>
        </w:tc>
        <w:tc>
          <w:tcPr>
            <w:tcW w:w="1040" w:type="dxa"/>
            <w:vAlign w:val="bottom"/>
            <w:tcBorders>
              <w:bottom w:val="single" w:sz="8" w:color="D2DCE5"/>
            </w:tcBorders>
            <w:vMerge w:val="continue"/>
            <w:shd w:val="clear" w:color="auto" w:fill="D2DCE5"/>
          </w:tcPr>
          <w:p>
            <w:pPr>
              <w:spacing w:after="0"/>
              <w:rPr>
                <w:sz w:val="15"/>
                <w:szCs w:val="15"/>
                <w:color w:val="auto"/>
              </w:rPr>
            </w:pPr>
          </w:p>
        </w:tc>
        <w:tc>
          <w:tcPr>
            <w:tcW w:w="240" w:type="dxa"/>
            <w:vAlign w:val="bottom"/>
            <w:tcBorders>
              <w:bottom w:val="single" w:sz="8" w:color="D2DCE5"/>
            </w:tcBorders>
            <w:gridSpan w:val="2"/>
            <w:vMerge w:val="continue"/>
            <w:shd w:val="clear" w:color="auto" w:fill="D2DCE5"/>
          </w:tcPr>
          <w:p>
            <w:pPr>
              <w:spacing w:after="0"/>
              <w:rPr>
                <w:sz w:val="15"/>
                <w:szCs w:val="15"/>
                <w:color w:val="auto"/>
              </w:rPr>
            </w:pPr>
          </w:p>
        </w:tc>
        <w:tc>
          <w:tcPr>
            <w:tcW w:w="1160" w:type="dxa"/>
            <w:vAlign w:val="bottom"/>
            <w:tcBorders>
              <w:bottom w:val="single" w:sz="8" w:color="D2DCE5"/>
            </w:tcBorders>
            <w:vMerge w:val="continue"/>
            <w:shd w:val="clear" w:color="auto" w:fill="D2DCE5"/>
          </w:tcPr>
          <w:p>
            <w:pPr>
              <w:spacing w:after="0"/>
              <w:rPr>
                <w:sz w:val="15"/>
                <w:szCs w:val="15"/>
                <w:color w:val="auto"/>
              </w:rPr>
            </w:pPr>
          </w:p>
        </w:tc>
        <w:tc>
          <w:tcPr>
            <w:tcW w:w="400" w:type="dxa"/>
            <w:vAlign w:val="bottom"/>
            <w:tcBorders>
              <w:bottom w:val="single" w:sz="8" w:color="D2DCE5"/>
            </w:tcBorders>
            <w:gridSpan w:val="2"/>
            <w:vMerge w:val="continue"/>
            <w:shd w:val="clear" w:color="auto" w:fill="D2DCE5"/>
          </w:tcPr>
          <w:p>
            <w:pPr>
              <w:spacing w:after="0"/>
              <w:rPr>
                <w:sz w:val="15"/>
                <w:szCs w:val="15"/>
                <w:color w:val="auto"/>
              </w:rPr>
            </w:pPr>
          </w:p>
        </w:tc>
        <w:tc>
          <w:tcPr>
            <w:tcW w:w="1020" w:type="dxa"/>
            <w:vAlign w:val="bottom"/>
            <w:tcBorders>
              <w:bottom w:val="single" w:sz="8" w:color="D2DCE5"/>
            </w:tcBorders>
            <w:vMerge w:val="continue"/>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700" w:type="dxa"/>
            <w:vAlign w:val="bottom"/>
            <w:gridSpan w:val="2"/>
          </w:tcPr>
          <w:p>
            <w:pPr>
              <w:ind w:left="140"/>
              <w:spacing w:after="0"/>
              <w:rPr>
                <w:sz w:val="20"/>
                <w:szCs w:val="20"/>
                <w:color w:val="auto"/>
              </w:rPr>
            </w:pPr>
            <w:r>
              <w:rPr>
                <w:rFonts w:ascii="Arial" w:cs="Arial" w:eastAsia="Arial" w:hAnsi="Arial"/>
                <w:sz w:val="16"/>
                <w:szCs w:val="16"/>
                <w:b w:val="1"/>
                <w:bCs w:val="1"/>
                <w:color w:val="131E29"/>
              </w:rPr>
              <w:t>Denominator:</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D2DCE5"/>
          </w:tcPr>
          <w:p>
            <w:pPr>
              <w:ind w:left="300"/>
              <w:spacing w:after="0"/>
              <w:rPr>
                <w:sz w:val="20"/>
                <w:szCs w:val="20"/>
                <w:color w:val="auto"/>
              </w:rPr>
            </w:pPr>
            <w:r>
              <w:rPr>
                <w:rFonts w:ascii="Arial" w:cs="Arial" w:eastAsia="Arial" w:hAnsi="Arial"/>
                <w:sz w:val="16"/>
                <w:szCs w:val="16"/>
                <w:color w:val="131E29"/>
              </w:rPr>
              <w:t>Weighted-average number of shares of Class A and Class D common</w:t>
            </w:r>
          </w:p>
        </w:tc>
        <w:tc>
          <w:tcPr>
            <w:tcW w:w="28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16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D2DCE5"/>
          </w:tcPr>
          <w:p>
            <w:pPr>
              <w:ind w:left="300"/>
              <w:spacing w:after="0"/>
              <w:rPr>
                <w:sz w:val="20"/>
                <w:szCs w:val="20"/>
                <w:color w:val="auto"/>
              </w:rPr>
            </w:pPr>
            <w:r>
              <w:rPr>
                <w:rFonts w:ascii="Arial" w:cs="Arial" w:eastAsia="Arial" w:hAnsi="Arial"/>
                <w:sz w:val="16"/>
                <w:szCs w:val="16"/>
                <w:color w:val="131E29"/>
              </w:rPr>
              <w:t>stock outstanding - basic</w:t>
            </w:r>
          </w:p>
        </w:tc>
        <w:tc>
          <w:tcPr>
            <w:tcW w:w="28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56,734</w:t>
            </w:r>
          </w:p>
        </w:tc>
        <w:tc>
          <w:tcPr>
            <w:tcW w:w="10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50,926</w:t>
            </w:r>
          </w:p>
        </w:tc>
        <w:tc>
          <w:tcPr>
            <w:tcW w:w="100" w:type="dxa"/>
            <w:vAlign w:val="bottom"/>
            <w:shd w:val="clear" w:color="auto" w:fill="D2DCE5"/>
          </w:tcPr>
          <w:p>
            <w:pPr>
              <w:spacing w:after="0"/>
              <w:rPr>
                <w:sz w:val="19"/>
                <w:szCs w:val="19"/>
                <w:color w:val="auto"/>
              </w:rPr>
            </w:pPr>
          </w:p>
        </w:tc>
        <w:tc>
          <w:tcPr>
            <w:tcW w:w="140" w:type="dxa"/>
            <w:vAlign w:val="bottom"/>
            <w:tcBorders>
              <w:bottom w:val="single" w:sz="8" w:color="auto"/>
            </w:tcBorders>
            <w:shd w:val="clear" w:color="auto" w:fill="D2DCE5"/>
          </w:tcPr>
          <w:p>
            <w:pPr>
              <w:spacing w:after="0"/>
              <w:rPr>
                <w:sz w:val="19"/>
                <w:szCs w:val="19"/>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56,699</w:t>
            </w:r>
          </w:p>
        </w:tc>
        <w:tc>
          <w:tcPr>
            <w:tcW w:w="12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49,500</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57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Basic net income (loss) per share attributable to common stockholders</w:t>
            </w:r>
          </w:p>
        </w:tc>
        <w:tc>
          <w:tcPr>
            <w:tcW w:w="280" w:type="dxa"/>
            <w:vAlign w:val="bottom"/>
            <w:shd w:val="clear" w:color="auto" w:fill="D2DCE5"/>
          </w:tcPr>
          <w:p>
            <w:pPr>
              <w:jc w:val="right"/>
              <w:ind w:right="96"/>
              <w:spacing w:after="0"/>
              <w:rPr>
                <w:sz w:val="20"/>
                <w:szCs w:val="20"/>
                <w:color w:val="auto"/>
              </w:rPr>
            </w:pPr>
            <w:r>
              <w:rPr>
                <w:rFonts w:ascii="Arial" w:cs="Arial" w:eastAsia="Arial" w:hAnsi="Arial"/>
                <w:sz w:val="16"/>
                <w:szCs w:val="16"/>
                <w:color w:val="131E29"/>
                <w:w w:val="8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0.05</w:t>
            </w:r>
          </w:p>
        </w:tc>
        <w:tc>
          <w:tcPr>
            <w:tcW w:w="38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(0.02)</w:t>
            </w:r>
          </w:p>
        </w:tc>
        <w:tc>
          <w:tcPr>
            <w:tcW w:w="240" w:type="dxa"/>
            <w:vAlign w:val="bottom"/>
            <w:gridSpan w:val="2"/>
            <w:shd w:val="clear" w:color="auto" w:fill="D2DCE5"/>
          </w:tcPr>
          <w:p>
            <w:pPr>
              <w:jc w:val="right"/>
              <w:ind w:right="40"/>
              <w:spacing w:after="0"/>
              <w:rPr>
                <w:sz w:val="20"/>
                <w:szCs w:val="20"/>
                <w:color w:val="auto"/>
              </w:rPr>
            </w:pPr>
            <w:r>
              <w:rPr>
                <w:rFonts w:ascii="Arial" w:cs="Arial" w:eastAsia="Arial" w:hAnsi="Arial"/>
                <w:sz w:val="16"/>
                <w:szCs w:val="16"/>
                <w:color w:val="131E2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(0.02)</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6"/>
                <w:szCs w:val="16"/>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(0.12)</w:t>
            </w:r>
          </w:p>
        </w:tc>
        <w:tc>
          <w:tcPr>
            <w:tcW w:w="0" w:type="dxa"/>
            <w:vAlign w:val="bottom"/>
          </w:tcPr>
          <w:p>
            <w:pPr>
              <w:spacing w:after="0"/>
              <w:rPr>
                <w:sz w:val="1"/>
                <w:szCs w:val="1"/>
                <w:color w:val="auto"/>
              </w:rPr>
            </w:pPr>
          </w:p>
        </w:tc>
      </w:tr>
      <w:tr>
        <w:trPr>
          <w:trHeight w:val="20"/>
        </w:trPr>
        <w:tc>
          <w:tcPr>
            <w:tcW w:w="55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131E29"/>
              </w:rPr>
              <w:t>Three Months Ended June 30,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center"/>
              <w:ind w:right="259"/>
              <w:spacing w:after="0"/>
              <w:rPr>
                <w:sz w:val="20"/>
                <w:szCs w:val="20"/>
                <w:color w:val="auto"/>
              </w:rPr>
            </w:pPr>
            <w:r>
              <w:rPr>
                <w:rFonts w:ascii="Arial" w:cs="Arial" w:eastAsia="Arial" w:hAnsi="Arial"/>
                <w:sz w:val="16"/>
                <w:szCs w:val="16"/>
                <w:b w:val="1"/>
                <w:bCs w:val="1"/>
                <w:color w:val="131E29"/>
              </w:rPr>
              <w:t>Six Months Ended June 30,</w:t>
            </w:r>
          </w:p>
        </w:tc>
        <w:tc>
          <w:tcPr>
            <w:tcW w:w="0" w:type="dxa"/>
            <w:vAlign w:val="bottom"/>
          </w:tcPr>
          <w:p>
            <w:pPr>
              <w:spacing w:after="0"/>
              <w:rPr>
                <w:sz w:val="1"/>
                <w:szCs w:val="1"/>
                <w:color w:val="auto"/>
              </w:rPr>
            </w:pPr>
          </w:p>
        </w:tc>
      </w:tr>
      <w:tr>
        <w:trPr>
          <w:trHeight w:val="233"/>
        </w:trPr>
        <w:tc>
          <w:tcPr>
            <w:tcW w:w="416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340" w:type="dxa"/>
            <w:vAlign w:val="bottom"/>
          </w:tcPr>
          <w:p>
            <w:pPr>
              <w:spacing w:after="0"/>
              <w:rPr>
                <w:sz w:val="20"/>
                <w:szCs w:val="20"/>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131E29"/>
              </w:rPr>
              <w:t>2023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9"/>
              <w:spacing w:after="0"/>
              <w:rPr>
                <w:sz w:val="20"/>
                <w:szCs w:val="20"/>
                <w:color w:val="auto"/>
              </w:rPr>
            </w:pPr>
            <w:r>
              <w:rPr>
                <w:rFonts w:ascii="Arial" w:cs="Arial" w:eastAsia="Arial" w:hAnsi="Arial"/>
                <w:sz w:val="16"/>
                <w:szCs w:val="16"/>
                <w:b w:val="1"/>
                <w:bCs w:val="1"/>
                <w:color w:val="131E2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131E29"/>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131E29"/>
              </w:rPr>
              <w:t>2022</w:t>
            </w:r>
          </w:p>
        </w:tc>
        <w:tc>
          <w:tcPr>
            <w:tcW w:w="0" w:type="dxa"/>
            <w:vAlign w:val="bottom"/>
          </w:tcPr>
          <w:p>
            <w:pPr>
              <w:spacing w:after="0"/>
              <w:rPr>
                <w:sz w:val="1"/>
                <w:szCs w:val="1"/>
                <w:color w:val="auto"/>
              </w:rPr>
            </w:pPr>
          </w:p>
        </w:tc>
      </w:tr>
      <w:tr>
        <w:trPr>
          <w:trHeight w:val="21"/>
        </w:trPr>
        <w:tc>
          <w:tcPr>
            <w:tcW w:w="4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1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Diluted net income (loss) per share attributable to</w:t>
            </w:r>
          </w:p>
        </w:tc>
        <w:tc>
          <w:tcPr>
            <w:tcW w:w="340" w:type="dxa"/>
            <w:vAlign w:val="bottom"/>
            <w:shd w:val="clear" w:color="auto" w:fill="D2DCE5"/>
          </w:tcPr>
          <w:p>
            <w:pPr>
              <w:spacing w:after="0"/>
              <w:rPr>
                <w:sz w:val="16"/>
                <w:szCs w:val="16"/>
                <w:color w:val="auto"/>
              </w:rPr>
            </w:pPr>
          </w:p>
        </w:tc>
        <w:tc>
          <w:tcPr>
            <w:tcW w:w="1200" w:type="dxa"/>
            <w:vAlign w:val="bottom"/>
            <w:shd w:val="clear" w:color="auto" w:fill="D2DCE5"/>
          </w:tcPr>
          <w:p>
            <w:pPr>
              <w:spacing w:after="0"/>
              <w:rPr>
                <w:sz w:val="16"/>
                <w:szCs w:val="16"/>
                <w:color w:val="auto"/>
              </w:rPr>
            </w:pPr>
          </w:p>
        </w:tc>
        <w:tc>
          <w:tcPr>
            <w:tcW w:w="120" w:type="dxa"/>
            <w:vAlign w:val="bottom"/>
            <w:shd w:val="clear" w:color="auto" w:fill="D2DCE5"/>
          </w:tcPr>
          <w:p>
            <w:pPr>
              <w:spacing w:after="0"/>
              <w:rPr>
                <w:sz w:val="16"/>
                <w:szCs w:val="16"/>
                <w:color w:val="auto"/>
              </w:rPr>
            </w:pPr>
          </w:p>
        </w:tc>
        <w:tc>
          <w:tcPr>
            <w:tcW w:w="440" w:type="dxa"/>
            <w:vAlign w:val="bottom"/>
            <w:shd w:val="clear" w:color="auto" w:fill="D2DCE5"/>
          </w:tcPr>
          <w:p>
            <w:pPr>
              <w:spacing w:after="0"/>
              <w:rPr>
                <w:sz w:val="16"/>
                <w:szCs w:val="16"/>
                <w:color w:val="auto"/>
              </w:rPr>
            </w:pPr>
          </w:p>
        </w:tc>
        <w:tc>
          <w:tcPr>
            <w:tcW w:w="14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40" w:type="dxa"/>
            <w:vAlign w:val="bottom"/>
            <w:shd w:val="clear" w:color="auto" w:fill="D2DCE5"/>
          </w:tcPr>
          <w:p>
            <w:pPr>
              <w:spacing w:after="0"/>
              <w:rPr>
                <w:sz w:val="16"/>
                <w:szCs w:val="16"/>
                <w:color w:val="auto"/>
              </w:rPr>
            </w:pPr>
          </w:p>
        </w:tc>
        <w:tc>
          <w:tcPr>
            <w:tcW w:w="12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400" w:type="dxa"/>
            <w:vAlign w:val="bottom"/>
            <w:shd w:val="clear" w:color="auto" w:fill="D2DCE5"/>
          </w:tcPr>
          <w:p>
            <w:pPr>
              <w:spacing w:after="0"/>
              <w:rPr>
                <w:sz w:val="16"/>
                <w:szCs w:val="16"/>
                <w:color w:val="auto"/>
              </w:rPr>
            </w:pPr>
          </w:p>
        </w:tc>
        <w:tc>
          <w:tcPr>
            <w:tcW w:w="136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common stockholders</w:t>
            </w:r>
          </w:p>
        </w:tc>
        <w:tc>
          <w:tcPr>
            <w:tcW w:w="340" w:type="dxa"/>
            <w:vAlign w:val="bottom"/>
            <w:tcBorders>
              <w:bottom w:val="single" w:sz="8" w:color="D2DCE5"/>
            </w:tcBorders>
            <w:shd w:val="clear" w:color="auto" w:fill="D2DCE5"/>
          </w:tcPr>
          <w:p>
            <w:pPr>
              <w:spacing w:after="0"/>
              <w:rPr>
                <w:sz w:val="19"/>
                <w:szCs w:val="19"/>
                <w:color w:val="auto"/>
              </w:rPr>
            </w:pPr>
          </w:p>
        </w:tc>
        <w:tc>
          <w:tcPr>
            <w:tcW w:w="1200" w:type="dxa"/>
            <w:vAlign w:val="bottom"/>
            <w:tcBorders>
              <w:bottom w:val="single" w:sz="8" w:color="D2DCE5"/>
            </w:tcBorders>
            <w:shd w:val="clear" w:color="auto" w:fill="D2DCE5"/>
          </w:tcPr>
          <w:p>
            <w:pPr>
              <w:spacing w:after="0"/>
              <w:rPr>
                <w:sz w:val="19"/>
                <w:szCs w:val="19"/>
                <w:color w:val="auto"/>
              </w:rPr>
            </w:pPr>
          </w:p>
        </w:tc>
        <w:tc>
          <w:tcPr>
            <w:tcW w:w="120" w:type="dxa"/>
            <w:vAlign w:val="bottom"/>
            <w:tcBorders>
              <w:bottom w:val="single" w:sz="8" w:color="D2DCE5"/>
            </w:tcBorders>
            <w:shd w:val="clear" w:color="auto" w:fill="D2DCE5"/>
          </w:tcPr>
          <w:p>
            <w:pPr>
              <w:spacing w:after="0"/>
              <w:rPr>
                <w:sz w:val="19"/>
                <w:szCs w:val="19"/>
                <w:color w:val="auto"/>
              </w:rPr>
            </w:pPr>
          </w:p>
        </w:tc>
        <w:tc>
          <w:tcPr>
            <w:tcW w:w="440" w:type="dxa"/>
            <w:vAlign w:val="bottom"/>
            <w:tcBorders>
              <w:bottom w:val="single" w:sz="8" w:color="D2DCE5"/>
            </w:tcBorders>
            <w:shd w:val="clear" w:color="auto" w:fill="D2DCE5"/>
          </w:tcPr>
          <w:p>
            <w:pPr>
              <w:spacing w:after="0"/>
              <w:rPr>
                <w:sz w:val="19"/>
                <w:szCs w:val="19"/>
                <w:color w:val="auto"/>
              </w:rPr>
            </w:pPr>
          </w:p>
        </w:tc>
        <w:tc>
          <w:tcPr>
            <w:tcW w:w="146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340" w:type="dxa"/>
            <w:vAlign w:val="bottom"/>
            <w:tcBorders>
              <w:bottom w:val="single" w:sz="8" w:color="D2DCE5"/>
            </w:tcBorders>
            <w:shd w:val="clear" w:color="auto" w:fill="D2DCE5"/>
          </w:tcPr>
          <w:p>
            <w:pPr>
              <w:spacing w:after="0"/>
              <w:rPr>
                <w:sz w:val="19"/>
                <w:szCs w:val="19"/>
                <w:color w:val="auto"/>
              </w:rPr>
            </w:pPr>
          </w:p>
        </w:tc>
        <w:tc>
          <w:tcPr>
            <w:tcW w:w="122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400" w:type="dxa"/>
            <w:vAlign w:val="bottom"/>
            <w:tcBorders>
              <w:bottom w:val="single" w:sz="8" w:color="D2DCE5"/>
            </w:tcBorders>
            <w:shd w:val="clear" w:color="auto" w:fill="D2DCE5"/>
          </w:tcPr>
          <w:p>
            <w:pPr>
              <w:spacing w:after="0"/>
              <w:rPr>
                <w:sz w:val="19"/>
                <w:szCs w:val="19"/>
                <w:color w:val="auto"/>
              </w:rPr>
            </w:pPr>
          </w:p>
        </w:tc>
        <w:tc>
          <w:tcPr>
            <w:tcW w:w="1360" w:type="dxa"/>
            <w:vAlign w:val="bottom"/>
            <w:tcBorders>
              <w:bottom w:val="single" w:sz="8" w:color="D2DCE5"/>
            </w:tcBorders>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gridSpan w:val="2"/>
          </w:tcPr>
          <w:p>
            <w:pPr>
              <w:ind w:left="180"/>
              <w:spacing w:after="0"/>
              <w:rPr>
                <w:sz w:val="20"/>
                <w:szCs w:val="20"/>
                <w:color w:val="auto"/>
              </w:rPr>
            </w:pPr>
            <w:r>
              <w:rPr>
                <w:rFonts w:ascii="Arial" w:cs="Arial" w:eastAsia="Arial" w:hAnsi="Arial"/>
                <w:sz w:val="16"/>
                <w:szCs w:val="16"/>
                <w:color w:val="131E29"/>
              </w:rPr>
              <w:t>Numerator:</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Undistributed net income (loss) for basic</w:t>
            </w:r>
          </w:p>
        </w:tc>
        <w:tc>
          <w:tcPr>
            <w:tcW w:w="34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14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400" w:type="dxa"/>
            <w:vAlign w:val="bottom"/>
            <w:shd w:val="clear" w:color="auto" w:fill="D2DCE5"/>
          </w:tcPr>
          <w:p>
            <w:pPr>
              <w:spacing w:after="0"/>
              <w:rPr>
                <w:sz w:val="18"/>
                <w:szCs w:val="18"/>
                <w:color w:val="auto"/>
              </w:rPr>
            </w:pPr>
          </w:p>
        </w:tc>
        <w:tc>
          <w:tcPr>
            <w:tcW w:w="13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6"/>
                <w:szCs w:val="16"/>
                <w:color w:val="131E29"/>
              </w:rPr>
              <w:t>computation</w:t>
            </w:r>
          </w:p>
        </w:tc>
        <w:tc>
          <w:tcPr>
            <w:tcW w:w="340" w:type="dxa"/>
            <w:vAlign w:val="bottom"/>
            <w:tcBorders>
              <w:bottom w:val="single" w:sz="8" w:color="D2DCE5"/>
            </w:tcBorders>
            <w:shd w:val="clear" w:color="auto" w:fill="D2DCE5"/>
          </w:tcPr>
          <w:p>
            <w:pPr>
              <w:jc w:val="right"/>
              <w:ind w:right="159"/>
              <w:spacing w:after="0"/>
              <w:rPr>
                <w:sz w:val="20"/>
                <w:szCs w:val="20"/>
                <w:color w:val="auto"/>
              </w:rPr>
            </w:pPr>
            <w:r>
              <w:rPr>
                <w:rFonts w:ascii="Arial" w:cs="Arial" w:eastAsia="Arial" w:hAnsi="Arial"/>
                <w:sz w:val="16"/>
                <w:szCs w:val="16"/>
                <w:color w:val="131E29"/>
                <w:w w:val="89"/>
              </w:rPr>
              <w:t>$</w:t>
            </w: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2,752</w:t>
            </w:r>
          </w:p>
        </w:tc>
        <w:tc>
          <w:tcPr>
            <w:tcW w:w="560" w:type="dxa"/>
            <w:vAlign w:val="bottom"/>
            <w:tcBorders>
              <w:bottom w:val="single" w:sz="8" w:color="D2DCE5"/>
            </w:tcBorders>
            <w:gridSpan w:val="2"/>
            <w:shd w:val="clear" w:color="auto" w:fill="D2DCE5"/>
          </w:tcPr>
          <w:p>
            <w:pPr>
              <w:jc w:val="right"/>
              <w:ind w:right="340"/>
              <w:spacing w:after="0"/>
              <w:rPr>
                <w:sz w:val="20"/>
                <w:szCs w:val="20"/>
                <w:color w:val="auto"/>
              </w:rPr>
            </w:pPr>
            <w:r>
              <w:rPr>
                <w:rFonts w:ascii="Arial" w:cs="Arial" w:eastAsia="Arial" w:hAnsi="Arial"/>
                <w:sz w:val="16"/>
                <w:szCs w:val="16"/>
                <w:color w:val="131E29"/>
              </w:rPr>
              <w:t>$</w:t>
            </w: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(906)</w:t>
            </w:r>
          </w:p>
        </w:tc>
        <w:tc>
          <w:tcPr>
            <w:tcW w:w="440" w:type="dxa"/>
            <w:vAlign w:val="bottom"/>
            <w:tcBorders>
              <w:bottom w:val="single" w:sz="8" w:color="D2DCE5"/>
            </w:tcBorders>
            <w:gridSpan w:val="2"/>
            <w:shd w:val="clear" w:color="auto" w:fill="D2DCE5"/>
          </w:tcPr>
          <w:p>
            <w:pPr>
              <w:jc w:val="right"/>
              <w:ind w:right="240"/>
              <w:spacing w:after="0"/>
              <w:rPr>
                <w:sz w:val="20"/>
                <w:szCs w:val="20"/>
                <w:color w:val="auto"/>
              </w:rPr>
            </w:pPr>
            <w:r>
              <w:rPr>
                <w:rFonts w:ascii="Arial" w:cs="Arial" w:eastAsia="Arial" w:hAnsi="Arial"/>
                <w:sz w:val="16"/>
                <w:szCs w:val="16"/>
                <w:color w:val="131E2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(1,090)</w:t>
            </w:r>
          </w:p>
        </w:tc>
        <w:tc>
          <w:tcPr>
            <w:tcW w:w="500" w:type="dxa"/>
            <w:vAlign w:val="bottom"/>
            <w:tcBorders>
              <w:bottom w:val="single" w:sz="8" w:color="D2DCE5"/>
            </w:tcBorders>
            <w:gridSpan w:val="2"/>
            <w:shd w:val="clear" w:color="auto" w:fill="D2DCE5"/>
          </w:tcPr>
          <w:p>
            <w:pPr>
              <w:jc w:val="center"/>
              <w:ind w:right="180"/>
              <w:spacing w:after="0"/>
              <w:rPr>
                <w:sz w:val="20"/>
                <w:szCs w:val="20"/>
                <w:color w:val="auto"/>
              </w:rPr>
            </w:pPr>
            <w:r>
              <w:rPr>
                <w:rFonts w:ascii="Arial" w:cs="Arial" w:eastAsia="Arial" w:hAnsi="Arial"/>
                <w:sz w:val="16"/>
                <w:szCs w:val="16"/>
                <w:color w:val="131E29"/>
                <w:w w:val="89"/>
              </w:rPr>
              <w:t>$</w:t>
            </w: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(5,853)</w:t>
            </w:r>
          </w:p>
        </w:tc>
        <w:tc>
          <w:tcPr>
            <w:tcW w:w="0" w:type="dxa"/>
            <w:vAlign w:val="bottom"/>
          </w:tcPr>
          <w:p>
            <w:pPr>
              <w:spacing w:after="0"/>
              <w:rPr>
                <w:sz w:val="1"/>
                <w:szCs w:val="1"/>
                <w:color w:val="auto"/>
              </w:rPr>
            </w:pPr>
          </w:p>
        </w:tc>
      </w:tr>
      <w:tr>
        <w:trPr>
          <w:trHeight w:val="206"/>
        </w:trPr>
        <w:tc>
          <w:tcPr>
            <w:tcW w:w="4160" w:type="dxa"/>
            <w:vAlign w:val="bottom"/>
            <w:gridSpan w:val="2"/>
          </w:tcPr>
          <w:p>
            <w:pPr>
              <w:ind w:left="360"/>
              <w:spacing w:after="0"/>
              <w:rPr>
                <w:sz w:val="20"/>
                <w:szCs w:val="20"/>
                <w:color w:val="auto"/>
              </w:rPr>
            </w:pPr>
            <w:r>
              <w:rPr>
                <w:rFonts w:ascii="Arial" w:cs="Arial" w:eastAsia="Arial" w:hAnsi="Arial"/>
                <w:sz w:val="16"/>
                <w:szCs w:val="16"/>
                <w:color w:val="131E29"/>
              </w:rPr>
              <w:t>Increase in net income (loss) attributable to</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ind w:left="360"/>
              <w:spacing w:after="0"/>
              <w:rPr>
                <w:sz w:val="20"/>
                <w:szCs w:val="20"/>
                <w:color w:val="auto"/>
              </w:rPr>
            </w:pPr>
            <w:r>
              <w:rPr>
                <w:rFonts w:ascii="Arial" w:cs="Arial" w:eastAsia="Arial" w:hAnsi="Arial"/>
                <w:sz w:val="16"/>
                <w:szCs w:val="16"/>
                <w:color w:val="131E29"/>
              </w:rPr>
              <w:t>common stockholders upon conversion of</w:t>
            </w:r>
          </w:p>
        </w:tc>
        <w:tc>
          <w:tcPr>
            <w:tcW w:w="3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131E29"/>
              </w:rPr>
              <w:t>30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131E29"/>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131E29"/>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131E29"/>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360"/>
              <w:spacing w:after="0"/>
              <w:rPr>
                <w:sz w:val="20"/>
                <w:szCs w:val="20"/>
                <w:color w:val="auto"/>
              </w:rPr>
            </w:pPr>
            <w:r>
              <w:rPr>
                <w:rFonts w:ascii="Arial" w:cs="Arial" w:eastAsia="Arial" w:hAnsi="Arial"/>
                <w:sz w:val="16"/>
                <w:szCs w:val="16"/>
                <w:color w:val="131E29"/>
              </w:rPr>
              <w:t>potentially dilutive instruments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6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Allocation of undistributed net income (loss)</w:t>
            </w:r>
          </w:p>
        </w:tc>
        <w:tc>
          <w:tcPr>
            <w:tcW w:w="34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131E29"/>
                <w:w w:val="8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2,782</w:t>
            </w:r>
          </w:p>
        </w:tc>
        <w:tc>
          <w:tcPr>
            <w:tcW w:w="560" w:type="dxa"/>
            <w:vAlign w:val="bottom"/>
            <w:gridSpan w:val="2"/>
            <w:shd w:val="clear" w:color="auto" w:fill="D2DCE5"/>
          </w:tcPr>
          <w:p>
            <w:pPr>
              <w:jc w:val="right"/>
              <w:ind w:right="340"/>
              <w:spacing w:after="0"/>
              <w:rPr>
                <w:sz w:val="20"/>
                <w:szCs w:val="20"/>
                <w:color w:val="auto"/>
              </w:rPr>
            </w:pPr>
            <w:r>
              <w:rPr>
                <w:rFonts w:ascii="Arial" w:cs="Arial" w:eastAsia="Arial" w:hAnsi="Arial"/>
                <w:sz w:val="16"/>
                <w:szCs w:val="16"/>
                <w:color w:val="131E29"/>
              </w:rPr>
              <w:t>$</w:t>
            </w:r>
          </w:p>
        </w:tc>
        <w:tc>
          <w:tcPr>
            <w:tcW w:w="14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(906)</w:t>
            </w:r>
          </w:p>
        </w:tc>
        <w:tc>
          <w:tcPr>
            <w:tcW w:w="440" w:type="dxa"/>
            <w:vAlign w:val="bottom"/>
            <w:gridSpan w:val="2"/>
            <w:shd w:val="clear" w:color="auto" w:fill="D2DCE5"/>
          </w:tcPr>
          <w:p>
            <w:pPr>
              <w:jc w:val="right"/>
              <w:ind w:right="240"/>
              <w:spacing w:after="0"/>
              <w:rPr>
                <w:sz w:val="20"/>
                <w:szCs w:val="20"/>
                <w:color w:val="auto"/>
              </w:rPr>
            </w:pPr>
            <w:r>
              <w:rPr>
                <w:rFonts w:ascii="Arial" w:cs="Arial" w:eastAsia="Arial" w:hAnsi="Arial"/>
                <w:sz w:val="16"/>
                <w:szCs w:val="16"/>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(1,090)</w:t>
            </w:r>
          </w:p>
        </w:tc>
        <w:tc>
          <w:tcPr>
            <w:tcW w:w="500" w:type="dxa"/>
            <w:vAlign w:val="bottom"/>
            <w:gridSpan w:val="2"/>
            <w:shd w:val="clear" w:color="auto" w:fill="D2DCE5"/>
          </w:tcPr>
          <w:p>
            <w:pPr>
              <w:jc w:val="center"/>
              <w:ind w:right="180"/>
              <w:spacing w:after="0"/>
              <w:rPr>
                <w:sz w:val="20"/>
                <w:szCs w:val="20"/>
                <w:color w:val="auto"/>
              </w:rPr>
            </w:pPr>
            <w:r>
              <w:rPr>
                <w:rFonts w:ascii="Arial" w:cs="Arial" w:eastAsia="Arial" w:hAnsi="Arial"/>
                <w:sz w:val="16"/>
                <w:szCs w:val="16"/>
                <w:color w:val="131E29"/>
                <w:w w:val="89"/>
              </w:rPr>
              <w:t>$</w:t>
            </w:r>
          </w:p>
        </w:tc>
        <w:tc>
          <w:tcPr>
            <w:tcW w:w="13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(5,853)</w:t>
            </w:r>
          </w:p>
        </w:tc>
        <w:tc>
          <w:tcPr>
            <w:tcW w:w="0" w:type="dxa"/>
            <w:vAlign w:val="bottom"/>
          </w:tcPr>
          <w:p>
            <w:pPr>
              <w:spacing w:after="0"/>
              <w:rPr>
                <w:sz w:val="1"/>
                <w:szCs w:val="1"/>
                <w:color w:val="auto"/>
              </w:rPr>
            </w:pPr>
          </w:p>
        </w:tc>
      </w:tr>
      <w:tr>
        <w:trPr>
          <w:trHeight w:val="20"/>
        </w:trPr>
        <w:tc>
          <w:tcPr>
            <w:tcW w:w="40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Denominator:</w:t>
            </w:r>
          </w:p>
        </w:tc>
        <w:tc>
          <w:tcPr>
            <w:tcW w:w="340" w:type="dxa"/>
            <w:vAlign w:val="bottom"/>
            <w:shd w:val="clear" w:color="auto" w:fill="D2DCE5"/>
          </w:tcPr>
          <w:p>
            <w:pPr>
              <w:spacing w:after="0"/>
              <w:rPr>
                <w:sz w:val="21"/>
                <w:szCs w:val="21"/>
                <w:color w:val="auto"/>
              </w:rPr>
            </w:pPr>
          </w:p>
        </w:tc>
        <w:tc>
          <w:tcPr>
            <w:tcW w:w="120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4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00" w:type="dxa"/>
            <w:vAlign w:val="bottom"/>
            <w:shd w:val="clear" w:color="auto" w:fill="D2DCE5"/>
          </w:tcPr>
          <w:p>
            <w:pPr>
              <w:spacing w:after="0"/>
              <w:rPr>
                <w:sz w:val="21"/>
                <w:szCs w:val="21"/>
                <w:color w:val="auto"/>
              </w:rPr>
            </w:pPr>
          </w:p>
        </w:tc>
        <w:tc>
          <w:tcPr>
            <w:tcW w:w="136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360"/>
              <w:spacing w:after="0"/>
              <w:rPr>
                <w:sz w:val="20"/>
                <w:szCs w:val="20"/>
                <w:color w:val="auto"/>
              </w:rPr>
            </w:pPr>
            <w:r>
              <w:rPr>
                <w:rFonts w:ascii="Arial" w:cs="Arial" w:eastAsia="Arial" w:hAnsi="Arial"/>
                <w:sz w:val="16"/>
                <w:szCs w:val="16"/>
                <w:color w:val="131E29"/>
              </w:rPr>
              <w:t>Number of shares used in basic computation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131E29"/>
              </w:rPr>
              <w:t>56,734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131E29"/>
              </w:rPr>
              <w:t>50,926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131E29"/>
              </w:rPr>
              <w:t>56,699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131E29"/>
              </w:rPr>
              <w:t>49,500</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6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Add: weighted-average effect of dilutive securities</w:t>
            </w:r>
          </w:p>
        </w:tc>
        <w:tc>
          <w:tcPr>
            <w:tcW w:w="340" w:type="dxa"/>
            <w:vAlign w:val="bottom"/>
            <w:shd w:val="clear" w:color="auto" w:fill="D2DCE5"/>
          </w:tcPr>
          <w:p>
            <w:pPr>
              <w:spacing w:after="0"/>
              <w:rPr>
                <w:sz w:val="21"/>
                <w:szCs w:val="21"/>
                <w:color w:val="auto"/>
              </w:rPr>
            </w:pPr>
          </w:p>
        </w:tc>
        <w:tc>
          <w:tcPr>
            <w:tcW w:w="120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4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00" w:type="dxa"/>
            <w:vAlign w:val="bottom"/>
            <w:shd w:val="clear" w:color="auto" w:fill="D2DCE5"/>
          </w:tcPr>
          <w:p>
            <w:pPr>
              <w:spacing w:after="0"/>
              <w:rPr>
                <w:sz w:val="21"/>
                <w:szCs w:val="21"/>
                <w:color w:val="auto"/>
              </w:rPr>
            </w:pPr>
          </w:p>
        </w:tc>
        <w:tc>
          <w:tcPr>
            <w:tcW w:w="136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D2DCE5"/>
            </w:tcBorders>
            <w:gridSpan w:val="2"/>
          </w:tcPr>
          <w:p>
            <w:pPr>
              <w:ind w:left="520"/>
              <w:spacing w:after="0"/>
              <w:rPr>
                <w:sz w:val="20"/>
                <w:szCs w:val="20"/>
                <w:color w:val="auto"/>
              </w:rPr>
            </w:pPr>
            <w:r>
              <w:rPr>
                <w:rFonts w:ascii="Arial" w:cs="Arial" w:eastAsia="Arial" w:hAnsi="Arial"/>
                <w:sz w:val="16"/>
                <w:szCs w:val="16"/>
                <w:color w:val="131E29"/>
              </w:rPr>
              <w:t>Restricted stock awards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694</w:t>
            </w:r>
          </w:p>
        </w:tc>
        <w:tc>
          <w:tcPr>
            <w:tcW w:w="120" w:type="dxa"/>
            <w:vAlign w:val="bottom"/>
            <w:tcBorders>
              <w:bottom w:val="single" w:sz="8" w:color="D2DCE5"/>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w:t>
            </w:r>
          </w:p>
        </w:tc>
        <w:tc>
          <w:tcPr>
            <w:tcW w:w="100" w:type="dxa"/>
            <w:vAlign w:val="bottom"/>
            <w:tcBorders>
              <w:bottom w:val="single" w:sz="8" w:color="D2DCE5"/>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w:t>
            </w:r>
          </w:p>
        </w:tc>
        <w:tc>
          <w:tcPr>
            <w:tcW w:w="100" w:type="dxa"/>
            <w:vAlign w:val="bottom"/>
            <w:tcBorders>
              <w:bottom w:val="single" w:sz="8" w:color="D2DCE5"/>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w:t>
            </w: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Weighted-average number of shares of Class A</w:t>
            </w:r>
          </w:p>
        </w:tc>
        <w:tc>
          <w:tcPr>
            <w:tcW w:w="340" w:type="dxa"/>
            <w:vAlign w:val="bottom"/>
            <w:shd w:val="clear" w:color="auto" w:fill="D2DCE5"/>
          </w:tcPr>
          <w:p>
            <w:pPr>
              <w:spacing w:after="0"/>
              <w:rPr>
                <w:sz w:val="17"/>
                <w:szCs w:val="17"/>
                <w:color w:val="auto"/>
              </w:rPr>
            </w:pPr>
          </w:p>
        </w:tc>
        <w:tc>
          <w:tcPr>
            <w:tcW w:w="120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440" w:type="dxa"/>
            <w:vAlign w:val="bottom"/>
            <w:shd w:val="clear" w:color="auto" w:fill="D2DCE5"/>
          </w:tcPr>
          <w:p>
            <w:pPr>
              <w:spacing w:after="0"/>
              <w:rPr>
                <w:sz w:val="17"/>
                <w:szCs w:val="17"/>
                <w:color w:val="auto"/>
              </w:rPr>
            </w:pPr>
          </w:p>
        </w:tc>
        <w:tc>
          <w:tcPr>
            <w:tcW w:w="14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40" w:type="dxa"/>
            <w:vAlign w:val="bottom"/>
            <w:shd w:val="clear" w:color="auto" w:fill="D2DCE5"/>
          </w:tcPr>
          <w:p>
            <w:pPr>
              <w:spacing w:after="0"/>
              <w:rPr>
                <w:sz w:val="17"/>
                <w:szCs w:val="17"/>
                <w:color w:val="auto"/>
              </w:rPr>
            </w:pPr>
          </w:p>
        </w:tc>
        <w:tc>
          <w:tcPr>
            <w:tcW w:w="12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400" w:type="dxa"/>
            <w:vAlign w:val="bottom"/>
            <w:shd w:val="clear" w:color="auto" w:fill="D2DCE5"/>
          </w:tcPr>
          <w:p>
            <w:pPr>
              <w:spacing w:after="0"/>
              <w:rPr>
                <w:sz w:val="17"/>
                <w:szCs w:val="17"/>
                <w:color w:val="auto"/>
              </w:rPr>
            </w:pPr>
          </w:p>
        </w:tc>
        <w:tc>
          <w:tcPr>
            <w:tcW w:w="13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and Class D common stock outstanding used to</w:t>
            </w:r>
          </w:p>
        </w:tc>
        <w:tc>
          <w:tcPr>
            <w:tcW w:w="340" w:type="dxa"/>
            <w:vAlign w:val="bottom"/>
            <w:shd w:val="clear" w:color="auto" w:fill="D2DCE5"/>
          </w:tcPr>
          <w:p>
            <w:pPr>
              <w:spacing w:after="0"/>
              <w:rPr>
                <w:sz w:val="16"/>
                <w:szCs w:val="16"/>
                <w:color w:val="auto"/>
              </w:rPr>
            </w:pPr>
          </w:p>
        </w:tc>
        <w:tc>
          <w:tcPr>
            <w:tcW w:w="1200" w:type="dxa"/>
            <w:vAlign w:val="bottom"/>
            <w:shd w:val="clear" w:color="auto" w:fill="D2DCE5"/>
          </w:tcPr>
          <w:p>
            <w:pPr>
              <w:spacing w:after="0"/>
              <w:rPr>
                <w:sz w:val="16"/>
                <w:szCs w:val="16"/>
                <w:color w:val="auto"/>
              </w:rPr>
            </w:pPr>
          </w:p>
        </w:tc>
        <w:tc>
          <w:tcPr>
            <w:tcW w:w="120" w:type="dxa"/>
            <w:vAlign w:val="bottom"/>
            <w:shd w:val="clear" w:color="auto" w:fill="D2DCE5"/>
          </w:tcPr>
          <w:p>
            <w:pPr>
              <w:spacing w:after="0"/>
              <w:rPr>
                <w:sz w:val="16"/>
                <w:szCs w:val="16"/>
                <w:color w:val="auto"/>
              </w:rPr>
            </w:pPr>
          </w:p>
        </w:tc>
        <w:tc>
          <w:tcPr>
            <w:tcW w:w="440" w:type="dxa"/>
            <w:vAlign w:val="bottom"/>
            <w:shd w:val="clear" w:color="auto" w:fill="D2DCE5"/>
          </w:tcPr>
          <w:p>
            <w:pPr>
              <w:spacing w:after="0"/>
              <w:rPr>
                <w:sz w:val="16"/>
                <w:szCs w:val="16"/>
                <w:color w:val="auto"/>
              </w:rPr>
            </w:pPr>
          </w:p>
        </w:tc>
        <w:tc>
          <w:tcPr>
            <w:tcW w:w="14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40" w:type="dxa"/>
            <w:vAlign w:val="bottom"/>
            <w:shd w:val="clear" w:color="auto" w:fill="D2DCE5"/>
          </w:tcPr>
          <w:p>
            <w:pPr>
              <w:spacing w:after="0"/>
              <w:rPr>
                <w:sz w:val="16"/>
                <w:szCs w:val="16"/>
                <w:color w:val="auto"/>
              </w:rPr>
            </w:pPr>
          </w:p>
        </w:tc>
        <w:tc>
          <w:tcPr>
            <w:tcW w:w="12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400" w:type="dxa"/>
            <w:vAlign w:val="bottom"/>
            <w:shd w:val="clear" w:color="auto" w:fill="D2DCE5"/>
          </w:tcPr>
          <w:p>
            <w:pPr>
              <w:spacing w:after="0"/>
              <w:rPr>
                <w:sz w:val="16"/>
                <w:szCs w:val="16"/>
                <w:color w:val="auto"/>
              </w:rPr>
            </w:pPr>
          </w:p>
        </w:tc>
        <w:tc>
          <w:tcPr>
            <w:tcW w:w="136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1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6"/>
                <w:szCs w:val="16"/>
                <w:color w:val="131E29"/>
              </w:rPr>
              <w:t>calculate diluted net loss per share</w:t>
            </w:r>
          </w:p>
        </w:tc>
        <w:tc>
          <w:tcPr>
            <w:tcW w:w="340" w:type="dxa"/>
            <w:vAlign w:val="bottom"/>
            <w:tcBorders>
              <w:bottom w:val="single" w:sz="8" w:color="auto"/>
            </w:tcBorders>
            <w:shd w:val="clear" w:color="auto" w:fill="D2DCE5"/>
          </w:tcPr>
          <w:p>
            <w:pPr>
              <w:spacing w:after="0"/>
              <w:rPr>
                <w:sz w:val="19"/>
                <w:szCs w:val="19"/>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57,428</w:t>
            </w:r>
          </w:p>
        </w:tc>
        <w:tc>
          <w:tcPr>
            <w:tcW w:w="120" w:type="dxa"/>
            <w:vAlign w:val="bottom"/>
            <w:tcBorders>
              <w:bottom w:val="single" w:sz="8" w:color="D2DCE5"/>
            </w:tcBorders>
            <w:shd w:val="clear" w:color="auto" w:fill="D2DCE5"/>
          </w:tcPr>
          <w:p>
            <w:pPr>
              <w:spacing w:after="0"/>
              <w:rPr>
                <w:sz w:val="19"/>
                <w:szCs w:val="19"/>
                <w:color w:val="auto"/>
              </w:rPr>
            </w:pPr>
          </w:p>
        </w:tc>
        <w:tc>
          <w:tcPr>
            <w:tcW w:w="440" w:type="dxa"/>
            <w:vAlign w:val="bottom"/>
            <w:tcBorders>
              <w:bottom w:val="single" w:sz="8" w:color="auto"/>
            </w:tcBorders>
            <w:shd w:val="clear" w:color="auto" w:fill="D2DCE5"/>
          </w:tcPr>
          <w:p>
            <w:pPr>
              <w:spacing w:after="0"/>
              <w:rPr>
                <w:sz w:val="19"/>
                <w:szCs w:val="19"/>
                <w:color w:val="auto"/>
              </w:rPr>
            </w:pPr>
          </w:p>
        </w:tc>
        <w:tc>
          <w:tcPr>
            <w:tcW w:w="14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50,926</w:t>
            </w:r>
          </w:p>
        </w:tc>
        <w:tc>
          <w:tcPr>
            <w:tcW w:w="100" w:type="dxa"/>
            <w:vAlign w:val="bottom"/>
            <w:tcBorders>
              <w:bottom w:val="single" w:sz="8" w:color="D2DCE5"/>
            </w:tcBorders>
            <w:shd w:val="clear" w:color="auto" w:fill="D2DCE5"/>
          </w:tcPr>
          <w:p>
            <w:pPr>
              <w:spacing w:after="0"/>
              <w:rPr>
                <w:sz w:val="19"/>
                <w:szCs w:val="19"/>
                <w:color w:val="auto"/>
              </w:rPr>
            </w:pPr>
          </w:p>
        </w:tc>
        <w:tc>
          <w:tcPr>
            <w:tcW w:w="340" w:type="dxa"/>
            <w:vAlign w:val="bottom"/>
            <w:tcBorders>
              <w:bottom w:val="single" w:sz="8" w:color="auto"/>
            </w:tcBorders>
            <w:shd w:val="clear" w:color="auto" w:fill="D2DCE5"/>
          </w:tcPr>
          <w:p>
            <w:pPr>
              <w:spacing w:after="0"/>
              <w:rPr>
                <w:sz w:val="19"/>
                <w:szCs w:val="19"/>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56,699</w:t>
            </w:r>
          </w:p>
        </w:tc>
        <w:tc>
          <w:tcPr>
            <w:tcW w:w="100" w:type="dxa"/>
            <w:vAlign w:val="bottom"/>
            <w:tcBorders>
              <w:bottom w:val="single" w:sz="8" w:color="D2DCE5"/>
            </w:tcBorders>
            <w:shd w:val="clear" w:color="auto" w:fill="D2DCE5"/>
          </w:tcPr>
          <w:p>
            <w:pPr>
              <w:spacing w:after="0"/>
              <w:rPr>
                <w:sz w:val="19"/>
                <w:szCs w:val="19"/>
                <w:color w:val="auto"/>
              </w:rPr>
            </w:pPr>
          </w:p>
        </w:tc>
        <w:tc>
          <w:tcPr>
            <w:tcW w:w="400" w:type="dxa"/>
            <w:vAlign w:val="bottom"/>
            <w:tcBorders>
              <w:bottom w:val="single" w:sz="8" w:color="auto"/>
            </w:tcBorders>
            <w:shd w:val="clear" w:color="auto" w:fill="D2DCE5"/>
          </w:tcPr>
          <w:p>
            <w:pPr>
              <w:spacing w:after="0"/>
              <w:rPr>
                <w:sz w:val="19"/>
                <w:szCs w:val="19"/>
                <w:color w:val="auto"/>
              </w:rPr>
            </w:pPr>
          </w:p>
        </w:tc>
        <w:tc>
          <w:tcPr>
            <w:tcW w:w="13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49,500</w:t>
            </w:r>
          </w:p>
        </w:tc>
        <w:tc>
          <w:tcPr>
            <w:tcW w:w="0" w:type="dxa"/>
            <w:vAlign w:val="bottom"/>
          </w:tcPr>
          <w:p>
            <w:pPr>
              <w:spacing w:after="0"/>
              <w:rPr>
                <w:sz w:val="1"/>
                <w:szCs w:val="1"/>
                <w:color w:val="auto"/>
              </w:rPr>
            </w:pPr>
          </w:p>
        </w:tc>
      </w:tr>
      <w:tr>
        <w:trPr>
          <w:trHeight w:val="206"/>
        </w:trPr>
        <w:tc>
          <w:tcPr>
            <w:tcW w:w="4160" w:type="dxa"/>
            <w:vAlign w:val="bottom"/>
            <w:gridSpan w:val="2"/>
          </w:tcPr>
          <w:p>
            <w:pPr>
              <w:ind w:left="20"/>
              <w:spacing w:after="0"/>
              <w:rPr>
                <w:sz w:val="20"/>
                <w:szCs w:val="20"/>
                <w:color w:val="auto"/>
              </w:rPr>
            </w:pPr>
            <w:r>
              <w:rPr>
                <w:rFonts w:ascii="Arial" w:cs="Arial" w:eastAsia="Arial" w:hAnsi="Arial"/>
                <w:sz w:val="16"/>
                <w:szCs w:val="16"/>
                <w:color w:val="131E29"/>
              </w:rPr>
              <w:t>Diluted net income (loss) per share attributable to</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131E29"/>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131E29"/>
              </w:rPr>
              <w:t>0.05</w:t>
            </w:r>
          </w:p>
        </w:tc>
        <w:tc>
          <w:tcPr>
            <w:tcW w:w="56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131E29"/>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131E29"/>
              </w:rPr>
              <w:t>(0.02)</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131E2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131E29"/>
              </w:rPr>
              <w:t>(0.02)</w:t>
            </w: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6"/>
                <w:szCs w:val="16"/>
                <w:color w:val="131E29"/>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131E29"/>
              </w:rPr>
              <w:t>(0.12)</w:t>
            </w: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Arial" w:cs="Arial" w:eastAsia="Arial" w:hAnsi="Arial"/>
                <w:sz w:val="16"/>
                <w:szCs w:val="16"/>
                <w:color w:val="131E29"/>
              </w:rPr>
              <w:t>common stockholders</w:t>
            </w:r>
          </w:p>
        </w:tc>
        <w:tc>
          <w:tcPr>
            <w:tcW w:w="3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Shares of the Company’s Class B and Class C common stock do not participate in the earnings or losses of the Company and are therefore not participating securities. As such, separate presentation of basic and diluted income (loss) per share of Class B and Class C common stock under the two-class method has not been presented.</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The following common stock equivalents were excluded from diluted net income (loss) per share in the periods presented because they were anti-dilutive: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27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Borders>
              <w:bottom w:val="single" w:sz="8" w:color="D2DCE5"/>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2023</w:t>
            </w:r>
          </w:p>
        </w:tc>
        <w:tc>
          <w:tcPr>
            <w:tcW w:w="120" w:type="dxa"/>
            <w:vAlign w:val="bottom"/>
            <w:tcBorders>
              <w:bottom w:val="single" w:sz="8" w:color="D2DCE5"/>
            </w:tcBorders>
          </w:tcPr>
          <w:p>
            <w:pPr>
              <w:spacing w:after="0"/>
              <w:rPr>
                <w:sz w:val="22"/>
                <w:szCs w:val="22"/>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50"/>
        </w:trPr>
        <w:tc>
          <w:tcPr>
            <w:tcW w:w="5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Restricted stock awards</w:t>
            </w:r>
          </w:p>
        </w:tc>
        <w:tc>
          <w:tcPr>
            <w:tcW w:w="1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4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2,667</w:t>
            </w:r>
          </w:p>
        </w:tc>
        <w:tc>
          <w:tcPr>
            <w:tcW w:w="14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1,315</w:t>
            </w:r>
          </w:p>
        </w:tc>
        <w:tc>
          <w:tcPr>
            <w:tcW w:w="14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2,667</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131E29"/>
              </w:rPr>
              <w:t>Restricted stock units</w:t>
            </w:r>
          </w:p>
        </w:tc>
        <w:tc>
          <w:tcPr>
            <w:tcW w:w="1300" w:type="dxa"/>
            <w:vAlign w:val="bottom"/>
          </w:tcPr>
          <w:p>
            <w:pPr>
              <w:jc w:val="right"/>
              <w:spacing w:after="0"/>
              <w:rPr>
                <w:sz w:val="20"/>
                <w:szCs w:val="20"/>
                <w:color w:val="auto"/>
              </w:rPr>
            </w:pPr>
            <w:r>
              <w:rPr>
                <w:rFonts w:ascii="Arial" w:cs="Arial" w:eastAsia="Arial" w:hAnsi="Arial"/>
                <w:sz w:val="18"/>
                <w:szCs w:val="18"/>
                <w:color w:val="131E29"/>
              </w:rPr>
              <w:t>627</w:t>
            </w:r>
          </w:p>
        </w:tc>
        <w:tc>
          <w:tcPr>
            <w:tcW w:w="1420" w:type="dxa"/>
            <w:vAlign w:val="bottom"/>
            <w:gridSpan w:val="2"/>
          </w:tcPr>
          <w:p>
            <w:pPr>
              <w:jc w:val="right"/>
              <w:spacing w:after="0"/>
              <w:rPr>
                <w:sz w:val="20"/>
                <w:szCs w:val="20"/>
                <w:color w:val="auto"/>
              </w:rPr>
            </w:pPr>
            <w:r>
              <w:rPr>
                <w:rFonts w:ascii="Arial" w:cs="Arial" w:eastAsia="Arial" w:hAnsi="Arial"/>
                <w:sz w:val="18"/>
                <w:szCs w:val="18"/>
                <w:color w:val="131E29"/>
              </w:rPr>
              <w:t>550</w:t>
            </w:r>
          </w:p>
        </w:tc>
        <w:tc>
          <w:tcPr>
            <w:tcW w:w="1400" w:type="dxa"/>
            <w:vAlign w:val="bottom"/>
            <w:gridSpan w:val="2"/>
          </w:tcPr>
          <w:p>
            <w:pPr>
              <w:jc w:val="right"/>
              <w:spacing w:after="0"/>
              <w:rPr>
                <w:sz w:val="20"/>
                <w:szCs w:val="20"/>
                <w:color w:val="auto"/>
              </w:rPr>
            </w:pPr>
            <w:r>
              <w:rPr>
                <w:rFonts w:ascii="Arial" w:cs="Arial" w:eastAsia="Arial" w:hAnsi="Arial"/>
                <w:sz w:val="18"/>
                <w:szCs w:val="18"/>
                <w:color w:val="131E29"/>
              </w:rPr>
              <w:t>627</w:t>
            </w:r>
          </w:p>
        </w:tc>
        <w:tc>
          <w:tcPr>
            <w:tcW w:w="1420" w:type="dxa"/>
            <w:vAlign w:val="bottom"/>
            <w:gridSpan w:val="2"/>
          </w:tcPr>
          <w:p>
            <w:pPr>
              <w:jc w:val="right"/>
              <w:spacing w:after="0"/>
              <w:rPr>
                <w:sz w:val="20"/>
                <w:szCs w:val="20"/>
                <w:color w:val="auto"/>
              </w:rPr>
            </w:pPr>
            <w:r>
              <w:rPr>
                <w:rFonts w:ascii="Arial" w:cs="Arial" w:eastAsia="Arial" w:hAnsi="Arial"/>
                <w:sz w:val="18"/>
                <w:szCs w:val="18"/>
                <w:color w:val="131E29"/>
              </w:rPr>
              <w:t>550</w:t>
            </w:r>
          </w:p>
        </w:tc>
      </w:tr>
      <w:tr>
        <w:trPr>
          <w:trHeight w:val="27"/>
        </w:trPr>
        <w:tc>
          <w:tcPr>
            <w:tcW w:w="56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3"/>
        </w:trPr>
        <w:tc>
          <w:tcPr>
            <w:tcW w:w="570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Total anti-dilutive securities</w:t>
            </w: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627</w:t>
            </w:r>
          </w:p>
        </w:tc>
        <w:tc>
          <w:tcPr>
            <w:tcW w:w="142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3,217</w:t>
            </w:r>
          </w:p>
        </w:tc>
        <w:tc>
          <w:tcPr>
            <w:tcW w:w="140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1,942</w:t>
            </w:r>
          </w:p>
        </w:tc>
        <w:tc>
          <w:tcPr>
            <w:tcW w:w="142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3,217</w:t>
            </w:r>
          </w:p>
        </w:tc>
      </w:tr>
      <w:tr>
        <w:trPr>
          <w:trHeight w:val="20"/>
        </w:trPr>
        <w:tc>
          <w:tcPr>
            <w:tcW w:w="56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16 —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Purchase Obligations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in the normal purchases of green coffee and not for speculative purposes. The Company does not enter into futures contracts or other derivative instruments related to its green coffee purchase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Guarantees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The Company periodically provides guarantees to franchise partners for lease payments. Annually, the Company determines if a liability needs to be recorded related to these guarantees. As of June 30, 2023 and December 31, 2022, the Company had guaranteed approximately $1.5 million and $1.6 million, respectively, in franchise partners’ lease payments and has not established a liability for these guarantees as any liability arising from the guarantees is not material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Legal Proceedings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In regard to estimated expense related to such alleged legal disputes, the Company accrued a liability of approximately $2 million, included within accrued liabilities on the Company’s condensed consolidated balance sheet as of June 30, 2023. The related expense is reflected in selling, general and administrative expense for the three and six months ended June 30, 2023.</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Any claim, proceeding or litigation has an element of uncertainty, and an unfavorable outcome may have a material adverse effect on the Company’s financial condition,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Litigation Related to Securities Claims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 xml:space="preserve">On March 1, 2023, plaintiff Jerry Peacock filed a putative class action lawsuit in U.S. District Court for the Southern District of New York against Dutch Bros Inc. and certain of its executive officers for alleged violations of U.S. federal securities laws. On August 3, 2023, the court appointed a lead plaintiff and re-captioned the case </w:t>
      </w:r>
      <w:r>
        <w:rPr>
          <w:rFonts w:ascii="Arial" w:cs="Arial" w:eastAsia="Arial" w:hAnsi="Arial"/>
          <w:sz w:val="18"/>
          <w:szCs w:val="18"/>
          <w:i w:val="1"/>
          <w:iCs w:val="1"/>
          <w:color w:val="131E29"/>
        </w:rPr>
        <w:t>Douglas Rein, Individually and On Behalf of All Others Similarly Situated v. Dutch Bros,</w:t>
      </w:r>
      <w:r>
        <w:rPr>
          <w:rFonts w:ascii="Arial" w:cs="Arial" w:eastAsia="Arial" w:hAnsi="Arial"/>
          <w:sz w:val="18"/>
          <w:szCs w:val="18"/>
          <w:color w:val="131E29"/>
        </w:rPr>
        <w:t xml:space="preserve"> </w:t>
      </w:r>
      <w:r>
        <w:rPr>
          <w:rFonts w:ascii="Arial" w:cs="Arial" w:eastAsia="Arial" w:hAnsi="Arial"/>
          <w:sz w:val="18"/>
          <w:szCs w:val="18"/>
          <w:i w:val="1"/>
          <w:iCs w:val="1"/>
          <w:color w:val="131E29"/>
        </w:rPr>
        <w:t>Inc. et al</w:t>
      </w:r>
      <w:r>
        <w:rPr>
          <w:rFonts w:ascii="Arial" w:cs="Arial" w:eastAsia="Arial" w:hAnsi="Arial"/>
          <w:sz w:val="18"/>
          <w:szCs w:val="18"/>
          <w:color w:val="131E29"/>
        </w:rPr>
        <w:t>. The plaintiff purports to bring claims on behalf of a class of acquirers of Dutch Bros Inc. securities between March 1, 2022 and May</w:t>
      </w:r>
      <w:r>
        <w:rPr>
          <w:rFonts w:ascii="Arial" w:cs="Arial" w:eastAsia="Arial" w:hAnsi="Arial"/>
          <w:sz w:val="18"/>
          <w:szCs w:val="18"/>
          <w:i w:val="1"/>
          <w:iCs w:val="1"/>
          <w:color w:val="131E29"/>
        </w:rPr>
        <w:t xml:space="preserve"> </w:t>
      </w:r>
      <w:r>
        <w:rPr>
          <w:rFonts w:ascii="Arial" w:cs="Arial" w:eastAsia="Arial" w:hAnsi="Arial"/>
          <w:sz w:val="18"/>
          <w:szCs w:val="18"/>
          <w:color w:val="131E29"/>
        </w:rPr>
        <w:t>11, 2022, and generally alleges that the defendants made false or misleading statements about the impact of commodity inflation on the Company’s financial results for the first quarter of 2022. The complaint primarily seeks compensatory damages for all affected members of the purported class.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 addition, on June 14, 2023, June 30, 2023, and July 18, 2023, respectively, plaintiffs Brennan Hudson, Darren Wakefield, and Amanda Boster each filed a putative stockholder derivative lawsuit in U.S. District Court for the Southern District of New York. The complaints name Dutch Bros Inc. as a nominal defendant and purport to bring claims on behalf of Dutch Bros Inc. against certain of Dutch Bros Inc.’s directors and executive officers for alleged breaches of their fiduciary duties in relation to substantially the same factual allegations as the above-described putative class action lawsuit. The complaints each primarily seek to recover for Dutch Bros Inc. compensatory damages for losses allegedly sustained by Dutch Bros Inc. related to the facts alleged, restitution, and equitable relief in the form of revisions to Dutch Bros Inc.’s governing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The Company intends to vigorously defend these lawsuits. Given the nature of these cases, including that the proceedings are in their early stages, the Company is unable to predict the ultimate outcome of these cases or estimate the range of potential loss, if any.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Liabilities Under Tax Receivable Agreements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Under the TRAs, Dutch Bros Inc. is contractually committed to pay the non-controlling interest holders 85% of the amount of any tax benefits that Dutch Bros Inc. actually realizes, or in some cases is deemed to realize, as a result of certain transactions. As of June 30, 2023, Dutch Bros Inc. recognized $218.8 million of liabilities related to its obligations under the TRAs.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17 — Related Party Transactions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The Company’s donations to the Dutch Bros Foundation (Foundation), a not-for-profit founded by the Company that provides philanthropy to coffee farmers and local communities and for which the Company’s Chief Executive Officer (CEO) and Chief Operating Officer (COO) serve on the board of directors,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2023</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90"/>
        </w:trPr>
        <w:tc>
          <w:tcPr>
            <w:tcW w:w="56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Donations to Dutch Bros Foundation</w:t>
            </w:r>
          </w:p>
        </w:tc>
        <w:tc>
          <w:tcPr>
            <w:tcW w:w="940" w:type="dxa"/>
            <w:vAlign w:val="bottom"/>
            <w:shd w:val="clear" w:color="auto" w:fill="D2DCE5"/>
          </w:tcPr>
          <w:p>
            <w:pPr>
              <w:jc w:val="right"/>
              <w:ind w:right="730"/>
              <w:spacing w:after="0"/>
              <w:rPr>
                <w:sz w:val="20"/>
                <w:szCs w:val="20"/>
                <w:color w:val="auto"/>
              </w:rPr>
            </w:pPr>
            <w:r>
              <w:rPr>
                <w:rFonts w:ascii="Arial" w:cs="Arial" w:eastAsia="Arial" w:hAnsi="Arial"/>
                <w:sz w:val="18"/>
                <w:szCs w:val="18"/>
                <w:color w:val="131E29"/>
                <w:w w:val="99"/>
              </w:rPr>
              <w:t>$</w:t>
            </w:r>
          </w:p>
        </w:tc>
        <w:tc>
          <w:tcPr>
            <w:tcW w:w="3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63</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1,847</w:t>
            </w:r>
          </w:p>
        </w:tc>
        <w:tc>
          <w:tcPr>
            <w:tcW w:w="260" w:type="dxa"/>
            <w:vAlign w:val="bottom"/>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126</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3,220</w:t>
            </w:r>
          </w:p>
        </w:tc>
      </w:tr>
      <w:tr>
        <w:trPr>
          <w:trHeight w:val="20"/>
        </w:trPr>
        <w:tc>
          <w:tcPr>
            <w:tcW w:w="55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131E29"/>
        </w:rPr>
        <w:t>For the three and six months ended June 30, 2023, the Company and Foundation focused on local community givebacks.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18 — Segment Reporting</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Segment information is prepared on the same basis that the Company’s CEO, who is the chief operating decision maker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 partners and includes the initial franchise fees, royalties, and marketing fees.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The CODM reviews segment performance and allocates resources based upon segment contribution, which is defined as segment gross profit before depreciation and amortization.</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All segment revenue is earned in the United States, and there are no intersegment revenues. The CODM does not evaluate operating segments using discrete asset information, and we do not identify or allocate assets by operating segments.</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No changes have been made to the Company’s segments during the three and six months ended June 30, 2023. In addition, no customer represented 10% or more of total revenue for the three and six months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131E29"/>
        </w:rPr>
        <w:t>Financial information for the Company’s reportable segments was as follows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2022</w:t>
            </w:r>
          </w:p>
        </w:tc>
      </w:tr>
      <w:tr>
        <w:trPr>
          <w:trHeight w:val="250"/>
        </w:trPr>
        <w:tc>
          <w:tcPr>
            <w:tcW w:w="57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220,952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160,512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131E29"/>
              </w:rPr>
              <w:t>$</w:t>
            </w:r>
          </w:p>
        </w:tc>
        <w:tc>
          <w:tcPr>
            <w:tcW w:w="1140" w:type="dxa"/>
            <w:vAlign w:val="bottom"/>
          </w:tcPr>
          <w:p>
            <w:pPr>
              <w:jc w:val="right"/>
              <w:spacing w:after="0"/>
              <w:rPr>
                <w:sz w:val="20"/>
                <w:szCs w:val="20"/>
                <w:color w:val="auto"/>
              </w:rPr>
            </w:pPr>
            <w:r>
              <w:rPr>
                <w:rFonts w:ascii="Arial" w:cs="Arial" w:eastAsia="Arial" w:hAnsi="Arial"/>
                <w:sz w:val="18"/>
                <w:szCs w:val="18"/>
                <w:color w:val="131E29"/>
              </w:rPr>
              <w:t>394,116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290,699</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7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28,927</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25,869</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53,030</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47,838</w:t>
            </w:r>
          </w:p>
        </w:tc>
      </w:tr>
      <w:tr>
        <w:trPr>
          <w:trHeight w:val="263"/>
        </w:trPr>
        <w:tc>
          <w:tcPr>
            <w:tcW w:w="574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249,879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186,381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447,146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338,537</w:t>
            </w:r>
          </w:p>
        </w:tc>
      </w:tr>
      <w:tr>
        <w:trPr>
          <w:trHeight w:val="250"/>
        </w:trPr>
        <w:tc>
          <w:tcPr>
            <w:tcW w:w="57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168,873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129,294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313,165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242,842</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9,763</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12,076</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16,994</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19,695</w:t>
            </w:r>
          </w:p>
        </w:tc>
      </w:tr>
      <w:tr>
        <w:trPr>
          <w:trHeight w:val="237"/>
        </w:trPr>
        <w:tc>
          <w:tcPr>
            <w:tcW w:w="5740" w:type="dxa"/>
            <w:vAlign w:val="bottom"/>
            <w:gridSpan w:val="2"/>
          </w:tcPr>
          <w:p>
            <w:pPr>
              <w:ind w:left="360"/>
              <w:spacing w:after="0"/>
              <w:rPr>
                <w:sz w:val="20"/>
                <w:szCs w:val="20"/>
                <w:color w:val="auto"/>
              </w:rPr>
            </w:pPr>
            <w:r>
              <w:rPr>
                <w:rFonts w:ascii="Arial" w:cs="Arial" w:eastAsia="Arial" w:hAnsi="Arial"/>
                <w:sz w:val="18"/>
                <w:szCs w:val="18"/>
                <w:color w:val="131E29"/>
              </w:rPr>
              <w:t>Total cost of sales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178,636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141,370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330,159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262,537</w:t>
            </w:r>
          </w:p>
        </w:tc>
      </w:tr>
      <w:tr>
        <w:trPr>
          <w:trHeight w:val="27"/>
        </w:trPr>
        <w:tc>
          <w:tcPr>
            <w:tcW w:w="5380" w:type="dxa"/>
            <w:vAlign w:val="bottom"/>
            <w:tcBorders>
              <w:bottom w:val="single" w:sz="8" w:color="D2DCE5"/>
            </w:tcBorders>
          </w:tcPr>
          <w:p>
            <w:pPr>
              <w:spacing w:after="0"/>
              <w:rPr>
                <w:sz w:val="2"/>
                <w:szCs w:val="2"/>
                <w:color w:val="auto"/>
              </w:rPr>
            </w:pPr>
          </w:p>
        </w:tc>
        <w:tc>
          <w:tcPr>
            <w:tcW w:w="36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7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Segment contribution:</w:t>
            </w: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D2DCE5"/>
            </w:tcBorders>
            <w:shd w:val="clear" w:color="auto" w:fill="D2DCE5"/>
          </w:tcPr>
          <w:p>
            <w:pPr>
              <w:spacing w:after="0"/>
              <w:rPr>
                <w:sz w:val="20"/>
                <w:szCs w:val="20"/>
                <w:color w:val="auto"/>
              </w:rPr>
            </w:pPr>
          </w:p>
        </w:tc>
        <w:tc>
          <w:tcPr>
            <w:tcW w:w="114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66,878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39,525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108,751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63,304</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7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20,461</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15,313</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38,694</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31,005</w:t>
            </w:r>
          </w:p>
        </w:tc>
      </w:tr>
      <w:tr>
        <w:trPr>
          <w:trHeight w:val="270"/>
        </w:trPr>
        <w:tc>
          <w:tcPr>
            <w:tcW w:w="5740" w:type="dxa"/>
            <w:vAlign w:val="bottom"/>
            <w:gridSpan w:val="2"/>
          </w:tcPr>
          <w:p>
            <w:pPr>
              <w:ind w:left="360"/>
              <w:spacing w:after="0"/>
              <w:rPr>
                <w:sz w:val="20"/>
                <w:szCs w:val="20"/>
                <w:color w:val="auto"/>
              </w:rPr>
            </w:pPr>
            <w:r>
              <w:rPr>
                <w:rFonts w:ascii="Arial" w:cs="Arial" w:eastAsia="Arial" w:hAnsi="Arial"/>
                <w:sz w:val="18"/>
                <w:szCs w:val="18"/>
                <w:color w:val="131E29"/>
              </w:rPr>
              <w:t>Total segment contribution</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87,339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54,838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131E29"/>
              </w:rPr>
              <w:t>$</w:t>
            </w:r>
          </w:p>
        </w:tc>
        <w:tc>
          <w:tcPr>
            <w:tcW w:w="1140" w:type="dxa"/>
            <w:vAlign w:val="bottom"/>
          </w:tcPr>
          <w:p>
            <w:pPr>
              <w:jc w:val="right"/>
              <w:spacing w:after="0"/>
              <w:rPr>
                <w:sz w:val="20"/>
                <w:szCs w:val="20"/>
                <w:color w:val="auto"/>
              </w:rPr>
            </w:pPr>
            <w:r>
              <w:rPr>
                <w:rFonts w:ascii="Arial" w:cs="Arial" w:eastAsia="Arial" w:hAnsi="Arial"/>
                <w:sz w:val="18"/>
                <w:szCs w:val="18"/>
                <w:color w:val="131E29"/>
              </w:rPr>
              <w:t>147,445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94,309</w:t>
            </w:r>
          </w:p>
        </w:tc>
      </w:tr>
      <w:tr>
        <w:trPr>
          <w:trHeight w:val="20"/>
        </w:trPr>
        <w:tc>
          <w:tcPr>
            <w:tcW w:w="538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7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28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60" w:type="dxa"/>
            <w:vAlign w:val="bottom"/>
            <w:tcBorders>
              <w:bottom w:val="single" w:sz="8" w:color="D2DCE5"/>
            </w:tcBorders>
            <w:shd w:val="clear" w:color="auto" w:fill="D2DCE5"/>
          </w:tcPr>
          <w:p>
            <w:pPr>
              <w:spacing w:after="0"/>
              <w:rPr>
                <w:sz w:val="18"/>
                <w:szCs w:val="18"/>
                <w:color w:val="auto"/>
              </w:rPr>
            </w:pPr>
          </w:p>
        </w:tc>
        <w:tc>
          <w:tcPr>
            <w:tcW w:w="114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spacing w:after="0"/>
              <w:rPr>
                <w:sz w:val="18"/>
                <w:szCs w:val="18"/>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14,799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27,800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15,447</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7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1,297</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1,520</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2,658</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2,862</w:t>
            </w:r>
          </w:p>
        </w:tc>
      </w:tr>
      <w:tr>
        <w:trPr>
          <w:trHeight w:val="243"/>
        </w:trPr>
        <w:tc>
          <w:tcPr>
            <w:tcW w:w="5740" w:type="dxa"/>
            <w:vAlign w:val="bottom"/>
            <w:gridSpan w:val="2"/>
          </w:tcPr>
          <w:p>
            <w:pPr>
              <w:ind w:left="360"/>
              <w:spacing w:after="0"/>
              <w:rPr>
                <w:sz w:val="20"/>
                <w:szCs w:val="20"/>
                <w:color w:val="auto"/>
              </w:rPr>
            </w:pPr>
            <w:r>
              <w:rPr>
                <w:rFonts w:ascii="Arial" w:cs="Arial" w:eastAsia="Arial" w:hAnsi="Arial"/>
                <w:sz w:val="18"/>
                <w:szCs w:val="18"/>
                <w:color w:val="131E29"/>
              </w:rPr>
              <w:t>Total depreciation and amortization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16,096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9,827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30,458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18,309</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(51,662)</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(42,342)</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(97,638)</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(87,556)</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131E29"/>
              </w:rPr>
              <w:t>Interest expense, net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(9,058)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(16,944)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(6,085)</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7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income</w:t>
            </w: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1,039</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61</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2,346</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282</w:t>
            </w:r>
          </w:p>
        </w:tc>
      </w:tr>
      <w:tr>
        <w:trPr>
          <w:trHeight w:val="270"/>
        </w:trPr>
        <w:tc>
          <w:tcPr>
            <w:tcW w:w="5740" w:type="dxa"/>
            <w:vAlign w:val="bottom"/>
            <w:gridSpan w:val="2"/>
          </w:tcPr>
          <w:p>
            <w:pPr>
              <w:ind w:left="360"/>
              <w:spacing w:after="0"/>
              <w:rPr>
                <w:sz w:val="20"/>
                <w:szCs w:val="20"/>
                <w:color w:val="auto"/>
              </w:rPr>
            </w:pPr>
            <w:r>
              <w:rPr>
                <w:rFonts w:ascii="Arial" w:cs="Arial" w:eastAsia="Arial" w:hAnsi="Arial"/>
                <w:sz w:val="18"/>
                <w:szCs w:val="18"/>
                <w:color w:val="131E29"/>
              </w:rPr>
              <w:t>Income (loss) before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11,562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(866)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131E29"/>
              </w:rPr>
              <w:t>$</w:t>
            </w:r>
          </w:p>
        </w:tc>
        <w:tc>
          <w:tcPr>
            <w:tcW w:w="1140" w:type="dxa"/>
            <w:vAlign w:val="bottom"/>
          </w:tcPr>
          <w:p>
            <w:pPr>
              <w:jc w:val="right"/>
              <w:spacing w:after="0"/>
              <w:rPr>
                <w:sz w:val="20"/>
                <w:szCs w:val="20"/>
                <w:color w:val="auto"/>
              </w:rPr>
            </w:pPr>
            <w:r>
              <w:rPr>
                <w:rFonts w:ascii="Arial" w:cs="Arial" w:eastAsia="Arial" w:hAnsi="Arial"/>
                <w:sz w:val="18"/>
                <w:szCs w:val="18"/>
                <w:color w:val="131E29"/>
              </w:rPr>
              <w:t>4,751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(17,359)</w:t>
            </w:r>
          </w:p>
        </w:tc>
      </w:tr>
      <w:tr>
        <w:trPr>
          <w:trHeight w:val="20"/>
        </w:trPr>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19 — Subsequent Event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On August 4, 2023, the Company amended its 2022 Credit Facility to increase borrowing capacity by a total of $150 million (the Amended 2022 Credit Facility). The Amended 2022 Credit Facility has a total capacity of $ 650 million, consisting of a $350 million revolving credit facility (increased from $250 million), a term loan facility of up to $100 million (no change), and a delayed draw term loan facility of up to $200 million (increased from $150 million). The Amended 2022 Credit Facility also includes sublimits for letters of credit and swingline loans of up to $50 million and $15 million, respectively. The Amended 2022 Credit Facility expires on February 28, 2027 (the Maturity Date), and portions of the delayed draw term loan facility expire if they remain undrawn on certain dates prior to the Maturity Date.</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Interest on borrowings under the Amended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Obligations under the Amended 2022 Credit Facility are guaranteed by each of Dutch Bros Inc.’s subsidiaries, and secured by a first priority perfected security interest in substantially all of the assets of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720"/>
        <w:spacing w:after="0" w:line="303" w:lineRule="auto"/>
        <w:rPr>
          <w:sz w:val="20"/>
          <w:szCs w:val="20"/>
          <w:color w:val="auto"/>
        </w:rPr>
      </w:pPr>
      <w:r>
        <w:rPr>
          <w:rFonts w:ascii="Arial" w:cs="Arial" w:eastAsia="Arial" w:hAnsi="Arial"/>
          <w:sz w:val="25"/>
          <w:szCs w:val="25"/>
          <w:b w:val="1"/>
          <w:bCs w:val="1"/>
          <w:color w:val="D7282F"/>
        </w:rPr>
        <w:t>ITEM 2. MANAGEMENT’S DISCUSSION AND ANALYSIS OF FINANCIAL CONDITION AND RESULTS OF OPERATIONS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131E29"/>
        </w:rPr>
        <w:t>You should read the following discussion and analysis of our financial condition and results of operations together with our condensed consolidated financial statements and the related notes included elsewhere in this Form 10-Q. Some of the information contained in this discussion and analysis or set forth elsewhere in this document includes forward looking statements that involve risks, uncertainties, and assumptions. You should carefully read the “Forward-Looking Statements” and “Risk Factors” sections of this Form 10-Q for a discussion of important factors that could cause actual results to differ materially from the results described in or implied by the forward-looking statements contained in the following discussion and analysis.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131E29"/>
        </w:rPr>
        <w:t>In addition, statements that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Overview and Highlights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food service and restaurant industry in the United States by location count.</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As of June 30, 2023, we had 754 company-operated and franchised shops in 14 states, an increase of approximately 25.0% from the same period in the prior year. For the three months ended June 30, 2023, we generated $249.9 million of revenue, $9.7 million net income, and $0.05 earnings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306060" cy="2228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0606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9" w:lineRule="exact"/>
        <w:rPr>
          <w:sz w:val="20"/>
          <w:szCs w:val="20"/>
          <w:color w:val="auto"/>
        </w:rPr>
      </w:pPr>
    </w:p>
    <w:p>
      <w:pPr>
        <w:ind w:left="180" w:hanging="172"/>
        <w:spacing w:after="0" w:line="226" w:lineRule="auto"/>
        <w:tabs>
          <w:tab w:leader="none" w:pos="318"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131E29"/>
        </w:rPr>
        <w:t>Reconciliation of GAAP to non-GAAP results is provided in the section “Non-GAAP Financial Measures” in Part II,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Key Highlights</w:t>
      </w:r>
    </w:p>
    <w:p>
      <w:pPr>
        <w:spacing w:after="0" w:line="181" w:lineRule="exact"/>
        <w:rPr>
          <w:sz w:val="20"/>
          <w:szCs w:val="20"/>
          <w:color w:val="auto"/>
        </w:rPr>
      </w:pPr>
    </w:p>
    <w:p>
      <w:pPr>
        <w:ind w:left="340" w:hanging="332"/>
        <w:spacing w:after="0" w:line="275" w:lineRule="auto"/>
        <w:tabs>
          <w:tab w:leader="none" w:pos="340" w:val="left"/>
        </w:tabs>
        <w:numPr>
          <w:ilvl w:val="0"/>
          <w:numId w:val="8"/>
        </w:numPr>
        <w:rPr>
          <w:rFonts w:ascii="Arial" w:cs="Arial" w:eastAsia="Arial" w:hAnsi="Arial"/>
          <w:sz w:val="18"/>
          <w:szCs w:val="18"/>
          <w:color w:val="131E29"/>
        </w:rPr>
      </w:pPr>
      <w:r>
        <w:rPr>
          <w:rFonts w:ascii="Arial" w:cs="Arial" w:eastAsia="Arial" w:hAnsi="Arial"/>
          <w:sz w:val="18"/>
          <w:szCs w:val="18"/>
          <w:color w:val="131E29"/>
        </w:rPr>
        <w:t>Opened 35 company-operated shops across multiple new operating areas in the three months ended June 30, 2023, an increase of 40.8% over the same period in 2022, bringing total company-operated shops to 62.7% of our total shops.</w:t>
      </w:r>
    </w:p>
    <w:p>
      <w:pPr>
        <w:spacing w:after="0" w:line="119" w:lineRule="exact"/>
        <w:rPr>
          <w:rFonts w:ascii="Arial" w:cs="Arial" w:eastAsia="Arial" w:hAnsi="Arial"/>
          <w:sz w:val="18"/>
          <w:szCs w:val="18"/>
          <w:color w:val="131E29"/>
        </w:rPr>
      </w:pPr>
    </w:p>
    <w:p>
      <w:pPr>
        <w:ind w:left="340" w:hanging="332"/>
        <w:spacing w:after="0"/>
        <w:tabs>
          <w:tab w:leader="none" w:pos="340" w:val="left"/>
        </w:tabs>
        <w:numPr>
          <w:ilvl w:val="0"/>
          <w:numId w:val="8"/>
        </w:numPr>
        <w:rPr>
          <w:rFonts w:ascii="Arial" w:cs="Arial" w:eastAsia="Arial" w:hAnsi="Arial"/>
          <w:sz w:val="18"/>
          <w:szCs w:val="18"/>
          <w:color w:val="131E29"/>
        </w:rPr>
      </w:pPr>
      <w:r>
        <w:rPr>
          <w:rFonts w:ascii="Arial" w:cs="Arial" w:eastAsia="Arial" w:hAnsi="Arial"/>
          <w:sz w:val="18"/>
          <w:szCs w:val="18"/>
          <w:color w:val="131E29"/>
        </w:rPr>
        <w:t>Welcomed Tana Davila as Chief Marketing Officer of Dutch Bros in June 2023.</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8"/>
        </w:numPr>
        <w:rPr>
          <w:rFonts w:ascii="Arial" w:cs="Arial" w:eastAsia="Arial" w:hAnsi="Arial"/>
          <w:sz w:val="18"/>
          <w:szCs w:val="18"/>
          <w:color w:val="131E29"/>
        </w:rPr>
      </w:pPr>
      <w:r>
        <w:rPr>
          <w:rFonts w:ascii="Arial" w:cs="Arial" w:eastAsia="Arial" w:hAnsi="Arial"/>
          <w:sz w:val="18"/>
          <w:szCs w:val="18"/>
          <w:color w:val="131E29"/>
        </w:rPr>
        <w:t>Raised $2.5 million in partnership with the Dutch Bros Foundation (Foundation) for the Muscular Dystrophy Association and its fight against ALS from our annual Drink One for Dane fundraiser.</w:t>
      </w:r>
    </w:p>
    <w:p>
      <w:pPr>
        <w:spacing w:after="0" w:line="119" w:lineRule="exact"/>
        <w:rPr>
          <w:rFonts w:ascii="Arial" w:cs="Arial" w:eastAsia="Arial" w:hAnsi="Arial"/>
          <w:sz w:val="18"/>
          <w:szCs w:val="18"/>
          <w:color w:val="131E29"/>
        </w:rPr>
      </w:pPr>
    </w:p>
    <w:p>
      <w:pPr>
        <w:ind w:left="340" w:hanging="332"/>
        <w:spacing w:after="0"/>
        <w:tabs>
          <w:tab w:leader="none" w:pos="340" w:val="left"/>
        </w:tabs>
        <w:numPr>
          <w:ilvl w:val="0"/>
          <w:numId w:val="8"/>
        </w:numPr>
        <w:rPr>
          <w:rFonts w:ascii="Arial" w:cs="Arial" w:eastAsia="Arial" w:hAnsi="Arial"/>
          <w:sz w:val="18"/>
          <w:szCs w:val="18"/>
          <w:color w:val="131E29"/>
        </w:rPr>
      </w:pPr>
      <w:r>
        <w:rPr>
          <w:rFonts w:ascii="Arial" w:cs="Arial" w:eastAsia="Arial" w:hAnsi="Arial"/>
          <w:sz w:val="18"/>
          <w:szCs w:val="18"/>
          <w:color w:val="131E29"/>
        </w:rPr>
        <w:t>Surpassed 6 million registered users on our Dutch Rewards mobile app.</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Global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Inflation and Minimum Wage Increases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Similar to many of our peers in our industry, we continued to experience the effects of current commodities inflation, including in dairy, coffee, fuel, packaging, and continuing legislated minimum wage increases that took effect this year in certain states. We expect these inflationary pressures to continue to affect our operating results in the foreseeable future. While these pressures have impacted our operating results, we have taken measures over the past year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General Macroeconomic Uncertainties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As a retailer that is dependent upon consumer discretionary spending, our results of operations are sensitive to changes in macroeconomic conditions. A continued economic downturn may have a material adverse effect on our business, financial condition or results of operations. Our customers may have or in the future have less money available for discretionary purchases and may stop or reduce their purchases of our products.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On a macro level, conditions (including bank failures and other events affecting financial institutions, rising interest rates, the ongoing impact of COVID-19, and the impact of the Russia-Ukraine war) have created significant uncertainty in the global economy. While we are not able to fully predict the potential impacts of these conditions, we do not currently believe any potential impacts of these macroeconomic conditions would be material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tables provide our operating results and explanation of changes for the periods presented.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Condensed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r>
      <w:tr>
        <w:trPr>
          <w:trHeight w:val="249"/>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220,952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131E2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160,512</w:t>
            </w:r>
          </w:p>
        </w:tc>
        <w:tc>
          <w:tcPr>
            <w:tcW w:w="260" w:type="dxa"/>
            <w:vAlign w:val="bottom"/>
            <w:gridSpan w:val="2"/>
          </w:tcPr>
          <w:p>
            <w:pPr>
              <w:jc w:val="right"/>
              <w:spacing w:after="0"/>
              <w:rPr>
                <w:sz w:val="20"/>
                <w:szCs w:val="20"/>
                <w:color w:val="auto"/>
              </w:rPr>
            </w:pPr>
            <w:r>
              <w:rPr>
                <w:rFonts w:ascii="Arial" w:cs="Arial" w:eastAsia="Arial" w:hAnsi="Arial"/>
                <w:sz w:val="18"/>
                <w:szCs w:val="18"/>
                <w:color w:val="131E2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394,116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131E2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290,699</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28,927</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25,869</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53,030</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47,838</w:t>
            </w:r>
          </w:p>
        </w:tc>
      </w:tr>
      <w:tr>
        <w:trPr>
          <w:trHeight w:val="263"/>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249,879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186,381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447,146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338,537</w:t>
            </w:r>
          </w:p>
        </w:tc>
      </w:tr>
      <w:tr>
        <w:trPr>
          <w:trHeight w:val="270"/>
        </w:trPr>
        <w:tc>
          <w:tcPr>
            <w:tcW w:w="55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1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COSTS AND EXPENSES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178,636</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141,370</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330,159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262,537</w:t>
            </w: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51,662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42,342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97,638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87,556</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6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costs and expenses</w:t>
            </w:r>
          </w:p>
        </w:tc>
        <w:tc>
          <w:tcPr>
            <w:tcW w:w="2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230,298</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183,712</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D2DCE5"/>
            </w:tcBorders>
            <w:shd w:val="clear" w:color="auto" w:fill="D2DCE5"/>
          </w:tcPr>
          <w:p>
            <w:pPr>
              <w:spacing w:after="0"/>
              <w:rPr>
                <w:sz w:val="22"/>
                <w:szCs w:val="22"/>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427,797</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350,093</w:t>
            </w:r>
          </w:p>
        </w:tc>
      </w:tr>
      <w:tr>
        <w:trPr>
          <w:trHeight w:val="250"/>
        </w:trPr>
        <w:tc>
          <w:tcPr>
            <w:tcW w:w="5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(LOSS) FROM OPERATIONS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19,581</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2,669</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19,349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(11,556)</w:t>
            </w:r>
          </w:p>
        </w:tc>
      </w:tr>
      <w:tr>
        <w:trPr>
          <w:trHeight w:val="270"/>
        </w:trPr>
        <w:tc>
          <w:tcPr>
            <w:tcW w:w="5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EXPENSE</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(9,058)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(16,944)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(6,085)</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income</w:t>
            </w: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1,039</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61</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2,346</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282</w:t>
            </w:r>
          </w:p>
        </w:tc>
      </w:tr>
      <w:tr>
        <w:trPr>
          <w:trHeight w:val="264"/>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other expense</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(3,535)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(14,598)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(5,803)</w:t>
            </w:r>
          </w:p>
        </w:tc>
      </w:tr>
      <w:tr>
        <w:trPr>
          <w:trHeight w:val="270"/>
        </w:trPr>
        <w:tc>
          <w:tcPr>
            <w:tcW w:w="55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1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INCOME (LOSS) BEFORE INCOME TAXES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11,562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(866)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4,751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(17,359)</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1,851</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885</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4,431</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671</w:t>
            </w:r>
          </w:p>
        </w:tc>
      </w:tr>
      <w:tr>
        <w:trPr>
          <w:trHeight w:val="237"/>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NET INCOME (LOSS)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9,711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(18,030)</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(loss) attributable to non-controlling interests</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6,959</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(845)</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1,410</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(12,177)</w:t>
            </w:r>
          </w:p>
        </w:tc>
      </w:tr>
      <w:tr>
        <w:trPr>
          <w:trHeight w:val="26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NET INCOME (LOSS) ATTRIBUTABLE TO DUTCH BROS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2,752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(906)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(1,090)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(5,853)</w:t>
            </w: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Segment Financials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131E29"/>
              </w:rPr>
              <w:t>Three Months Ended June 30,</w:t>
            </w:r>
          </w:p>
        </w:tc>
        <w:tc>
          <w:tcPr>
            <w:tcW w:w="100" w:type="dxa"/>
            <w:vAlign w:val="bottom"/>
          </w:tcPr>
          <w:p>
            <w:pPr>
              <w:spacing w:after="0"/>
              <w:rPr>
                <w:sz w:val="22"/>
                <w:szCs w:val="22"/>
                <w:color w:val="auto"/>
              </w:rPr>
            </w:pPr>
          </w:p>
        </w:tc>
        <w:tc>
          <w:tcPr>
            <w:tcW w:w="160" w:type="dxa"/>
            <w:vAlign w:val="bottom"/>
            <w:tcBorders>
              <w:bottom w:val="single" w:sz="8" w:color="131E29"/>
            </w:tcBorders>
          </w:tcPr>
          <w:p>
            <w:pPr>
              <w:spacing w:after="0"/>
              <w:rPr>
                <w:sz w:val="22"/>
                <w:szCs w:val="22"/>
                <w:color w:val="auto"/>
              </w:rPr>
            </w:pPr>
          </w:p>
        </w:tc>
        <w:tc>
          <w:tcPr>
            <w:tcW w:w="2560" w:type="dxa"/>
            <w:vAlign w:val="bottom"/>
            <w:tcBorders>
              <w:bottom w:val="single" w:sz="8" w:color="131E29"/>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6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220,952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160,512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131E29"/>
              </w:rPr>
              <w:t>$</w:t>
            </w:r>
          </w:p>
        </w:tc>
        <w:tc>
          <w:tcPr>
            <w:tcW w:w="1140" w:type="dxa"/>
            <w:vAlign w:val="bottom"/>
          </w:tcPr>
          <w:p>
            <w:pPr>
              <w:jc w:val="right"/>
              <w:spacing w:after="0"/>
              <w:rPr>
                <w:sz w:val="20"/>
                <w:szCs w:val="20"/>
                <w:color w:val="auto"/>
              </w:rPr>
            </w:pPr>
            <w:r>
              <w:rPr>
                <w:rFonts w:ascii="Arial" w:cs="Arial" w:eastAsia="Arial" w:hAnsi="Arial"/>
                <w:sz w:val="18"/>
                <w:szCs w:val="18"/>
                <w:color w:val="131E29"/>
              </w:rPr>
              <w:t>394,116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290,699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28,927</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25,869</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53,030</w:t>
            </w:r>
          </w:p>
        </w:tc>
        <w:tc>
          <w:tcPr>
            <w:tcW w:w="12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47,838</w:t>
            </w:r>
          </w:p>
        </w:tc>
        <w:tc>
          <w:tcPr>
            <w:tcW w:w="0" w:type="dxa"/>
            <w:vAlign w:val="bottom"/>
          </w:tcPr>
          <w:p>
            <w:pPr>
              <w:spacing w:after="0"/>
              <w:rPr>
                <w:sz w:val="1"/>
                <w:szCs w:val="1"/>
                <w:color w:val="auto"/>
              </w:rPr>
            </w:pPr>
          </w:p>
        </w:tc>
      </w:tr>
      <w:tr>
        <w:trPr>
          <w:trHeight w:val="263"/>
        </w:trPr>
        <w:tc>
          <w:tcPr>
            <w:tcW w:w="570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249,879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186,381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447,146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338,537</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168,873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129,294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313,165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242,842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9,763</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12,076</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16,994</w:t>
            </w:r>
          </w:p>
        </w:tc>
        <w:tc>
          <w:tcPr>
            <w:tcW w:w="12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19,695</w:t>
            </w:r>
          </w:p>
        </w:tc>
        <w:tc>
          <w:tcPr>
            <w:tcW w:w="0" w:type="dxa"/>
            <w:vAlign w:val="bottom"/>
          </w:tcPr>
          <w:p>
            <w:pPr>
              <w:spacing w:after="0"/>
              <w:rPr>
                <w:sz w:val="1"/>
                <w:szCs w:val="1"/>
                <w:color w:val="auto"/>
              </w:rPr>
            </w:pPr>
          </w:p>
        </w:tc>
      </w:tr>
      <w:tr>
        <w:trPr>
          <w:trHeight w:val="237"/>
        </w:trPr>
        <w:tc>
          <w:tcPr>
            <w:tcW w:w="5700" w:type="dxa"/>
            <w:vAlign w:val="bottom"/>
            <w:gridSpan w:val="2"/>
          </w:tcPr>
          <w:p>
            <w:pPr>
              <w:ind w:left="360"/>
              <w:spacing w:after="0"/>
              <w:rPr>
                <w:sz w:val="20"/>
                <w:szCs w:val="20"/>
                <w:color w:val="auto"/>
              </w:rPr>
            </w:pPr>
            <w:r>
              <w:rPr>
                <w:rFonts w:ascii="Arial" w:cs="Arial" w:eastAsia="Arial" w:hAnsi="Arial"/>
                <w:sz w:val="18"/>
                <w:szCs w:val="18"/>
                <w:color w:val="131E29"/>
              </w:rPr>
              <w:t>Total cost of sales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178,636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141,370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330,159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262,537</w:t>
            </w:r>
          </w:p>
        </w:tc>
        <w:tc>
          <w:tcPr>
            <w:tcW w:w="0" w:type="dxa"/>
            <w:vAlign w:val="bottom"/>
          </w:tcPr>
          <w:p>
            <w:pPr>
              <w:spacing w:after="0"/>
              <w:rPr>
                <w:sz w:val="1"/>
                <w:szCs w:val="1"/>
                <w:color w:val="auto"/>
              </w:rPr>
            </w:pPr>
          </w:p>
        </w:tc>
      </w:tr>
      <w:tr>
        <w:trPr>
          <w:trHeight w:val="27"/>
        </w:trPr>
        <w:tc>
          <w:tcPr>
            <w:tcW w:w="5480" w:type="dxa"/>
            <w:vAlign w:val="bottom"/>
            <w:tcBorders>
              <w:bottom w:val="single" w:sz="8" w:color="D2DCE5"/>
            </w:tcBorders>
          </w:tcPr>
          <w:p>
            <w:pPr>
              <w:spacing w:after="0"/>
              <w:rPr>
                <w:sz w:val="2"/>
                <w:szCs w:val="2"/>
                <w:color w:val="auto"/>
              </w:rPr>
            </w:pPr>
          </w:p>
        </w:tc>
        <w:tc>
          <w:tcPr>
            <w:tcW w:w="22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Segment gross profit:</w:t>
            </w: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D2DCE5"/>
            </w:tcBorders>
            <w:shd w:val="clear" w:color="auto" w:fill="D2DCE5"/>
          </w:tcPr>
          <w:p>
            <w:pPr>
              <w:spacing w:after="0"/>
              <w:rPr>
                <w:sz w:val="20"/>
                <w:szCs w:val="20"/>
                <w:color w:val="auto"/>
              </w:rPr>
            </w:pPr>
          </w:p>
        </w:tc>
        <w:tc>
          <w:tcPr>
            <w:tcW w:w="1140" w:type="dxa"/>
            <w:vAlign w:val="bottom"/>
            <w:tcBorders>
              <w:bottom w:val="single" w:sz="8" w:color="D2DCE5"/>
            </w:tcBorders>
            <w:shd w:val="clear" w:color="auto" w:fill="D2DCE5"/>
          </w:tcPr>
          <w:p>
            <w:pPr>
              <w:spacing w:after="0"/>
              <w:rPr>
                <w:sz w:val="20"/>
                <w:szCs w:val="20"/>
                <w:color w:val="auto"/>
              </w:rPr>
            </w:pPr>
          </w:p>
        </w:tc>
        <w:tc>
          <w:tcPr>
            <w:tcW w:w="12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52,079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31,218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80,951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47,857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19,164</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13,793</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36,036</w:t>
            </w:r>
          </w:p>
        </w:tc>
        <w:tc>
          <w:tcPr>
            <w:tcW w:w="12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28,143</w:t>
            </w:r>
          </w:p>
        </w:tc>
        <w:tc>
          <w:tcPr>
            <w:tcW w:w="0" w:type="dxa"/>
            <w:vAlign w:val="bottom"/>
          </w:tcPr>
          <w:p>
            <w:pPr>
              <w:spacing w:after="0"/>
              <w:rPr>
                <w:sz w:val="1"/>
                <w:szCs w:val="1"/>
                <w:color w:val="auto"/>
              </w:rPr>
            </w:pPr>
          </w:p>
        </w:tc>
      </w:tr>
      <w:tr>
        <w:trPr>
          <w:trHeight w:val="270"/>
        </w:trPr>
        <w:tc>
          <w:tcPr>
            <w:tcW w:w="5700" w:type="dxa"/>
            <w:vAlign w:val="bottom"/>
            <w:gridSpan w:val="2"/>
          </w:tcPr>
          <w:p>
            <w:pPr>
              <w:ind w:left="360"/>
              <w:spacing w:after="0"/>
              <w:rPr>
                <w:sz w:val="20"/>
                <w:szCs w:val="20"/>
                <w:color w:val="auto"/>
              </w:rPr>
            </w:pPr>
            <w:r>
              <w:rPr>
                <w:rFonts w:ascii="Arial" w:cs="Arial" w:eastAsia="Arial" w:hAnsi="Arial"/>
                <w:sz w:val="18"/>
                <w:szCs w:val="18"/>
                <w:color w:val="131E29"/>
              </w:rPr>
              <w:t>Total gross profit</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71,243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45,011</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116,987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76,000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D2DCE5"/>
            </w:tcBorders>
          </w:tcPr>
          <w:p>
            <w:pPr>
              <w:spacing w:after="0" w:line="20" w:lineRule="exact"/>
              <w:rPr>
                <w:sz w:val="1"/>
                <w:szCs w:val="1"/>
                <w:color w:val="auto"/>
              </w:rPr>
            </w:pPr>
          </w:p>
        </w:tc>
        <w:tc>
          <w:tcPr>
            <w:tcW w:w="22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28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60" w:type="dxa"/>
            <w:vAlign w:val="bottom"/>
            <w:tcBorders>
              <w:bottom w:val="single" w:sz="8" w:color="D2DCE5"/>
            </w:tcBorders>
            <w:shd w:val="clear" w:color="auto" w:fill="D2DCE5"/>
          </w:tcPr>
          <w:p>
            <w:pPr>
              <w:spacing w:after="0"/>
              <w:rPr>
                <w:sz w:val="18"/>
                <w:szCs w:val="18"/>
                <w:color w:val="auto"/>
              </w:rPr>
            </w:pPr>
          </w:p>
        </w:tc>
        <w:tc>
          <w:tcPr>
            <w:tcW w:w="1140" w:type="dxa"/>
            <w:vAlign w:val="bottom"/>
            <w:tcBorders>
              <w:bottom w:val="single" w:sz="8" w:color="D2DCE5"/>
            </w:tcBorders>
            <w:shd w:val="clear" w:color="auto" w:fill="D2DCE5"/>
          </w:tcPr>
          <w:p>
            <w:pPr>
              <w:spacing w:after="0"/>
              <w:rPr>
                <w:sz w:val="18"/>
                <w:szCs w:val="18"/>
                <w:color w:val="auto"/>
              </w:rPr>
            </w:pPr>
          </w:p>
        </w:tc>
        <w:tc>
          <w:tcPr>
            <w:tcW w:w="12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14,799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8,307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27,800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15,447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1,297</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1,520</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2,658</w:t>
            </w:r>
          </w:p>
        </w:tc>
        <w:tc>
          <w:tcPr>
            <w:tcW w:w="12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2,862</w:t>
            </w:r>
          </w:p>
        </w:tc>
        <w:tc>
          <w:tcPr>
            <w:tcW w:w="0" w:type="dxa"/>
            <w:vAlign w:val="bottom"/>
          </w:tcPr>
          <w:p>
            <w:pPr>
              <w:spacing w:after="0"/>
              <w:rPr>
                <w:sz w:val="1"/>
                <w:szCs w:val="1"/>
                <w:color w:val="auto"/>
              </w:rPr>
            </w:pPr>
          </w:p>
        </w:tc>
      </w:tr>
      <w:tr>
        <w:trPr>
          <w:trHeight w:val="264"/>
        </w:trPr>
        <w:tc>
          <w:tcPr>
            <w:tcW w:w="5700" w:type="dxa"/>
            <w:vAlign w:val="bottom"/>
            <w:gridSpan w:val="2"/>
          </w:tcPr>
          <w:p>
            <w:pPr>
              <w:ind w:left="180"/>
              <w:spacing w:after="0"/>
              <w:rPr>
                <w:sz w:val="20"/>
                <w:szCs w:val="20"/>
                <w:color w:val="auto"/>
              </w:rPr>
            </w:pPr>
            <w:r>
              <w:rPr>
                <w:rFonts w:ascii="Arial" w:cs="Arial" w:eastAsia="Arial" w:hAnsi="Arial"/>
                <w:sz w:val="18"/>
                <w:szCs w:val="18"/>
                <w:color w:val="131E29"/>
              </w:rPr>
              <w:t>All other</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420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712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837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1,412</w:t>
            </w:r>
          </w:p>
        </w:tc>
        <w:tc>
          <w:tcPr>
            <w:tcW w:w="0" w:type="dxa"/>
            <w:vAlign w:val="bottom"/>
          </w:tcPr>
          <w:p>
            <w:pPr>
              <w:spacing w:after="0"/>
              <w:rPr>
                <w:sz w:val="1"/>
                <w:szCs w:val="1"/>
                <w:color w:val="auto"/>
              </w:rPr>
            </w:pPr>
          </w:p>
        </w:tc>
      </w:tr>
      <w:tr>
        <w:trPr>
          <w:trHeight w:val="290"/>
        </w:trPr>
        <w:tc>
          <w:tcPr>
            <w:tcW w:w="570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Total depreciation and amortization</w:t>
            </w:r>
          </w:p>
        </w:tc>
        <w:tc>
          <w:tcPr>
            <w:tcW w:w="28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16,516</w:t>
            </w:r>
          </w:p>
        </w:tc>
        <w:tc>
          <w:tcPr>
            <w:tcW w:w="38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10,539</w:t>
            </w:r>
          </w:p>
        </w:tc>
        <w:tc>
          <w:tcPr>
            <w:tcW w:w="260" w:type="dxa"/>
            <w:vAlign w:val="bottom"/>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31,295</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19,721</w:t>
            </w:r>
          </w:p>
        </w:tc>
        <w:tc>
          <w:tcPr>
            <w:tcW w:w="0" w:type="dxa"/>
            <w:vAlign w:val="bottom"/>
          </w:tcPr>
          <w:p>
            <w:pPr>
              <w:spacing w:after="0"/>
              <w:rPr>
                <w:sz w:val="1"/>
                <w:szCs w:val="1"/>
                <w:color w:val="auto"/>
              </w:rPr>
            </w:pPr>
          </w:p>
        </w:tc>
      </w:tr>
      <w:tr>
        <w:trPr>
          <w:trHeight w:val="20"/>
        </w:trPr>
        <w:tc>
          <w:tcPr>
            <w:tcW w:w="570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color w:val="131E29"/>
              </w:rPr>
              <w:t>Segment contribution: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66,878</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39,525</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108,751</w:t>
            </w:r>
          </w:p>
        </w:tc>
        <w:tc>
          <w:tcPr>
            <w:tcW w:w="12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63,304</w:t>
            </w:r>
          </w:p>
        </w:tc>
        <w:tc>
          <w:tcPr>
            <w:tcW w:w="0" w:type="dxa"/>
            <w:vAlign w:val="bottom"/>
          </w:tcPr>
          <w:p>
            <w:pPr>
              <w:spacing w:after="0"/>
              <w:rPr>
                <w:sz w:val="1"/>
                <w:szCs w:val="1"/>
                <w:color w:val="auto"/>
              </w:rPr>
            </w:pPr>
          </w:p>
        </w:tc>
      </w:tr>
      <w:tr>
        <w:trPr>
          <w:trHeight w:val="263"/>
        </w:trPr>
        <w:tc>
          <w:tcPr>
            <w:tcW w:w="5700" w:type="dxa"/>
            <w:vAlign w:val="bottom"/>
            <w:gridSpan w:val="2"/>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20,461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15,313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38,694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31,005</w:t>
            </w:r>
          </w:p>
        </w:tc>
        <w:tc>
          <w:tcPr>
            <w:tcW w:w="0" w:type="dxa"/>
            <w:vAlign w:val="bottom"/>
          </w:tcPr>
          <w:p>
            <w:pPr>
              <w:spacing w:after="0"/>
              <w:rPr>
                <w:sz w:val="1"/>
                <w:szCs w:val="1"/>
                <w:color w:val="auto"/>
              </w:rPr>
            </w:pPr>
          </w:p>
        </w:tc>
      </w:tr>
      <w:tr>
        <w:trPr>
          <w:trHeight w:val="290"/>
        </w:trPr>
        <w:tc>
          <w:tcPr>
            <w:tcW w:w="570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Total segment contribution</w:t>
            </w:r>
          </w:p>
        </w:tc>
        <w:tc>
          <w:tcPr>
            <w:tcW w:w="28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87,339</w:t>
            </w:r>
          </w:p>
        </w:tc>
        <w:tc>
          <w:tcPr>
            <w:tcW w:w="38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54,838</w:t>
            </w:r>
          </w:p>
        </w:tc>
        <w:tc>
          <w:tcPr>
            <w:tcW w:w="260" w:type="dxa"/>
            <w:vAlign w:val="bottom"/>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147,445</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94,309</w:t>
            </w:r>
          </w:p>
        </w:tc>
        <w:tc>
          <w:tcPr>
            <w:tcW w:w="0" w:type="dxa"/>
            <w:vAlign w:val="bottom"/>
          </w:tcPr>
          <w:p>
            <w:pPr>
              <w:spacing w:after="0"/>
              <w:rPr>
                <w:sz w:val="1"/>
                <w:szCs w:val="1"/>
                <w:color w:val="auto"/>
              </w:rPr>
            </w:pPr>
          </w:p>
        </w:tc>
      </w:tr>
      <w:tr>
        <w:trPr>
          <w:trHeight w:val="20"/>
        </w:trPr>
        <w:tc>
          <w:tcPr>
            <w:tcW w:w="5700" w:type="dxa"/>
            <w:vAlign w:val="bottom"/>
            <w:tcBorders>
              <w:top w:val="single" w:sz="8" w:color="D2DCE5"/>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(51,662)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(42,342)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(97,638)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(87,556)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(9,058)</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(3,596)</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(16,944)</w:t>
            </w:r>
          </w:p>
        </w:tc>
        <w:tc>
          <w:tcPr>
            <w:tcW w:w="12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(6,085)</w:t>
            </w:r>
          </w:p>
        </w:tc>
        <w:tc>
          <w:tcPr>
            <w:tcW w:w="0" w:type="dxa"/>
            <w:vAlign w:val="bottom"/>
          </w:tcPr>
          <w:p>
            <w:pPr>
              <w:spacing w:after="0"/>
              <w:rPr>
                <w:sz w:val="1"/>
                <w:szCs w:val="1"/>
                <w:color w:val="auto"/>
              </w:rPr>
            </w:pPr>
          </w:p>
        </w:tc>
      </w:tr>
      <w:tr>
        <w:trPr>
          <w:trHeight w:val="264"/>
        </w:trPr>
        <w:tc>
          <w:tcPr>
            <w:tcW w:w="5700" w:type="dxa"/>
            <w:vAlign w:val="bottom"/>
            <w:gridSpan w:val="2"/>
          </w:tcPr>
          <w:p>
            <w:pPr>
              <w:ind w:left="20"/>
              <w:spacing w:after="0"/>
              <w:rPr>
                <w:sz w:val="20"/>
                <w:szCs w:val="20"/>
                <w:color w:val="auto"/>
              </w:rPr>
            </w:pPr>
            <w:r>
              <w:rPr>
                <w:rFonts w:ascii="Arial" w:cs="Arial" w:eastAsia="Arial" w:hAnsi="Arial"/>
                <w:sz w:val="18"/>
                <w:szCs w:val="18"/>
                <w:color w:val="131E29"/>
              </w:rPr>
              <w:t>Other income</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1,039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61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2,346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282</w:t>
            </w:r>
          </w:p>
        </w:tc>
        <w:tc>
          <w:tcPr>
            <w:tcW w:w="0" w:type="dxa"/>
            <w:vAlign w:val="bottom"/>
          </w:tcPr>
          <w:p>
            <w:pPr>
              <w:spacing w:after="0"/>
              <w:rPr>
                <w:sz w:val="1"/>
                <w:szCs w:val="1"/>
                <w:color w:val="auto"/>
              </w:rPr>
            </w:pPr>
          </w:p>
        </w:tc>
      </w:tr>
      <w:tr>
        <w:trPr>
          <w:trHeight w:val="290"/>
        </w:trPr>
        <w:tc>
          <w:tcPr>
            <w:tcW w:w="57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Income (loss) before income taxes</w:t>
            </w:r>
          </w:p>
        </w:tc>
        <w:tc>
          <w:tcPr>
            <w:tcW w:w="28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11,562</w:t>
            </w:r>
          </w:p>
        </w:tc>
        <w:tc>
          <w:tcPr>
            <w:tcW w:w="38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(866)</w:t>
            </w:r>
          </w:p>
        </w:tc>
        <w:tc>
          <w:tcPr>
            <w:tcW w:w="260" w:type="dxa"/>
            <w:vAlign w:val="bottom"/>
            <w:gridSpan w:val="2"/>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4,751</w:t>
            </w:r>
          </w:p>
        </w:tc>
        <w:tc>
          <w:tcPr>
            <w:tcW w:w="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(17,359)</w:t>
            </w:r>
          </w:p>
        </w:tc>
        <w:tc>
          <w:tcPr>
            <w:tcW w:w="0" w:type="dxa"/>
            <w:vAlign w:val="bottom"/>
          </w:tcPr>
          <w:p>
            <w:pPr>
              <w:spacing w:after="0"/>
              <w:rPr>
                <w:sz w:val="1"/>
                <w:szCs w:val="1"/>
                <w:color w:val="auto"/>
              </w:rPr>
            </w:pPr>
          </w:p>
        </w:tc>
      </w:tr>
      <w:tr>
        <w:trPr>
          <w:trHeight w:val="20"/>
        </w:trPr>
        <w:tc>
          <w:tcPr>
            <w:tcW w:w="548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Key Performance Indicators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gridSpan w:val="10"/>
          </w:tcPr>
          <w:p>
            <w:pPr>
              <w:spacing w:after="0"/>
              <w:rPr>
                <w:sz w:val="20"/>
                <w:szCs w:val="20"/>
                <w:color w:val="auto"/>
              </w:rPr>
            </w:pPr>
            <w:r>
              <w:rPr>
                <w:rFonts w:ascii="Arial" w:cs="Arial" w:eastAsia="Arial" w:hAnsi="Arial"/>
                <w:sz w:val="18"/>
                <w:szCs w:val="18"/>
                <w:color w:val="131E29"/>
              </w:rPr>
              <w:t>The key performance indicators (KPIs) that we use to effectively manage and evaluate our business are as follows: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131E29"/>
              </w:rPr>
              <w:t>Three Months Ended June 30,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shop count data; unaudited)</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rPr>
              <w:t>2023</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rPr>
              <w:t>2022</w:t>
            </w:r>
          </w:p>
        </w:tc>
        <w:tc>
          <w:tcPr>
            <w:tcW w:w="0" w:type="dxa"/>
            <w:vAlign w:val="bottom"/>
          </w:tcPr>
          <w:p>
            <w:pPr>
              <w:spacing w:after="0"/>
              <w:rPr>
                <w:sz w:val="1"/>
                <w:szCs w:val="1"/>
                <w:color w:val="auto"/>
              </w:rPr>
            </w:pPr>
          </w:p>
        </w:tc>
      </w:tr>
      <w:tr>
        <w:trPr>
          <w:trHeight w:val="270"/>
        </w:trPr>
        <w:tc>
          <w:tcPr>
            <w:tcW w:w="5340" w:type="dxa"/>
            <w:vAlign w:val="bottom"/>
            <w:gridSpan w:val="3"/>
            <w:shd w:val="clear" w:color="auto" w:fill="D2DCE5"/>
          </w:tcPr>
          <w:p>
            <w:pPr>
              <w:ind w:left="20"/>
              <w:spacing w:after="0"/>
              <w:rPr>
                <w:sz w:val="20"/>
                <w:szCs w:val="20"/>
                <w:color w:val="auto"/>
              </w:rPr>
            </w:pPr>
            <w:r>
              <w:rPr>
                <w:rFonts w:ascii="Arial" w:cs="Arial" w:eastAsia="Arial" w:hAnsi="Arial"/>
                <w:sz w:val="18"/>
                <w:szCs w:val="18"/>
                <w:b w:val="1"/>
                <w:bCs w:val="1"/>
                <w:color w:val="131E29"/>
              </w:rPr>
              <w:t>Shop count, beginning of period</w:t>
            </w:r>
          </w:p>
        </w:tc>
        <w:tc>
          <w:tcPr>
            <w:tcW w:w="12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40" w:type="dxa"/>
            <w:vAlign w:val="bottom"/>
            <w:shd w:val="clear" w:color="auto" w:fill="D2DCE5"/>
          </w:tcPr>
          <w:p>
            <w:pPr>
              <w:spacing w:after="0"/>
              <w:rPr>
                <w:sz w:val="23"/>
                <w:szCs w:val="23"/>
                <w:color w:val="auto"/>
              </w:rPr>
            </w:pPr>
          </w:p>
        </w:tc>
        <w:tc>
          <w:tcPr>
            <w:tcW w:w="12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40" w:type="dxa"/>
            <w:vAlign w:val="bottom"/>
            <w:gridSpan w:val="3"/>
          </w:tcPr>
          <w:p>
            <w:pPr>
              <w:ind w:left="180"/>
              <w:spacing w:after="0"/>
              <w:rPr>
                <w:sz w:val="20"/>
                <w:szCs w:val="20"/>
                <w:color w:val="auto"/>
              </w:rPr>
            </w:pPr>
            <w:r>
              <w:rPr>
                <w:rFonts w:ascii="Arial" w:cs="Arial" w:eastAsia="Arial" w:hAnsi="Arial"/>
                <w:sz w:val="18"/>
                <w:szCs w:val="18"/>
                <w:color w:val="131E29"/>
              </w:rPr>
              <w:t>Company-operated</w:t>
            </w:r>
          </w:p>
        </w:tc>
        <w:tc>
          <w:tcPr>
            <w:tcW w:w="1260" w:type="dxa"/>
            <w:vAlign w:val="bottom"/>
          </w:tcPr>
          <w:p>
            <w:pPr>
              <w:jc w:val="right"/>
              <w:ind w:right="30"/>
              <w:spacing w:after="0"/>
              <w:rPr>
                <w:sz w:val="20"/>
                <w:szCs w:val="20"/>
                <w:color w:val="auto"/>
              </w:rPr>
            </w:pPr>
            <w:r>
              <w:rPr>
                <w:rFonts w:ascii="Arial" w:cs="Arial" w:eastAsia="Arial" w:hAnsi="Arial"/>
                <w:sz w:val="18"/>
                <w:szCs w:val="18"/>
                <w:color w:val="131E29"/>
              </w:rPr>
              <w:t>438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131E29"/>
              </w:rPr>
              <w:t>310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131E29"/>
              </w:rPr>
              <w:t>396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271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Franchised</w:t>
            </w:r>
          </w:p>
        </w:tc>
        <w:tc>
          <w:tcPr>
            <w:tcW w:w="180" w:type="dxa"/>
            <w:vAlign w:val="bottom"/>
            <w:tcBorders>
              <w:bottom w:val="single" w:sz="8" w:color="auto"/>
            </w:tcBorders>
            <w:shd w:val="clear" w:color="auto" w:fill="D2DCE5"/>
          </w:tcPr>
          <w:p>
            <w:pPr>
              <w:spacing w:after="0"/>
              <w:rPr>
                <w:sz w:val="22"/>
                <w:szCs w:val="22"/>
                <w:color w:val="auto"/>
              </w:rPr>
            </w:pPr>
          </w:p>
        </w:tc>
        <w:tc>
          <w:tcPr>
            <w:tcW w:w="126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278</w:t>
            </w:r>
          </w:p>
        </w:tc>
        <w:tc>
          <w:tcPr>
            <w:tcW w:w="100" w:type="dxa"/>
            <w:vAlign w:val="bottom"/>
            <w:tcBorders>
              <w:bottom w:val="single" w:sz="8" w:color="D2DCE5"/>
            </w:tcBorders>
            <w:shd w:val="clear" w:color="auto" w:fill="D2DCE5"/>
          </w:tcPr>
          <w:p>
            <w:pPr>
              <w:spacing w:after="0"/>
              <w:rPr>
                <w:sz w:val="22"/>
                <w:szCs w:val="22"/>
                <w:color w:val="auto"/>
              </w:rPr>
            </w:pPr>
          </w:p>
        </w:tc>
        <w:tc>
          <w:tcPr>
            <w:tcW w:w="320" w:type="dxa"/>
            <w:vAlign w:val="bottom"/>
            <w:tcBorders>
              <w:bottom w:val="single" w:sz="8" w:color="auto"/>
            </w:tcBorders>
            <w:shd w:val="clear" w:color="auto" w:fill="D2DCE5"/>
          </w:tcPr>
          <w:p>
            <w:pPr>
              <w:spacing w:after="0"/>
              <w:rPr>
                <w:sz w:val="22"/>
                <w:szCs w:val="22"/>
                <w:color w:val="auto"/>
              </w:rPr>
            </w:pPr>
          </w:p>
        </w:tc>
        <w:tc>
          <w:tcPr>
            <w:tcW w:w="112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rPr>
              <w:t>262</w:t>
            </w:r>
          </w:p>
        </w:tc>
        <w:tc>
          <w:tcPr>
            <w:tcW w:w="80" w:type="dxa"/>
            <w:vAlign w:val="bottom"/>
            <w:tcBorders>
              <w:bottom w:val="single" w:sz="8" w:color="D2DCE5"/>
            </w:tcBorders>
            <w:shd w:val="clear" w:color="auto" w:fill="D2DCE5"/>
          </w:tcPr>
          <w:p>
            <w:pPr>
              <w:spacing w:after="0"/>
              <w:rPr>
                <w:sz w:val="22"/>
                <w:szCs w:val="22"/>
                <w:color w:val="auto"/>
              </w:rPr>
            </w:pPr>
          </w:p>
        </w:tc>
        <w:tc>
          <w:tcPr>
            <w:tcW w:w="240" w:type="dxa"/>
            <w:vAlign w:val="bottom"/>
            <w:tcBorders>
              <w:bottom w:val="single" w:sz="8" w:color="auto"/>
            </w:tcBorders>
            <w:shd w:val="clear" w:color="auto" w:fill="D2DCE5"/>
          </w:tcPr>
          <w:p>
            <w:pPr>
              <w:spacing w:after="0"/>
              <w:rPr>
                <w:sz w:val="22"/>
                <w:szCs w:val="22"/>
                <w:color w:val="auto"/>
              </w:rPr>
            </w:pPr>
          </w:p>
        </w:tc>
        <w:tc>
          <w:tcPr>
            <w:tcW w:w="12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275</w:t>
            </w:r>
          </w:p>
        </w:tc>
        <w:tc>
          <w:tcPr>
            <w:tcW w:w="140" w:type="dxa"/>
            <w:vAlign w:val="bottom"/>
            <w:tcBorders>
              <w:bottom w:val="single" w:sz="8" w:color="D2DCE5"/>
            </w:tcBorders>
            <w:shd w:val="clear" w:color="auto" w:fill="D2DCE5"/>
          </w:tcPr>
          <w:p>
            <w:pPr>
              <w:spacing w:after="0"/>
              <w:rPr>
                <w:sz w:val="22"/>
                <w:szCs w:val="22"/>
                <w:color w:val="auto"/>
              </w:rPr>
            </w:pPr>
          </w:p>
        </w:tc>
        <w:tc>
          <w:tcPr>
            <w:tcW w:w="320" w:type="dxa"/>
            <w:vAlign w:val="bottom"/>
            <w:tcBorders>
              <w:bottom w:val="single" w:sz="8" w:color="auto"/>
            </w:tcBorders>
            <w:shd w:val="clear" w:color="auto" w:fill="D2DCE5"/>
          </w:tcPr>
          <w:p>
            <w:pPr>
              <w:spacing w:after="0"/>
              <w:rPr>
                <w:sz w:val="22"/>
                <w:szCs w:val="22"/>
                <w:color w:val="auto"/>
              </w:rPr>
            </w:pPr>
          </w:p>
        </w:tc>
        <w:tc>
          <w:tcPr>
            <w:tcW w:w="112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267</w:t>
            </w:r>
          </w:p>
        </w:tc>
        <w:tc>
          <w:tcPr>
            <w:tcW w:w="0" w:type="dxa"/>
            <w:vAlign w:val="bottom"/>
          </w:tcPr>
          <w:p>
            <w:pPr>
              <w:spacing w:after="0"/>
              <w:rPr>
                <w:sz w:val="1"/>
                <w:szCs w:val="1"/>
                <w:color w:val="auto"/>
              </w:rPr>
            </w:pPr>
          </w:p>
        </w:tc>
      </w:tr>
      <w:tr>
        <w:trPr>
          <w:trHeight w:val="270"/>
        </w:trPr>
        <w:tc>
          <w:tcPr>
            <w:tcW w:w="5340" w:type="dxa"/>
            <w:vAlign w:val="bottom"/>
            <w:gridSpan w:val="3"/>
          </w:tcPr>
          <w:p>
            <w:pPr>
              <w:ind w:left="520"/>
              <w:spacing w:after="0"/>
              <w:rPr>
                <w:sz w:val="20"/>
                <w:szCs w:val="20"/>
                <w:color w:val="auto"/>
              </w:rPr>
            </w:pPr>
            <w:r>
              <w:rPr>
                <w:rFonts w:ascii="Arial" w:cs="Arial" w:eastAsia="Arial" w:hAnsi="Arial"/>
                <w:sz w:val="18"/>
                <w:szCs w:val="18"/>
                <w:color w:val="131E29"/>
              </w:rPr>
              <w:t>Total shop count</w:t>
            </w:r>
          </w:p>
        </w:tc>
        <w:tc>
          <w:tcPr>
            <w:tcW w:w="1260" w:type="dxa"/>
            <w:vAlign w:val="bottom"/>
          </w:tcPr>
          <w:p>
            <w:pPr>
              <w:jc w:val="right"/>
              <w:ind w:right="30"/>
              <w:spacing w:after="0"/>
              <w:rPr>
                <w:sz w:val="20"/>
                <w:szCs w:val="20"/>
                <w:color w:val="auto"/>
              </w:rPr>
            </w:pPr>
            <w:r>
              <w:rPr>
                <w:rFonts w:ascii="Arial" w:cs="Arial" w:eastAsia="Arial" w:hAnsi="Arial"/>
                <w:sz w:val="18"/>
                <w:szCs w:val="18"/>
                <w:color w:val="131E29"/>
              </w:rPr>
              <w:t>716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131E29"/>
              </w:rPr>
              <w:t>572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131E29"/>
              </w:rPr>
              <w:t>671</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538</w:t>
            </w:r>
          </w:p>
        </w:tc>
        <w:tc>
          <w:tcPr>
            <w:tcW w:w="0" w:type="dxa"/>
            <w:vAlign w:val="bottom"/>
          </w:tcPr>
          <w:p>
            <w:pPr>
              <w:spacing w:after="0"/>
              <w:rPr>
                <w:sz w:val="1"/>
                <w:szCs w:val="1"/>
                <w:color w:val="auto"/>
              </w:rPr>
            </w:pPr>
          </w:p>
        </w:tc>
      </w:tr>
      <w:tr>
        <w:trPr>
          <w:trHeight w:val="20"/>
        </w:trPr>
        <w:tc>
          <w:tcPr>
            <w:tcW w:w="5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4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8"/>
                <w:szCs w:val="18"/>
                <w:color w:val="131E29"/>
              </w:rPr>
              <w:t>Company-operated new openings</w:t>
            </w:r>
          </w:p>
        </w:tc>
        <w:tc>
          <w:tcPr>
            <w:tcW w:w="126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35</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rPr>
              <w:t>26</w:t>
            </w: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77</w:t>
            </w:r>
          </w:p>
        </w:tc>
        <w:tc>
          <w:tcPr>
            <w:tcW w:w="14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60</w:t>
            </w:r>
          </w:p>
        </w:tc>
        <w:tc>
          <w:tcPr>
            <w:tcW w:w="0" w:type="dxa"/>
            <w:vAlign w:val="bottom"/>
          </w:tcPr>
          <w:p>
            <w:pPr>
              <w:spacing w:after="0"/>
              <w:rPr>
                <w:sz w:val="1"/>
                <w:szCs w:val="1"/>
                <w:color w:val="auto"/>
              </w:rPr>
            </w:pPr>
          </w:p>
        </w:tc>
      </w:tr>
      <w:tr>
        <w:trPr>
          <w:trHeight w:val="243"/>
        </w:trPr>
        <w:tc>
          <w:tcPr>
            <w:tcW w:w="5340" w:type="dxa"/>
            <w:vAlign w:val="bottom"/>
            <w:gridSpan w:val="3"/>
          </w:tcPr>
          <w:p>
            <w:pPr>
              <w:ind w:left="20"/>
              <w:spacing w:after="0"/>
              <w:rPr>
                <w:sz w:val="20"/>
                <w:szCs w:val="20"/>
                <w:color w:val="auto"/>
              </w:rPr>
            </w:pPr>
            <w:r>
              <w:rPr>
                <w:rFonts w:ascii="Arial" w:cs="Arial" w:eastAsia="Arial" w:hAnsi="Arial"/>
                <w:sz w:val="18"/>
                <w:szCs w:val="18"/>
                <w:color w:val="131E29"/>
              </w:rPr>
              <w:t>Franchised new openings</w:t>
            </w:r>
          </w:p>
        </w:tc>
        <w:tc>
          <w:tcPr>
            <w:tcW w:w="1260" w:type="dxa"/>
            <w:vAlign w:val="bottom"/>
          </w:tcPr>
          <w:p>
            <w:pPr>
              <w:jc w:val="right"/>
              <w:ind w:right="30"/>
              <w:spacing w:after="0"/>
              <w:rPr>
                <w:sz w:val="20"/>
                <w:szCs w:val="20"/>
                <w:color w:val="auto"/>
              </w:rPr>
            </w:pPr>
            <w:r>
              <w:rPr>
                <w:rFonts w:ascii="Arial" w:cs="Arial" w:eastAsia="Arial" w:hAnsi="Arial"/>
                <w:sz w:val="18"/>
                <w:szCs w:val="18"/>
                <w:color w:val="131E29"/>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131E29"/>
              </w:rPr>
              <w:t>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131E29"/>
              </w:rPr>
              <w:t>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8"/>
                <w:szCs w:val="18"/>
                <w:color w:val="131E29"/>
              </w:rPr>
              <w:t>Acquisition of franchise shops</w:t>
            </w:r>
          </w:p>
        </w:tc>
        <w:tc>
          <w:tcPr>
            <w:tcW w:w="126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w:t>
            </w:r>
          </w:p>
        </w:tc>
        <w:tc>
          <w:tcPr>
            <w:tcW w:w="14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5</w:t>
            </w:r>
          </w:p>
        </w:tc>
        <w:tc>
          <w:tcPr>
            <w:tcW w:w="0" w:type="dxa"/>
            <w:vAlign w:val="bottom"/>
          </w:tcPr>
          <w:p>
            <w:pPr>
              <w:spacing w:after="0"/>
              <w:rPr>
                <w:sz w:val="1"/>
                <w:szCs w:val="1"/>
                <w:color w:val="auto"/>
              </w:rPr>
            </w:pPr>
          </w:p>
        </w:tc>
      </w:tr>
      <w:tr>
        <w:trPr>
          <w:trHeight w:val="263"/>
        </w:trPr>
        <w:tc>
          <w:tcPr>
            <w:tcW w:w="5340" w:type="dxa"/>
            <w:vAlign w:val="bottom"/>
            <w:gridSpan w:val="3"/>
          </w:tcPr>
          <w:p>
            <w:pPr>
              <w:ind w:left="20"/>
              <w:spacing w:after="0"/>
              <w:rPr>
                <w:sz w:val="20"/>
                <w:szCs w:val="20"/>
                <w:color w:val="auto"/>
              </w:rPr>
            </w:pPr>
            <w:r>
              <w:rPr>
                <w:rFonts w:ascii="Arial" w:cs="Arial" w:eastAsia="Arial" w:hAnsi="Arial"/>
                <w:sz w:val="18"/>
                <w:szCs w:val="18"/>
                <w:b w:val="1"/>
                <w:bCs w:val="1"/>
                <w:color w:val="131E29"/>
              </w:rPr>
              <w:t>Shop count, end of period</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340" w:type="dxa"/>
            <w:vAlign w:val="bottom"/>
            <w:tcBorders>
              <w:bottom w:val="single" w:sz="8" w:color="D2DCE5"/>
            </w:tcBorders>
            <w:gridSpan w:val="3"/>
            <w:shd w:val="clear" w:color="auto" w:fill="D2DCE5"/>
          </w:tcPr>
          <w:p>
            <w:pPr>
              <w:ind w:left="180"/>
              <w:spacing w:after="0"/>
              <w:rPr>
                <w:sz w:val="20"/>
                <w:szCs w:val="20"/>
                <w:color w:val="auto"/>
              </w:rPr>
            </w:pPr>
            <w:r>
              <w:rPr>
                <w:rFonts w:ascii="Arial" w:cs="Arial" w:eastAsia="Arial" w:hAnsi="Arial"/>
                <w:sz w:val="18"/>
                <w:szCs w:val="18"/>
                <w:color w:val="131E29"/>
              </w:rPr>
              <w:t>Company-operated</w:t>
            </w:r>
          </w:p>
        </w:tc>
        <w:tc>
          <w:tcPr>
            <w:tcW w:w="126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473</w:t>
            </w:r>
          </w:p>
        </w:tc>
        <w:tc>
          <w:tcPr>
            <w:tcW w:w="100" w:type="dxa"/>
            <w:vAlign w:val="bottom"/>
            <w:tcBorders>
              <w:bottom w:val="single" w:sz="8" w:color="D2DCE5"/>
            </w:tcBorders>
            <w:shd w:val="clear" w:color="auto" w:fill="D2DCE5"/>
          </w:tcPr>
          <w:p>
            <w:pPr>
              <w:spacing w:after="0"/>
              <w:rPr>
                <w:sz w:val="22"/>
                <w:szCs w:val="22"/>
                <w:color w:val="auto"/>
              </w:rPr>
            </w:pPr>
          </w:p>
        </w:tc>
        <w:tc>
          <w:tcPr>
            <w:tcW w:w="320" w:type="dxa"/>
            <w:vAlign w:val="bottom"/>
            <w:tcBorders>
              <w:bottom w:val="single" w:sz="8" w:color="D2DCE5"/>
            </w:tcBorders>
            <w:shd w:val="clear" w:color="auto" w:fill="D2DCE5"/>
          </w:tcPr>
          <w:p>
            <w:pPr>
              <w:spacing w:after="0"/>
              <w:rPr>
                <w:sz w:val="22"/>
                <w:szCs w:val="22"/>
                <w:color w:val="auto"/>
              </w:rPr>
            </w:pPr>
          </w:p>
        </w:tc>
        <w:tc>
          <w:tcPr>
            <w:tcW w:w="112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rPr>
              <w:t>336</w:t>
            </w:r>
          </w:p>
        </w:tc>
        <w:tc>
          <w:tcPr>
            <w:tcW w:w="80" w:type="dxa"/>
            <w:vAlign w:val="bottom"/>
            <w:tcBorders>
              <w:bottom w:val="single" w:sz="8" w:color="D2DCE5"/>
            </w:tcBorders>
            <w:shd w:val="clear" w:color="auto" w:fill="D2DCE5"/>
          </w:tcPr>
          <w:p>
            <w:pPr>
              <w:spacing w:after="0"/>
              <w:rPr>
                <w:sz w:val="22"/>
                <w:szCs w:val="22"/>
                <w:color w:val="auto"/>
              </w:rPr>
            </w:pPr>
          </w:p>
        </w:tc>
        <w:tc>
          <w:tcPr>
            <w:tcW w:w="240" w:type="dxa"/>
            <w:vAlign w:val="bottom"/>
            <w:tcBorders>
              <w:bottom w:val="single" w:sz="8" w:color="D2DCE5"/>
            </w:tcBorders>
            <w:shd w:val="clear" w:color="auto" w:fill="D2DCE5"/>
          </w:tcPr>
          <w:p>
            <w:pPr>
              <w:spacing w:after="0"/>
              <w:rPr>
                <w:sz w:val="22"/>
                <w:szCs w:val="22"/>
                <w:color w:val="auto"/>
              </w:rPr>
            </w:pPr>
          </w:p>
        </w:tc>
        <w:tc>
          <w:tcPr>
            <w:tcW w:w="120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473</w:t>
            </w:r>
          </w:p>
        </w:tc>
        <w:tc>
          <w:tcPr>
            <w:tcW w:w="140" w:type="dxa"/>
            <w:vAlign w:val="bottom"/>
            <w:tcBorders>
              <w:bottom w:val="single" w:sz="8" w:color="D2DCE5"/>
            </w:tcBorders>
            <w:shd w:val="clear" w:color="auto" w:fill="D2DCE5"/>
          </w:tcPr>
          <w:p>
            <w:pPr>
              <w:spacing w:after="0"/>
              <w:rPr>
                <w:sz w:val="22"/>
                <w:szCs w:val="22"/>
                <w:color w:val="auto"/>
              </w:rPr>
            </w:pPr>
          </w:p>
        </w:tc>
        <w:tc>
          <w:tcPr>
            <w:tcW w:w="320" w:type="dxa"/>
            <w:vAlign w:val="bottom"/>
            <w:tcBorders>
              <w:bottom w:val="single" w:sz="8" w:color="D2DCE5"/>
            </w:tcBorders>
            <w:shd w:val="clear" w:color="auto" w:fill="D2DCE5"/>
          </w:tcPr>
          <w:p>
            <w:pPr>
              <w:spacing w:after="0"/>
              <w:rPr>
                <w:sz w:val="22"/>
                <w:szCs w:val="22"/>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336</w:t>
            </w:r>
          </w:p>
        </w:tc>
        <w:tc>
          <w:tcPr>
            <w:tcW w:w="0" w:type="dxa"/>
            <w:vAlign w:val="bottom"/>
          </w:tcPr>
          <w:p>
            <w:pPr>
              <w:spacing w:after="0"/>
              <w:rPr>
                <w:sz w:val="1"/>
                <w:szCs w:val="1"/>
                <w:color w:val="auto"/>
              </w:rPr>
            </w:pPr>
          </w:p>
        </w:tc>
      </w:tr>
      <w:tr>
        <w:trPr>
          <w:trHeight w:val="263"/>
        </w:trPr>
        <w:tc>
          <w:tcPr>
            <w:tcW w:w="5160" w:type="dxa"/>
            <w:vAlign w:val="bottom"/>
            <w:gridSpan w:val="2"/>
          </w:tcPr>
          <w:p>
            <w:pPr>
              <w:ind w:left="180"/>
              <w:spacing w:after="0"/>
              <w:rPr>
                <w:sz w:val="20"/>
                <w:szCs w:val="20"/>
                <w:color w:val="auto"/>
              </w:rPr>
            </w:pPr>
            <w:r>
              <w:rPr>
                <w:rFonts w:ascii="Arial" w:cs="Arial" w:eastAsia="Arial" w:hAnsi="Arial"/>
                <w:sz w:val="18"/>
                <w:szCs w:val="18"/>
                <w:color w:val="131E29"/>
              </w:rPr>
              <w:t>Franchised</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31E29"/>
              </w:rPr>
              <w:t>281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131E29"/>
              </w:rPr>
              <w:t>267</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31E29"/>
              </w:rPr>
              <w:t>281</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31E29"/>
              </w:rPr>
              <w:t>267</w:t>
            </w:r>
          </w:p>
        </w:tc>
        <w:tc>
          <w:tcPr>
            <w:tcW w:w="0" w:type="dxa"/>
            <w:vAlign w:val="bottom"/>
          </w:tcPr>
          <w:p>
            <w:pPr>
              <w:spacing w:after="0"/>
              <w:rPr>
                <w:sz w:val="1"/>
                <w:szCs w:val="1"/>
                <w:color w:val="auto"/>
              </w:rPr>
            </w:pPr>
          </w:p>
        </w:tc>
      </w:tr>
      <w:tr>
        <w:trPr>
          <w:trHeight w:val="290"/>
        </w:trPr>
        <w:tc>
          <w:tcPr>
            <w:tcW w:w="5340" w:type="dxa"/>
            <w:vAlign w:val="bottom"/>
            <w:gridSpan w:val="3"/>
            <w:shd w:val="clear" w:color="auto" w:fill="D2DCE5"/>
          </w:tcPr>
          <w:p>
            <w:pPr>
              <w:ind w:left="520"/>
              <w:spacing w:after="0"/>
              <w:rPr>
                <w:sz w:val="20"/>
                <w:szCs w:val="20"/>
                <w:color w:val="auto"/>
              </w:rPr>
            </w:pPr>
            <w:r>
              <w:rPr>
                <w:rFonts w:ascii="Arial" w:cs="Arial" w:eastAsia="Arial" w:hAnsi="Arial"/>
                <w:sz w:val="18"/>
                <w:szCs w:val="18"/>
                <w:color w:val="131E29"/>
              </w:rPr>
              <w:t>Total shop count</w:t>
            </w:r>
          </w:p>
        </w:tc>
        <w:tc>
          <w:tcPr>
            <w:tcW w:w="126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754</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131E29"/>
              </w:rPr>
              <w:t>603</w:t>
            </w:r>
          </w:p>
        </w:tc>
        <w:tc>
          <w:tcPr>
            <w:tcW w:w="8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120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754</w:t>
            </w:r>
          </w:p>
        </w:tc>
        <w:tc>
          <w:tcPr>
            <w:tcW w:w="14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603</w:t>
            </w:r>
          </w:p>
        </w:tc>
        <w:tc>
          <w:tcPr>
            <w:tcW w:w="0" w:type="dxa"/>
            <w:vAlign w:val="bottom"/>
          </w:tcPr>
          <w:p>
            <w:pPr>
              <w:spacing w:after="0"/>
              <w:rPr>
                <w:sz w:val="1"/>
                <w:szCs w:val="1"/>
                <w:color w:val="auto"/>
              </w:rPr>
            </w:pPr>
          </w:p>
        </w:tc>
      </w:tr>
      <w:tr>
        <w:trPr>
          <w:trHeight w:val="20"/>
        </w:trPr>
        <w:tc>
          <w:tcPr>
            <w:tcW w:w="5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5340" w:type="dxa"/>
            <w:vAlign w:val="bottom"/>
            <w:gridSpan w:val="3"/>
            <w:shd w:val="clear" w:color="auto" w:fill="D2DCE5"/>
          </w:tcPr>
          <w:p>
            <w:pPr>
              <w:ind w:left="20"/>
              <w:spacing w:after="0"/>
              <w:rPr>
                <w:sz w:val="20"/>
                <w:szCs w:val="20"/>
                <w:color w:val="auto"/>
              </w:rPr>
            </w:pPr>
            <w:r>
              <w:rPr>
                <w:rFonts w:ascii="Arial" w:cs="Arial" w:eastAsia="Arial" w:hAnsi="Arial"/>
                <w:sz w:val="18"/>
                <w:szCs w:val="18"/>
                <w:color w:val="131E29"/>
              </w:rPr>
              <w:t xml:space="preserve">Systemwide AUV </w:t>
            </w:r>
            <w:r>
              <w:rPr>
                <w:rFonts w:ascii="Arial" w:cs="Arial" w:eastAsia="Arial" w:hAnsi="Arial"/>
                <w:sz w:val="23"/>
                <w:szCs w:val="23"/>
                <w:color w:val="131E29"/>
                <w:vertAlign w:val="superscript"/>
              </w:rPr>
              <w:t>1</w:t>
            </w:r>
          </w:p>
        </w:tc>
        <w:tc>
          <w:tcPr>
            <w:tcW w:w="1260" w:type="dxa"/>
            <w:vAlign w:val="bottom"/>
            <w:vMerge w:val="restart"/>
            <w:shd w:val="clear" w:color="auto" w:fill="D2DCE5"/>
          </w:tcPr>
          <w:p>
            <w:pPr>
              <w:jc w:val="center"/>
              <w:ind w:left="630"/>
              <w:spacing w:after="0"/>
              <w:rPr>
                <w:sz w:val="20"/>
                <w:szCs w:val="20"/>
                <w:color w:val="auto"/>
              </w:rPr>
            </w:pPr>
            <w:r>
              <w:rPr>
                <w:rFonts w:ascii="Arial" w:cs="Arial" w:eastAsia="Arial" w:hAnsi="Arial"/>
                <w:sz w:val="18"/>
                <w:szCs w:val="18"/>
                <w:color w:val="131E29"/>
                <w:w w:val="99"/>
              </w:rPr>
              <w:t>N/A</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center"/>
              <w:ind w:left="450"/>
              <w:spacing w:after="0"/>
              <w:rPr>
                <w:sz w:val="20"/>
                <w:szCs w:val="20"/>
                <w:color w:val="auto"/>
              </w:rPr>
            </w:pPr>
            <w:r>
              <w:rPr>
                <w:rFonts w:ascii="Arial" w:cs="Arial" w:eastAsia="Arial" w:hAnsi="Arial"/>
                <w:sz w:val="18"/>
                <w:szCs w:val="18"/>
                <w:color w:val="131E29"/>
                <w:w w:val="99"/>
              </w:rPr>
              <w:t>N/A</w:t>
            </w:r>
          </w:p>
        </w:tc>
        <w:tc>
          <w:tcPr>
            <w:tcW w:w="32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120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1,928</w:t>
            </w:r>
          </w:p>
        </w:tc>
        <w:tc>
          <w:tcPr>
            <w:tcW w:w="460" w:type="dxa"/>
            <w:vAlign w:val="bottom"/>
            <w:gridSpan w:val="2"/>
            <w:vMerge w:val="restart"/>
            <w:shd w:val="clear" w:color="auto" w:fill="D2DCE5"/>
          </w:tcPr>
          <w:p>
            <w:pPr>
              <w:jc w:val="right"/>
              <w:ind w:right="200"/>
              <w:spacing w:after="0"/>
              <w:rPr>
                <w:sz w:val="20"/>
                <w:szCs w:val="20"/>
                <w:color w:val="auto"/>
              </w:rPr>
            </w:pPr>
            <w:r>
              <w:rPr>
                <w:rFonts w:ascii="Arial" w:cs="Arial" w:eastAsia="Arial" w:hAnsi="Arial"/>
                <w:sz w:val="18"/>
                <w:szCs w:val="18"/>
                <w:color w:val="131E29"/>
              </w:rPr>
              <w:t>$</w:t>
            </w: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1,900</w:t>
            </w:r>
          </w:p>
        </w:tc>
        <w:tc>
          <w:tcPr>
            <w:tcW w:w="0" w:type="dxa"/>
            <w:vAlign w:val="bottom"/>
          </w:tcPr>
          <w:p>
            <w:pPr>
              <w:spacing w:after="0"/>
              <w:rPr>
                <w:sz w:val="1"/>
                <w:szCs w:val="1"/>
                <w:color w:val="auto"/>
              </w:rPr>
            </w:pPr>
          </w:p>
        </w:tc>
      </w:tr>
      <w:tr>
        <w:trPr>
          <w:trHeight w:val="84"/>
        </w:trPr>
        <w:tc>
          <w:tcPr>
            <w:tcW w:w="5080" w:type="dxa"/>
            <w:vAlign w:val="bottom"/>
            <w:tcBorders>
              <w:bottom w:val="single" w:sz="8" w:color="D2DCE5"/>
            </w:tcBorders>
            <w:shd w:val="clear" w:color="auto" w:fill="D2DCE5"/>
          </w:tcPr>
          <w:p>
            <w:pPr>
              <w:spacing w:after="0"/>
              <w:rPr>
                <w:sz w:val="7"/>
                <w:szCs w:val="7"/>
                <w:color w:val="auto"/>
              </w:rPr>
            </w:pPr>
          </w:p>
        </w:tc>
        <w:tc>
          <w:tcPr>
            <w:tcW w:w="80" w:type="dxa"/>
            <w:vAlign w:val="bottom"/>
            <w:tcBorders>
              <w:bottom w:val="single" w:sz="8" w:color="D2DCE5"/>
            </w:tcBorders>
            <w:shd w:val="clear" w:color="auto" w:fill="D2DCE5"/>
          </w:tcPr>
          <w:p>
            <w:pPr>
              <w:spacing w:after="0"/>
              <w:rPr>
                <w:sz w:val="7"/>
                <w:szCs w:val="7"/>
                <w:color w:val="auto"/>
              </w:rPr>
            </w:pPr>
          </w:p>
        </w:tc>
        <w:tc>
          <w:tcPr>
            <w:tcW w:w="180" w:type="dxa"/>
            <w:vAlign w:val="bottom"/>
            <w:tcBorders>
              <w:bottom w:val="single" w:sz="8" w:color="D2DCE5"/>
            </w:tcBorders>
            <w:shd w:val="clear" w:color="auto" w:fill="D2DCE5"/>
          </w:tcPr>
          <w:p>
            <w:pPr>
              <w:spacing w:after="0"/>
              <w:rPr>
                <w:sz w:val="7"/>
                <w:szCs w:val="7"/>
                <w:color w:val="auto"/>
              </w:rPr>
            </w:pPr>
          </w:p>
        </w:tc>
        <w:tc>
          <w:tcPr>
            <w:tcW w:w="126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320" w:type="dxa"/>
            <w:vAlign w:val="bottom"/>
            <w:tcBorders>
              <w:bottom w:val="single" w:sz="8" w:color="D2DCE5"/>
            </w:tcBorders>
            <w:gridSpan w:val="2"/>
            <w:vMerge w:val="continue"/>
            <w:shd w:val="clear" w:color="auto" w:fill="D2DCE5"/>
          </w:tcPr>
          <w:p>
            <w:pPr>
              <w:spacing w:after="0"/>
              <w:rPr>
                <w:sz w:val="7"/>
                <w:szCs w:val="7"/>
                <w:color w:val="auto"/>
              </w:rPr>
            </w:pPr>
          </w:p>
        </w:tc>
        <w:tc>
          <w:tcPr>
            <w:tcW w:w="1200" w:type="dxa"/>
            <w:vAlign w:val="bottom"/>
            <w:tcBorders>
              <w:bottom w:val="single" w:sz="8" w:color="D2DCE5"/>
            </w:tcBorders>
            <w:vMerge w:val="continue"/>
            <w:shd w:val="clear" w:color="auto" w:fill="D2DCE5"/>
          </w:tcPr>
          <w:p>
            <w:pPr>
              <w:spacing w:after="0"/>
              <w:rPr>
                <w:sz w:val="7"/>
                <w:szCs w:val="7"/>
                <w:color w:val="auto"/>
              </w:rPr>
            </w:pPr>
          </w:p>
        </w:tc>
        <w:tc>
          <w:tcPr>
            <w:tcW w:w="460" w:type="dxa"/>
            <w:vAlign w:val="bottom"/>
            <w:tcBorders>
              <w:bottom w:val="single" w:sz="8" w:color="D2DCE5"/>
            </w:tcBorders>
            <w:gridSpan w:val="2"/>
            <w:vMerge w:val="continue"/>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5340" w:type="dxa"/>
            <w:vAlign w:val="bottom"/>
            <w:gridSpan w:val="3"/>
          </w:tcPr>
          <w:p>
            <w:pPr>
              <w:ind w:left="180"/>
              <w:spacing w:after="0"/>
              <w:rPr>
                <w:sz w:val="20"/>
                <w:szCs w:val="20"/>
                <w:color w:val="auto"/>
              </w:rPr>
            </w:pPr>
            <w:r>
              <w:rPr>
                <w:rFonts w:ascii="Arial" w:cs="Arial" w:eastAsia="Arial" w:hAnsi="Arial"/>
                <w:sz w:val="18"/>
                <w:szCs w:val="18"/>
                <w:color w:val="131E29"/>
              </w:rPr>
              <w:t xml:space="preserve">Company-operated shops AUV </w:t>
            </w:r>
            <w:r>
              <w:rPr>
                <w:rFonts w:ascii="Arial" w:cs="Arial" w:eastAsia="Arial" w:hAnsi="Arial"/>
                <w:sz w:val="23"/>
                <w:szCs w:val="23"/>
                <w:color w:val="131E29"/>
                <w:vertAlign w:val="superscript"/>
              </w:rPr>
              <w:t>1</w:t>
            </w:r>
          </w:p>
        </w:tc>
        <w:tc>
          <w:tcPr>
            <w:tcW w:w="1260" w:type="dxa"/>
            <w:vAlign w:val="bottom"/>
            <w:vMerge w:val="restart"/>
          </w:tcPr>
          <w:p>
            <w:pPr>
              <w:jc w:val="center"/>
              <w:ind w:left="630"/>
              <w:spacing w:after="0"/>
              <w:rPr>
                <w:sz w:val="20"/>
                <w:szCs w:val="20"/>
                <w:color w:val="auto"/>
              </w:rPr>
            </w:pPr>
            <w:r>
              <w:rPr>
                <w:rFonts w:ascii="Arial" w:cs="Arial" w:eastAsia="Arial" w:hAnsi="Arial"/>
                <w:sz w:val="18"/>
                <w:szCs w:val="18"/>
                <w:color w:val="131E29"/>
                <w:w w:val="99"/>
              </w:rPr>
              <w:t>N/A</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center"/>
              <w:ind w:left="450"/>
              <w:spacing w:after="0"/>
              <w:rPr>
                <w:sz w:val="20"/>
                <w:szCs w:val="20"/>
                <w:color w:val="auto"/>
              </w:rPr>
            </w:pPr>
            <w:r>
              <w:rPr>
                <w:rFonts w:ascii="Arial" w:cs="Arial" w:eastAsia="Arial" w:hAnsi="Arial"/>
                <w:sz w:val="18"/>
                <w:szCs w:val="18"/>
                <w:color w:val="131E29"/>
                <w:w w:val="99"/>
              </w:rPr>
              <w:t>N/A</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131E29"/>
              </w:rPr>
              <w:t>$</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131E29"/>
              </w:rPr>
              <w:t>1,880</w:t>
            </w: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131E2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1,862</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0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12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11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40" w:type="dxa"/>
            <w:vAlign w:val="bottom"/>
            <w:shd w:val="clear" w:color="auto" w:fill="D2DCE5"/>
          </w:tcPr>
          <w:p>
            <w:pPr>
              <w:spacing w:after="0"/>
              <w:rPr>
                <w:sz w:val="14"/>
                <w:szCs w:val="14"/>
                <w:color w:val="auto"/>
              </w:rPr>
            </w:pPr>
          </w:p>
        </w:tc>
        <w:tc>
          <w:tcPr>
            <w:tcW w:w="120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112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5340" w:type="dxa"/>
            <w:vAlign w:val="bottom"/>
            <w:gridSpan w:val="3"/>
          </w:tcPr>
          <w:p>
            <w:pPr>
              <w:ind w:left="20"/>
              <w:spacing w:after="0"/>
              <w:rPr>
                <w:sz w:val="20"/>
                <w:szCs w:val="20"/>
                <w:color w:val="auto"/>
              </w:rPr>
            </w:pPr>
            <w:r>
              <w:rPr>
                <w:rFonts w:ascii="Arial" w:cs="Arial" w:eastAsia="Arial" w:hAnsi="Arial"/>
                <w:sz w:val="18"/>
                <w:szCs w:val="18"/>
                <w:color w:val="131E29"/>
              </w:rPr>
              <w:t xml:space="preserve">Systemwide same shop sales </w:t>
            </w:r>
            <w:r>
              <w:rPr>
                <w:rFonts w:ascii="Arial" w:cs="Arial" w:eastAsia="Arial" w:hAnsi="Arial"/>
                <w:sz w:val="23"/>
                <w:szCs w:val="23"/>
                <w:color w:val="131E29"/>
                <w:vertAlign w:val="superscript"/>
              </w:rPr>
              <w:t>2, 3</w:t>
            </w:r>
          </w:p>
        </w:tc>
        <w:tc>
          <w:tcPr>
            <w:tcW w:w="1260" w:type="dxa"/>
            <w:vAlign w:val="bottom"/>
            <w:vMerge w:val="restart"/>
          </w:tcPr>
          <w:p>
            <w:pPr>
              <w:jc w:val="center"/>
              <w:ind w:left="670"/>
              <w:spacing w:after="0"/>
              <w:rPr>
                <w:sz w:val="20"/>
                <w:szCs w:val="20"/>
                <w:color w:val="auto"/>
              </w:rPr>
            </w:pPr>
            <w:r>
              <w:rPr>
                <w:rFonts w:ascii="Arial" w:cs="Arial" w:eastAsia="Arial" w:hAnsi="Arial"/>
                <w:sz w:val="18"/>
                <w:szCs w:val="18"/>
                <w:color w:val="131E29"/>
                <w:w w:val="99"/>
              </w:rPr>
              <w:t>3.8 %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center"/>
              <w:ind w:left="450"/>
              <w:spacing w:after="0"/>
              <w:rPr>
                <w:sz w:val="20"/>
                <w:szCs w:val="20"/>
                <w:color w:val="auto"/>
              </w:rPr>
            </w:pPr>
            <w:r>
              <w:rPr>
                <w:rFonts w:ascii="Arial" w:cs="Arial" w:eastAsia="Arial" w:hAnsi="Arial"/>
                <w:sz w:val="18"/>
                <w:szCs w:val="18"/>
                <w:color w:val="131E29"/>
              </w:rPr>
              <w:t>(3.3)%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131E29"/>
              </w:rPr>
              <w:t>1.1 %</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1.0 %</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8"/>
        </w:trPr>
        <w:tc>
          <w:tcPr>
            <w:tcW w:w="5340" w:type="dxa"/>
            <w:vAlign w:val="bottom"/>
            <w:gridSpan w:val="3"/>
            <w:shd w:val="clear" w:color="auto" w:fill="D2DCE5"/>
          </w:tcPr>
          <w:p>
            <w:pPr>
              <w:ind w:left="180"/>
              <w:spacing w:after="0"/>
              <w:rPr>
                <w:sz w:val="20"/>
                <w:szCs w:val="20"/>
                <w:color w:val="auto"/>
              </w:rPr>
            </w:pPr>
            <w:r>
              <w:rPr>
                <w:rFonts w:ascii="Arial" w:cs="Arial" w:eastAsia="Arial" w:hAnsi="Arial"/>
                <w:sz w:val="18"/>
                <w:szCs w:val="18"/>
                <w:color w:val="131E29"/>
              </w:rPr>
              <w:t xml:space="preserve">Company-operated same shop sales </w:t>
            </w:r>
            <w:r>
              <w:rPr>
                <w:rFonts w:ascii="Arial" w:cs="Arial" w:eastAsia="Arial" w:hAnsi="Arial"/>
                <w:sz w:val="23"/>
                <w:szCs w:val="23"/>
                <w:color w:val="131E29"/>
                <w:vertAlign w:val="superscript"/>
              </w:rPr>
              <w:t>2</w:t>
            </w:r>
          </w:p>
        </w:tc>
        <w:tc>
          <w:tcPr>
            <w:tcW w:w="1260" w:type="dxa"/>
            <w:vAlign w:val="bottom"/>
            <w:vMerge w:val="restart"/>
            <w:shd w:val="clear" w:color="auto" w:fill="D2DCE5"/>
          </w:tcPr>
          <w:p>
            <w:pPr>
              <w:jc w:val="center"/>
              <w:ind w:left="670"/>
              <w:spacing w:after="0"/>
              <w:rPr>
                <w:sz w:val="20"/>
                <w:szCs w:val="20"/>
                <w:color w:val="auto"/>
              </w:rPr>
            </w:pPr>
            <w:r>
              <w:rPr>
                <w:rFonts w:ascii="Arial" w:cs="Arial" w:eastAsia="Arial" w:hAnsi="Arial"/>
                <w:sz w:val="18"/>
                <w:szCs w:val="18"/>
                <w:color w:val="131E29"/>
                <w:w w:val="99"/>
              </w:rPr>
              <w:t>1.6 %</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center"/>
              <w:ind w:left="450"/>
              <w:spacing w:after="0"/>
              <w:rPr>
                <w:sz w:val="20"/>
                <w:szCs w:val="20"/>
                <w:color w:val="auto"/>
              </w:rPr>
            </w:pPr>
            <w:r>
              <w:rPr>
                <w:rFonts w:ascii="Arial" w:cs="Arial" w:eastAsia="Arial" w:hAnsi="Arial"/>
                <w:sz w:val="18"/>
                <w:szCs w:val="18"/>
                <w:color w:val="131E29"/>
              </w:rPr>
              <w:t>(4.3)%</w:t>
            </w:r>
          </w:p>
        </w:tc>
        <w:tc>
          <w:tcPr>
            <w:tcW w:w="8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12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(0.8)%</w:t>
            </w:r>
          </w:p>
        </w:tc>
        <w:tc>
          <w:tcPr>
            <w:tcW w:w="14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0.3 %</w:t>
            </w:r>
          </w:p>
        </w:tc>
        <w:tc>
          <w:tcPr>
            <w:tcW w:w="0" w:type="dxa"/>
            <w:vAlign w:val="bottom"/>
          </w:tcPr>
          <w:p>
            <w:pPr>
              <w:spacing w:after="0"/>
              <w:rPr>
                <w:sz w:val="1"/>
                <w:szCs w:val="1"/>
                <w:color w:val="auto"/>
              </w:rPr>
            </w:pPr>
          </w:p>
        </w:tc>
      </w:tr>
      <w:tr>
        <w:trPr>
          <w:trHeight w:val="84"/>
        </w:trPr>
        <w:tc>
          <w:tcPr>
            <w:tcW w:w="5080" w:type="dxa"/>
            <w:vAlign w:val="bottom"/>
            <w:tcBorders>
              <w:bottom w:val="single" w:sz="8" w:color="D2DCE5"/>
            </w:tcBorders>
            <w:shd w:val="clear" w:color="auto" w:fill="D2DCE5"/>
          </w:tcPr>
          <w:p>
            <w:pPr>
              <w:spacing w:after="0"/>
              <w:rPr>
                <w:sz w:val="7"/>
                <w:szCs w:val="7"/>
                <w:color w:val="auto"/>
              </w:rPr>
            </w:pPr>
          </w:p>
        </w:tc>
        <w:tc>
          <w:tcPr>
            <w:tcW w:w="80" w:type="dxa"/>
            <w:vAlign w:val="bottom"/>
            <w:tcBorders>
              <w:bottom w:val="single" w:sz="8" w:color="D2DCE5"/>
            </w:tcBorders>
            <w:shd w:val="clear" w:color="auto" w:fill="D2DCE5"/>
          </w:tcPr>
          <w:p>
            <w:pPr>
              <w:spacing w:after="0"/>
              <w:rPr>
                <w:sz w:val="7"/>
                <w:szCs w:val="7"/>
                <w:color w:val="auto"/>
              </w:rPr>
            </w:pPr>
          </w:p>
        </w:tc>
        <w:tc>
          <w:tcPr>
            <w:tcW w:w="180" w:type="dxa"/>
            <w:vAlign w:val="bottom"/>
            <w:tcBorders>
              <w:bottom w:val="single" w:sz="8" w:color="D2DCE5"/>
            </w:tcBorders>
            <w:shd w:val="clear" w:color="auto" w:fill="D2DCE5"/>
          </w:tcPr>
          <w:p>
            <w:pPr>
              <w:spacing w:after="0"/>
              <w:rPr>
                <w:sz w:val="7"/>
                <w:szCs w:val="7"/>
                <w:color w:val="auto"/>
              </w:rPr>
            </w:pPr>
          </w:p>
        </w:tc>
        <w:tc>
          <w:tcPr>
            <w:tcW w:w="126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80" w:type="dxa"/>
            <w:vAlign w:val="bottom"/>
            <w:tcBorders>
              <w:bottom w:val="single" w:sz="8" w:color="D2DCE5"/>
            </w:tcBorders>
            <w:shd w:val="clear" w:color="auto" w:fill="D2DCE5"/>
          </w:tcPr>
          <w:p>
            <w:pPr>
              <w:spacing w:after="0"/>
              <w:rPr>
                <w:sz w:val="7"/>
                <w:szCs w:val="7"/>
                <w:color w:val="auto"/>
              </w:rPr>
            </w:pPr>
          </w:p>
        </w:tc>
        <w:tc>
          <w:tcPr>
            <w:tcW w:w="240" w:type="dxa"/>
            <w:vAlign w:val="bottom"/>
            <w:tcBorders>
              <w:bottom w:val="single" w:sz="8" w:color="D2DCE5"/>
            </w:tcBorders>
            <w:shd w:val="clear" w:color="auto" w:fill="D2DCE5"/>
          </w:tcPr>
          <w:p>
            <w:pPr>
              <w:spacing w:after="0"/>
              <w:rPr>
                <w:sz w:val="7"/>
                <w:szCs w:val="7"/>
                <w:color w:val="auto"/>
              </w:rPr>
            </w:pPr>
          </w:p>
        </w:tc>
        <w:tc>
          <w:tcPr>
            <w:tcW w:w="1200" w:type="dxa"/>
            <w:vAlign w:val="bottom"/>
            <w:tcBorders>
              <w:bottom w:val="single" w:sz="8" w:color="D2DCE5"/>
            </w:tcBorders>
            <w:vMerge w:val="continue"/>
            <w:shd w:val="clear" w:color="auto" w:fill="D2DCE5"/>
          </w:tcPr>
          <w:p>
            <w:pPr>
              <w:spacing w:after="0"/>
              <w:rPr>
                <w:sz w:val="7"/>
                <w:szCs w:val="7"/>
                <w:color w:val="auto"/>
              </w:rPr>
            </w:pPr>
          </w:p>
        </w:tc>
        <w:tc>
          <w:tcPr>
            <w:tcW w:w="14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40" w:type="dxa"/>
            <w:vAlign w:val="bottom"/>
            <w:gridSpan w:val="3"/>
            <w:shd w:val="clear" w:color="auto" w:fill="D2DCE5"/>
          </w:tcPr>
          <w:p>
            <w:pPr>
              <w:ind w:left="20"/>
              <w:spacing w:after="0" w:line="189" w:lineRule="exact"/>
              <w:rPr>
                <w:sz w:val="20"/>
                <w:szCs w:val="20"/>
                <w:color w:val="auto"/>
              </w:rPr>
            </w:pPr>
            <w:r>
              <w:rPr>
                <w:rFonts w:ascii="Arial" w:cs="Arial" w:eastAsia="Arial" w:hAnsi="Arial"/>
                <w:sz w:val="17"/>
                <w:szCs w:val="17"/>
                <w:color w:val="131E29"/>
              </w:rPr>
              <w:t xml:space="preserve">Systemwide sales </w:t>
            </w:r>
            <w:r>
              <w:rPr>
                <w:rFonts w:ascii="Arial" w:cs="Arial" w:eastAsia="Arial" w:hAnsi="Arial"/>
                <w:sz w:val="21"/>
                <w:szCs w:val="21"/>
                <w:color w:val="131E29"/>
                <w:vertAlign w:val="superscript"/>
              </w:rPr>
              <w:t>3</w:t>
            </w:r>
          </w:p>
        </w:tc>
        <w:tc>
          <w:tcPr>
            <w:tcW w:w="126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375,216</w:t>
            </w:r>
          </w:p>
        </w:tc>
        <w:tc>
          <w:tcPr>
            <w:tcW w:w="420" w:type="dxa"/>
            <w:vAlign w:val="bottom"/>
            <w:gridSpan w:val="2"/>
            <w:vMerge w:val="restart"/>
            <w:shd w:val="clear" w:color="auto" w:fill="D2DCE5"/>
          </w:tcPr>
          <w:p>
            <w:pPr>
              <w:jc w:val="right"/>
              <w:ind w:right="200"/>
              <w:spacing w:after="0"/>
              <w:rPr>
                <w:sz w:val="20"/>
                <w:szCs w:val="20"/>
                <w:color w:val="auto"/>
              </w:rPr>
            </w:pPr>
            <w:r>
              <w:rPr>
                <w:rFonts w:ascii="Arial" w:cs="Arial" w:eastAsia="Arial" w:hAnsi="Arial"/>
                <w:sz w:val="18"/>
                <w:szCs w:val="18"/>
                <w:color w:val="131E29"/>
              </w:rPr>
              <w:t>$</w:t>
            </w:r>
          </w:p>
        </w:tc>
        <w:tc>
          <w:tcPr>
            <w:tcW w:w="112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rPr>
              <w:t>297,403</w:t>
            </w:r>
          </w:p>
        </w:tc>
        <w:tc>
          <w:tcPr>
            <w:tcW w:w="32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120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677,998</w:t>
            </w:r>
          </w:p>
        </w:tc>
        <w:tc>
          <w:tcPr>
            <w:tcW w:w="460" w:type="dxa"/>
            <w:vAlign w:val="bottom"/>
            <w:gridSpan w:val="2"/>
            <w:vMerge w:val="restart"/>
            <w:shd w:val="clear" w:color="auto" w:fill="D2DCE5"/>
          </w:tcPr>
          <w:p>
            <w:pPr>
              <w:jc w:val="right"/>
              <w:ind w:right="200"/>
              <w:spacing w:after="0"/>
              <w:rPr>
                <w:sz w:val="20"/>
                <w:szCs w:val="20"/>
                <w:color w:val="auto"/>
              </w:rPr>
            </w:pPr>
            <w:r>
              <w:rPr>
                <w:rFonts w:ascii="Arial" w:cs="Arial" w:eastAsia="Arial" w:hAnsi="Arial"/>
                <w:sz w:val="18"/>
                <w:szCs w:val="18"/>
                <w:color w:val="131E29"/>
              </w:rPr>
              <w:t>$</w:t>
            </w: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551,968</w:t>
            </w:r>
          </w:p>
        </w:tc>
        <w:tc>
          <w:tcPr>
            <w:tcW w:w="0" w:type="dxa"/>
            <w:vAlign w:val="bottom"/>
          </w:tcPr>
          <w:p>
            <w:pPr>
              <w:spacing w:after="0"/>
              <w:rPr>
                <w:sz w:val="1"/>
                <w:szCs w:val="1"/>
                <w:color w:val="auto"/>
              </w:rPr>
            </w:pPr>
          </w:p>
        </w:tc>
      </w:tr>
      <w:tr>
        <w:trPr>
          <w:trHeight w:val="243"/>
        </w:trPr>
        <w:tc>
          <w:tcPr>
            <w:tcW w:w="5340" w:type="dxa"/>
            <w:vAlign w:val="bottom"/>
            <w:gridSpan w:val="3"/>
            <w:shd w:val="clear" w:color="auto" w:fill="D2DCE5"/>
          </w:tcPr>
          <w:p>
            <w:pPr>
              <w:ind w:left="5180"/>
              <w:spacing w:after="0"/>
              <w:rPr>
                <w:sz w:val="20"/>
                <w:szCs w:val="20"/>
                <w:color w:val="auto"/>
              </w:rPr>
            </w:pPr>
            <w:r>
              <w:rPr>
                <w:rFonts w:ascii="Arial" w:cs="Arial" w:eastAsia="Arial" w:hAnsi="Arial"/>
                <w:sz w:val="18"/>
                <w:szCs w:val="18"/>
                <w:color w:val="131E29"/>
              </w:rPr>
              <w:t>$</w:t>
            </w:r>
          </w:p>
        </w:tc>
        <w:tc>
          <w:tcPr>
            <w:tcW w:w="1260" w:type="dxa"/>
            <w:vAlign w:val="bottom"/>
            <w:vMerge w:val="continue"/>
            <w:shd w:val="clear" w:color="auto" w:fill="D2DCE5"/>
          </w:tcPr>
          <w:p>
            <w:pPr>
              <w:spacing w:after="0"/>
              <w:rPr>
                <w:sz w:val="21"/>
                <w:szCs w:val="21"/>
                <w:color w:val="auto"/>
              </w:rPr>
            </w:pPr>
          </w:p>
        </w:tc>
        <w:tc>
          <w:tcPr>
            <w:tcW w:w="420" w:type="dxa"/>
            <w:vAlign w:val="bottom"/>
            <w:gridSpan w:val="2"/>
            <w:vMerge w:val="continue"/>
            <w:shd w:val="clear" w:color="auto" w:fill="D2DCE5"/>
          </w:tcPr>
          <w:p>
            <w:pPr>
              <w:spacing w:after="0"/>
              <w:rPr>
                <w:sz w:val="21"/>
                <w:szCs w:val="21"/>
                <w:color w:val="auto"/>
              </w:rPr>
            </w:pPr>
          </w:p>
        </w:tc>
        <w:tc>
          <w:tcPr>
            <w:tcW w:w="1120" w:type="dxa"/>
            <w:vAlign w:val="bottom"/>
            <w:vMerge w:val="continue"/>
            <w:shd w:val="clear" w:color="auto" w:fill="D2DCE5"/>
          </w:tcPr>
          <w:p>
            <w:pPr>
              <w:spacing w:after="0"/>
              <w:rPr>
                <w:sz w:val="21"/>
                <w:szCs w:val="21"/>
                <w:color w:val="auto"/>
              </w:rPr>
            </w:pPr>
          </w:p>
        </w:tc>
        <w:tc>
          <w:tcPr>
            <w:tcW w:w="320" w:type="dxa"/>
            <w:vAlign w:val="bottom"/>
            <w:gridSpan w:val="2"/>
            <w:vMerge w:val="continue"/>
            <w:shd w:val="clear" w:color="auto" w:fill="D2DCE5"/>
          </w:tcPr>
          <w:p>
            <w:pPr>
              <w:spacing w:after="0"/>
              <w:rPr>
                <w:sz w:val="21"/>
                <w:szCs w:val="21"/>
                <w:color w:val="auto"/>
              </w:rPr>
            </w:pPr>
          </w:p>
        </w:tc>
        <w:tc>
          <w:tcPr>
            <w:tcW w:w="1200" w:type="dxa"/>
            <w:vAlign w:val="bottom"/>
            <w:vMerge w:val="continue"/>
            <w:shd w:val="clear" w:color="auto" w:fill="D2DCE5"/>
          </w:tcPr>
          <w:p>
            <w:pPr>
              <w:spacing w:after="0"/>
              <w:rPr>
                <w:sz w:val="21"/>
                <w:szCs w:val="21"/>
                <w:color w:val="auto"/>
              </w:rPr>
            </w:pPr>
          </w:p>
        </w:tc>
        <w:tc>
          <w:tcPr>
            <w:tcW w:w="460" w:type="dxa"/>
            <w:vAlign w:val="bottom"/>
            <w:gridSpan w:val="2"/>
            <w:vMerge w:val="continue"/>
            <w:shd w:val="clear" w:color="auto" w:fill="D2DCE5"/>
          </w:tcPr>
          <w:p>
            <w:pPr>
              <w:spacing w:after="0"/>
              <w:rPr>
                <w:sz w:val="21"/>
                <w:szCs w:val="21"/>
                <w:color w:val="auto"/>
              </w:rPr>
            </w:pPr>
          </w:p>
        </w:tc>
        <w:tc>
          <w:tcPr>
            <w:tcW w:w="1120" w:type="dxa"/>
            <w:vAlign w:val="bottom"/>
            <w:vMerge w:val="continue"/>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328"/>
        </w:trPr>
        <w:tc>
          <w:tcPr>
            <w:tcW w:w="5340" w:type="dxa"/>
            <w:vAlign w:val="bottom"/>
            <w:gridSpan w:val="3"/>
          </w:tcPr>
          <w:p>
            <w:pPr>
              <w:ind w:left="20"/>
              <w:spacing w:after="0"/>
              <w:rPr>
                <w:sz w:val="20"/>
                <w:szCs w:val="20"/>
                <w:color w:val="auto"/>
              </w:rPr>
            </w:pPr>
            <w:r>
              <w:rPr>
                <w:rFonts w:ascii="Arial" w:cs="Arial" w:eastAsia="Arial" w:hAnsi="Arial"/>
                <w:sz w:val="18"/>
                <w:szCs w:val="18"/>
                <w:color w:val="131E29"/>
              </w:rPr>
              <w:t xml:space="preserve">Company-operated operating weeks </w:t>
            </w:r>
            <w:r>
              <w:rPr>
                <w:rFonts w:ascii="Arial" w:cs="Arial" w:eastAsia="Arial" w:hAnsi="Arial"/>
                <w:sz w:val="23"/>
                <w:szCs w:val="23"/>
                <w:color w:val="131E29"/>
                <w:vertAlign w:val="superscript"/>
              </w:rPr>
              <w:t>4</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131E29"/>
              </w:rPr>
              <w:t>5,854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131E29"/>
              </w:rPr>
              <w:t>4,148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131E29"/>
              </w:rPr>
              <w:t>11,176</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7,912</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8"/>
        </w:trPr>
        <w:tc>
          <w:tcPr>
            <w:tcW w:w="5340" w:type="dxa"/>
            <w:vAlign w:val="bottom"/>
            <w:gridSpan w:val="3"/>
            <w:shd w:val="clear" w:color="auto" w:fill="D2DCE5"/>
          </w:tcPr>
          <w:p>
            <w:pPr>
              <w:ind w:left="20"/>
              <w:spacing w:after="0"/>
              <w:rPr>
                <w:sz w:val="20"/>
                <w:szCs w:val="20"/>
                <w:color w:val="auto"/>
              </w:rPr>
            </w:pPr>
            <w:r>
              <w:rPr>
                <w:rFonts w:ascii="Arial" w:cs="Arial" w:eastAsia="Arial" w:hAnsi="Arial"/>
                <w:sz w:val="18"/>
                <w:szCs w:val="18"/>
                <w:color w:val="131E29"/>
              </w:rPr>
              <w:t xml:space="preserve">Franchising and other operating weeks </w:t>
            </w:r>
            <w:r>
              <w:rPr>
                <w:rFonts w:ascii="Arial" w:cs="Arial" w:eastAsia="Arial" w:hAnsi="Arial"/>
                <w:sz w:val="23"/>
                <w:szCs w:val="23"/>
                <w:color w:val="131E29"/>
                <w:vertAlign w:val="superscript"/>
              </w:rPr>
              <w:t>4</w:t>
            </w:r>
          </w:p>
        </w:tc>
        <w:tc>
          <w:tcPr>
            <w:tcW w:w="126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3,632</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rPr>
              <w:t>3,415</w:t>
            </w:r>
          </w:p>
        </w:tc>
        <w:tc>
          <w:tcPr>
            <w:tcW w:w="8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120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7,178</w:t>
            </w:r>
          </w:p>
        </w:tc>
        <w:tc>
          <w:tcPr>
            <w:tcW w:w="14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6,778</w:t>
            </w:r>
          </w:p>
        </w:tc>
        <w:tc>
          <w:tcPr>
            <w:tcW w:w="0" w:type="dxa"/>
            <w:vAlign w:val="bottom"/>
          </w:tcPr>
          <w:p>
            <w:pPr>
              <w:spacing w:after="0"/>
              <w:rPr>
                <w:sz w:val="1"/>
                <w:szCs w:val="1"/>
                <w:color w:val="auto"/>
              </w:rPr>
            </w:pPr>
          </w:p>
        </w:tc>
      </w:tr>
      <w:tr>
        <w:trPr>
          <w:trHeight w:val="84"/>
        </w:trPr>
        <w:tc>
          <w:tcPr>
            <w:tcW w:w="5080" w:type="dxa"/>
            <w:vAlign w:val="bottom"/>
            <w:tcBorders>
              <w:bottom w:val="single" w:sz="8" w:color="D2DCE5"/>
            </w:tcBorders>
            <w:shd w:val="clear" w:color="auto" w:fill="D2DCE5"/>
          </w:tcPr>
          <w:p>
            <w:pPr>
              <w:spacing w:after="0"/>
              <w:rPr>
                <w:sz w:val="7"/>
                <w:szCs w:val="7"/>
                <w:color w:val="auto"/>
              </w:rPr>
            </w:pPr>
          </w:p>
        </w:tc>
        <w:tc>
          <w:tcPr>
            <w:tcW w:w="80" w:type="dxa"/>
            <w:vAlign w:val="bottom"/>
            <w:tcBorders>
              <w:bottom w:val="single" w:sz="8" w:color="D2DCE5"/>
            </w:tcBorders>
            <w:shd w:val="clear" w:color="auto" w:fill="D2DCE5"/>
          </w:tcPr>
          <w:p>
            <w:pPr>
              <w:spacing w:after="0"/>
              <w:rPr>
                <w:sz w:val="7"/>
                <w:szCs w:val="7"/>
                <w:color w:val="auto"/>
              </w:rPr>
            </w:pPr>
          </w:p>
        </w:tc>
        <w:tc>
          <w:tcPr>
            <w:tcW w:w="180" w:type="dxa"/>
            <w:vAlign w:val="bottom"/>
            <w:tcBorders>
              <w:bottom w:val="single" w:sz="8" w:color="D2DCE5"/>
            </w:tcBorders>
            <w:shd w:val="clear" w:color="auto" w:fill="D2DCE5"/>
          </w:tcPr>
          <w:p>
            <w:pPr>
              <w:spacing w:after="0"/>
              <w:rPr>
                <w:sz w:val="7"/>
                <w:szCs w:val="7"/>
                <w:color w:val="auto"/>
              </w:rPr>
            </w:pPr>
          </w:p>
        </w:tc>
        <w:tc>
          <w:tcPr>
            <w:tcW w:w="126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80" w:type="dxa"/>
            <w:vAlign w:val="bottom"/>
            <w:tcBorders>
              <w:bottom w:val="single" w:sz="8" w:color="D2DCE5"/>
            </w:tcBorders>
            <w:shd w:val="clear" w:color="auto" w:fill="D2DCE5"/>
          </w:tcPr>
          <w:p>
            <w:pPr>
              <w:spacing w:after="0"/>
              <w:rPr>
                <w:sz w:val="7"/>
                <w:szCs w:val="7"/>
                <w:color w:val="auto"/>
              </w:rPr>
            </w:pPr>
          </w:p>
        </w:tc>
        <w:tc>
          <w:tcPr>
            <w:tcW w:w="240" w:type="dxa"/>
            <w:vAlign w:val="bottom"/>
            <w:tcBorders>
              <w:bottom w:val="single" w:sz="8" w:color="D2DCE5"/>
            </w:tcBorders>
            <w:shd w:val="clear" w:color="auto" w:fill="D2DCE5"/>
          </w:tcPr>
          <w:p>
            <w:pPr>
              <w:spacing w:after="0"/>
              <w:rPr>
                <w:sz w:val="7"/>
                <w:szCs w:val="7"/>
                <w:color w:val="auto"/>
              </w:rPr>
            </w:pPr>
          </w:p>
        </w:tc>
        <w:tc>
          <w:tcPr>
            <w:tcW w:w="1200" w:type="dxa"/>
            <w:vAlign w:val="bottom"/>
            <w:tcBorders>
              <w:bottom w:val="single" w:sz="8" w:color="D2DCE5"/>
            </w:tcBorders>
            <w:vMerge w:val="continue"/>
            <w:shd w:val="clear" w:color="auto" w:fill="D2DCE5"/>
          </w:tcPr>
          <w:p>
            <w:pPr>
              <w:spacing w:after="0"/>
              <w:rPr>
                <w:sz w:val="7"/>
                <w:szCs w:val="7"/>
                <w:color w:val="auto"/>
              </w:rPr>
            </w:pPr>
          </w:p>
        </w:tc>
        <w:tc>
          <w:tcPr>
            <w:tcW w:w="14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5340" w:type="dxa"/>
            <w:vAlign w:val="bottom"/>
            <w:gridSpan w:val="3"/>
            <w:shd w:val="clear" w:color="auto" w:fill="D2DCE5"/>
          </w:tcPr>
          <w:p>
            <w:pPr>
              <w:ind w:left="20"/>
              <w:spacing w:after="0"/>
              <w:rPr>
                <w:sz w:val="20"/>
                <w:szCs w:val="20"/>
                <w:color w:val="auto"/>
              </w:rPr>
            </w:pPr>
            <w:r>
              <w:rPr>
                <w:rFonts w:ascii="Arial" w:cs="Arial" w:eastAsia="Arial" w:hAnsi="Arial"/>
                <w:sz w:val="18"/>
                <w:szCs w:val="18"/>
                <w:color w:val="131E29"/>
              </w:rPr>
              <w:t xml:space="preserve">Dutch Rewards member registrations </w:t>
            </w:r>
            <w:r>
              <w:rPr>
                <w:rFonts w:ascii="Arial" w:cs="Arial" w:eastAsia="Arial" w:hAnsi="Arial"/>
                <w:sz w:val="23"/>
                <w:szCs w:val="23"/>
                <w:color w:val="131E29"/>
                <w:vertAlign w:val="superscript"/>
              </w:rPr>
              <w:t>5</w:t>
            </w:r>
          </w:p>
        </w:tc>
        <w:tc>
          <w:tcPr>
            <w:tcW w:w="126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573</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rPr>
              <w:t>496</w:t>
            </w:r>
          </w:p>
        </w:tc>
        <w:tc>
          <w:tcPr>
            <w:tcW w:w="8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120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1,067</w:t>
            </w:r>
          </w:p>
        </w:tc>
        <w:tc>
          <w:tcPr>
            <w:tcW w:w="14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985</w:t>
            </w:r>
          </w:p>
        </w:tc>
        <w:tc>
          <w:tcPr>
            <w:tcW w:w="0" w:type="dxa"/>
            <w:vAlign w:val="bottom"/>
          </w:tcPr>
          <w:p>
            <w:pPr>
              <w:spacing w:after="0"/>
              <w:rPr>
                <w:sz w:val="1"/>
                <w:szCs w:val="1"/>
                <w:color w:val="auto"/>
              </w:rPr>
            </w:pPr>
          </w:p>
        </w:tc>
      </w:tr>
      <w:tr>
        <w:trPr>
          <w:trHeight w:val="77"/>
        </w:trPr>
        <w:tc>
          <w:tcPr>
            <w:tcW w:w="5080" w:type="dxa"/>
            <w:vAlign w:val="bottom"/>
            <w:shd w:val="clear" w:color="auto" w:fill="D2DCE5"/>
          </w:tcPr>
          <w:p>
            <w:pPr>
              <w:spacing w:after="0"/>
              <w:rPr>
                <w:sz w:val="6"/>
                <w:szCs w:val="6"/>
                <w:color w:val="auto"/>
              </w:rPr>
            </w:pPr>
          </w:p>
        </w:tc>
        <w:tc>
          <w:tcPr>
            <w:tcW w:w="80" w:type="dxa"/>
            <w:vAlign w:val="bottom"/>
            <w:shd w:val="clear" w:color="auto" w:fill="D2DCE5"/>
          </w:tcPr>
          <w:p>
            <w:pPr>
              <w:spacing w:after="0"/>
              <w:rPr>
                <w:sz w:val="6"/>
                <w:szCs w:val="6"/>
                <w:color w:val="auto"/>
              </w:rPr>
            </w:pPr>
          </w:p>
        </w:tc>
        <w:tc>
          <w:tcPr>
            <w:tcW w:w="180" w:type="dxa"/>
            <w:vAlign w:val="bottom"/>
            <w:shd w:val="clear" w:color="auto" w:fill="D2DCE5"/>
          </w:tcPr>
          <w:p>
            <w:pPr>
              <w:spacing w:after="0"/>
              <w:rPr>
                <w:sz w:val="6"/>
                <w:szCs w:val="6"/>
                <w:color w:val="auto"/>
              </w:rPr>
            </w:pPr>
          </w:p>
        </w:tc>
        <w:tc>
          <w:tcPr>
            <w:tcW w:w="1260" w:type="dxa"/>
            <w:vAlign w:val="bottom"/>
            <w:vMerge w:val="continue"/>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320" w:type="dxa"/>
            <w:vAlign w:val="bottom"/>
            <w:shd w:val="clear" w:color="auto" w:fill="D2DCE5"/>
          </w:tcPr>
          <w:p>
            <w:pPr>
              <w:spacing w:after="0"/>
              <w:rPr>
                <w:sz w:val="6"/>
                <w:szCs w:val="6"/>
                <w:color w:val="auto"/>
              </w:rPr>
            </w:pPr>
          </w:p>
        </w:tc>
        <w:tc>
          <w:tcPr>
            <w:tcW w:w="1120" w:type="dxa"/>
            <w:vAlign w:val="bottom"/>
            <w:vMerge w:val="continue"/>
            <w:shd w:val="clear" w:color="auto" w:fill="D2DCE5"/>
          </w:tcPr>
          <w:p>
            <w:pPr>
              <w:spacing w:after="0"/>
              <w:rPr>
                <w:sz w:val="6"/>
                <w:szCs w:val="6"/>
                <w:color w:val="auto"/>
              </w:rPr>
            </w:pPr>
          </w:p>
        </w:tc>
        <w:tc>
          <w:tcPr>
            <w:tcW w:w="80" w:type="dxa"/>
            <w:vAlign w:val="bottom"/>
            <w:shd w:val="clear" w:color="auto" w:fill="D2DCE5"/>
          </w:tcPr>
          <w:p>
            <w:pPr>
              <w:spacing w:after="0"/>
              <w:rPr>
                <w:sz w:val="6"/>
                <w:szCs w:val="6"/>
                <w:color w:val="auto"/>
              </w:rPr>
            </w:pPr>
          </w:p>
        </w:tc>
        <w:tc>
          <w:tcPr>
            <w:tcW w:w="240" w:type="dxa"/>
            <w:vAlign w:val="bottom"/>
            <w:shd w:val="clear" w:color="auto" w:fill="D2DCE5"/>
          </w:tcPr>
          <w:p>
            <w:pPr>
              <w:spacing w:after="0"/>
              <w:rPr>
                <w:sz w:val="6"/>
                <w:szCs w:val="6"/>
                <w:color w:val="auto"/>
              </w:rPr>
            </w:pPr>
          </w:p>
        </w:tc>
        <w:tc>
          <w:tcPr>
            <w:tcW w:w="1200" w:type="dxa"/>
            <w:vAlign w:val="bottom"/>
            <w:vMerge w:val="continue"/>
            <w:shd w:val="clear" w:color="auto" w:fill="D2DCE5"/>
          </w:tcPr>
          <w:p>
            <w:pPr>
              <w:spacing w:after="0"/>
              <w:rPr>
                <w:sz w:val="6"/>
                <w:szCs w:val="6"/>
                <w:color w:val="auto"/>
              </w:rPr>
            </w:pPr>
          </w:p>
        </w:tc>
        <w:tc>
          <w:tcPr>
            <w:tcW w:w="140" w:type="dxa"/>
            <w:vAlign w:val="bottom"/>
            <w:shd w:val="clear" w:color="auto" w:fill="D2DCE5"/>
          </w:tcPr>
          <w:p>
            <w:pPr>
              <w:spacing w:after="0"/>
              <w:rPr>
                <w:sz w:val="6"/>
                <w:szCs w:val="6"/>
                <w:color w:val="auto"/>
              </w:rPr>
            </w:pPr>
          </w:p>
        </w:tc>
        <w:tc>
          <w:tcPr>
            <w:tcW w:w="320" w:type="dxa"/>
            <w:vAlign w:val="bottom"/>
            <w:shd w:val="clear" w:color="auto" w:fill="D2DCE5"/>
          </w:tcPr>
          <w:p>
            <w:pPr>
              <w:spacing w:after="0"/>
              <w:rPr>
                <w:sz w:val="6"/>
                <w:szCs w:val="6"/>
                <w:color w:val="auto"/>
              </w:rPr>
            </w:pPr>
          </w:p>
        </w:tc>
        <w:tc>
          <w:tcPr>
            <w:tcW w:w="1120" w:type="dxa"/>
            <w:vAlign w:val="bottom"/>
            <w:vMerge w:val="continue"/>
            <w:shd w:val="clear" w:color="auto" w:fill="D2DCE5"/>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180" w:type="dxa"/>
            <w:vAlign w:val="bottom"/>
            <w:shd w:val="clear" w:color="auto" w:fill="D2DCE5"/>
          </w:tcPr>
          <w:p>
            <w:pPr>
              <w:spacing w:after="0"/>
              <w:rPr>
                <w:sz w:val="2"/>
                <w:szCs w:val="2"/>
                <w:color w:val="auto"/>
              </w:rPr>
            </w:pPr>
          </w:p>
        </w:tc>
        <w:tc>
          <w:tcPr>
            <w:tcW w:w="12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320" w:type="dxa"/>
            <w:vAlign w:val="bottom"/>
            <w:shd w:val="clear" w:color="auto" w:fill="D2DCE5"/>
          </w:tcPr>
          <w:p>
            <w:pPr>
              <w:spacing w:after="0"/>
              <w:rPr>
                <w:sz w:val="2"/>
                <w:szCs w:val="2"/>
                <w:color w:val="auto"/>
              </w:rPr>
            </w:pPr>
          </w:p>
        </w:tc>
        <w:tc>
          <w:tcPr>
            <w:tcW w:w="112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240" w:type="dxa"/>
            <w:vAlign w:val="bottom"/>
            <w:shd w:val="clear" w:color="auto" w:fill="D2DCE5"/>
          </w:tcPr>
          <w:p>
            <w:pPr>
              <w:spacing w:after="0"/>
              <w:rPr>
                <w:sz w:val="2"/>
                <w:szCs w:val="2"/>
                <w:color w:val="auto"/>
              </w:rPr>
            </w:pPr>
          </w:p>
        </w:tc>
        <w:tc>
          <w:tcPr>
            <w:tcW w:w="1200" w:type="dxa"/>
            <w:vAlign w:val="bottom"/>
            <w:shd w:val="clear" w:color="auto" w:fill="D2DCE5"/>
          </w:tcPr>
          <w:p>
            <w:pPr>
              <w:spacing w:after="0"/>
              <w:rPr>
                <w:sz w:val="2"/>
                <w:szCs w:val="2"/>
                <w:color w:val="auto"/>
              </w:rPr>
            </w:pPr>
          </w:p>
        </w:tc>
        <w:tc>
          <w:tcPr>
            <w:tcW w:w="140" w:type="dxa"/>
            <w:vAlign w:val="bottom"/>
            <w:shd w:val="clear" w:color="auto" w:fill="D2DCE5"/>
          </w:tcPr>
          <w:p>
            <w:pPr>
              <w:spacing w:after="0"/>
              <w:rPr>
                <w:sz w:val="2"/>
                <w:szCs w:val="2"/>
                <w:color w:val="auto"/>
              </w:rPr>
            </w:pPr>
          </w:p>
        </w:tc>
        <w:tc>
          <w:tcPr>
            <w:tcW w:w="320" w:type="dxa"/>
            <w:vAlign w:val="bottom"/>
            <w:shd w:val="clear" w:color="auto" w:fill="D2DCE5"/>
          </w:tcPr>
          <w:p>
            <w:pPr>
              <w:spacing w:after="0"/>
              <w:rPr>
                <w:sz w:val="2"/>
                <w:szCs w:val="2"/>
                <w:color w:val="auto"/>
              </w:rPr>
            </w:pPr>
          </w:p>
        </w:tc>
        <w:tc>
          <w:tcPr>
            <w:tcW w:w="112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b w:val="1"/>
                <w:bCs w:val="1"/>
                <w:color w:val="131E29"/>
              </w:rPr>
              <w:t>Three Months Ended June 30,</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b w:val="1"/>
                <w:bCs w:val="1"/>
                <w:color w:val="131E29"/>
              </w:rPr>
              <w:t>Six Months Ended June 30,</w:t>
            </w: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131E29"/>
              </w:rPr>
              <w:t>2023</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131E29"/>
              </w:rPr>
              <w:t>2022</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131E29"/>
              </w:rPr>
              <w:t>2023</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131E29"/>
              </w:rPr>
              <w:t>2022</w:t>
            </w: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20" w:type="dxa"/>
            <w:vAlign w:val="bottom"/>
            <w:tcBorders>
              <w:bottom w:val="single" w:sz="8" w:color="D2DCE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131E29"/>
              </w:rPr>
              <w:t>%</w:t>
            </w:r>
          </w:p>
        </w:tc>
        <w:tc>
          <w:tcPr>
            <w:tcW w:w="120" w:type="dxa"/>
            <w:vAlign w:val="bottom"/>
            <w:tcBorders>
              <w:bottom w:val="single" w:sz="8" w:color="D2DCE5"/>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20" w:type="dxa"/>
            <w:vAlign w:val="bottom"/>
            <w:tcBorders>
              <w:bottom w:val="single" w:sz="8" w:color="D2DCE5"/>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Company-operated shop revenues</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220,952</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10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160,512</w:t>
            </w:r>
          </w:p>
        </w:tc>
        <w:tc>
          <w:tcPr>
            <w:tcW w:w="12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7"/>
              </w:rPr>
              <w:t>100.0</w:t>
            </w:r>
          </w:p>
        </w:tc>
        <w:tc>
          <w:tcPr>
            <w:tcW w:w="10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394,116</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10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290,699</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0" w:type="dxa"/>
            <w:vAlign w:val="bottom"/>
          </w:tcPr>
          <w:p>
            <w:pPr>
              <w:spacing w:after="0"/>
              <w:rPr>
                <w:sz w:val="1"/>
                <w:szCs w:val="1"/>
                <w:color w:val="auto"/>
              </w:rPr>
            </w:pPr>
          </w:p>
        </w:tc>
      </w:tr>
      <w:tr>
        <w:trPr>
          <w:trHeight w:val="243"/>
        </w:trPr>
        <w:tc>
          <w:tcPr>
            <w:tcW w:w="3840" w:type="dxa"/>
            <w:vAlign w:val="bottom"/>
            <w:gridSpan w:val="2"/>
          </w:tcPr>
          <w:p>
            <w:pPr>
              <w:ind w:left="20"/>
              <w:spacing w:after="0"/>
              <w:rPr>
                <w:sz w:val="20"/>
                <w:szCs w:val="20"/>
                <w:color w:val="auto"/>
              </w:rPr>
            </w:pPr>
            <w:r>
              <w:rPr>
                <w:rFonts w:ascii="Arial" w:cs="Arial" w:eastAsia="Arial" w:hAnsi="Arial"/>
                <w:sz w:val="16"/>
                <w:szCs w:val="16"/>
                <w:color w:val="131E29"/>
              </w:rPr>
              <w:t>Company-operated shop gross profit</w:t>
            </w:r>
          </w:p>
        </w:tc>
        <w:tc>
          <w:tcPr>
            <w:tcW w:w="960" w:type="dxa"/>
            <w:vAlign w:val="bottom"/>
          </w:tcPr>
          <w:p>
            <w:pPr>
              <w:jc w:val="right"/>
              <w:spacing w:after="0"/>
              <w:rPr>
                <w:sz w:val="20"/>
                <w:szCs w:val="20"/>
                <w:color w:val="auto"/>
              </w:rPr>
            </w:pPr>
            <w:r>
              <w:rPr>
                <w:rFonts w:ascii="Arial" w:cs="Arial" w:eastAsia="Arial" w:hAnsi="Arial"/>
                <w:sz w:val="18"/>
                <w:szCs w:val="18"/>
                <w:color w:val="131E29"/>
              </w:rPr>
              <w:t>52,079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23.6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31,218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131E29"/>
              </w:rPr>
              <w:t>19.4</w:t>
            </w:r>
          </w:p>
        </w:tc>
        <w:tc>
          <w:tcPr>
            <w:tcW w:w="1060" w:type="dxa"/>
            <w:vAlign w:val="bottom"/>
            <w:gridSpan w:val="2"/>
          </w:tcPr>
          <w:p>
            <w:pPr>
              <w:jc w:val="right"/>
              <w:spacing w:after="0"/>
              <w:rPr>
                <w:sz w:val="20"/>
                <w:szCs w:val="20"/>
                <w:color w:val="auto"/>
              </w:rPr>
            </w:pPr>
            <w:r>
              <w:rPr>
                <w:rFonts w:ascii="Arial" w:cs="Arial" w:eastAsia="Arial" w:hAnsi="Arial"/>
                <w:sz w:val="18"/>
                <w:szCs w:val="18"/>
                <w:color w:val="131E29"/>
              </w:rPr>
              <w:t>80,951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20.5</w:t>
            </w:r>
          </w:p>
        </w:tc>
        <w:tc>
          <w:tcPr>
            <w:tcW w:w="1060" w:type="dxa"/>
            <w:vAlign w:val="bottom"/>
            <w:gridSpan w:val="2"/>
          </w:tcPr>
          <w:p>
            <w:pPr>
              <w:jc w:val="right"/>
              <w:spacing w:after="0"/>
              <w:rPr>
                <w:sz w:val="20"/>
                <w:szCs w:val="20"/>
                <w:color w:val="auto"/>
              </w:rPr>
            </w:pPr>
            <w:r>
              <w:rPr>
                <w:rFonts w:ascii="Arial" w:cs="Arial" w:eastAsia="Arial" w:hAnsi="Arial"/>
                <w:sz w:val="18"/>
                <w:szCs w:val="18"/>
                <w:color w:val="131E29"/>
              </w:rPr>
              <w:t>47,857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16.5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38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 xml:space="preserve">Company-operated shop contribution </w:t>
            </w:r>
            <w:r>
              <w:rPr>
                <w:rFonts w:ascii="Arial" w:cs="Arial" w:eastAsia="Arial" w:hAnsi="Arial"/>
                <w:sz w:val="21"/>
                <w:szCs w:val="21"/>
                <w:color w:val="131E29"/>
                <w:vertAlign w:val="superscript"/>
              </w:rPr>
              <w:t>6</w:t>
            </w: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66,878</w:t>
            </w:r>
          </w:p>
        </w:tc>
        <w:tc>
          <w:tcPr>
            <w:tcW w:w="100" w:type="dxa"/>
            <w:vAlign w:val="bottom"/>
            <w:shd w:val="clear" w:color="auto" w:fill="D2DCE5"/>
          </w:tcPr>
          <w:p>
            <w:pPr>
              <w:spacing w:after="0"/>
              <w:rPr>
                <w:sz w:val="24"/>
                <w:szCs w:val="24"/>
                <w:color w:val="auto"/>
              </w:rPr>
            </w:pPr>
          </w:p>
        </w:tc>
        <w:tc>
          <w:tcPr>
            <w:tcW w:w="120" w:type="dxa"/>
            <w:vAlign w:val="bottom"/>
            <w:shd w:val="clear" w:color="auto" w:fill="D2DCE5"/>
          </w:tcPr>
          <w:p>
            <w:pPr>
              <w:spacing w:after="0"/>
              <w:rPr>
                <w:sz w:val="24"/>
                <w:szCs w:val="24"/>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30.3</w:t>
            </w:r>
          </w:p>
        </w:tc>
        <w:tc>
          <w:tcPr>
            <w:tcW w:w="104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39,525</w:t>
            </w:r>
          </w:p>
        </w:tc>
        <w:tc>
          <w:tcPr>
            <w:tcW w:w="120" w:type="dxa"/>
            <w:vAlign w:val="bottom"/>
            <w:shd w:val="clear" w:color="auto" w:fill="D2DCE5"/>
          </w:tcPr>
          <w:p>
            <w:pPr>
              <w:spacing w:after="0"/>
              <w:rPr>
                <w:sz w:val="24"/>
                <w:szCs w:val="24"/>
                <w:color w:val="auto"/>
              </w:rPr>
            </w:pPr>
          </w:p>
        </w:tc>
        <w:tc>
          <w:tcPr>
            <w:tcW w:w="180" w:type="dxa"/>
            <w:vAlign w:val="bottom"/>
            <w:shd w:val="clear" w:color="auto" w:fill="D2DCE5"/>
          </w:tcPr>
          <w:p>
            <w:pPr>
              <w:spacing w:after="0"/>
              <w:rPr>
                <w:sz w:val="24"/>
                <w:szCs w:val="24"/>
                <w:color w:val="auto"/>
              </w:rPr>
            </w:pPr>
          </w:p>
        </w:tc>
        <w:tc>
          <w:tcPr>
            <w:tcW w:w="5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24.6</w:t>
            </w:r>
          </w:p>
        </w:tc>
        <w:tc>
          <w:tcPr>
            <w:tcW w:w="106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108,751</w:t>
            </w:r>
          </w:p>
        </w:tc>
        <w:tc>
          <w:tcPr>
            <w:tcW w:w="100" w:type="dxa"/>
            <w:vAlign w:val="bottom"/>
            <w:shd w:val="clear" w:color="auto" w:fill="D2DCE5"/>
          </w:tcPr>
          <w:p>
            <w:pPr>
              <w:spacing w:after="0"/>
              <w:rPr>
                <w:sz w:val="24"/>
                <w:szCs w:val="24"/>
                <w:color w:val="auto"/>
              </w:rPr>
            </w:pPr>
          </w:p>
        </w:tc>
        <w:tc>
          <w:tcPr>
            <w:tcW w:w="120" w:type="dxa"/>
            <w:vAlign w:val="bottom"/>
            <w:shd w:val="clear" w:color="auto" w:fill="D2DCE5"/>
          </w:tcPr>
          <w:p>
            <w:pPr>
              <w:spacing w:after="0"/>
              <w:rPr>
                <w:sz w:val="24"/>
                <w:szCs w:val="24"/>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27.6</w:t>
            </w:r>
          </w:p>
        </w:tc>
        <w:tc>
          <w:tcPr>
            <w:tcW w:w="106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63,304</w:t>
            </w:r>
          </w:p>
        </w:tc>
        <w:tc>
          <w:tcPr>
            <w:tcW w:w="100" w:type="dxa"/>
            <w:vAlign w:val="bottom"/>
            <w:shd w:val="clear" w:color="auto" w:fill="D2DCE5"/>
          </w:tcPr>
          <w:p>
            <w:pPr>
              <w:spacing w:after="0"/>
              <w:rPr>
                <w:sz w:val="24"/>
                <w:szCs w:val="24"/>
                <w:color w:val="auto"/>
              </w:rPr>
            </w:pPr>
          </w:p>
        </w:tc>
        <w:tc>
          <w:tcPr>
            <w:tcW w:w="120" w:type="dxa"/>
            <w:vAlign w:val="bottom"/>
            <w:shd w:val="clear" w:color="auto" w:fill="D2DCE5"/>
          </w:tcPr>
          <w:p>
            <w:pPr>
              <w:spacing w:after="0"/>
              <w:rPr>
                <w:sz w:val="24"/>
                <w:szCs w:val="24"/>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21.8</w:t>
            </w:r>
          </w:p>
        </w:tc>
        <w:tc>
          <w:tcPr>
            <w:tcW w:w="0" w:type="dxa"/>
            <w:vAlign w:val="bottom"/>
          </w:tcPr>
          <w:p>
            <w:pPr>
              <w:spacing w:after="0"/>
              <w:rPr>
                <w:sz w:val="1"/>
                <w:szCs w:val="1"/>
                <w:color w:val="auto"/>
              </w:rPr>
            </w:pPr>
          </w:p>
        </w:tc>
      </w:tr>
      <w:tr>
        <w:trPr>
          <w:trHeight w:val="91"/>
        </w:trPr>
        <w:tc>
          <w:tcPr>
            <w:tcW w:w="3740" w:type="dxa"/>
            <w:vAlign w:val="bottom"/>
            <w:tcBorders>
              <w:bottom w:val="single" w:sz="8" w:color="D2DCE5"/>
            </w:tcBorders>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96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20" w:type="dxa"/>
            <w:vAlign w:val="bottom"/>
            <w:tcBorders>
              <w:bottom w:val="single" w:sz="8" w:color="D2DCE5"/>
            </w:tcBorders>
            <w:shd w:val="clear" w:color="auto" w:fill="D2DCE5"/>
          </w:tcPr>
          <w:p>
            <w:pPr>
              <w:spacing w:after="0"/>
              <w:rPr>
                <w:sz w:val="7"/>
                <w:szCs w:val="7"/>
                <w:color w:val="auto"/>
              </w:rPr>
            </w:pPr>
          </w:p>
        </w:tc>
        <w:tc>
          <w:tcPr>
            <w:tcW w:w="600" w:type="dxa"/>
            <w:vAlign w:val="bottom"/>
            <w:tcBorders>
              <w:bottom w:val="single" w:sz="8" w:color="D2DCE5"/>
            </w:tcBorders>
            <w:vMerge w:val="continue"/>
            <w:shd w:val="clear" w:color="auto" w:fill="D2DCE5"/>
          </w:tcPr>
          <w:p>
            <w:pPr>
              <w:spacing w:after="0"/>
              <w:rPr>
                <w:sz w:val="7"/>
                <w:szCs w:val="7"/>
                <w:color w:val="auto"/>
              </w:rPr>
            </w:pPr>
          </w:p>
        </w:tc>
        <w:tc>
          <w:tcPr>
            <w:tcW w:w="1040" w:type="dxa"/>
            <w:vAlign w:val="bottom"/>
            <w:tcBorders>
              <w:bottom w:val="single" w:sz="8" w:color="D2DCE5"/>
            </w:tcBorders>
            <w:gridSpan w:val="2"/>
            <w:vMerge w:val="continue"/>
            <w:shd w:val="clear" w:color="auto" w:fill="D2DCE5"/>
          </w:tcPr>
          <w:p>
            <w:pPr>
              <w:spacing w:after="0"/>
              <w:rPr>
                <w:sz w:val="7"/>
                <w:szCs w:val="7"/>
                <w:color w:val="auto"/>
              </w:rPr>
            </w:pPr>
          </w:p>
        </w:tc>
        <w:tc>
          <w:tcPr>
            <w:tcW w:w="120" w:type="dxa"/>
            <w:vAlign w:val="bottom"/>
            <w:tcBorders>
              <w:bottom w:val="single" w:sz="8" w:color="D2DCE5"/>
            </w:tcBorders>
            <w:shd w:val="clear" w:color="auto" w:fill="D2DCE5"/>
          </w:tcPr>
          <w:p>
            <w:pPr>
              <w:spacing w:after="0"/>
              <w:rPr>
                <w:sz w:val="7"/>
                <w:szCs w:val="7"/>
                <w:color w:val="auto"/>
              </w:rPr>
            </w:pPr>
          </w:p>
        </w:tc>
        <w:tc>
          <w:tcPr>
            <w:tcW w:w="180" w:type="dxa"/>
            <w:vAlign w:val="bottom"/>
            <w:tcBorders>
              <w:bottom w:val="single" w:sz="8" w:color="D2DCE5"/>
            </w:tcBorders>
            <w:shd w:val="clear" w:color="auto" w:fill="D2DCE5"/>
          </w:tcPr>
          <w:p>
            <w:pPr>
              <w:spacing w:after="0"/>
              <w:rPr>
                <w:sz w:val="7"/>
                <w:szCs w:val="7"/>
                <w:color w:val="auto"/>
              </w:rPr>
            </w:pPr>
          </w:p>
        </w:tc>
        <w:tc>
          <w:tcPr>
            <w:tcW w:w="520" w:type="dxa"/>
            <w:vAlign w:val="bottom"/>
            <w:tcBorders>
              <w:bottom w:val="single" w:sz="8" w:color="D2DCE5"/>
            </w:tcBorders>
            <w:vMerge w:val="continue"/>
            <w:shd w:val="clear" w:color="auto" w:fill="D2DCE5"/>
          </w:tcPr>
          <w:p>
            <w:pPr>
              <w:spacing w:after="0"/>
              <w:rPr>
                <w:sz w:val="7"/>
                <w:szCs w:val="7"/>
                <w:color w:val="auto"/>
              </w:rPr>
            </w:pPr>
          </w:p>
        </w:tc>
        <w:tc>
          <w:tcPr>
            <w:tcW w:w="1060" w:type="dxa"/>
            <w:vAlign w:val="bottom"/>
            <w:tcBorders>
              <w:bottom w:val="single" w:sz="8" w:color="D2DCE5"/>
            </w:tcBorders>
            <w:gridSpan w:val="2"/>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20" w:type="dxa"/>
            <w:vAlign w:val="bottom"/>
            <w:tcBorders>
              <w:bottom w:val="single" w:sz="8" w:color="D2DCE5"/>
            </w:tcBorders>
            <w:shd w:val="clear" w:color="auto" w:fill="D2DCE5"/>
          </w:tcPr>
          <w:p>
            <w:pPr>
              <w:spacing w:after="0"/>
              <w:rPr>
                <w:sz w:val="7"/>
                <w:szCs w:val="7"/>
                <w:color w:val="auto"/>
              </w:rPr>
            </w:pPr>
          </w:p>
        </w:tc>
        <w:tc>
          <w:tcPr>
            <w:tcW w:w="600" w:type="dxa"/>
            <w:vAlign w:val="bottom"/>
            <w:tcBorders>
              <w:bottom w:val="single" w:sz="8" w:color="D2DCE5"/>
            </w:tcBorders>
            <w:vMerge w:val="continue"/>
            <w:shd w:val="clear" w:color="auto" w:fill="D2DCE5"/>
          </w:tcPr>
          <w:p>
            <w:pPr>
              <w:spacing w:after="0"/>
              <w:rPr>
                <w:sz w:val="7"/>
                <w:szCs w:val="7"/>
                <w:color w:val="auto"/>
              </w:rPr>
            </w:pPr>
          </w:p>
        </w:tc>
        <w:tc>
          <w:tcPr>
            <w:tcW w:w="1060" w:type="dxa"/>
            <w:vAlign w:val="bottom"/>
            <w:tcBorders>
              <w:bottom w:val="single" w:sz="8" w:color="D2DCE5"/>
            </w:tcBorders>
            <w:gridSpan w:val="2"/>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20" w:type="dxa"/>
            <w:vAlign w:val="bottom"/>
            <w:tcBorders>
              <w:bottom w:val="single" w:sz="8" w:color="D2DCE5"/>
            </w:tcBorders>
            <w:shd w:val="clear" w:color="auto" w:fill="D2DCE5"/>
          </w:tcPr>
          <w:p>
            <w:pPr>
              <w:spacing w:after="0"/>
              <w:rPr>
                <w:sz w:val="7"/>
                <w:szCs w:val="7"/>
                <w:color w:val="auto"/>
              </w:rPr>
            </w:pPr>
          </w:p>
        </w:tc>
        <w:tc>
          <w:tcPr>
            <w:tcW w:w="60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3840" w:type="dxa"/>
            <w:vAlign w:val="bottom"/>
            <w:gridSpan w:val="2"/>
          </w:tcPr>
          <w:p>
            <w:pPr>
              <w:ind w:left="20"/>
              <w:spacing w:after="0"/>
              <w:rPr>
                <w:sz w:val="20"/>
                <w:szCs w:val="20"/>
                <w:color w:val="auto"/>
              </w:rPr>
            </w:pPr>
            <w:r>
              <w:rPr>
                <w:rFonts w:ascii="Arial" w:cs="Arial" w:eastAsia="Arial" w:hAnsi="Arial"/>
                <w:sz w:val="16"/>
                <w:szCs w:val="16"/>
                <w:color w:val="131E29"/>
              </w:rPr>
              <w:t>Selling, general, and administrative expenses</w:t>
            </w:r>
          </w:p>
        </w:tc>
        <w:tc>
          <w:tcPr>
            <w:tcW w:w="960" w:type="dxa"/>
            <w:vAlign w:val="bottom"/>
          </w:tcPr>
          <w:p>
            <w:pPr>
              <w:jc w:val="right"/>
              <w:spacing w:after="0"/>
              <w:rPr>
                <w:sz w:val="20"/>
                <w:szCs w:val="20"/>
                <w:color w:val="auto"/>
              </w:rPr>
            </w:pPr>
            <w:r>
              <w:rPr>
                <w:rFonts w:ascii="Arial" w:cs="Arial" w:eastAsia="Arial" w:hAnsi="Arial"/>
                <w:sz w:val="18"/>
                <w:szCs w:val="18"/>
                <w:color w:val="131E29"/>
              </w:rPr>
              <w:t>51,662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20.7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42,342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131E29"/>
              </w:rPr>
              <w:t>22.7</w:t>
            </w:r>
          </w:p>
        </w:tc>
        <w:tc>
          <w:tcPr>
            <w:tcW w:w="1060" w:type="dxa"/>
            <w:vAlign w:val="bottom"/>
            <w:gridSpan w:val="2"/>
          </w:tcPr>
          <w:p>
            <w:pPr>
              <w:jc w:val="right"/>
              <w:spacing w:after="0"/>
              <w:rPr>
                <w:sz w:val="20"/>
                <w:szCs w:val="20"/>
                <w:color w:val="auto"/>
              </w:rPr>
            </w:pPr>
            <w:r>
              <w:rPr>
                <w:rFonts w:ascii="Arial" w:cs="Arial" w:eastAsia="Arial" w:hAnsi="Arial"/>
                <w:sz w:val="18"/>
                <w:szCs w:val="18"/>
                <w:color w:val="131E29"/>
              </w:rPr>
              <w:t>97,638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21.8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131E29"/>
              </w:rPr>
              <w:t>87,556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25.9</w:t>
            </w:r>
          </w:p>
        </w:tc>
        <w:tc>
          <w:tcPr>
            <w:tcW w:w="0" w:type="dxa"/>
            <w:vAlign w:val="bottom"/>
          </w:tcPr>
          <w:p>
            <w:pPr>
              <w:spacing w:after="0"/>
              <w:rPr>
                <w:sz w:val="1"/>
                <w:szCs w:val="1"/>
                <w:color w:val="auto"/>
              </w:rPr>
            </w:pPr>
          </w:p>
        </w:tc>
      </w:tr>
      <w:tr>
        <w:trPr>
          <w:trHeight w:val="219"/>
        </w:trPr>
        <w:tc>
          <w:tcPr>
            <w:tcW w:w="38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Adjusted selling, general, and administrative</w:t>
            </w:r>
          </w:p>
        </w:tc>
        <w:tc>
          <w:tcPr>
            <w:tcW w:w="9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6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52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6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60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8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 xml:space="preserve">expenses </w:t>
            </w:r>
            <w:r>
              <w:rPr>
                <w:rFonts w:ascii="Arial" w:cs="Arial" w:eastAsia="Arial" w:hAnsi="Arial"/>
                <w:sz w:val="21"/>
                <w:szCs w:val="21"/>
                <w:color w:val="131E29"/>
                <w:vertAlign w:val="superscript"/>
              </w:rPr>
              <w:t>6</w:t>
            </w: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39,338</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15.7</w:t>
            </w:r>
          </w:p>
        </w:tc>
        <w:tc>
          <w:tcPr>
            <w:tcW w:w="104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31,896</w:t>
            </w:r>
          </w:p>
        </w:tc>
        <w:tc>
          <w:tcPr>
            <w:tcW w:w="120" w:type="dxa"/>
            <w:vAlign w:val="bottom"/>
            <w:shd w:val="clear" w:color="auto" w:fill="D2DCE5"/>
          </w:tcPr>
          <w:p>
            <w:pPr>
              <w:spacing w:after="0"/>
              <w:rPr>
                <w:sz w:val="23"/>
                <w:szCs w:val="23"/>
                <w:color w:val="auto"/>
              </w:rPr>
            </w:pPr>
          </w:p>
        </w:tc>
        <w:tc>
          <w:tcPr>
            <w:tcW w:w="180" w:type="dxa"/>
            <w:vAlign w:val="bottom"/>
            <w:shd w:val="clear" w:color="auto" w:fill="D2DCE5"/>
          </w:tcPr>
          <w:p>
            <w:pPr>
              <w:spacing w:after="0"/>
              <w:rPr>
                <w:sz w:val="23"/>
                <w:szCs w:val="23"/>
                <w:color w:val="auto"/>
              </w:rPr>
            </w:pPr>
          </w:p>
        </w:tc>
        <w:tc>
          <w:tcPr>
            <w:tcW w:w="5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17.1</w:t>
            </w:r>
          </w:p>
        </w:tc>
        <w:tc>
          <w:tcPr>
            <w:tcW w:w="106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75,994</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17.0</w:t>
            </w:r>
          </w:p>
        </w:tc>
        <w:tc>
          <w:tcPr>
            <w:tcW w:w="106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63,576</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18.8</w:t>
            </w:r>
          </w:p>
        </w:tc>
        <w:tc>
          <w:tcPr>
            <w:tcW w:w="0" w:type="dxa"/>
            <w:vAlign w:val="bottom"/>
          </w:tcPr>
          <w:p>
            <w:pPr>
              <w:spacing w:after="0"/>
              <w:rPr>
                <w:sz w:val="1"/>
                <w:szCs w:val="1"/>
                <w:color w:val="auto"/>
              </w:rPr>
            </w:pPr>
          </w:p>
        </w:tc>
      </w:tr>
      <w:tr>
        <w:trPr>
          <w:trHeight w:val="104"/>
        </w:trPr>
        <w:tc>
          <w:tcPr>
            <w:tcW w:w="3740" w:type="dxa"/>
            <w:vAlign w:val="bottom"/>
            <w:tcBorders>
              <w:bottom w:val="single" w:sz="8" w:color="D2DCE5"/>
            </w:tcBorders>
            <w:shd w:val="clear" w:color="auto" w:fill="D2DCE5"/>
          </w:tcPr>
          <w:p>
            <w:pPr>
              <w:spacing w:after="0"/>
              <w:rPr>
                <w:sz w:val="9"/>
                <w:szCs w:val="9"/>
                <w:color w:val="auto"/>
              </w:rPr>
            </w:pPr>
          </w:p>
        </w:tc>
        <w:tc>
          <w:tcPr>
            <w:tcW w:w="100" w:type="dxa"/>
            <w:vAlign w:val="bottom"/>
            <w:tcBorders>
              <w:bottom w:val="single" w:sz="8" w:color="D2DCE5"/>
            </w:tcBorders>
            <w:shd w:val="clear" w:color="auto" w:fill="D2DCE5"/>
          </w:tcPr>
          <w:p>
            <w:pPr>
              <w:spacing w:after="0"/>
              <w:rPr>
                <w:sz w:val="9"/>
                <w:szCs w:val="9"/>
                <w:color w:val="auto"/>
              </w:rPr>
            </w:pPr>
          </w:p>
        </w:tc>
        <w:tc>
          <w:tcPr>
            <w:tcW w:w="960" w:type="dxa"/>
            <w:vAlign w:val="bottom"/>
            <w:tcBorders>
              <w:bottom w:val="single" w:sz="8" w:color="D2DCE5"/>
            </w:tcBorders>
            <w:vMerge w:val="continue"/>
            <w:shd w:val="clear" w:color="auto" w:fill="D2DCE5"/>
          </w:tcPr>
          <w:p>
            <w:pPr>
              <w:spacing w:after="0"/>
              <w:rPr>
                <w:sz w:val="9"/>
                <w:szCs w:val="9"/>
                <w:color w:val="auto"/>
              </w:rPr>
            </w:pPr>
          </w:p>
        </w:tc>
        <w:tc>
          <w:tcPr>
            <w:tcW w:w="100" w:type="dxa"/>
            <w:vAlign w:val="bottom"/>
            <w:tcBorders>
              <w:bottom w:val="single" w:sz="8" w:color="D2DCE5"/>
            </w:tcBorders>
            <w:shd w:val="clear" w:color="auto" w:fill="D2DCE5"/>
          </w:tcPr>
          <w:p>
            <w:pPr>
              <w:spacing w:after="0"/>
              <w:rPr>
                <w:sz w:val="9"/>
                <w:szCs w:val="9"/>
                <w:color w:val="auto"/>
              </w:rPr>
            </w:pPr>
          </w:p>
        </w:tc>
        <w:tc>
          <w:tcPr>
            <w:tcW w:w="120" w:type="dxa"/>
            <w:vAlign w:val="bottom"/>
            <w:tcBorders>
              <w:bottom w:val="single" w:sz="8" w:color="D2DCE5"/>
            </w:tcBorders>
            <w:shd w:val="clear" w:color="auto" w:fill="D2DCE5"/>
          </w:tcPr>
          <w:p>
            <w:pPr>
              <w:spacing w:after="0"/>
              <w:rPr>
                <w:sz w:val="9"/>
                <w:szCs w:val="9"/>
                <w:color w:val="auto"/>
              </w:rPr>
            </w:pPr>
          </w:p>
        </w:tc>
        <w:tc>
          <w:tcPr>
            <w:tcW w:w="600" w:type="dxa"/>
            <w:vAlign w:val="bottom"/>
            <w:tcBorders>
              <w:bottom w:val="single" w:sz="8" w:color="D2DCE5"/>
            </w:tcBorders>
            <w:vMerge w:val="continue"/>
            <w:shd w:val="clear" w:color="auto" w:fill="D2DCE5"/>
          </w:tcPr>
          <w:p>
            <w:pPr>
              <w:spacing w:after="0"/>
              <w:rPr>
                <w:sz w:val="9"/>
                <w:szCs w:val="9"/>
                <w:color w:val="auto"/>
              </w:rPr>
            </w:pPr>
          </w:p>
        </w:tc>
        <w:tc>
          <w:tcPr>
            <w:tcW w:w="1040" w:type="dxa"/>
            <w:vAlign w:val="bottom"/>
            <w:tcBorders>
              <w:bottom w:val="single" w:sz="8" w:color="D2DCE5"/>
            </w:tcBorders>
            <w:gridSpan w:val="2"/>
            <w:vMerge w:val="continue"/>
            <w:shd w:val="clear" w:color="auto" w:fill="D2DCE5"/>
          </w:tcPr>
          <w:p>
            <w:pPr>
              <w:spacing w:after="0"/>
              <w:rPr>
                <w:sz w:val="9"/>
                <w:szCs w:val="9"/>
                <w:color w:val="auto"/>
              </w:rPr>
            </w:pPr>
          </w:p>
        </w:tc>
        <w:tc>
          <w:tcPr>
            <w:tcW w:w="120" w:type="dxa"/>
            <w:vAlign w:val="bottom"/>
            <w:tcBorders>
              <w:bottom w:val="single" w:sz="8" w:color="D2DCE5"/>
            </w:tcBorders>
            <w:shd w:val="clear" w:color="auto" w:fill="D2DCE5"/>
          </w:tcPr>
          <w:p>
            <w:pPr>
              <w:spacing w:after="0"/>
              <w:rPr>
                <w:sz w:val="9"/>
                <w:szCs w:val="9"/>
                <w:color w:val="auto"/>
              </w:rPr>
            </w:pPr>
          </w:p>
        </w:tc>
        <w:tc>
          <w:tcPr>
            <w:tcW w:w="180" w:type="dxa"/>
            <w:vAlign w:val="bottom"/>
            <w:tcBorders>
              <w:bottom w:val="single" w:sz="8" w:color="D2DCE5"/>
            </w:tcBorders>
            <w:shd w:val="clear" w:color="auto" w:fill="D2DCE5"/>
          </w:tcPr>
          <w:p>
            <w:pPr>
              <w:spacing w:after="0"/>
              <w:rPr>
                <w:sz w:val="9"/>
                <w:szCs w:val="9"/>
                <w:color w:val="auto"/>
              </w:rPr>
            </w:pPr>
          </w:p>
        </w:tc>
        <w:tc>
          <w:tcPr>
            <w:tcW w:w="520" w:type="dxa"/>
            <w:vAlign w:val="bottom"/>
            <w:tcBorders>
              <w:bottom w:val="single" w:sz="8" w:color="D2DCE5"/>
            </w:tcBorders>
            <w:vMerge w:val="continue"/>
            <w:shd w:val="clear" w:color="auto" w:fill="D2DCE5"/>
          </w:tcPr>
          <w:p>
            <w:pPr>
              <w:spacing w:after="0"/>
              <w:rPr>
                <w:sz w:val="9"/>
                <w:szCs w:val="9"/>
                <w:color w:val="auto"/>
              </w:rPr>
            </w:pPr>
          </w:p>
        </w:tc>
        <w:tc>
          <w:tcPr>
            <w:tcW w:w="1060" w:type="dxa"/>
            <w:vAlign w:val="bottom"/>
            <w:tcBorders>
              <w:bottom w:val="single" w:sz="8" w:color="D2DCE5"/>
            </w:tcBorders>
            <w:gridSpan w:val="2"/>
            <w:vMerge w:val="continue"/>
            <w:shd w:val="clear" w:color="auto" w:fill="D2DCE5"/>
          </w:tcPr>
          <w:p>
            <w:pPr>
              <w:spacing w:after="0"/>
              <w:rPr>
                <w:sz w:val="9"/>
                <w:szCs w:val="9"/>
                <w:color w:val="auto"/>
              </w:rPr>
            </w:pPr>
          </w:p>
        </w:tc>
        <w:tc>
          <w:tcPr>
            <w:tcW w:w="100" w:type="dxa"/>
            <w:vAlign w:val="bottom"/>
            <w:tcBorders>
              <w:bottom w:val="single" w:sz="8" w:color="D2DCE5"/>
            </w:tcBorders>
            <w:shd w:val="clear" w:color="auto" w:fill="D2DCE5"/>
          </w:tcPr>
          <w:p>
            <w:pPr>
              <w:spacing w:after="0"/>
              <w:rPr>
                <w:sz w:val="9"/>
                <w:szCs w:val="9"/>
                <w:color w:val="auto"/>
              </w:rPr>
            </w:pPr>
          </w:p>
        </w:tc>
        <w:tc>
          <w:tcPr>
            <w:tcW w:w="120" w:type="dxa"/>
            <w:vAlign w:val="bottom"/>
            <w:tcBorders>
              <w:bottom w:val="single" w:sz="8" w:color="D2DCE5"/>
            </w:tcBorders>
            <w:shd w:val="clear" w:color="auto" w:fill="D2DCE5"/>
          </w:tcPr>
          <w:p>
            <w:pPr>
              <w:spacing w:after="0"/>
              <w:rPr>
                <w:sz w:val="9"/>
                <w:szCs w:val="9"/>
                <w:color w:val="auto"/>
              </w:rPr>
            </w:pPr>
          </w:p>
        </w:tc>
        <w:tc>
          <w:tcPr>
            <w:tcW w:w="600" w:type="dxa"/>
            <w:vAlign w:val="bottom"/>
            <w:tcBorders>
              <w:bottom w:val="single" w:sz="8" w:color="D2DCE5"/>
            </w:tcBorders>
            <w:vMerge w:val="continue"/>
            <w:shd w:val="clear" w:color="auto" w:fill="D2DCE5"/>
          </w:tcPr>
          <w:p>
            <w:pPr>
              <w:spacing w:after="0"/>
              <w:rPr>
                <w:sz w:val="9"/>
                <w:szCs w:val="9"/>
                <w:color w:val="auto"/>
              </w:rPr>
            </w:pPr>
          </w:p>
        </w:tc>
        <w:tc>
          <w:tcPr>
            <w:tcW w:w="1060" w:type="dxa"/>
            <w:vAlign w:val="bottom"/>
            <w:tcBorders>
              <w:bottom w:val="single" w:sz="8" w:color="D2DCE5"/>
            </w:tcBorders>
            <w:gridSpan w:val="2"/>
            <w:vMerge w:val="continue"/>
            <w:shd w:val="clear" w:color="auto" w:fill="D2DCE5"/>
          </w:tcPr>
          <w:p>
            <w:pPr>
              <w:spacing w:after="0"/>
              <w:rPr>
                <w:sz w:val="9"/>
                <w:szCs w:val="9"/>
                <w:color w:val="auto"/>
              </w:rPr>
            </w:pPr>
          </w:p>
        </w:tc>
        <w:tc>
          <w:tcPr>
            <w:tcW w:w="100" w:type="dxa"/>
            <w:vAlign w:val="bottom"/>
            <w:tcBorders>
              <w:bottom w:val="single" w:sz="8" w:color="D2DCE5"/>
            </w:tcBorders>
            <w:shd w:val="clear" w:color="auto" w:fill="D2DCE5"/>
          </w:tcPr>
          <w:p>
            <w:pPr>
              <w:spacing w:after="0"/>
              <w:rPr>
                <w:sz w:val="9"/>
                <w:szCs w:val="9"/>
                <w:color w:val="auto"/>
              </w:rPr>
            </w:pPr>
          </w:p>
        </w:tc>
        <w:tc>
          <w:tcPr>
            <w:tcW w:w="120" w:type="dxa"/>
            <w:vAlign w:val="bottom"/>
            <w:tcBorders>
              <w:bottom w:val="single" w:sz="8" w:color="D2DCE5"/>
            </w:tcBorders>
            <w:shd w:val="clear" w:color="auto" w:fill="D2DCE5"/>
          </w:tcPr>
          <w:p>
            <w:pPr>
              <w:spacing w:after="0"/>
              <w:rPr>
                <w:sz w:val="9"/>
                <w:szCs w:val="9"/>
                <w:color w:val="auto"/>
              </w:rPr>
            </w:pPr>
          </w:p>
        </w:tc>
        <w:tc>
          <w:tcPr>
            <w:tcW w:w="600" w:type="dxa"/>
            <w:vAlign w:val="bottom"/>
            <w:tcBorders>
              <w:bottom w:val="single" w:sz="8" w:color="D2DCE5"/>
            </w:tcBorders>
            <w:vMerge w:val="continue"/>
            <w:shd w:val="clear" w:color="auto" w:fill="D2DCE5"/>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3840" w:type="dxa"/>
            <w:vAlign w:val="bottom"/>
            <w:gridSpan w:val="2"/>
          </w:tcPr>
          <w:p>
            <w:pPr>
              <w:ind w:left="20"/>
              <w:spacing w:after="0"/>
              <w:rPr>
                <w:sz w:val="20"/>
                <w:szCs w:val="20"/>
                <w:color w:val="auto"/>
              </w:rPr>
            </w:pPr>
            <w:r>
              <w:rPr>
                <w:rFonts w:ascii="Arial" w:cs="Arial" w:eastAsia="Arial" w:hAnsi="Arial"/>
                <w:sz w:val="16"/>
                <w:szCs w:val="16"/>
                <w:color w:val="131E29"/>
              </w:rPr>
              <w:t>Net income (loss)</w:t>
            </w:r>
          </w:p>
        </w:tc>
        <w:tc>
          <w:tcPr>
            <w:tcW w:w="960" w:type="dxa"/>
            <w:vAlign w:val="bottom"/>
          </w:tcPr>
          <w:p>
            <w:pPr>
              <w:jc w:val="right"/>
              <w:spacing w:after="0"/>
              <w:rPr>
                <w:sz w:val="20"/>
                <w:szCs w:val="20"/>
                <w:color w:val="auto"/>
              </w:rPr>
            </w:pPr>
            <w:r>
              <w:rPr>
                <w:rFonts w:ascii="Arial" w:cs="Arial" w:eastAsia="Arial" w:hAnsi="Arial"/>
                <w:sz w:val="18"/>
                <w:szCs w:val="18"/>
                <w:color w:val="131E29"/>
              </w:rPr>
              <w:t>9,711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(1,751)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131E29"/>
              </w:rPr>
              <w:t>(0.9)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131E29"/>
              </w:rPr>
              <w:t>320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0.1</w:t>
            </w:r>
          </w:p>
        </w:tc>
        <w:tc>
          <w:tcPr>
            <w:tcW w:w="1060" w:type="dxa"/>
            <w:vAlign w:val="bottom"/>
            <w:gridSpan w:val="2"/>
          </w:tcPr>
          <w:p>
            <w:pPr>
              <w:jc w:val="right"/>
              <w:spacing w:after="0"/>
              <w:rPr>
                <w:sz w:val="20"/>
                <w:szCs w:val="20"/>
                <w:color w:val="auto"/>
              </w:rPr>
            </w:pPr>
            <w:r>
              <w:rPr>
                <w:rFonts w:ascii="Arial" w:cs="Arial" w:eastAsia="Arial" w:hAnsi="Arial"/>
                <w:sz w:val="18"/>
                <w:szCs w:val="18"/>
                <w:color w:val="131E29"/>
              </w:rPr>
              <w:t>(18,030)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(5.3)</w:t>
            </w:r>
          </w:p>
        </w:tc>
        <w:tc>
          <w:tcPr>
            <w:tcW w:w="0" w:type="dxa"/>
            <w:vAlign w:val="bottom"/>
          </w:tcPr>
          <w:p>
            <w:pPr>
              <w:spacing w:after="0"/>
              <w:rPr>
                <w:sz w:val="1"/>
                <w:szCs w:val="1"/>
                <w:color w:val="auto"/>
              </w:rPr>
            </w:pPr>
          </w:p>
        </w:tc>
      </w:tr>
      <w:tr>
        <w:trPr>
          <w:trHeight w:val="304"/>
        </w:trPr>
        <w:tc>
          <w:tcPr>
            <w:tcW w:w="38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 xml:space="preserve">Adjusted EBITDA </w:t>
            </w:r>
            <w:r>
              <w:rPr>
                <w:rFonts w:ascii="Arial" w:cs="Arial" w:eastAsia="Arial" w:hAnsi="Arial"/>
                <w:sz w:val="21"/>
                <w:szCs w:val="21"/>
                <w:color w:val="131E29"/>
                <w:vertAlign w:val="superscript"/>
              </w:rPr>
              <w:t>6</w:t>
            </w: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48,599</w:t>
            </w:r>
          </w:p>
        </w:tc>
        <w:tc>
          <w:tcPr>
            <w:tcW w:w="100" w:type="dxa"/>
            <w:vAlign w:val="bottom"/>
            <w:shd w:val="clear" w:color="auto" w:fill="D2DCE5"/>
          </w:tcPr>
          <w:p>
            <w:pPr>
              <w:spacing w:after="0"/>
              <w:rPr>
                <w:sz w:val="24"/>
                <w:szCs w:val="24"/>
                <w:color w:val="auto"/>
              </w:rPr>
            </w:pPr>
          </w:p>
        </w:tc>
        <w:tc>
          <w:tcPr>
            <w:tcW w:w="120" w:type="dxa"/>
            <w:vAlign w:val="bottom"/>
            <w:shd w:val="clear" w:color="auto" w:fill="D2DCE5"/>
          </w:tcPr>
          <w:p>
            <w:pPr>
              <w:spacing w:after="0"/>
              <w:rPr>
                <w:sz w:val="24"/>
                <w:szCs w:val="24"/>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19.4</w:t>
            </w:r>
          </w:p>
        </w:tc>
        <w:tc>
          <w:tcPr>
            <w:tcW w:w="104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23,939</w:t>
            </w:r>
          </w:p>
        </w:tc>
        <w:tc>
          <w:tcPr>
            <w:tcW w:w="120" w:type="dxa"/>
            <w:vAlign w:val="bottom"/>
            <w:shd w:val="clear" w:color="auto" w:fill="D2DCE5"/>
          </w:tcPr>
          <w:p>
            <w:pPr>
              <w:spacing w:after="0"/>
              <w:rPr>
                <w:sz w:val="24"/>
                <w:szCs w:val="24"/>
                <w:color w:val="auto"/>
              </w:rPr>
            </w:pPr>
          </w:p>
        </w:tc>
        <w:tc>
          <w:tcPr>
            <w:tcW w:w="180" w:type="dxa"/>
            <w:vAlign w:val="bottom"/>
            <w:shd w:val="clear" w:color="auto" w:fill="D2DCE5"/>
          </w:tcPr>
          <w:p>
            <w:pPr>
              <w:spacing w:after="0"/>
              <w:rPr>
                <w:sz w:val="24"/>
                <w:szCs w:val="24"/>
                <w:color w:val="auto"/>
              </w:rPr>
            </w:pPr>
          </w:p>
        </w:tc>
        <w:tc>
          <w:tcPr>
            <w:tcW w:w="5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12.8</w:t>
            </w:r>
          </w:p>
        </w:tc>
        <w:tc>
          <w:tcPr>
            <w:tcW w:w="106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72,479</w:t>
            </w:r>
          </w:p>
        </w:tc>
        <w:tc>
          <w:tcPr>
            <w:tcW w:w="100" w:type="dxa"/>
            <w:vAlign w:val="bottom"/>
            <w:shd w:val="clear" w:color="auto" w:fill="D2DCE5"/>
          </w:tcPr>
          <w:p>
            <w:pPr>
              <w:spacing w:after="0"/>
              <w:rPr>
                <w:sz w:val="24"/>
                <w:szCs w:val="24"/>
                <w:color w:val="auto"/>
              </w:rPr>
            </w:pPr>
          </w:p>
        </w:tc>
        <w:tc>
          <w:tcPr>
            <w:tcW w:w="120" w:type="dxa"/>
            <w:vAlign w:val="bottom"/>
            <w:shd w:val="clear" w:color="auto" w:fill="D2DCE5"/>
          </w:tcPr>
          <w:p>
            <w:pPr>
              <w:spacing w:after="0"/>
              <w:rPr>
                <w:sz w:val="24"/>
                <w:szCs w:val="24"/>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16.2</w:t>
            </w:r>
          </w:p>
        </w:tc>
        <w:tc>
          <w:tcPr>
            <w:tcW w:w="106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33,601</w:t>
            </w:r>
          </w:p>
        </w:tc>
        <w:tc>
          <w:tcPr>
            <w:tcW w:w="100" w:type="dxa"/>
            <w:vAlign w:val="bottom"/>
            <w:shd w:val="clear" w:color="auto" w:fill="D2DCE5"/>
          </w:tcPr>
          <w:p>
            <w:pPr>
              <w:spacing w:after="0"/>
              <w:rPr>
                <w:sz w:val="24"/>
                <w:szCs w:val="24"/>
                <w:color w:val="auto"/>
              </w:rPr>
            </w:pPr>
          </w:p>
        </w:tc>
        <w:tc>
          <w:tcPr>
            <w:tcW w:w="120" w:type="dxa"/>
            <w:vAlign w:val="bottom"/>
            <w:shd w:val="clear" w:color="auto" w:fill="D2DCE5"/>
          </w:tcPr>
          <w:p>
            <w:pPr>
              <w:spacing w:after="0"/>
              <w:rPr>
                <w:sz w:val="24"/>
                <w:szCs w:val="24"/>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9.9</w:t>
            </w:r>
          </w:p>
        </w:tc>
        <w:tc>
          <w:tcPr>
            <w:tcW w:w="0" w:type="dxa"/>
            <w:vAlign w:val="bottom"/>
          </w:tcPr>
          <w:p>
            <w:pPr>
              <w:spacing w:after="0"/>
              <w:rPr>
                <w:sz w:val="1"/>
                <w:szCs w:val="1"/>
                <w:color w:val="auto"/>
              </w:rPr>
            </w:pPr>
          </w:p>
        </w:tc>
      </w:tr>
      <w:tr>
        <w:trPr>
          <w:trHeight w:val="84"/>
        </w:trPr>
        <w:tc>
          <w:tcPr>
            <w:tcW w:w="3740" w:type="dxa"/>
            <w:vAlign w:val="bottom"/>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96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120" w:type="dxa"/>
            <w:vAlign w:val="bottom"/>
            <w:shd w:val="clear" w:color="auto" w:fill="D2DCE5"/>
          </w:tcPr>
          <w:p>
            <w:pPr>
              <w:spacing w:after="0"/>
              <w:rPr>
                <w:sz w:val="7"/>
                <w:szCs w:val="7"/>
                <w:color w:val="auto"/>
              </w:rPr>
            </w:pPr>
          </w:p>
        </w:tc>
        <w:tc>
          <w:tcPr>
            <w:tcW w:w="600" w:type="dxa"/>
            <w:vAlign w:val="bottom"/>
            <w:vMerge w:val="continue"/>
            <w:shd w:val="clear" w:color="auto" w:fill="D2DCE5"/>
          </w:tcPr>
          <w:p>
            <w:pPr>
              <w:spacing w:after="0"/>
              <w:rPr>
                <w:sz w:val="7"/>
                <w:szCs w:val="7"/>
                <w:color w:val="auto"/>
              </w:rPr>
            </w:pPr>
          </w:p>
        </w:tc>
        <w:tc>
          <w:tcPr>
            <w:tcW w:w="1040" w:type="dxa"/>
            <w:vAlign w:val="bottom"/>
            <w:gridSpan w:val="2"/>
            <w:vMerge w:val="continue"/>
            <w:shd w:val="clear" w:color="auto" w:fill="D2DCE5"/>
          </w:tcPr>
          <w:p>
            <w:pPr>
              <w:spacing w:after="0"/>
              <w:rPr>
                <w:sz w:val="7"/>
                <w:szCs w:val="7"/>
                <w:color w:val="auto"/>
              </w:rPr>
            </w:pPr>
          </w:p>
        </w:tc>
        <w:tc>
          <w:tcPr>
            <w:tcW w:w="120" w:type="dxa"/>
            <w:vAlign w:val="bottom"/>
            <w:shd w:val="clear" w:color="auto" w:fill="D2DCE5"/>
          </w:tcPr>
          <w:p>
            <w:pPr>
              <w:spacing w:after="0"/>
              <w:rPr>
                <w:sz w:val="7"/>
                <w:szCs w:val="7"/>
                <w:color w:val="auto"/>
              </w:rPr>
            </w:pPr>
          </w:p>
        </w:tc>
        <w:tc>
          <w:tcPr>
            <w:tcW w:w="180" w:type="dxa"/>
            <w:vAlign w:val="bottom"/>
            <w:shd w:val="clear" w:color="auto" w:fill="D2DCE5"/>
          </w:tcPr>
          <w:p>
            <w:pPr>
              <w:spacing w:after="0"/>
              <w:rPr>
                <w:sz w:val="7"/>
                <w:szCs w:val="7"/>
                <w:color w:val="auto"/>
              </w:rPr>
            </w:pPr>
          </w:p>
        </w:tc>
        <w:tc>
          <w:tcPr>
            <w:tcW w:w="520" w:type="dxa"/>
            <w:vAlign w:val="bottom"/>
            <w:vMerge w:val="continue"/>
            <w:shd w:val="clear" w:color="auto" w:fill="D2DCE5"/>
          </w:tcPr>
          <w:p>
            <w:pPr>
              <w:spacing w:after="0"/>
              <w:rPr>
                <w:sz w:val="7"/>
                <w:szCs w:val="7"/>
                <w:color w:val="auto"/>
              </w:rPr>
            </w:pPr>
          </w:p>
        </w:tc>
        <w:tc>
          <w:tcPr>
            <w:tcW w:w="1060" w:type="dxa"/>
            <w:vAlign w:val="bottom"/>
            <w:gridSpan w:val="2"/>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120" w:type="dxa"/>
            <w:vAlign w:val="bottom"/>
            <w:shd w:val="clear" w:color="auto" w:fill="D2DCE5"/>
          </w:tcPr>
          <w:p>
            <w:pPr>
              <w:spacing w:after="0"/>
              <w:rPr>
                <w:sz w:val="7"/>
                <w:szCs w:val="7"/>
                <w:color w:val="auto"/>
              </w:rPr>
            </w:pPr>
          </w:p>
        </w:tc>
        <w:tc>
          <w:tcPr>
            <w:tcW w:w="600" w:type="dxa"/>
            <w:vAlign w:val="bottom"/>
            <w:vMerge w:val="continue"/>
            <w:shd w:val="clear" w:color="auto" w:fill="D2DCE5"/>
          </w:tcPr>
          <w:p>
            <w:pPr>
              <w:spacing w:after="0"/>
              <w:rPr>
                <w:sz w:val="7"/>
                <w:szCs w:val="7"/>
                <w:color w:val="auto"/>
              </w:rPr>
            </w:pPr>
          </w:p>
        </w:tc>
        <w:tc>
          <w:tcPr>
            <w:tcW w:w="1060" w:type="dxa"/>
            <w:vAlign w:val="bottom"/>
            <w:gridSpan w:val="2"/>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120" w:type="dxa"/>
            <w:vAlign w:val="bottom"/>
            <w:shd w:val="clear" w:color="auto" w:fill="D2DCE5"/>
          </w:tcPr>
          <w:p>
            <w:pPr>
              <w:spacing w:after="0"/>
              <w:rPr>
                <w:sz w:val="7"/>
                <w:szCs w:val="7"/>
                <w:color w:val="auto"/>
              </w:rPr>
            </w:pPr>
          </w:p>
        </w:tc>
        <w:tc>
          <w:tcPr>
            <w:tcW w:w="600" w:type="dxa"/>
            <w:vAlign w:val="bottom"/>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74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9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6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94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180" w:type="dxa"/>
            <w:vAlign w:val="bottom"/>
            <w:shd w:val="clear" w:color="auto" w:fill="D2DCE5"/>
          </w:tcPr>
          <w:p>
            <w:pPr>
              <w:spacing w:after="0"/>
              <w:rPr>
                <w:sz w:val="2"/>
                <w:szCs w:val="2"/>
                <w:color w:val="auto"/>
              </w:rPr>
            </w:pPr>
          </w:p>
        </w:tc>
        <w:tc>
          <w:tcPr>
            <w:tcW w:w="52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94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60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94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60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9" w:lineRule="exact"/>
        <w:rPr>
          <w:sz w:val="20"/>
          <w:szCs w:val="20"/>
          <w:color w:val="auto"/>
        </w:rPr>
      </w:pPr>
    </w:p>
    <w:p>
      <w:pPr>
        <w:jc w:val="both"/>
        <w:ind w:left="180" w:hanging="172"/>
        <w:spacing w:after="0" w:line="236" w:lineRule="auto"/>
        <w:tabs>
          <w:tab w:leader="none" w:pos="248" w:val="left"/>
        </w:tabs>
        <w:numPr>
          <w:ilvl w:val="0"/>
          <w:numId w:val="9"/>
        </w:numPr>
        <w:rPr>
          <w:rFonts w:ascii="Arial" w:cs="Arial" w:eastAsia="Arial" w:hAnsi="Arial"/>
          <w:sz w:val="19"/>
          <w:szCs w:val="19"/>
          <w:color w:val="131E29"/>
          <w:vertAlign w:val="superscript"/>
        </w:rPr>
      </w:pPr>
      <w:r>
        <w:rPr>
          <w:rFonts w:ascii="Arial" w:cs="Arial" w:eastAsia="Arial" w:hAnsi="Arial"/>
          <w:sz w:val="14"/>
          <w:szCs w:val="14"/>
          <w:color w:val="131E29"/>
        </w:rPr>
        <w:t>AUVs are determined based on the net sales for any trailing twelve-month period for systemwide and company-operated shops that have been open a minimum of 15 months. AUVs are calculated by dividing the systemwide and company-operated shop net sales by the total number of systemwide and company-operated shops, respectively. Management uses this metric as an indicator of shop growth and future expectations of mature locations.</w:t>
      </w:r>
    </w:p>
    <w:p>
      <w:pPr>
        <w:spacing w:after="0" w:line="144" w:lineRule="exact"/>
        <w:rPr>
          <w:sz w:val="20"/>
          <w:szCs w:val="20"/>
          <w:color w:val="auto"/>
        </w:rPr>
      </w:pPr>
    </w:p>
    <w:p>
      <w:pPr>
        <w:jc w:val="both"/>
        <w:ind w:left="180" w:hanging="172"/>
        <w:spacing w:after="0" w:line="277" w:lineRule="auto"/>
        <w:tabs>
          <w:tab w:leader="none" w:pos="186" w:val="left"/>
        </w:tabs>
        <w:numPr>
          <w:ilvl w:val="0"/>
          <w:numId w:val="10"/>
        </w:numPr>
        <w:rPr>
          <w:rFonts w:ascii="Arial" w:cs="Arial" w:eastAsia="Arial" w:hAnsi="Arial"/>
          <w:sz w:val="9"/>
          <w:szCs w:val="9"/>
          <w:color w:val="131E29"/>
        </w:rPr>
      </w:pPr>
      <w:r>
        <w:rPr>
          <w:rFonts w:ascii="Arial" w:cs="Arial" w:eastAsia="Arial" w:hAnsi="Arial"/>
          <w:sz w:val="14"/>
          <w:szCs w:val="14"/>
          <w:color w:val="131E29"/>
        </w:rPr>
        <w:t>Same shop sales reflects the change in year-over-year sales, for the comparable shop base, which we define as shops open for 15 complete months or longer. Management uses this metric as an indicator of shop growth and future expansion strategy. The number of shops included in the systemwide and company-operated comparable bases for the respective periods are presented in the following table.</w:t>
      </w:r>
    </w:p>
    <w:p>
      <w:pPr>
        <w:spacing w:after="0" w:line="15"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131E29"/>
              </w:rPr>
              <w:t>Three Months Ended June 30,</w:t>
            </w:r>
          </w:p>
        </w:tc>
        <w:tc>
          <w:tcPr>
            <w:tcW w:w="8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131E29"/>
              </w:rPr>
              <w:t>Six Months Ended June 30,</w:t>
            </w:r>
          </w:p>
        </w:tc>
      </w:tr>
      <w:tr>
        <w:trPr>
          <w:trHeight w:val="21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131E29"/>
              </w:rPr>
              <w:t>2023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131E29"/>
              </w:rPr>
              <w:t>2022</w:t>
            </w:r>
          </w:p>
        </w:tc>
      </w:tr>
      <w:tr>
        <w:trPr>
          <w:trHeight w:val="204"/>
        </w:trPr>
        <w:tc>
          <w:tcPr>
            <w:tcW w:w="60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Systemwide shop base</w:t>
            </w:r>
          </w:p>
        </w:tc>
        <w:tc>
          <w:tcPr>
            <w:tcW w:w="11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538</w:t>
            </w:r>
          </w:p>
        </w:tc>
        <w:tc>
          <w:tcPr>
            <w:tcW w:w="128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440</w:t>
            </w:r>
          </w:p>
        </w:tc>
        <w:tc>
          <w:tcPr>
            <w:tcW w:w="11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503</w:t>
            </w:r>
          </w:p>
        </w:tc>
        <w:tc>
          <w:tcPr>
            <w:tcW w:w="11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414</w:t>
            </w:r>
          </w:p>
        </w:tc>
      </w:tr>
      <w:tr>
        <w:trPr>
          <w:trHeight w:val="204"/>
        </w:trPr>
        <w:tc>
          <w:tcPr>
            <w:tcW w:w="6020" w:type="dxa"/>
            <w:vAlign w:val="bottom"/>
            <w:gridSpan w:val="2"/>
          </w:tcPr>
          <w:p>
            <w:pPr>
              <w:ind w:left="20"/>
              <w:spacing w:after="0"/>
              <w:rPr>
                <w:sz w:val="20"/>
                <w:szCs w:val="20"/>
                <w:color w:val="auto"/>
              </w:rPr>
            </w:pPr>
            <w:r>
              <w:rPr>
                <w:rFonts w:ascii="Arial" w:cs="Arial" w:eastAsia="Arial" w:hAnsi="Arial"/>
                <w:sz w:val="14"/>
                <w:szCs w:val="14"/>
                <w:color w:val="131E29"/>
              </w:rPr>
              <w:t>Company-operated shop base</w:t>
            </w:r>
          </w:p>
        </w:tc>
        <w:tc>
          <w:tcPr>
            <w:tcW w:w="1180" w:type="dxa"/>
            <w:vAlign w:val="bottom"/>
          </w:tcPr>
          <w:p>
            <w:pPr>
              <w:jc w:val="right"/>
              <w:spacing w:after="0"/>
              <w:rPr>
                <w:sz w:val="20"/>
                <w:szCs w:val="20"/>
                <w:color w:val="auto"/>
              </w:rPr>
            </w:pPr>
            <w:r>
              <w:rPr>
                <w:rFonts w:ascii="Arial" w:cs="Arial" w:eastAsia="Arial" w:hAnsi="Arial"/>
                <w:sz w:val="14"/>
                <w:szCs w:val="14"/>
                <w:color w:val="131E29"/>
              </w:rPr>
              <w:t>276</w:t>
            </w:r>
          </w:p>
        </w:tc>
        <w:tc>
          <w:tcPr>
            <w:tcW w:w="1280" w:type="dxa"/>
            <w:vAlign w:val="bottom"/>
            <w:gridSpan w:val="2"/>
          </w:tcPr>
          <w:p>
            <w:pPr>
              <w:jc w:val="right"/>
              <w:spacing w:after="0"/>
              <w:rPr>
                <w:sz w:val="20"/>
                <w:szCs w:val="20"/>
                <w:color w:val="auto"/>
              </w:rPr>
            </w:pPr>
            <w:r>
              <w:rPr>
                <w:rFonts w:ascii="Arial" w:cs="Arial" w:eastAsia="Arial" w:hAnsi="Arial"/>
                <w:sz w:val="14"/>
                <w:szCs w:val="14"/>
                <w:color w:val="131E29"/>
              </w:rPr>
              <w:t>193</w:t>
            </w:r>
          </w:p>
        </w:tc>
        <w:tc>
          <w:tcPr>
            <w:tcW w:w="1140" w:type="dxa"/>
            <w:vAlign w:val="bottom"/>
            <w:gridSpan w:val="2"/>
          </w:tcPr>
          <w:p>
            <w:pPr>
              <w:jc w:val="right"/>
              <w:spacing w:after="0"/>
              <w:rPr>
                <w:sz w:val="20"/>
                <w:szCs w:val="20"/>
                <w:color w:val="auto"/>
              </w:rPr>
            </w:pPr>
            <w:r>
              <w:rPr>
                <w:rFonts w:ascii="Arial" w:cs="Arial" w:eastAsia="Arial" w:hAnsi="Arial"/>
                <w:sz w:val="14"/>
                <w:szCs w:val="14"/>
                <w:color w:val="131E29"/>
              </w:rPr>
              <w:t>246</w:t>
            </w:r>
          </w:p>
        </w:tc>
        <w:tc>
          <w:tcPr>
            <w:tcW w:w="1160" w:type="dxa"/>
            <w:vAlign w:val="bottom"/>
            <w:gridSpan w:val="2"/>
          </w:tcPr>
          <w:p>
            <w:pPr>
              <w:jc w:val="right"/>
              <w:spacing w:after="0"/>
              <w:rPr>
                <w:sz w:val="20"/>
                <w:szCs w:val="20"/>
                <w:color w:val="auto"/>
              </w:rPr>
            </w:pPr>
            <w:r>
              <w:rPr>
                <w:rFonts w:ascii="Arial" w:cs="Arial" w:eastAsia="Arial" w:hAnsi="Arial"/>
                <w:sz w:val="14"/>
                <w:szCs w:val="14"/>
                <w:color w:val="131E29"/>
              </w:rPr>
              <w:t>173</w:t>
            </w:r>
          </w:p>
        </w:tc>
      </w:tr>
    </w:tbl>
    <w:p>
      <w:pPr>
        <w:spacing w:after="0" w:line="277" w:lineRule="exact"/>
        <w:rPr>
          <w:sz w:val="20"/>
          <w:szCs w:val="20"/>
          <w:color w:val="auto"/>
        </w:rPr>
      </w:pPr>
    </w:p>
    <w:p>
      <w:pPr>
        <w:jc w:val="both"/>
        <w:ind w:left="180" w:right="80" w:hanging="172"/>
        <w:spacing w:after="0" w:line="242" w:lineRule="auto"/>
        <w:tabs>
          <w:tab w:leader="none" w:pos="250" w:val="left"/>
        </w:tabs>
        <w:numPr>
          <w:ilvl w:val="0"/>
          <w:numId w:val="11"/>
        </w:numPr>
        <w:rPr>
          <w:rFonts w:ascii="Arial" w:cs="Arial" w:eastAsia="Arial" w:hAnsi="Arial"/>
          <w:sz w:val="19"/>
          <w:szCs w:val="19"/>
          <w:color w:val="131E29"/>
          <w:vertAlign w:val="superscript"/>
        </w:rPr>
      </w:pPr>
      <w:r>
        <w:rPr>
          <w:rFonts w:ascii="Arial" w:cs="Arial" w:eastAsia="Arial" w:hAnsi="Arial"/>
          <w:sz w:val="14"/>
          <w:szCs w:val="14"/>
          <w:color w:val="131E29"/>
        </w:rPr>
        <w:t>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w:t>
      </w:r>
    </w:p>
    <w:p>
      <w:pPr>
        <w:spacing w:after="0" w:line="156" w:lineRule="exact"/>
        <w:rPr>
          <w:sz w:val="20"/>
          <w:szCs w:val="20"/>
          <w:color w:val="auto"/>
        </w:rPr>
      </w:pPr>
    </w:p>
    <w:p>
      <w:pPr>
        <w:jc w:val="both"/>
        <w:ind w:left="180" w:hanging="172"/>
        <w:spacing w:after="0" w:line="230" w:lineRule="auto"/>
        <w:tabs>
          <w:tab w:leader="none" w:pos="244" w:val="left"/>
        </w:tabs>
        <w:numPr>
          <w:ilvl w:val="0"/>
          <w:numId w:val="12"/>
        </w:numPr>
        <w:rPr>
          <w:rFonts w:ascii="Arial" w:cs="Arial" w:eastAsia="Arial" w:hAnsi="Arial"/>
          <w:sz w:val="19"/>
          <w:szCs w:val="19"/>
          <w:color w:val="131E29"/>
          <w:vertAlign w:val="superscript"/>
        </w:rPr>
      </w:pPr>
      <w:r>
        <w:rPr>
          <w:rFonts w:ascii="Arial" w:cs="Arial" w:eastAsia="Arial" w:hAnsi="Arial"/>
          <w:sz w:val="14"/>
          <w:szCs w:val="14"/>
          <w:color w:val="131E29"/>
        </w:rPr>
        <w:t>Company-operated and franchise shops operating weeks are calculated based on the number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spacing w:after="0" w:line="184" w:lineRule="exact"/>
        <w:rPr>
          <w:sz w:val="20"/>
          <w:szCs w:val="20"/>
          <w:color w:val="auto"/>
        </w:rPr>
      </w:pPr>
    </w:p>
    <w:p>
      <w:pPr>
        <w:ind w:left="180" w:hanging="172"/>
        <w:spacing w:after="0" w:line="234" w:lineRule="auto"/>
        <w:tabs>
          <w:tab w:leader="none" w:pos="184" w:val="left"/>
        </w:tabs>
        <w:numPr>
          <w:ilvl w:val="0"/>
          <w:numId w:val="13"/>
        </w:numPr>
        <w:rPr>
          <w:rFonts w:ascii="Arial" w:cs="Arial" w:eastAsia="Arial" w:hAnsi="Arial"/>
          <w:sz w:val="19"/>
          <w:szCs w:val="19"/>
          <w:color w:val="131E29"/>
          <w:vertAlign w:val="superscript"/>
        </w:rPr>
      </w:pPr>
      <w:r>
        <w:rPr>
          <w:rFonts w:ascii="Arial" w:cs="Arial" w:eastAsia="Arial" w:hAnsi="Arial"/>
          <w:sz w:val="14"/>
          <w:szCs w:val="14"/>
          <w:color w:val="131E29"/>
        </w:rPr>
        <w:t>Dutch Rewards, a digitally-based rewards program available exclusively through the Dutch Rewards mobile app, was launched February 2021. Management uses this metric as an indicator of customer loyalty adoption of our Dutch Rewards mobile app and future promotional plans.</w:t>
      </w:r>
    </w:p>
    <w:p>
      <w:pPr>
        <w:spacing w:after="0" w:line="157" w:lineRule="exact"/>
        <w:rPr>
          <w:sz w:val="20"/>
          <w:szCs w:val="20"/>
          <w:color w:val="auto"/>
        </w:rPr>
      </w:pPr>
    </w:p>
    <w:p>
      <w:pPr>
        <w:ind w:left="180" w:hanging="172"/>
        <w:spacing w:after="0" w:line="226" w:lineRule="auto"/>
        <w:tabs>
          <w:tab w:leader="none" w:pos="179" w:val="left"/>
        </w:tabs>
        <w:numPr>
          <w:ilvl w:val="0"/>
          <w:numId w:val="14"/>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00416B"/>
        </w:rPr>
        <w:t>Company-operated Shop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131E29"/>
        </w:rPr>
        <w:t>The results for our company-operated shops segment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6"/>
          </w:tcPr>
          <w:p>
            <w:pPr>
              <w:ind w:left="740"/>
              <w:spacing w:after="0"/>
              <w:rPr>
                <w:sz w:val="20"/>
                <w:szCs w:val="20"/>
                <w:color w:val="auto"/>
              </w:rPr>
            </w:pPr>
            <w:r>
              <w:rPr>
                <w:rFonts w:ascii="Arial" w:cs="Arial" w:eastAsia="Arial" w:hAnsi="Arial"/>
                <w:sz w:val="16"/>
                <w:szCs w:val="16"/>
                <w:b w:val="1"/>
                <w:bCs w:val="1"/>
                <w:color w:val="131E29"/>
              </w:rPr>
              <w:t>Three Months Ended June 30,</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131E29"/>
              </w:rPr>
              <w:t>Six Months Ended June 30,</w:t>
            </w:r>
          </w:p>
        </w:tc>
        <w:tc>
          <w:tcPr>
            <w:tcW w:w="760" w:type="dxa"/>
            <w:vAlign w:val="bottom"/>
          </w:tcPr>
          <w:p>
            <w:pPr>
              <w:spacing w:after="0"/>
              <w:rPr>
                <w:sz w:val="19"/>
                <w:szCs w:val="19"/>
                <w:color w:val="auto"/>
              </w:rPr>
            </w:pPr>
          </w:p>
        </w:tc>
      </w:tr>
      <w:tr>
        <w:trPr>
          <w:trHeight w:val="21"/>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3"/>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ind w:left="740"/>
              <w:spacing w:after="0"/>
              <w:rPr>
                <w:sz w:val="20"/>
                <w:szCs w:val="20"/>
                <w:color w:val="auto"/>
              </w:rPr>
            </w:pPr>
            <w:r>
              <w:rPr>
                <w:rFonts w:ascii="Arial" w:cs="Arial" w:eastAsia="Arial" w:hAnsi="Arial"/>
                <w:sz w:val="16"/>
                <w:szCs w:val="16"/>
                <w:b w:val="1"/>
                <w:bCs w:val="1"/>
                <w:color w:val="131E29"/>
              </w:rPr>
              <w:t>2023</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131E29"/>
              </w:rPr>
              <w:t>2022</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131E29"/>
              </w:rPr>
              <w:t>2023</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131E29"/>
              </w:rPr>
              <w:t>2022</w:t>
            </w:r>
          </w:p>
        </w:tc>
        <w:tc>
          <w:tcPr>
            <w:tcW w:w="760" w:type="dxa"/>
            <w:vAlign w:val="bottom"/>
            <w:tcBorders>
              <w:bottom w:val="single" w:sz="8" w:color="auto"/>
            </w:tcBorders>
          </w:tcPr>
          <w:p>
            <w:pPr>
              <w:spacing w:after="0"/>
              <w:rPr>
                <w:sz w:val="20"/>
                <w:szCs w:val="20"/>
                <w:color w:val="auto"/>
              </w:rPr>
            </w:pPr>
          </w:p>
        </w:tc>
      </w:tr>
      <w:tr>
        <w:trPr>
          <w:trHeight w:val="23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20" w:type="dxa"/>
            <w:vAlign w:val="bottom"/>
            <w:tcBorders>
              <w:bottom w:val="single" w:sz="8" w:color="D2DCE5"/>
            </w:tcBorders>
          </w:tcPr>
          <w:p>
            <w:pPr>
              <w:spacing w:after="0"/>
              <w:rPr>
                <w:sz w:val="20"/>
                <w:szCs w:val="20"/>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131E29"/>
              </w:rPr>
              <w:t>$</w:t>
            </w:r>
          </w:p>
        </w:tc>
        <w:tc>
          <w:tcPr>
            <w:tcW w:w="100" w:type="dxa"/>
            <w:vAlign w:val="bottom"/>
            <w:tcBorders>
              <w:bottom w:val="single" w:sz="8" w:color="D2DCE5"/>
            </w:tcBorders>
          </w:tcPr>
          <w:p>
            <w:pPr>
              <w:spacing w:after="0"/>
              <w:rPr>
                <w:sz w:val="20"/>
                <w:szCs w:val="20"/>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131E29"/>
              </w:rPr>
              <w:t>%</w:t>
            </w:r>
          </w:p>
        </w:tc>
        <w:tc>
          <w:tcPr>
            <w:tcW w:w="80" w:type="dxa"/>
            <w:vAlign w:val="bottom"/>
            <w:tcBorders>
              <w:bottom w:val="single" w:sz="8" w:color="D2DCE5"/>
            </w:tcBorders>
          </w:tcPr>
          <w:p>
            <w:pPr>
              <w:spacing w:after="0"/>
              <w:rPr>
                <w:sz w:val="20"/>
                <w:szCs w:val="20"/>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131E29"/>
              </w:rPr>
              <w:t>$</w:t>
            </w:r>
          </w:p>
        </w:tc>
        <w:tc>
          <w:tcPr>
            <w:tcW w:w="100" w:type="dxa"/>
            <w:vAlign w:val="bottom"/>
            <w:tcBorders>
              <w:bottom w:val="single" w:sz="8" w:color="D2DCE5"/>
            </w:tcBorders>
          </w:tcPr>
          <w:p>
            <w:pPr>
              <w:spacing w:after="0"/>
              <w:rPr>
                <w:sz w:val="20"/>
                <w:szCs w:val="20"/>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131E29"/>
              </w:rPr>
              <w:t>%</w:t>
            </w:r>
          </w:p>
        </w:tc>
        <w:tc>
          <w:tcPr>
            <w:tcW w:w="120" w:type="dxa"/>
            <w:vAlign w:val="bottom"/>
            <w:tcBorders>
              <w:bottom w:val="single" w:sz="8" w:color="D2DCE5"/>
            </w:tcBorders>
          </w:tcPr>
          <w:p>
            <w:pPr>
              <w:spacing w:after="0"/>
              <w:rPr>
                <w:sz w:val="20"/>
                <w:szCs w:val="20"/>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131E29"/>
              </w:rPr>
              <w:t>$</w:t>
            </w:r>
          </w:p>
        </w:tc>
        <w:tc>
          <w:tcPr>
            <w:tcW w:w="120" w:type="dxa"/>
            <w:vAlign w:val="bottom"/>
            <w:tcBorders>
              <w:bottom w:val="single" w:sz="8" w:color="D2DCE5"/>
            </w:tcBorders>
          </w:tcPr>
          <w:p>
            <w:pPr>
              <w:spacing w:after="0"/>
              <w:rPr>
                <w:sz w:val="20"/>
                <w:szCs w:val="20"/>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131E29"/>
              </w:rPr>
              <w:t>%</w:t>
            </w:r>
          </w:p>
        </w:tc>
        <w:tc>
          <w:tcPr>
            <w:tcW w:w="100" w:type="dxa"/>
            <w:vAlign w:val="bottom"/>
            <w:tcBorders>
              <w:bottom w:val="single" w:sz="8" w:color="D2DCE5"/>
            </w:tcBorders>
          </w:tcPr>
          <w:p>
            <w:pPr>
              <w:spacing w:after="0"/>
              <w:rPr>
                <w:sz w:val="20"/>
                <w:szCs w:val="20"/>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131E29"/>
              </w:rPr>
              <w:t>$</w:t>
            </w:r>
          </w:p>
        </w:tc>
        <w:tc>
          <w:tcPr>
            <w:tcW w:w="100" w:type="dxa"/>
            <w:vAlign w:val="bottom"/>
            <w:tcBorders>
              <w:bottom w:val="single" w:sz="8" w:color="D2DCE5"/>
            </w:tcBorders>
          </w:tcPr>
          <w:p>
            <w:pPr>
              <w:spacing w:after="0"/>
              <w:rPr>
                <w:sz w:val="20"/>
                <w:szCs w:val="20"/>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131E29"/>
              </w:rPr>
              <w:t>%</w:t>
            </w:r>
          </w:p>
        </w:tc>
      </w:tr>
      <w:tr>
        <w:trPr>
          <w:trHeight w:val="243"/>
        </w:trPr>
        <w:tc>
          <w:tcPr>
            <w:tcW w:w="35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Company-operated shop revenues</w:t>
            </w:r>
          </w:p>
        </w:tc>
        <w:tc>
          <w:tcPr>
            <w:tcW w:w="10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220,952</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w:t>
            </w:r>
          </w:p>
        </w:tc>
        <w:tc>
          <w:tcPr>
            <w:tcW w:w="1160" w:type="dxa"/>
            <w:vAlign w:val="bottom"/>
            <w:gridSpan w:val="2"/>
            <w:shd w:val="clear" w:color="auto" w:fill="D2DCE5"/>
          </w:tcPr>
          <w:p>
            <w:pPr>
              <w:jc w:val="right"/>
              <w:spacing w:after="0"/>
              <w:rPr>
                <w:sz w:val="20"/>
                <w:szCs w:val="20"/>
                <w:color w:val="auto"/>
              </w:rPr>
            </w:pPr>
            <w:r>
              <w:rPr>
                <w:rFonts w:ascii="Arial" w:cs="Arial" w:eastAsia="Arial" w:hAnsi="Arial"/>
                <w:sz w:val="16"/>
                <w:szCs w:val="16"/>
                <w:color w:val="131E29"/>
              </w:rPr>
              <w:t>160,512</w:t>
            </w:r>
          </w:p>
        </w:tc>
        <w:tc>
          <w:tcPr>
            <w:tcW w:w="100" w:type="dxa"/>
            <w:vAlign w:val="bottom"/>
            <w:shd w:val="clear" w:color="auto" w:fill="D2DCE5"/>
          </w:tcPr>
          <w:p>
            <w:pPr>
              <w:spacing w:after="0"/>
              <w:rPr>
                <w:sz w:val="21"/>
                <w:szCs w:val="21"/>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w:t>
            </w:r>
          </w:p>
        </w:tc>
        <w:tc>
          <w:tcPr>
            <w:tcW w:w="1160" w:type="dxa"/>
            <w:vAlign w:val="bottom"/>
            <w:gridSpan w:val="2"/>
            <w:shd w:val="clear" w:color="auto" w:fill="D2DCE5"/>
          </w:tcPr>
          <w:p>
            <w:pPr>
              <w:jc w:val="right"/>
              <w:spacing w:after="0"/>
              <w:rPr>
                <w:sz w:val="20"/>
                <w:szCs w:val="20"/>
                <w:color w:val="auto"/>
              </w:rPr>
            </w:pPr>
            <w:r>
              <w:rPr>
                <w:rFonts w:ascii="Arial" w:cs="Arial" w:eastAsia="Arial" w:hAnsi="Arial"/>
                <w:sz w:val="16"/>
                <w:szCs w:val="16"/>
                <w:color w:val="131E29"/>
              </w:rPr>
              <w:t>394,116</w:t>
            </w:r>
          </w:p>
        </w:tc>
        <w:tc>
          <w:tcPr>
            <w:tcW w:w="120" w:type="dxa"/>
            <w:vAlign w:val="bottom"/>
            <w:shd w:val="clear" w:color="auto" w:fill="D2DCE5"/>
          </w:tcPr>
          <w:p>
            <w:pPr>
              <w:spacing w:after="0"/>
              <w:rPr>
                <w:sz w:val="21"/>
                <w:szCs w:val="21"/>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w:t>
            </w:r>
          </w:p>
        </w:tc>
        <w:tc>
          <w:tcPr>
            <w:tcW w:w="1160" w:type="dxa"/>
            <w:vAlign w:val="bottom"/>
            <w:gridSpan w:val="2"/>
            <w:shd w:val="clear" w:color="auto" w:fill="D2DCE5"/>
          </w:tcPr>
          <w:p>
            <w:pPr>
              <w:jc w:val="right"/>
              <w:spacing w:after="0"/>
              <w:rPr>
                <w:sz w:val="20"/>
                <w:szCs w:val="20"/>
                <w:color w:val="auto"/>
              </w:rPr>
            </w:pPr>
            <w:r>
              <w:rPr>
                <w:rFonts w:ascii="Arial" w:cs="Arial" w:eastAsia="Arial" w:hAnsi="Arial"/>
                <w:sz w:val="16"/>
                <w:szCs w:val="16"/>
                <w:color w:val="131E29"/>
              </w:rPr>
              <w:t>290,699</w:t>
            </w:r>
          </w:p>
        </w:tc>
        <w:tc>
          <w:tcPr>
            <w:tcW w:w="100" w:type="dxa"/>
            <w:vAlign w:val="bottom"/>
            <w:shd w:val="clear" w:color="auto" w:fill="D2DCE5"/>
          </w:tcPr>
          <w:p>
            <w:pPr>
              <w:spacing w:after="0"/>
              <w:rPr>
                <w:sz w:val="21"/>
                <w:szCs w:val="21"/>
                <w:color w:val="auto"/>
              </w:rPr>
            </w:pPr>
          </w:p>
        </w:tc>
        <w:tc>
          <w:tcPr>
            <w:tcW w:w="7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w:t>
            </w:r>
          </w:p>
        </w:tc>
      </w:tr>
      <w:tr>
        <w:trPr>
          <w:trHeight w:val="270"/>
        </w:trPr>
        <w:tc>
          <w:tcPr>
            <w:tcW w:w="3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6"/>
        </w:trPr>
        <w:tc>
          <w:tcPr>
            <w:tcW w:w="3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Beverage, food, and packaging costs</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59,433</w:t>
            </w:r>
          </w:p>
        </w:tc>
        <w:tc>
          <w:tcPr>
            <w:tcW w:w="100" w:type="dxa"/>
            <w:vAlign w:val="bottom"/>
            <w:tcBorders>
              <w:bottom w:val="single" w:sz="8" w:color="D2DCE5"/>
            </w:tcBorders>
            <w:shd w:val="clear" w:color="auto" w:fill="D2DCE5"/>
          </w:tcPr>
          <w:p>
            <w:pPr>
              <w:spacing w:after="0"/>
              <w:rPr>
                <w:sz w:val="20"/>
                <w:szCs w:val="20"/>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26.8</w:t>
            </w:r>
          </w:p>
        </w:tc>
        <w:tc>
          <w:tcPr>
            <w:tcW w:w="11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43,548</w:t>
            </w:r>
          </w:p>
        </w:tc>
        <w:tc>
          <w:tcPr>
            <w:tcW w:w="100" w:type="dxa"/>
            <w:vAlign w:val="bottom"/>
            <w:tcBorders>
              <w:bottom w:val="single" w:sz="8" w:color="D2DCE5"/>
            </w:tcBorders>
            <w:shd w:val="clear" w:color="auto" w:fill="D2DCE5"/>
          </w:tcPr>
          <w:p>
            <w:pPr>
              <w:spacing w:after="0"/>
              <w:rPr>
                <w:sz w:val="20"/>
                <w:szCs w:val="20"/>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27.1</w:t>
            </w:r>
          </w:p>
        </w:tc>
        <w:tc>
          <w:tcPr>
            <w:tcW w:w="11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108,385</w:t>
            </w:r>
          </w:p>
        </w:tc>
        <w:tc>
          <w:tcPr>
            <w:tcW w:w="120" w:type="dxa"/>
            <w:vAlign w:val="bottom"/>
            <w:tcBorders>
              <w:bottom w:val="single" w:sz="8" w:color="D2DCE5"/>
            </w:tcBorders>
            <w:shd w:val="clear" w:color="auto" w:fill="D2DCE5"/>
          </w:tcPr>
          <w:p>
            <w:pPr>
              <w:spacing w:after="0"/>
              <w:rPr>
                <w:sz w:val="20"/>
                <w:szCs w:val="20"/>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27.6</w:t>
            </w:r>
          </w:p>
        </w:tc>
        <w:tc>
          <w:tcPr>
            <w:tcW w:w="11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79,170</w:t>
            </w:r>
          </w:p>
        </w:tc>
        <w:tc>
          <w:tcPr>
            <w:tcW w:w="100" w:type="dxa"/>
            <w:vAlign w:val="bottom"/>
            <w:tcBorders>
              <w:bottom w:val="single" w:sz="8" w:color="D2DCE5"/>
            </w:tcBorders>
            <w:shd w:val="clear" w:color="auto" w:fill="D2DCE5"/>
          </w:tcPr>
          <w:p>
            <w:pPr>
              <w:spacing w:after="0"/>
              <w:rPr>
                <w:sz w:val="20"/>
                <w:szCs w:val="20"/>
                <w:color w:val="auto"/>
              </w:rPr>
            </w:pP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27.2</w:t>
            </w:r>
          </w:p>
        </w:tc>
      </w:tr>
      <w:tr>
        <w:trPr>
          <w:trHeight w:val="233"/>
        </w:trPr>
        <w:tc>
          <w:tcPr>
            <w:tcW w:w="3520" w:type="dxa"/>
            <w:vAlign w:val="bottom"/>
            <w:gridSpan w:val="2"/>
          </w:tcPr>
          <w:p>
            <w:pPr>
              <w:ind w:left="20"/>
              <w:spacing w:after="0"/>
              <w:rPr>
                <w:sz w:val="20"/>
                <w:szCs w:val="20"/>
                <w:color w:val="auto"/>
              </w:rPr>
            </w:pPr>
            <w:r>
              <w:rPr>
                <w:rFonts w:ascii="Arial" w:cs="Arial" w:eastAsia="Arial" w:hAnsi="Arial"/>
                <w:sz w:val="16"/>
                <w:szCs w:val="16"/>
                <w:color w:val="131E29"/>
              </w:rPr>
              <w:t>Labor costs</w:t>
            </w:r>
          </w:p>
        </w:tc>
        <w:tc>
          <w:tcPr>
            <w:tcW w:w="1060" w:type="dxa"/>
            <w:vAlign w:val="bottom"/>
          </w:tcPr>
          <w:p>
            <w:pPr>
              <w:jc w:val="right"/>
              <w:spacing w:after="0"/>
              <w:rPr>
                <w:sz w:val="20"/>
                <w:szCs w:val="20"/>
                <w:color w:val="auto"/>
              </w:rPr>
            </w:pPr>
            <w:r>
              <w:rPr>
                <w:rFonts w:ascii="Arial" w:cs="Arial" w:eastAsia="Arial" w:hAnsi="Arial"/>
                <w:sz w:val="16"/>
                <w:szCs w:val="16"/>
                <w:color w:val="131E29"/>
              </w:rPr>
              <w:t>58,735</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131E29"/>
              </w:rPr>
              <w:t>26.6</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47,240</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131E29"/>
              </w:rPr>
              <w:t>29.4</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107,284</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131E29"/>
              </w:rPr>
              <w:t>27.2</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89,001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131E29"/>
              </w:rPr>
              <w:t>30.6</w:t>
            </w:r>
          </w:p>
        </w:tc>
      </w:tr>
      <w:tr>
        <w:trPr>
          <w:trHeight w:val="246"/>
        </w:trPr>
        <w:tc>
          <w:tcPr>
            <w:tcW w:w="3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Occupancy and other costs</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32,642</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14.8</w:t>
            </w:r>
          </w:p>
        </w:tc>
        <w:tc>
          <w:tcPr>
            <w:tcW w:w="11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26,621</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16.6</w:t>
            </w:r>
          </w:p>
        </w:tc>
        <w:tc>
          <w:tcPr>
            <w:tcW w:w="11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63,201</w:t>
            </w:r>
          </w:p>
        </w:tc>
        <w:tc>
          <w:tcPr>
            <w:tcW w:w="12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16.0</w:t>
            </w:r>
          </w:p>
        </w:tc>
        <w:tc>
          <w:tcPr>
            <w:tcW w:w="11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49,624</w:t>
            </w:r>
          </w:p>
        </w:tc>
        <w:tc>
          <w:tcPr>
            <w:tcW w:w="100" w:type="dxa"/>
            <w:vAlign w:val="bottom"/>
            <w:tcBorders>
              <w:bottom w:val="single" w:sz="8" w:color="D2DCE5"/>
            </w:tcBorders>
            <w:shd w:val="clear" w:color="auto" w:fill="D2DCE5"/>
          </w:tcPr>
          <w:p>
            <w:pPr>
              <w:spacing w:after="0"/>
              <w:rPr>
                <w:sz w:val="21"/>
                <w:szCs w:val="21"/>
                <w:color w:val="auto"/>
              </w:rPr>
            </w:pP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17.1</w:t>
            </w:r>
          </w:p>
        </w:tc>
      </w:tr>
      <w:tr>
        <w:trPr>
          <w:trHeight w:val="233"/>
        </w:trPr>
        <w:tc>
          <w:tcPr>
            <w:tcW w:w="3520" w:type="dxa"/>
            <w:vAlign w:val="bottom"/>
            <w:gridSpan w:val="2"/>
          </w:tcPr>
          <w:p>
            <w:pPr>
              <w:ind w:left="20"/>
              <w:spacing w:after="0"/>
              <w:rPr>
                <w:sz w:val="20"/>
                <w:szCs w:val="20"/>
                <w:color w:val="auto"/>
              </w:rPr>
            </w:pPr>
            <w:r>
              <w:rPr>
                <w:rFonts w:ascii="Arial" w:cs="Arial" w:eastAsia="Arial" w:hAnsi="Arial"/>
                <w:sz w:val="16"/>
                <w:szCs w:val="16"/>
                <w:color w:val="131E29"/>
              </w:rPr>
              <w:t>Pre-opening costs</w:t>
            </w:r>
          </w:p>
        </w:tc>
        <w:tc>
          <w:tcPr>
            <w:tcW w:w="1060" w:type="dxa"/>
            <w:vAlign w:val="bottom"/>
          </w:tcPr>
          <w:p>
            <w:pPr>
              <w:jc w:val="right"/>
              <w:spacing w:after="0"/>
              <w:rPr>
                <w:sz w:val="20"/>
                <w:szCs w:val="20"/>
                <w:color w:val="auto"/>
              </w:rPr>
            </w:pPr>
            <w:r>
              <w:rPr>
                <w:rFonts w:ascii="Arial" w:cs="Arial" w:eastAsia="Arial" w:hAnsi="Arial"/>
                <w:sz w:val="16"/>
                <w:szCs w:val="16"/>
                <w:color w:val="131E29"/>
              </w:rPr>
              <w:t>3,264</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131E29"/>
              </w:rPr>
              <w:t>1.5</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3,578</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131E29"/>
              </w:rPr>
              <w:t>2.2</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6,495</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131E29"/>
              </w:rPr>
              <w:t>1.6</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9,600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131E29"/>
              </w:rPr>
              <w:t>3.3</w:t>
            </w:r>
          </w:p>
        </w:tc>
      </w:tr>
      <w:tr>
        <w:trPr>
          <w:trHeight w:val="246"/>
        </w:trPr>
        <w:tc>
          <w:tcPr>
            <w:tcW w:w="3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Depreciation and amortization</w:t>
            </w: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14,799</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6.7</w:t>
            </w:r>
          </w:p>
        </w:tc>
        <w:tc>
          <w:tcPr>
            <w:tcW w:w="80" w:type="dxa"/>
            <w:vAlign w:val="bottom"/>
            <w:tcBorders>
              <w:bottom w:val="single" w:sz="8" w:color="D2DCE5"/>
            </w:tcBorders>
            <w:shd w:val="clear" w:color="auto" w:fill="D2DCE5"/>
          </w:tcPr>
          <w:p>
            <w:pPr>
              <w:spacing w:after="0"/>
              <w:rPr>
                <w:sz w:val="21"/>
                <w:szCs w:val="21"/>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8,307</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5.2</w:t>
            </w:r>
          </w:p>
        </w:tc>
        <w:tc>
          <w:tcPr>
            <w:tcW w:w="12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27,800</w:t>
            </w:r>
          </w:p>
        </w:tc>
        <w:tc>
          <w:tcPr>
            <w:tcW w:w="12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7.1</w:t>
            </w:r>
          </w:p>
        </w:tc>
        <w:tc>
          <w:tcPr>
            <w:tcW w:w="10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15,447</w:t>
            </w:r>
          </w:p>
        </w:tc>
        <w:tc>
          <w:tcPr>
            <w:tcW w:w="100" w:type="dxa"/>
            <w:vAlign w:val="bottom"/>
            <w:tcBorders>
              <w:bottom w:val="single" w:sz="8" w:color="D2DCE5"/>
            </w:tcBorders>
            <w:shd w:val="clear" w:color="auto" w:fill="D2DCE5"/>
          </w:tcPr>
          <w:p>
            <w:pPr>
              <w:spacing w:after="0"/>
              <w:rPr>
                <w:sz w:val="21"/>
                <w:szCs w:val="21"/>
                <w:color w:val="auto"/>
              </w:rPr>
            </w:pPr>
          </w:p>
        </w:tc>
        <w:tc>
          <w:tcPr>
            <w:tcW w:w="7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5.3</w:t>
            </w:r>
          </w:p>
        </w:tc>
      </w:tr>
      <w:tr>
        <w:trPr>
          <w:trHeight w:val="224"/>
        </w:trPr>
        <w:tc>
          <w:tcPr>
            <w:tcW w:w="3520" w:type="dxa"/>
            <w:vAlign w:val="bottom"/>
            <w:gridSpan w:val="2"/>
          </w:tcPr>
          <w:p>
            <w:pPr>
              <w:ind w:left="20"/>
              <w:spacing w:after="0"/>
              <w:rPr>
                <w:sz w:val="20"/>
                <w:szCs w:val="20"/>
                <w:color w:val="auto"/>
              </w:rPr>
            </w:pPr>
            <w:r>
              <w:rPr>
                <w:rFonts w:ascii="Arial" w:cs="Arial" w:eastAsia="Arial" w:hAnsi="Arial"/>
                <w:sz w:val="16"/>
                <w:szCs w:val="16"/>
                <w:color w:val="131E29"/>
              </w:rPr>
              <w:t>Company-operated shop costs and expenses</w:t>
            </w:r>
          </w:p>
        </w:tc>
        <w:tc>
          <w:tcPr>
            <w:tcW w:w="1060" w:type="dxa"/>
            <w:vAlign w:val="bottom"/>
          </w:tcPr>
          <w:p>
            <w:pPr>
              <w:jc w:val="right"/>
              <w:spacing w:after="0"/>
              <w:rPr>
                <w:sz w:val="20"/>
                <w:szCs w:val="20"/>
                <w:color w:val="auto"/>
              </w:rPr>
            </w:pPr>
            <w:r>
              <w:rPr>
                <w:rFonts w:ascii="Arial" w:cs="Arial" w:eastAsia="Arial" w:hAnsi="Arial"/>
                <w:sz w:val="16"/>
                <w:szCs w:val="16"/>
                <w:color w:val="131E29"/>
              </w:rPr>
              <w:t>168,873</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131E29"/>
              </w:rPr>
              <w:t>76.4</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129,294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131E29"/>
              </w:rPr>
              <w:t>80.6</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313,165</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131E29"/>
              </w:rPr>
              <w:t>79.5</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242,842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131E29"/>
              </w:rPr>
              <w:t>83.5</w:t>
            </w:r>
          </w:p>
        </w:tc>
      </w:tr>
      <w:tr>
        <w:trPr>
          <w:trHeight w:val="33"/>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3400" w:type="dxa"/>
            <w:vAlign w:val="bottom"/>
            <w:tcBorders>
              <w:bottom w:val="single" w:sz="8" w:color="D2DCE5"/>
            </w:tcBorders>
            <w:shd w:val="clear" w:color="auto" w:fill="D2DCE5"/>
          </w:tcPr>
          <w:p>
            <w:pPr>
              <w:spacing w:after="0"/>
              <w:rPr>
                <w:sz w:val="22"/>
                <w:szCs w:val="22"/>
                <w:color w:val="auto"/>
              </w:rPr>
            </w:pPr>
          </w:p>
        </w:tc>
        <w:tc>
          <w:tcPr>
            <w:tcW w:w="120" w:type="dxa"/>
            <w:vAlign w:val="bottom"/>
            <w:tcBorders>
              <w:bottom w:val="single" w:sz="8" w:color="D2DCE5"/>
            </w:tcBorders>
            <w:shd w:val="clear" w:color="auto" w:fill="D2DCE5"/>
          </w:tcPr>
          <w:p>
            <w:pPr>
              <w:spacing w:after="0"/>
              <w:rPr>
                <w:sz w:val="22"/>
                <w:szCs w:val="22"/>
                <w:color w:val="auto"/>
              </w:rPr>
            </w:pPr>
          </w:p>
        </w:tc>
        <w:tc>
          <w:tcPr>
            <w:tcW w:w="1060" w:type="dxa"/>
            <w:vAlign w:val="bottom"/>
            <w:tcBorders>
              <w:bottom w:val="single" w:sz="8" w:color="auto"/>
            </w:tcBorders>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680" w:type="dxa"/>
            <w:vAlign w:val="bottom"/>
            <w:tcBorders>
              <w:bottom w:val="single" w:sz="8" w:color="auto"/>
            </w:tcBorders>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1080" w:type="dxa"/>
            <w:vAlign w:val="bottom"/>
            <w:tcBorders>
              <w:bottom w:val="single" w:sz="8" w:color="auto"/>
            </w:tcBorders>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660" w:type="dxa"/>
            <w:vAlign w:val="bottom"/>
            <w:tcBorders>
              <w:bottom w:val="single" w:sz="8" w:color="auto"/>
            </w:tcBorders>
            <w:shd w:val="clear" w:color="auto" w:fill="D2DCE5"/>
          </w:tcPr>
          <w:p>
            <w:pPr>
              <w:spacing w:after="0"/>
              <w:rPr>
                <w:sz w:val="22"/>
                <w:szCs w:val="22"/>
                <w:color w:val="auto"/>
              </w:rPr>
            </w:pPr>
          </w:p>
        </w:tc>
        <w:tc>
          <w:tcPr>
            <w:tcW w:w="12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spacing w:after="0"/>
              <w:rPr>
                <w:sz w:val="22"/>
                <w:szCs w:val="22"/>
                <w:color w:val="auto"/>
              </w:rPr>
            </w:pPr>
          </w:p>
        </w:tc>
        <w:tc>
          <w:tcPr>
            <w:tcW w:w="120" w:type="dxa"/>
            <w:vAlign w:val="bottom"/>
            <w:tcBorders>
              <w:bottom w:val="single" w:sz="8" w:color="D2DCE5"/>
            </w:tcBorders>
            <w:shd w:val="clear" w:color="auto" w:fill="D2DCE5"/>
          </w:tcPr>
          <w:p>
            <w:pPr>
              <w:spacing w:after="0"/>
              <w:rPr>
                <w:sz w:val="22"/>
                <w:szCs w:val="22"/>
                <w:color w:val="auto"/>
              </w:rPr>
            </w:pPr>
          </w:p>
        </w:tc>
        <w:tc>
          <w:tcPr>
            <w:tcW w:w="660" w:type="dxa"/>
            <w:vAlign w:val="bottom"/>
            <w:tcBorders>
              <w:bottom w:val="single" w:sz="8" w:color="auto"/>
            </w:tcBorders>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1060" w:type="dxa"/>
            <w:vAlign w:val="bottom"/>
            <w:tcBorders>
              <w:bottom w:val="single" w:sz="8" w:color="auto"/>
            </w:tcBorders>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760" w:type="dxa"/>
            <w:vAlign w:val="bottom"/>
            <w:tcBorders>
              <w:bottom w:val="single" w:sz="8" w:color="auto"/>
            </w:tcBorders>
            <w:shd w:val="clear" w:color="auto" w:fill="D2DCE5"/>
          </w:tcPr>
          <w:p>
            <w:pPr>
              <w:spacing w:after="0"/>
              <w:rPr>
                <w:sz w:val="22"/>
                <w:szCs w:val="22"/>
                <w:color w:val="auto"/>
              </w:rPr>
            </w:pPr>
          </w:p>
        </w:tc>
      </w:tr>
      <w:tr>
        <w:trPr>
          <w:trHeight w:val="247"/>
        </w:trPr>
        <w:tc>
          <w:tcPr>
            <w:tcW w:w="3520" w:type="dxa"/>
            <w:vAlign w:val="bottom"/>
            <w:gridSpan w:val="2"/>
          </w:tcPr>
          <w:p>
            <w:pPr>
              <w:ind w:left="180"/>
              <w:spacing w:after="0"/>
              <w:rPr>
                <w:sz w:val="20"/>
                <w:szCs w:val="20"/>
                <w:color w:val="auto"/>
              </w:rPr>
            </w:pPr>
            <w:r>
              <w:rPr>
                <w:rFonts w:ascii="Arial" w:cs="Arial" w:eastAsia="Arial" w:hAnsi="Arial"/>
                <w:sz w:val="16"/>
                <w:szCs w:val="16"/>
                <w:color w:val="131E29"/>
              </w:rPr>
              <w:t>Company-operated shop gross profit</w:t>
            </w:r>
          </w:p>
        </w:tc>
        <w:tc>
          <w:tcPr>
            <w:tcW w:w="1060" w:type="dxa"/>
            <w:vAlign w:val="bottom"/>
          </w:tcPr>
          <w:p>
            <w:pPr>
              <w:jc w:val="right"/>
              <w:spacing w:after="0"/>
              <w:rPr>
                <w:sz w:val="20"/>
                <w:szCs w:val="20"/>
                <w:color w:val="auto"/>
              </w:rPr>
            </w:pPr>
            <w:r>
              <w:rPr>
                <w:rFonts w:ascii="Arial" w:cs="Arial" w:eastAsia="Arial" w:hAnsi="Arial"/>
                <w:sz w:val="16"/>
                <w:szCs w:val="16"/>
                <w:color w:val="131E29"/>
              </w:rPr>
              <w:t>52,079</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131E29"/>
              </w:rPr>
              <w:t>23.6</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31,218</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131E29"/>
              </w:rPr>
              <w:t>19.4</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80,951</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131E29"/>
              </w:rPr>
              <w:t>20.5</w:t>
            </w:r>
          </w:p>
        </w:tc>
        <w:tc>
          <w:tcPr>
            <w:tcW w:w="1160" w:type="dxa"/>
            <w:vAlign w:val="bottom"/>
            <w:gridSpan w:val="2"/>
          </w:tcPr>
          <w:p>
            <w:pPr>
              <w:jc w:val="right"/>
              <w:spacing w:after="0"/>
              <w:rPr>
                <w:sz w:val="20"/>
                <w:szCs w:val="20"/>
                <w:color w:val="auto"/>
              </w:rPr>
            </w:pPr>
            <w:r>
              <w:rPr>
                <w:rFonts w:ascii="Arial" w:cs="Arial" w:eastAsia="Arial" w:hAnsi="Arial"/>
                <w:sz w:val="16"/>
                <w:szCs w:val="16"/>
                <w:color w:val="131E29"/>
              </w:rPr>
              <w:t>47,857</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131E29"/>
              </w:rPr>
              <w:t>16.5</w:t>
            </w:r>
          </w:p>
        </w:tc>
      </w:tr>
      <w:tr>
        <w:trPr>
          <w:trHeight w:val="20"/>
        </w:trPr>
        <w:tc>
          <w:tcPr>
            <w:tcW w:w="3400" w:type="dxa"/>
            <w:vAlign w:val="bottom"/>
            <w:tcBorders>
              <w:bottom w:val="single" w:sz="8" w:color="D2DCE5"/>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40"/>
        </w:trPr>
        <w:tc>
          <w:tcPr>
            <w:tcW w:w="3520" w:type="dxa"/>
            <w:vAlign w:val="bottom"/>
            <w:gridSpan w:val="2"/>
            <w:shd w:val="clear" w:color="auto" w:fill="D2DCE5"/>
          </w:tcPr>
          <w:p>
            <w:pPr>
              <w:ind w:left="180"/>
              <w:spacing w:after="0" w:line="240" w:lineRule="exact"/>
              <w:rPr>
                <w:sz w:val="20"/>
                <w:szCs w:val="20"/>
                <w:color w:val="auto"/>
              </w:rPr>
            </w:pPr>
            <w:r>
              <w:rPr>
                <w:rFonts w:ascii="Arial" w:cs="Arial" w:eastAsia="Arial" w:hAnsi="Arial"/>
                <w:sz w:val="16"/>
                <w:szCs w:val="16"/>
                <w:color w:val="131E29"/>
              </w:rPr>
              <w:t xml:space="preserve">Company-operated shop contribution </w:t>
            </w:r>
            <w:r>
              <w:rPr>
                <w:rFonts w:ascii="Arial" w:cs="Arial" w:eastAsia="Arial" w:hAnsi="Arial"/>
                <w:sz w:val="21"/>
                <w:szCs w:val="21"/>
                <w:color w:val="131E29"/>
                <w:vertAlign w:val="superscript"/>
              </w:rPr>
              <w:t>1</w:t>
            </w:r>
          </w:p>
        </w:tc>
        <w:tc>
          <w:tcPr>
            <w:tcW w:w="10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66,878</w:t>
            </w:r>
          </w:p>
        </w:tc>
        <w:tc>
          <w:tcPr>
            <w:tcW w:w="100" w:type="dxa"/>
            <w:vAlign w:val="bottom"/>
            <w:shd w:val="clear" w:color="auto" w:fill="D2DCE5"/>
          </w:tcPr>
          <w:p>
            <w:pPr>
              <w:spacing w:after="0"/>
              <w:rPr>
                <w:sz w:val="20"/>
                <w:szCs w:val="20"/>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30.3</w:t>
            </w:r>
          </w:p>
        </w:tc>
        <w:tc>
          <w:tcPr>
            <w:tcW w:w="1160" w:type="dxa"/>
            <w:vAlign w:val="bottom"/>
            <w:gridSpan w:val="2"/>
            <w:shd w:val="clear" w:color="auto" w:fill="D2DCE5"/>
          </w:tcPr>
          <w:p>
            <w:pPr>
              <w:jc w:val="right"/>
              <w:spacing w:after="0"/>
              <w:rPr>
                <w:sz w:val="20"/>
                <w:szCs w:val="20"/>
                <w:color w:val="auto"/>
              </w:rPr>
            </w:pPr>
            <w:r>
              <w:rPr>
                <w:rFonts w:ascii="Arial" w:cs="Arial" w:eastAsia="Arial" w:hAnsi="Arial"/>
                <w:sz w:val="16"/>
                <w:szCs w:val="16"/>
                <w:color w:val="131E29"/>
              </w:rPr>
              <w:t>39,525</w:t>
            </w:r>
          </w:p>
        </w:tc>
        <w:tc>
          <w:tcPr>
            <w:tcW w:w="100" w:type="dxa"/>
            <w:vAlign w:val="bottom"/>
            <w:shd w:val="clear" w:color="auto" w:fill="D2DCE5"/>
          </w:tcPr>
          <w:p>
            <w:pPr>
              <w:spacing w:after="0"/>
              <w:rPr>
                <w:sz w:val="20"/>
                <w:szCs w:val="20"/>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24.6</w:t>
            </w:r>
          </w:p>
        </w:tc>
        <w:tc>
          <w:tcPr>
            <w:tcW w:w="1160" w:type="dxa"/>
            <w:vAlign w:val="bottom"/>
            <w:gridSpan w:val="2"/>
            <w:shd w:val="clear" w:color="auto" w:fill="D2DCE5"/>
          </w:tcPr>
          <w:p>
            <w:pPr>
              <w:jc w:val="right"/>
              <w:spacing w:after="0"/>
              <w:rPr>
                <w:sz w:val="20"/>
                <w:szCs w:val="20"/>
                <w:color w:val="auto"/>
              </w:rPr>
            </w:pPr>
            <w:r>
              <w:rPr>
                <w:rFonts w:ascii="Arial" w:cs="Arial" w:eastAsia="Arial" w:hAnsi="Arial"/>
                <w:sz w:val="16"/>
                <w:szCs w:val="16"/>
                <w:color w:val="131E29"/>
              </w:rPr>
              <w:t>108,751</w:t>
            </w:r>
          </w:p>
        </w:tc>
        <w:tc>
          <w:tcPr>
            <w:tcW w:w="120" w:type="dxa"/>
            <w:vAlign w:val="bottom"/>
            <w:shd w:val="clear" w:color="auto" w:fill="D2DCE5"/>
          </w:tcPr>
          <w:p>
            <w:pPr>
              <w:spacing w:after="0"/>
              <w:rPr>
                <w:sz w:val="20"/>
                <w:szCs w:val="20"/>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27.6</w:t>
            </w:r>
          </w:p>
        </w:tc>
        <w:tc>
          <w:tcPr>
            <w:tcW w:w="1160" w:type="dxa"/>
            <w:vAlign w:val="bottom"/>
            <w:gridSpan w:val="2"/>
            <w:shd w:val="clear" w:color="auto" w:fill="D2DCE5"/>
          </w:tcPr>
          <w:p>
            <w:pPr>
              <w:jc w:val="right"/>
              <w:spacing w:after="0"/>
              <w:rPr>
                <w:sz w:val="20"/>
                <w:szCs w:val="20"/>
                <w:color w:val="auto"/>
              </w:rPr>
            </w:pPr>
            <w:r>
              <w:rPr>
                <w:rFonts w:ascii="Arial" w:cs="Arial" w:eastAsia="Arial" w:hAnsi="Arial"/>
                <w:sz w:val="16"/>
                <w:szCs w:val="16"/>
                <w:color w:val="131E29"/>
              </w:rPr>
              <w:t>63,304</w:t>
            </w:r>
          </w:p>
        </w:tc>
        <w:tc>
          <w:tcPr>
            <w:tcW w:w="100" w:type="dxa"/>
            <w:vAlign w:val="bottom"/>
            <w:shd w:val="clear" w:color="auto" w:fill="D2DCE5"/>
          </w:tcPr>
          <w:p>
            <w:pPr>
              <w:spacing w:after="0"/>
              <w:rPr>
                <w:sz w:val="20"/>
                <w:szCs w:val="20"/>
                <w:color w:val="auto"/>
              </w:rPr>
            </w:pPr>
          </w:p>
        </w:tc>
        <w:tc>
          <w:tcPr>
            <w:tcW w:w="7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21.8</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9" w:lineRule="exact"/>
        <w:rPr>
          <w:sz w:val="20"/>
          <w:szCs w:val="20"/>
          <w:color w:val="auto"/>
        </w:rPr>
      </w:pPr>
    </w:p>
    <w:p>
      <w:pPr>
        <w:ind w:left="180" w:hanging="172"/>
        <w:spacing w:after="0" w:line="217" w:lineRule="auto"/>
        <w:tabs>
          <w:tab w:leader="none" w:pos="179" w:val="left"/>
        </w:tabs>
        <w:numPr>
          <w:ilvl w:val="0"/>
          <w:numId w:val="15"/>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II, Item 2 “Management’s Discussion and Analysis of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Company-operated Shops Segment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131E29"/>
              </w:rPr>
              <w:t>Three Months Ended June 30,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839"/>
              <w:spacing w:after="0"/>
              <w:rPr>
                <w:sz w:val="20"/>
                <w:szCs w:val="20"/>
                <w:color w:val="auto"/>
              </w:rPr>
            </w:pPr>
            <w:r>
              <w:rPr>
                <w:rFonts w:ascii="Arial" w:cs="Arial" w:eastAsia="Arial" w:hAnsi="Arial"/>
                <w:sz w:val="16"/>
                <w:szCs w:val="16"/>
                <w:b w:val="1"/>
                <w:bCs w:val="1"/>
                <w:color w:val="131E29"/>
              </w:rPr>
              <w:t>Six Months Ended June 30,</w:t>
            </w:r>
          </w:p>
        </w:tc>
      </w:tr>
      <w:tr>
        <w:trPr>
          <w:trHeight w:val="23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131E29"/>
              </w:rPr>
              <w:t>2023</w:t>
            </w:r>
          </w:p>
        </w:tc>
        <w:tc>
          <w:tcPr>
            <w:tcW w:w="80" w:type="dxa"/>
            <w:vAlign w:val="bottom"/>
          </w:tcPr>
          <w:p>
            <w:pPr>
              <w:spacing w:after="0"/>
              <w:rPr>
                <w:sz w:val="20"/>
                <w:szCs w:val="20"/>
                <w:color w:val="auto"/>
              </w:rPr>
            </w:pPr>
          </w:p>
        </w:tc>
        <w:tc>
          <w:tcPr>
            <w:tcW w:w="1020" w:type="dxa"/>
            <w:vAlign w:val="bottom"/>
            <w:tcBorders>
              <w:bottom w:val="single" w:sz="8" w:color="131E29"/>
            </w:tcBorders>
          </w:tcPr>
          <w:p>
            <w:pPr>
              <w:jc w:val="right"/>
              <w:ind w:right="239"/>
              <w:spacing w:after="0"/>
              <w:rPr>
                <w:sz w:val="20"/>
                <w:szCs w:val="20"/>
                <w:color w:val="auto"/>
              </w:rPr>
            </w:pPr>
            <w:r>
              <w:rPr>
                <w:rFonts w:ascii="Arial" w:cs="Arial" w:eastAsia="Arial" w:hAnsi="Arial"/>
                <w:sz w:val="16"/>
                <w:szCs w:val="16"/>
                <w:b w:val="1"/>
                <w:bCs w:val="1"/>
                <w:color w:val="131E29"/>
              </w:rPr>
              <w:t>2022</w:t>
            </w:r>
          </w:p>
        </w:tc>
        <w:tc>
          <w:tcPr>
            <w:tcW w:w="120" w:type="dxa"/>
            <w:vAlign w:val="bottom"/>
          </w:tcPr>
          <w:p>
            <w:pPr>
              <w:spacing w:after="0"/>
              <w:rPr>
                <w:sz w:val="20"/>
                <w:szCs w:val="20"/>
                <w:color w:val="auto"/>
              </w:rPr>
            </w:pPr>
          </w:p>
        </w:tc>
        <w:tc>
          <w:tcPr>
            <w:tcW w:w="1600" w:type="dxa"/>
            <w:vAlign w:val="bottom"/>
            <w:tcBorders>
              <w:bottom w:val="single" w:sz="8" w:color="131E29"/>
            </w:tcBorders>
          </w:tcPr>
          <w:p>
            <w:pPr>
              <w:ind w:left="340"/>
              <w:spacing w:after="0"/>
              <w:rPr>
                <w:sz w:val="20"/>
                <w:szCs w:val="20"/>
                <w:color w:val="auto"/>
              </w:rPr>
            </w:pPr>
            <w:r>
              <w:rPr>
                <w:rFonts w:ascii="Arial" w:cs="Arial" w:eastAsia="Arial" w:hAnsi="Arial"/>
                <w:sz w:val="16"/>
                <w:szCs w:val="16"/>
                <w:b w:val="1"/>
                <w:bCs w:val="1"/>
                <w:color w:val="131E29"/>
              </w:rPr>
              <w:t>2023 v. 2022</w:t>
            </w:r>
          </w:p>
        </w:tc>
        <w:tc>
          <w:tcPr>
            <w:tcW w:w="120" w:type="dxa"/>
            <w:vAlign w:val="bottom"/>
          </w:tcPr>
          <w:p>
            <w:pPr>
              <w:spacing w:after="0"/>
              <w:rPr>
                <w:sz w:val="20"/>
                <w:szCs w:val="20"/>
                <w:color w:val="auto"/>
              </w:rPr>
            </w:pPr>
          </w:p>
        </w:tc>
        <w:tc>
          <w:tcPr>
            <w:tcW w:w="200" w:type="dxa"/>
            <w:vAlign w:val="bottom"/>
            <w:tcBorders>
              <w:bottom w:val="single" w:sz="8" w:color="131E29"/>
            </w:tcBorders>
          </w:tcPr>
          <w:p>
            <w:pPr>
              <w:spacing w:after="0"/>
              <w:rPr>
                <w:sz w:val="20"/>
                <w:szCs w:val="20"/>
                <w:color w:val="auto"/>
              </w:rPr>
            </w:pPr>
          </w:p>
        </w:tc>
        <w:tc>
          <w:tcPr>
            <w:tcW w:w="720" w:type="dxa"/>
            <w:vAlign w:val="bottom"/>
            <w:tcBorders>
              <w:bottom w:val="single" w:sz="8" w:color="131E29"/>
            </w:tcBorders>
          </w:tcPr>
          <w:p>
            <w:pPr>
              <w:jc w:val="right"/>
              <w:ind w:right="179"/>
              <w:spacing w:after="0"/>
              <w:rPr>
                <w:sz w:val="20"/>
                <w:szCs w:val="20"/>
                <w:color w:val="auto"/>
              </w:rPr>
            </w:pPr>
            <w:r>
              <w:rPr>
                <w:rFonts w:ascii="Arial" w:cs="Arial" w:eastAsia="Arial" w:hAnsi="Arial"/>
                <w:sz w:val="16"/>
                <w:szCs w:val="16"/>
                <w:b w:val="1"/>
                <w:bCs w:val="1"/>
                <w:color w:val="131E29"/>
              </w:rPr>
              <w:t>2023</w:t>
            </w:r>
          </w:p>
        </w:tc>
        <w:tc>
          <w:tcPr>
            <w:tcW w:w="60" w:type="dxa"/>
            <w:vAlign w:val="bottom"/>
            <w:tcBorders>
              <w:bottom w:val="single" w:sz="8" w:color="131E29"/>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131E29"/>
            </w:tcBorders>
          </w:tcPr>
          <w:p>
            <w:pPr>
              <w:jc w:val="right"/>
              <w:ind w:right="239"/>
              <w:spacing w:after="0"/>
              <w:rPr>
                <w:sz w:val="20"/>
                <w:szCs w:val="20"/>
                <w:color w:val="auto"/>
              </w:rPr>
            </w:pPr>
            <w:r>
              <w:rPr>
                <w:rFonts w:ascii="Arial" w:cs="Arial" w:eastAsia="Arial" w:hAnsi="Arial"/>
                <w:sz w:val="16"/>
                <w:szCs w:val="16"/>
                <w:b w:val="1"/>
                <w:bCs w:val="1"/>
                <w:color w:val="131E29"/>
              </w:rPr>
              <w:t>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131E29"/>
              </w:rPr>
              <w:t>2023 v. 2022</w:t>
            </w:r>
          </w:p>
        </w:tc>
      </w:tr>
      <w:tr>
        <w:trPr>
          <w:trHeight w:val="221"/>
        </w:trPr>
        <w:tc>
          <w:tcPr>
            <w:tcW w:w="33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Company-operated shop revenues</w:t>
            </w:r>
          </w:p>
        </w:tc>
        <w:tc>
          <w:tcPr>
            <w:tcW w:w="1020" w:type="dxa"/>
            <w:vAlign w:val="bottom"/>
            <w:shd w:val="clear" w:color="auto" w:fill="D2DCE5"/>
          </w:tcPr>
          <w:p>
            <w:pPr>
              <w:jc w:val="right"/>
              <w:ind w:right="59"/>
              <w:spacing w:after="0"/>
              <w:rPr>
                <w:sz w:val="20"/>
                <w:szCs w:val="20"/>
                <w:color w:val="auto"/>
              </w:rPr>
            </w:pPr>
            <w:r>
              <w:rPr>
                <w:rFonts w:ascii="Arial" w:cs="Arial" w:eastAsia="Arial" w:hAnsi="Arial"/>
                <w:sz w:val="16"/>
                <w:szCs w:val="16"/>
                <w:color w:val="131E29"/>
              </w:rPr>
              <w:t>$  220,952</w:t>
            </w:r>
          </w:p>
        </w:tc>
        <w:tc>
          <w:tcPr>
            <w:tcW w:w="1100" w:type="dxa"/>
            <w:vAlign w:val="bottom"/>
            <w:gridSpan w:val="2"/>
            <w:shd w:val="clear" w:color="auto" w:fill="D2DCE5"/>
          </w:tcPr>
          <w:p>
            <w:pPr>
              <w:jc w:val="right"/>
              <w:ind w:right="39"/>
              <w:spacing w:after="0"/>
              <w:rPr>
                <w:sz w:val="20"/>
                <w:szCs w:val="20"/>
                <w:color w:val="auto"/>
              </w:rPr>
            </w:pPr>
            <w:r>
              <w:rPr>
                <w:rFonts w:ascii="Arial" w:cs="Arial" w:eastAsia="Arial" w:hAnsi="Arial"/>
                <w:sz w:val="16"/>
                <w:szCs w:val="16"/>
                <w:color w:val="131E29"/>
              </w:rPr>
              <w:t>$  160,512</w:t>
            </w:r>
          </w:p>
        </w:tc>
        <w:tc>
          <w:tcPr>
            <w:tcW w:w="2040" w:type="dxa"/>
            <w:vAlign w:val="bottom"/>
            <w:gridSpan w:val="4"/>
            <w:shd w:val="clear" w:color="auto" w:fill="D2DCE5"/>
          </w:tcPr>
          <w:p>
            <w:pPr>
              <w:jc w:val="right"/>
              <w:ind w:right="100"/>
              <w:spacing w:after="0"/>
              <w:rPr>
                <w:sz w:val="20"/>
                <w:szCs w:val="20"/>
                <w:color w:val="auto"/>
              </w:rPr>
            </w:pPr>
            <w:r>
              <w:rPr>
                <w:rFonts w:ascii="Arial" w:cs="Arial" w:eastAsia="Arial" w:hAnsi="Arial"/>
                <w:sz w:val="16"/>
                <w:szCs w:val="16"/>
                <w:color w:val="131E29"/>
              </w:rPr>
              <w:t>$  60,440   37.7%   $</w:t>
            </w:r>
          </w:p>
        </w:tc>
        <w:tc>
          <w:tcPr>
            <w:tcW w:w="7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394,116</w:t>
            </w:r>
          </w:p>
        </w:tc>
        <w:tc>
          <w:tcPr>
            <w:tcW w:w="1160" w:type="dxa"/>
            <w:vAlign w:val="bottom"/>
            <w:gridSpan w:val="3"/>
            <w:shd w:val="clear" w:color="auto" w:fill="D2DCE5"/>
          </w:tcPr>
          <w:p>
            <w:pPr>
              <w:jc w:val="right"/>
              <w:spacing w:after="0"/>
              <w:rPr>
                <w:sz w:val="20"/>
                <w:szCs w:val="20"/>
                <w:color w:val="auto"/>
              </w:rPr>
            </w:pPr>
            <w:r>
              <w:rPr>
                <w:rFonts w:ascii="Arial" w:cs="Arial" w:eastAsia="Arial" w:hAnsi="Arial"/>
                <w:sz w:val="16"/>
                <w:szCs w:val="16"/>
                <w:color w:val="131E29"/>
              </w:rPr>
              <w:t>$   290,699</w:t>
            </w:r>
          </w:p>
        </w:tc>
        <w:tc>
          <w:tcPr>
            <w:tcW w:w="320" w:type="dxa"/>
            <w:vAlign w:val="bottom"/>
            <w:gridSpan w:val="2"/>
            <w:shd w:val="clear" w:color="auto" w:fill="D2DCE5"/>
          </w:tcPr>
          <w:p>
            <w:pPr>
              <w:jc w:val="right"/>
              <w:ind w:right="100"/>
              <w:spacing w:after="0"/>
              <w:rPr>
                <w:sz w:val="20"/>
                <w:szCs w:val="20"/>
                <w:color w:val="auto"/>
              </w:rPr>
            </w:pPr>
            <w:r>
              <w:rPr>
                <w:rFonts w:ascii="Arial" w:cs="Arial" w:eastAsia="Arial" w:hAnsi="Arial"/>
                <w:sz w:val="16"/>
                <w:szCs w:val="16"/>
                <w:color w:val="131E29"/>
              </w:rPr>
              <w:t>$</w:t>
            </w:r>
          </w:p>
        </w:tc>
        <w:tc>
          <w:tcPr>
            <w:tcW w:w="1540" w:type="dxa"/>
            <w:vAlign w:val="bottom"/>
            <w:shd w:val="clear" w:color="auto" w:fill="D2DCE5"/>
          </w:tcPr>
          <w:p>
            <w:pPr>
              <w:jc w:val="right"/>
              <w:ind w:right="19"/>
              <w:spacing w:after="0"/>
              <w:rPr>
                <w:sz w:val="20"/>
                <w:szCs w:val="20"/>
                <w:color w:val="auto"/>
              </w:rPr>
            </w:pPr>
            <w:r>
              <w:rPr>
                <w:rFonts w:ascii="Arial" w:cs="Arial" w:eastAsia="Arial" w:hAnsi="Arial"/>
                <w:sz w:val="16"/>
                <w:szCs w:val="16"/>
                <w:color w:val="131E29"/>
              </w:rPr>
              <w:t>103,417   35.6%</w:t>
            </w:r>
          </w:p>
        </w:tc>
      </w:tr>
      <w:tr>
        <w:trPr>
          <w:trHeight w:val="33"/>
        </w:trPr>
        <w:tc>
          <w:tcPr>
            <w:tcW w:w="324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2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102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160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200" w:type="dxa"/>
            <w:vAlign w:val="bottom"/>
            <w:shd w:val="clear" w:color="auto" w:fill="D2DCE5"/>
          </w:tcPr>
          <w:p>
            <w:pPr>
              <w:spacing w:after="0"/>
              <w:rPr>
                <w:sz w:val="2"/>
                <w:szCs w:val="2"/>
                <w:color w:val="auto"/>
              </w:rPr>
            </w:pPr>
          </w:p>
        </w:tc>
        <w:tc>
          <w:tcPr>
            <w:tcW w:w="720" w:type="dxa"/>
            <w:vAlign w:val="bottom"/>
            <w:shd w:val="clear" w:color="auto" w:fill="D2DCE5"/>
          </w:tcPr>
          <w:p>
            <w:pPr>
              <w:spacing w:after="0"/>
              <w:rPr>
                <w:sz w:val="2"/>
                <w:szCs w:val="2"/>
                <w:color w:val="auto"/>
              </w:rPr>
            </w:pPr>
          </w:p>
        </w:tc>
        <w:tc>
          <w:tcPr>
            <w:tcW w:w="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20" w:type="dxa"/>
            <w:vAlign w:val="bottom"/>
            <w:shd w:val="clear" w:color="auto" w:fill="D2DCE5"/>
          </w:tcPr>
          <w:p>
            <w:pPr>
              <w:spacing w:after="0"/>
              <w:rPr>
                <w:sz w:val="2"/>
                <w:szCs w:val="2"/>
                <w:color w:val="auto"/>
              </w:rPr>
            </w:pPr>
          </w:p>
        </w:tc>
        <w:tc>
          <w:tcPr>
            <w:tcW w:w="1540" w:type="dxa"/>
            <w:vAlign w:val="bottom"/>
            <w:shd w:val="clear" w:color="auto" w:fill="D2DCE5"/>
          </w:tcPr>
          <w:p>
            <w:pPr>
              <w:spacing w:after="0"/>
              <w:rPr>
                <w:sz w:val="2"/>
                <w:szCs w:val="2"/>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2023 v.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Company-operated shop revenue increase was driven by the following:</w:t>
      </w:r>
    </w:p>
    <w:p>
      <w:pPr>
        <w:spacing w:after="0" w:line="159"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006098"/>
        </w:rPr>
      </w:pPr>
      <w:r>
        <w:rPr>
          <w:rFonts w:ascii="Arial" w:cs="Arial" w:eastAsia="Arial" w:hAnsi="Arial"/>
          <w:sz w:val="18"/>
          <w:szCs w:val="18"/>
          <w:color w:val="131E29"/>
        </w:rPr>
        <w:t>$58.3 million from company-operated shops opened during 2023 and 2022.</w:t>
      </w:r>
    </w:p>
    <w:p>
      <w:pPr>
        <w:spacing w:after="0" w:line="117" w:lineRule="exact"/>
        <w:rPr>
          <w:rFonts w:ascii="Arial" w:cs="Arial" w:eastAsia="Arial" w:hAnsi="Arial"/>
          <w:sz w:val="18"/>
          <w:szCs w:val="18"/>
          <w:b w:val="1"/>
          <w:bCs w:val="1"/>
          <w:color w:val="006098"/>
        </w:rPr>
      </w:pPr>
    </w:p>
    <w:p>
      <w:pPr>
        <w:ind w:left="320" w:hanging="312"/>
        <w:spacing w:after="0"/>
        <w:tabs>
          <w:tab w:leader="none" w:pos="320" w:val="left"/>
        </w:tabs>
        <w:numPr>
          <w:ilvl w:val="0"/>
          <w:numId w:val="16"/>
        </w:numPr>
        <w:rPr>
          <w:rFonts w:ascii="Arial" w:cs="Arial" w:eastAsia="Arial" w:hAnsi="Arial"/>
          <w:sz w:val="18"/>
          <w:szCs w:val="18"/>
          <w:b w:val="1"/>
          <w:bCs w:val="1"/>
          <w:color w:val="006098"/>
        </w:rPr>
      </w:pPr>
      <w:r>
        <w:rPr>
          <w:rFonts w:ascii="Arial" w:cs="Arial" w:eastAsia="Arial" w:hAnsi="Arial"/>
          <w:sz w:val="18"/>
          <w:szCs w:val="18"/>
          <w:color w:val="131E29"/>
        </w:rPr>
        <w:t>$2.2 million from increase in same shop sales in the comparable shop base.</w:t>
      </w:r>
      <w:r>
        <w:rPr>
          <w:rFonts w:ascii="Arial" w:cs="Arial" w:eastAsia="Arial" w:hAnsi="Arial"/>
          <w:sz w:val="23"/>
          <w:szCs w:val="23"/>
          <w:color w:val="131E29"/>
          <w:vertAlign w:val="superscript"/>
        </w:rPr>
        <w:t>1</w:t>
      </w:r>
    </w:p>
    <w:p>
      <w:pPr>
        <w:spacing w:after="0" w:line="59" w:lineRule="exact"/>
        <w:rPr>
          <w:rFonts w:ascii="Arial" w:cs="Arial" w:eastAsia="Arial" w:hAnsi="Arial"/>
          <w:sz w:val="18"/>
          <w:szCs w:val="18"/>
          <w:b w:val="1"/>
          <w:bCs w:val="1"/>
          <w:color w:val="006098"/>
        </w:rPr>
      </w:pPr>
    </w:p>
    <w:p>
      <w:pPr>
        <w:spacing w:after="0"/>
        <w:rPr>
          <w:rFonts w:ascii="Arial" w:cs="Arial" w:eastAsia="Arial" w:hAnsi="Arial"/>
          <w:sz w:val="18"/>
          <w:szCs w:val="18"/>
          <w:b w:val="1"/>
          <w:bCs w:val="1"/>
          <w:color w:val="006098"/>
        </w:rPr>
      </w:pPr>
      <w:r>
        <w:rPr>
          <w:rFonts w:ascii="Arial" w:cs="Arial" w:eastAsia="Arial" w:hAnsi="Arial"/>
          <w:sz w:val="18"/>
          <w:szCs w:val="18"/>
          <w:color w:val="131E29"/>
        </w:rPr>
        <w:t>_________________</w:t>
      </w:r>
    </w:p>
    <w:p>
      <w:pPr>
        <w:spacing w:after="0" w:line="179"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9"/>
          <w:szCs w:val="9"/>
          <w:color w:val="131E29"/>
        </w:rPr>
      </w:pPr>
      <w:r>
        <w:rPr>
          <w:rFonts w:ascii="Arial" w:cs="Arial" w:eastAsia="Arial" w:hAnsi="Arial"/>
          <w:sz w:val="14"/>
          <w:szCs w:val="14"/>
          <w:color w:val="131E29"/>
        </w:rPr>
        <w:t>For purposes of calculating company-operated same shop revenue, the revenue for 276 company-operated shops was included in the comparable shop base.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2023 v.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Company-operated shop revenue increase was primarily driven by the following:</w:t>
      </w:r>
    </w:p>
    <w:p>
      <w:pPr>
        <w:spacing w:after="0" w:line="159"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b w:val="1"/>
          <w:bCs w:val="1"/>
          <w:color w:val="006098"/>
        </w:rPr>
      </w:pPr>
      <w:r>
        <w:rPr>
          <w:rFonts w:ascii="Arial" w:cs="Arial" w:eastAsia="Arial" w:hAnsi="Arial"/>
          <w:sz w:val="18"/>
          <w:szCs w:val="18"/>
          <w:color w:val="131E29"/>
        </w:rPr>
        <w:t>$105.4 million from company-operated shops opened during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22"/>
          <w:szCs w:val="22"/>
          <w:b w:val="1"/>
          <w:bCs w:val="1"/>
          <w:color w:val="D7282F"/>
        </w:rPr>
      </w:pPr>
      <w:r>
        <w:rPr>
          <w:rFonts w:ascii="Arial" w:cs="Arial" w:eastAsia="Arial" w:hAnsi="Arial"/>
          <w:sz w:val="18"/>
          <w:szCs w:val="18"/>
          <w:color w:val="131E29"/>
        </w:rPr>
        <w:t>$1.9 million from decline in same shop sales in the comparable shop base.</w:t>
      </w:r>
      <w:r>
        <w:rPr>
          <w:rFonts w:ascii="Arial" w:cs="Arial" w:eastAsia="Arial" w:hAnsi="Arial"/>
          <w:sz w:val="23"/>
          <w:szCs w:val="23"/>
          <w:color w:val="131E29"/>
          <w:vertAlign w:val="superscript"/>
        </w:rPr>
        <w:t>1</w:t>
      </w:r>
    </w:p>
    <w:p>
      <w:pPr>
        <w:spacing w:after="0" w:line="65" w:lineRule="exact"/>
        <w:rPr>
          <w:rFonts w:ascii="Arial" w:cs="Arial" w:eastAsia="Arial" w:hAnsi="Arial"/>
          <w:sz w:val="22"/>
          <w:szCs w:val="22"/>
          <w:b w:val="1"/>
          <w:bCs w:val="1"/>
          <w:color w:val="D7282F"/>
        </w:rPr>
      </w:pPr>
    </w:p>
    <w:p>
      <w:pPr>
        <w:spacing w:after="0"/>
        <w:rPr>
          <w:rFonts w:ascii="Arial" w:cs="Arial" w:eastAsia="Arial" w:hAnsi="Arial"/>
          <w:sz w:val="22"/>
          <w:szCs w:val="22"/>
          <w:b w:val="1"/>
          <w:bCs w:val="1"/>
          <w:color w:val="D7282F"/>
        </w:rPr>
      </w:pPr>
      <w:r>
        <w:rPr>
          <w:rFonts w:ascii="Arial" w:cs="Arial" w:eastAsia="Arial" w:hAnsi="Arial"/>
          <w:sz w:val="18"/>
          <w:szCs w:val="18"/>
          <w:color w:val="131E29"/>
        </w:rPr>
        <w:t>_________________</w:t>
      </w:r>
    </w:p>
    <w:p>
      <w:pPr>
        <w:spacing w:after="0" w:line="142"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9"/>
          <w:szCs w:val="19"/>
          <w:color w:val="131E29"/>
          <w:vertAlign w:val="superscript"/>
        </w:rPr>
      </w:pPr>
      <w:r>
        <w:rPr>
          <w:rFonts w:ascii="Arial" w:cs="Arial" w:eastAsia="Arial" w:hAnsi="Arial"/>
          <w:sz w:val="14"/>
          <w:szCs w:val="14"/>
          <w:color w:val="131E29"/>
        </w:rPr>
        <w:t>For purposes of calculating company-operated same shop revenue, the revenue for 246 company-operated shops was included in the comparable shop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5349240" cy="11144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4924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9" w:lineRule="exact"/>
        <w:rPr>
          <w:sz w:val="20"/>
          <w:szCs w:val="20"/>
          <w:color w:val="auto"/>
        </w:rPr>
      </w:pPr>
    </w:p>
    <w:p>
      <w:pPr>
        <w:ind w:left="180" w:right="80" w:hanging="172"/>
        <w:spacing w:after="0" w:line="217" w:lineRule="auto"/>
        <w:tabs>
          <w:tab w:leader="none" w:pos="174" w:val="left"/>
        </w:tabs>
        <w:numPr>
          <w:ilvl w:val="0"/>
          <w:numId w:val="21"/>
        </w:numPr>
        <w:rPr>
          <w:rFonts w:ascii="Arial" w:cs="Arial" w:eastAsia="Arial" w:hAnsi="Arial"/>
          <w:sz w:val="19"/>
          <w:szCs w:val="19"/>
          <w:color w:val="131E29"/>
          <w:vertAlign w:val="superscript"/>
        </w:rPr>
      </w:pPr>
      <w:r>
        <w:rPr>
          <w:rFonts w:ascii="Arial" w:cs="Arial" w:eastAsia="Arial" w:hAnsi="Arial"/>
          <w:sz w:val="14"/>
          <w:szCs w:val="14"/>
          <w:color w:val="131E29"/>
        </w:rPr>
        <w:t>The comparable shop bases were 193 and 276 for the three months ended June 30, 2022, and 2023, respectively, and 173 and 246 for the six months ended June 30, 2022, and 2023, respectively. The comparable shop base includes mature shops, which we define as open longer than 15 months.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Beverage, Food, and Packaging Costs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131E29"/>
              </w:rPr>
              <w:t>Three Months Ended June 30,</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131E29"/>
              </w:rPr>
              <w:t>Six Months Ended June 30,</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1000" w:type="dxa"/>
            <w:vAlign w:val="bottom"/>
            <w:tcBorders>
              <w:bottom w:val="single" w:sz="8" w:color="131E29"/>
            </w:tcBorders>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40" w:type="dxa"/>
            <w:vAlign w:val="bottom"/>
            <w:tcBorders>
              <w:bottom w:val="single" w:sz="8" w:color="131E29"/>
            </w:tcBorders>
          </w:tcPr>
          <w:p>
            <w:pPr>
              <w:spacing w:after="0"/>
              <w:rPr>
                <w:sz w:val="22"/>
                <w:szCs w:val="22"/>
                <w:color w:val="auto"/>
              </w:rPr>
            </w:pPr>
          </w:p>
        </w:tc>
        <w:tc>
          <w:tcPr>
            <w:tcW w:w="2100" w:type="dxa"/>
            <w:vAlign w:val="bottom"/>
            <w:tcBorders>
              <w:bottom w:val="single" w:sz="8" w:color="131E29"/>
            </w:tcBorders>
            <w:gridSpan w:val="2"/>
          </w:tcPr>
          <w:p>
            <w:pPr>
              <w:ind w:left="420"/>
              <w:spacing w:after="0"/>
              <w:rPr>
                <w:sz w:val="20"/>
                <w:szCs w:val="20"/>
                <w:color w:val="auto"/>
              </w:rPr>
            </w:pPr>
            <w:r>
              <w:rPr>
                <w:rFonts w:ascii="Arial" w:cs="Arial" w:eastAsia="Arial" w:hAnsi="Arial"/>
                <w:sz w:val="18"/>
                <w:szCs w:val="18"/>
                <w:b w:val="1"/>
                <w:bCs w:val="1"/>
                <w:color w:val="131E29"/>
              </w:rPr>
              <w:t>2023 v. 2022</w:t>
            </w:r>
          </w:p>
        </w:tc>
        <w:tc>
          <w:tcPr>
            <w:tcW w:w="12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860" w:type="dxa"/>
            <w:vAlign w:val="bottom"/>
            <w:tcBorders>
              <w:bottom w:val="single" w:sz="8" w:color="131E29"/>
            </w:tcBorders>
          </w:tcPr>
          <w:p>
            <w:pPr>
              <w:jc w:val="right"/>
              <w:ind w:right="230"/>
              <w:spacing w:after="0"/>
              <w:rPr>
                <w:sz w:val="20"/>
                <w:szCs w:val="20"/>
                <w:color w:val="auto"/>
              </w:rPr>
            </w:pPr>
            <w:r>
              <w:rPr>
                <w:rFonts w:ascii="Arial" w:cs="Arial" w:eastAsia="Arial" w:hAnsi="Arial"/>
                <w:sz w:val="18"/>
                <w:szCs w:val="18"/>
                <w:b w:val="1"/>
                <w:bCs w:val="1"/>
                <w:color w:val="131E29"/>
              </w:rPr>
              <w:t>2023</w:t>
            </w:r>
          </w:p>
        </w:tc>
        <w:tc>
          <w:tcPr>
            <w:tcW w:w="60" w:type="dxa"/>
            <w:vAlign w:val="bottom"/>
            <w:tcBorders>
              <w:bottom w:val="single" w:sz="8" w:color="131E29"/>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131E29"/>
            </w:tcBorders>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2000" w:type="dxa"/>
            <w:vAlign w:val="bottom"/>
            <w:tcBorders>
              <w:bottom w:val="single" w:sz="8" w:color="131E29"/>
            </w:tcBorders>
            <w:gridSpan w:val="2"/>
          </w:tcPr>
          <w:p>
            <w:pPr>
              <w:ind w:left="360"/>
              <w:spacing w:after="0"/>
              <w:rPr>
                <w:sz w:val="20"/>
                <w:szCs w:val="20"/>
                <w:color w:val="auto"/>
              </w:rPr>
            </w:pPr>
            <w:r>
              <w:rPr>
                <w:rFonts w:ascii="Arial" w:cs="Arial" w:eastAsia="Arial" w:hAnsi="Arial"/>
                <w:sz w:val="18"/>
                <w:szCs w:val="18"/>
                <w:b w:val="1"/>
                <w:bCs w:val="1"/>
                <w:color w:val="131E29"/>
              </w:rPr>
              <w:t>2023 v. 2022</w:t>
            </w:r>
          </w:p>
        </w:tc>
        <w:tc>
          <w:tcPr>
            <w:tcW w:w="0" w:type="dxa"/>
            <w:vAlign w:val="bottom"/>
          </w:tcPr>
          <w:p>
            <w:pPr>
              <w:spacing w:after="0"/>
              <w:rPr>
                <w:sz w:val="1"/>
                <w:szCs w:val="1"/>
                <w:color w:val="auto"/>
              </w:rPr>
            </w:pPr>
          </w:p>
        </w:tc>
      </w:tr>
      <w:tr>
        <w:trPr>
          <w:trHeight w:val="219"/>
        </w:trPr>
        <w:tc>
          <w:tcPr>
            <w:tcW w:w="20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Beverage, food and</w:t>
            </w:r>
          </w:p>
        </w:tc>
        <w:tc>
          <w:tcPr>
            <w:tcW w:w="10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59,433</w:t>
            </w:r>
          </w:p>
        </w:tc>
        <w:tc>
          <w:tcPr>
            <w:tcW w:w="110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   43,548</w:t>
            </w:r>
          </w:p>
        </w:tc>
        <w:tc>
          <w:tcPr>
            <w:tcW w:w="3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1180" w:type="dxa"/>
            <w:vAlign w:val="bottom"/>
            <w:vMerge w:val="restart"/>
            <w:shd w:val="clear" w:color="auto" w:fill="D2DCE5"/>
          </w:tcPr>
          <w:p>
            <w:pPr>
              <w:ind w:left="140"/>
              <w:spacing w:after="0"/>
              <w:rPr>
                <w:sz w:val="20"/>
                <w:szCs w:val="20"/>
                <w:color w:val="auto"/>
              </w:rPr>
            </w:pPr>
            <w:r>
              <w:rPr>
                <w:rFonts w:ascii="Arial" w:cs="Arial" w:eastAsia="Arial" w:hAnsi="Arial"/>
                <w:sz w:val="18"/>
                <w:szCs w:val="18"/>
                <w:color w:val="131E29"/>
              </w:rPr>
              <w:t>15,885</w:t>
            </w:r>
          </w:p>
        </w:tc>
        <w:tc>
          <w:tcPr>
            <w:tcW w:w="920" w:type="dxa"/>
            <w:vAlign w:val="bottom"/>
            <w:vMerge w:val="restart"/>
            <w:shd w:val="clear" w:color="auto" w:fill="D2DCE5"/>
          </w:tcPr>
          <w:p>
            <w:pPr>
              <w:jc w:val="right"/>
              <w:ind w:right="270"/>
              <w:spacing w:after="0"/>
              <w:rPr>
                <w:sz w:val="20"/>
                <w:szCs w:val="20"/>
                <w:color w:val="auto"/>
              </w:rPr>
            </w:pPr>
            <w:r>
              <w:rPr>
                <w:rFonts w:ascii="Arial" w:cs="Arial" w:eastAsia="Arial" w:hAnsi="Arial"/>
                <w:sz w:val="18"/>
                <w:szCs w:val="18"/>
                <w:color w:val="131E29"/>
              </w:rPr>
              <w:t>36.5%</w:t>
            </w:r>
          </w:p>
        </w:tc>
        <w:tc>
          <w:tcPr>
            <w:tcW w:w="3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8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108,385</w:t>
            </w:r>
          </w:p>
        </w:tc>
        <w:tc>
          <w:tcPr>
            <w:tcW w:w="1160" w:type="dxa"/>
            <w:vAlign w:val="bottom"/>
            <w:gridSpan w:val="3"/>
            <w:vMerge w:val="restart"/>
            <w:shd w:val="clear" w:color="auto" w:fill="D2DCE5"/>
          </w:tcPr>
          <w:p>
            <w:pPr>
              <w:jc w:val="right"/>
              <w:spacing w:after="0"/>
              <w:rPr>
                <w:sz w:val="20"/>
                <w:szCs w:val="20"/>
                <w:color w:val="auto"/>
              </w:rPr>
            </w:pPr>
            <w:r>
              <w:rPr>
                <w:rFonts w:ascii="Arial" w:cs="Arial" w:eastAsia="Arial" w:hAnsi="Arial"/>
                <w:sz w:val="18"/>
                <w:szCs w:val="18"/>
                <w:color w:val="131E29"/>
              </w:rPr>
              <w:t>$   79,170</w:t>
            </w:r>
          </w:p>
        </w:tc>
        <w:tc>
          <w:tcPr>
            <w:tcW w:w="32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1020" w:type="dxa"/>
            <w:vAlign w:val="bottom"/>
            <w:vMerge w:val="restart"/>
            <w:shd w:val="clear" w:color="auto" w:fill="D2DCE5"/>
          </w:tcPr>
          <w:p>
            <w:pPr>
              <w:ind w:left="140"/>
              <w:spacing w:after="0"/>
              <w:rPr>
                <w:sz w:val="20"/>
                <w:szCs w:val="20"/>
                <w:color w:val="auto"/>
              </w:rPr>
            </w:pPr>
            <w:r>
              <w:rPr>
                <w:rFonts w:ascii="Arial" w:cs="Arial" w:eastAsia="Arial" w:hAnsi="Arial"/>
                <w:sz w:val="18"/>
                <w:szCs w:val="18"/>
                <w:color w:val="131E29"/>
              </w:rPr>
              <w:t>29,215</w:t>
            </w:r>
          </w:p>
        </w:tc>
        <w:tc>
          <w:tcPr>
            <w:tcW w:w="980" w:type="dxa"/>
            <w:vAlign w:val="bottom"/>
            <w:vMerge w:val="restart"/>
            <w:shd w:val="clear" w:color="auto" w:fill="D2DCE5"/>
          </w:tcPr>
          <w:p>
            <w:pPr>
              <w:ind w:left="160"/>
              <w:spacing w:after="0"/>
              <w:rPr>
                <w:sz w:val="20"/>
                <w:szCs w:val="20"/>
                <w:color w:val="auto"/>
              </w:rPr>
            </w:pPr>
            <w:r>
              <w:rPr>
                <w:rFonts w:ascii="Arial" w:cs="Arial" w:eastAsia="Arial" w:hAnsi="Arial"/>
                <w:sz w:val="18"/>
                <w:szCs w:val="18"/>
                <w:color w:val="131E29"/>
              </w:rPr>
              <w:t>36.9%</w:t>
            </w:r>
          </w:p>
        </w:tc>
        <w:tc>
          <w:tcPr>
            <w:tcW w:w="0" w:type="dxa"/>
            <w:vAlign w:val="bottom"/>
          </w:tcPr>
          <w:p>
            <w:pPr>
              <w:spacing w:after="0"/>
              <w:rPr>
                <w:sz w:val="1"/>
                <w:szCs w:val="1"/>
                <w:color w:val="auto"/>
              </w:rPr>
            </w:pPr>
          </w:p>
        </w:tc>
      </w:tr>
      <w:tr>
        <w:trPr>
          <w:trHeight w:val="226"/>
        </w:trPr>
        <w:tc>
          <w:tcPr>
            <w:tcW w:w="20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packaging costs</w:t>
            </w:r>
          </w:p>
        </w:tc>
        <w:tc>
          <w:tcPr>
            <w:tcW w:w="1000" w:type="dxa"/>
            <w:vAlign w:val="bottom"/>
            <w:vMerge w:val="continue"/>
            <w:shd w:val="clear" w:color="auto" w:fill="D2DCE5"/>
          </w:tcPr>
          <w:p>
            <w:pPr>
              <w:spacing w:after="0"/>
              <w:rPr>
                <w:sz w:val="19"/>
                <w:szCs w:val="19"/>
                <w:color w:val="auto"/>
              </w:rPr>
            </w:pPr>
          </w:p>
        </w:tc>
        <w:tc>
          <w:tcPr>
            <w:tcW w:w="1100" w:type="dxa"/>
            <w:vAlign w:val="bottom"/>
            <w:gridSpan w:val="2"/>
            <w:vMerge w:val="continue"/>
            <w:shd w:val="clear" w:color="auto" w:fill="D2DCE5"/>
          </w:tcPr>
          <w:p>
            <w:pPr>
              <w:spacing w:after="0"/>
              <w:rPr>
                <w:sz w:val="19"/>
                <w:szCs w:val="19"/>
                <w:color w:val="auto"/>
              </w:rPr>
            </w:pPr>
          </w:p>
        </w:tc>
        <w:tc>
          <w:tcPr>
            <w:tcW w:w="340" w:type="dxa"/>
            <w:vAlign w:val="bottom"/>
            <w:gridSpan w:val="2"/>
            <w:vMerge w:val="continue"/>
            <w:shd w:val="clear" w:color="auto" w:fill="D2DCE5"/>
          </w:tcPr>
          <w:p>
            <w:pPr>
              <w:spacing w:after="0"/>
              <w:rPr>
                <w:sz w:val="19"/>
                <w:szCs w:val="19"/>
                <w:color w:val="auto"/>
              </w:rPr>
            </w:pPr>
          </w:p>
        </w:tc>
        <w:tc>
          <w:tcPr>
            <w:tcW w:w="1180" w:type="dxa"/>
            <w:vAlign w:val="bottom"/>
            <w:vMerge w:val="continue"/>
            <w:shd w:val="clear" w:color="auto" w:fill="D2DCE5"/>
          </w:tcPr>
          <w:p>
            <w:pPr>
              <w:spacing w:after="0"/>
              <w:rPr>
                <w:sz w:val="19"/>
                <w:szCs w:val="19"/>
                <w:color w:val="auto"/>
              </w:rPr>
            </w:pPr>
          </w:p>
        </w:tc>
        <w:tc>
          <w:tcPr>
            <w:tcW w:w="920" w:type="dxa"/>
            <w:vAlign w:val="bottom"/>
            <w:vMerge w:val="continue"/>
            <w:shd w:val="clear" w:color="auto" w:fill="D2DCE5"/>
          </w:tcPr>
          <w:p>
            <w:pPr>
              <w:spacing w:after="0"/>
              <w:rPr>
                <w:sz w:val="19"/>
                <w:szCs w:val="19"/>
                <w:color w:val="auto"/>
              </w:rPr>
            </w:pPr>
          </w:p>
        </w:tc>
        <w:tc>
          <w:tcPr>
            <w:tcW w:w="340" w:type="dxa"/>
            <w:vAlign w:val="bottom"/>
            <w:gridSpan w:val="2"/>
            <w:vMerge w:val="continue"/>
            <w:shd w:val="clear" w:color="auto" w:fill="D2DCE5"/>
          </w:tcPr>
          <w:p>
            <w:pPr>
              <w:spacing w:after="0"/>
              <w:rPr>
                <w:sz w:val="19"/>
                <w:szCs w:val="19"/>
                <w:color w:val="auto"/>
              </w:rPr>
            </w:pPr>
          </w:p>
        </w:tc>
        <w:tc>
          <w:tcPr>
            <w:tcW w:w="860" w:type="dxa"/>
            <w:vAlign w:val="bottom"/>
            <w:vMerge w:val="continue"/>
            <w:shd w:val="clear" w:color="auto" w:fill="D2DCE5"/>
          </w:tcPr>
          <w:p>
            <w:pPr>
              <w:spacing w:after="0"/>
              <w:rPr>
                <w:sz w:val="19"/>
                <w:szCs w:val="19"/>
                <w:color w:val="auto"/>
              </w:rPr>
            </w:pPr>
          </w:p>
        </w:tc>
        <w:tc>
          <w:tcPr>
            <w:tcW w:w="1160" w:type="dxa"/>
            <w:vAlign w:val="bottom"/>
            <w:gridSpan w:val="3"/>
            <w:vMerge w:val="continue"/>
            <w:shd w:val="clear" w:color="auto" w:fill="D2DCE5"/>
          </w:tcPr>
          <w:p>
            <w:pPr>
              <w:spacing w:after="0"/>
              <w:rPr>
                <w:sz w:val="19"/>
                <w:szCs w:val="19"/>
                <w:color w:val="auto"/>
              </w:rPr>
            </w:pPr>
          </w:p>
        </w:tc>
        <w:tc>
          <w:tcPr>
            <w:tcW w:w="320" w:type="dxa"/>
            <w:vAlign w:val="bottom"/>
            <w:gridSpan w:val="2"/>
            <w:vMerge w:val="continue"/>
            <w:shd w:val="clear" w:color="auto" w:fill="D2DCE5"/>
          </w:tcPr>
          <w:p>
            <w:pPr>
              <w:spacing w:after="0"/>
              <w:rPr>
                <w:sz w:val="19"/>
                <w:szCs w:val="19"/>
                <w:color w:val="auto"/>
              </w:rPr>
            </w:pPr>
          </w:p>
        </w:tc>
        <w:tc>
          <w:tcPr>
            <w:tcW w:w="1020" w:type="dxa"/>
            <w:vAlign w:val="bottom"/>
            <w:vMerge w:val="continue"/>
            <w:shd w:val="clear" w:color="auto" w:fill="D2DCE5"/>
          </w:tcPr>
          <w:p>
            <w:pPr>
              <w:spacing w:after="0"/>
              <w:rPr>
                <w:sz w:val="19"/>
                <w:szCs w:val="19"/>
                <w:color w:val="auto"/>
              </w:rPr>
            </w:pPr>
          </w:p>
        </w:tc>
        <w:tc>
          <w:tcPr>
            <w:tcW w:w="980" w:type="dxa"/>
            <w:vAlign w:val="bottom"/>
            <w:vMerge w:val="continue"/>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2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gridSpan w:val="2"/>
          </w:tcPr>
          <w:p>
            <w:pPr>
              <w:ind w:left="20"/>
              <w:spacing w:after="0"/>
              <w:rPr>
                <w:sz w:val="20"/>
                <w:szCs w:val="20"/>
                <w:color w:val="auto"/>
              </w:rPr>
            </w:pPr>
            <w:r>
              <w:rPr>
                <w:rFonts w:ascii="Arial" w:cs="Arial" w:eastAsia="Arial" w:hAnsi="Arial"/>
                <w:sz w:val="16"/>
                <w:szCs w:val="16"/>
                <w:i w:val="1"/>
                <w:iCs w:val="1"/>
                <w:color w:val="131E29"/>
              </w:rPr>
              <w:t>company-operated shop</w:t>
            </w: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131E29"/>
              </w:rPr>
              <w:t>26.8%</w:t>
            </w:r>
          </w:p>
        </w:tc>
        <w:tc>
          <w:tcPr>
            <w:tcW w:w="110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131E29"/>
              </w:rPr>
              <w:t>27.1%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vMerge w:val="restart"/>
          </w:tcPr>
          <w:p>
            <w:pPr>
              <w:ind w:left="120"/>
              <w:spacing w:after="0"/>
              <w:rPr>
                <w:sz w:val="20"/>
                <w:szCs w:val="20"/>
                <w:color w:val="auto"/>
              </w:rPr>
            </w:pPr>
            <w:r>
              <w:rPr>
                <w:rFonts w:ascii="Arial" w:cs="Arial" w:eastAsia="Arial" w:hAnsi="Arial"/>
                <w:sz w:val="18"/>
                <w:szCs w:val="18"/>
                <w:color w:val="131E29"/>
              </w:rPr>
              <w:t>N/A</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131E29"/>
              </w:rPr>
              <w:t>(30)bps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170"/>
              <w:spacing w:after="0"/>
              <w:rPr>
                <w:sz w:val="20"/>
                <w:szCs w:val="20"/>
                <w:color w:val="auto"/>
              </w:rPr>
            </w:pPr>
            <w:r>
              <w:rPr>
                <w:rFonts w:ascii="Arial" w:cs="Arial" w:eastAsia="Arial" w:hAnsi="Arial"/>
                <w:sz w:val="18"/>
                <w:szCs w:val="18"/>
                <w:color w:val="131E29"/>
              </w:rPr>
              <w:t>27.6%</w:t>
            </w:r>
          </w:p>
        </w:tc>
        <w:tc>
          <w:tcPr>
            <w:tcW w:w="1160" w:type="dxa"/>
            <w:vAlign w:val="bottom"/>
            <w:gridSpan w:val="3"/>
            <w:vMerge w:val="restart"/>
          </w:tcPr>
          <w:p>
            <w:pPr>
              <w:jc w:val="right"/>
              <w:ind w:right="170"/>
              <w:spacing w:after="0"/>
              <w:rPr>
                <w:sz w:val="20"/>
                <w:szCs w:val="20"/>
                <w:color w:val="auto"/>
              </w:rPr>
            </w:pPr>
            <w:r>
              <w:rPr>
                <w:rFonts w:ascii="Arial" w:cs="Arial" w:eastAsia="Arial" w:hAnsi="Arial"/>
                <w:sz w:val="18"/>
                <w:szCs w:val="18"/>
                <w:color w:val="131E29"/>
              </w:rPr>
              <w:t>27.2%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restart"/>
          </w:tcPr>
          <w:p>
            <w:pPr>
              <w:ind w:left="120"/>
              <w:spacing w:after="0"/>
              <w:rPr>
                <w:sz w:val="20"/>
                <w:szCs w:val="20"/>
                <w:color w:val="auto"/>
              </w:rPr>
            </w:pPr>
            <w:r>
              <w:rPr>
                <w:rFonts w:ascii="Arial" w:cs="Arial" w:eastAsia="Arial" w:hAnsi="Arial"/>
                <w:sz w:val="18"/>
                <w:szCs w:val="18"/>
                <w:color w:val="131E29"/>
              </w:rPr>
              <w:t>N/A</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131E29"/>
              </w:rPr>
              <w:t>40 bps</w:t>
            </w:r>
          </w:p>
        </w:tc>
        <w:tc>
          <w:tcPr>
            <w:tcW w:w="0" w:type="dxa"/>
            <w:vAlign w:val="bottom"/>
          </w:tcPr>
          <w:p>
            <w:pPr>
              <w:spacing w:after="0"/>
              <w:rPr>
                <w:sz w:val="1"/>
                <w:szCs w:val="1"/>
                <w:color w:val="auto"/>
              </w:rPr>
            </w:pPr>
          </w:p>
        </w:tc>
      </w:tr>
      <w:tr>
        <w:trPr>
          <w:trHeight w:val="211"/>
        </w:trPr>
        <w:tc>
          <w:tcPr>
            <w:tcW w:w="202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revenues</w:t>
            </w:r>
          </w:p>
        </w:tc>
        <w:tc>
          <w:tcPr>
            <w:tcW w:w="10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2023 v.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beverage, food and packaging costs impacts for the year-over-year comparison, in dollars and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BPS; unaudited)</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960" w:type="dxa"/>
            <w:vAlign w:val="bottom"/>
            <w:tcBorders>
              <w:bottom w:val="single" w:sz="8" w:color="131E29"/>
            </w:tcBorders>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320" w:type="dxa"/>
            <w:vAlign w:val="bottom"/>
            <w:tcBorders>
              <w:bottom w:val="single" w:sz="8" w:color="131E29"/>
            </w:tcBorders>
          </w:tcPr>
          <w:p>
            <w:pPr>
              <w:jc w:val="right"/>
              <w:ind w:right="397"/>
              <w:spacing w:after="0"/>
              <w:rPr>
                <w:sz w:val="20"/>
                <w:szCs w:val="20"/>
                <w:color w:val="auto"/>
              </w:rPr>
            </w:pPr>
            <w:r>
              <w:rPr>
                <w:rFonts w:ascii="Arial" w:cs="Arial" w:eastAsia="Arial" w:hAnsi="Arial"/>
                <w:sz w:val="18"/>
                <w:szCs w:val="18"/>
                <w:b w:val="1"/>
                <w:bCs w:val="1"/>
                <w:color w:val="131E29"/>
              </w:rPr>
              <w:t>BPS</w:t>
            </w:r>
          </w:p>
        </w:tc>
      </w:tr>
      <w:tr>
        <w:trPr>
          <w:trHeight w:val="243"/>
        </w:trPr>
        <w:tc>
          <w:tcPr>
            <w:tcW w:w="840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460" w:type="dxa"/>
            <w:vAlign w:val="bottom"/>
            <w:gridSpan w:val="2"/>
            <w:shd w:val="clear" w:color="auto" w:fill="D2DCE5"/>
          </w:tcPr>
          <w:p>
            <w:pPr>
              <w:jc w:val="right"/>
              <w:ind w:right="260"/>
              <w:spacing w:after="0"/>
              <w:rPr>
                <w:sz w:val="20"/>
                <w:szCs w:val="20"/>
                <w:color w:val="auto"/>
              </w:rPr>
            </w:pPr>
            <w:r>
              <w:rPr>
                <w:rFonts w:ascii="Arial" w:cs="Arial" w:eastAsia="Arial" w:hAnsi="Arial"/>
                <w:sz w:val="16"/>
                <w:szCs w:val="16"/>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12,338</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23"/>
        </w:trPr>
        <w:tc>
          <w:tcPr>
            <w:tcW w:w="8400" w:type="dxa"/>
            <w:vAlign w:val="bottom"/>
          </w:tcPr>
          <w:p>
            <w:pPr>
              <w:ind w:left="20"/>
              <w:spacing w:after="0"/>
              <w:rPr>
                <w:sz w:val="20"/>
                <w:szCs w:val="20"/>
                <w:color w:val="auto"/>
              </w:rPr>
            </w:pPr>
            <w:r>
              <w:rPr>
                <w:rFonts w:ascii="Arial" w:cs="Arial" w:eastAsia="Arial" w:hAnsi="Arial"/>
                <w:sz w:val="16"/>
                <w:szCs w:val="16"/>
                <w:color w:val="131E29"/>
              </w:rPr>
              <w:t>Ingredient costs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533</w:t>
            </w:r>
          </w:p>
        </w:tc>
        <w:tc>
          <w:tcPr>
            <w:tcW w:w="1420" w:type="dxa"/>
            <w:vAlign w:val="bottom"/>
            <w:gridSpan w:val="2"/>
          </w:tcPr>
          <w:p>
            <w:pPr>
              <w:jc w:val="right"/>
              <w:spacing w:after="0"/>
              <w:rPr>
                <w:sz w:val="20"/>
                <w:szCs w:val="20"/>
                <w:color w:val="auto"/>
              </w:rPr>
            </w:pPr>
            <w:r>
              <w:rPr>
                <w:rFonts w:ascii="Arial" w:cs="Arial" w:eastAsia="Arial" w:hAnsi="Arial"/>
                <w:sz w:val="16"/>
                <w:szCs w:val="16"/>
                <w:color w:val="131E29"/>
              </w:rPr>
              <w:t>20</w:t>
            </w:r>
          </w:p>
        </w:tc>
      </w:tr>
      <w:tr>
        <w:trPr>
          <w:trHeight w:val="33"/>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40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803</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00" w:type="dxa"/>
            <w:vAlign w:val="bottom"/>
          </w:tcPr>
          <w:p>
            <w:pPr>
              <w:ind w:left="20"/>
              <w:spacing w:after="0"/>
              <w:rPr>
                <w:sz w:val="20"/>
                <w:szCs w:val="20"/>
                <w:color w:val="auto"/>
              </w:rPr>
            </w:pPr>
            <w:r>
              <w:rPr>
                <w:rFonts w:ascii="Arial" w:cs="Arial" w:eastAsia="Arial" w:hAnsi="Arial"/>
                <w:sz w:val="16"/>
                <w:szCs w:val="16"/>
                <w:color w:val="131E29"/>
              </w:rPr>
              <w:t>Pricing impacts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N/A</w:t>
            </w:r>
          </w:p>
        </w:tc>
        <w:tc>
          <w:tcPr>
            <w:tcW w:w="1420" w:type="dxa"/>
            <w:vAlign w:val="bottom"/>
            <w:gridSpan w:val="2"/>
          </w:tcPr>
          <w:p>
            <w:pPr>
              <w:jc w:val="right"/>
              <w:spacing w:after="0"/>
              <w:rPr>
                <w:sz w:val="20"/>
                <w:szCs w:val="20"/>
                <w:color w:val="auto"/>
              </w:rPr>
            </w:pPr>
            <w:r>
              <w:rPr>
                <w:rFonts w:ascii="Arial" w:cs="Arial" w:eastAsia="Arial" w:hAnsi="Arial"/>
                <w:sz w:val="16"/>
                <w:szCs w:val="16"/>
                <w:color w:val="131E29"/>
              </w:rPr>
              <w:t>(110)</w:t>
            </w:r>
          </w:p>
        </w:tc>
      </w:tr>
      <w:tr>
        <w:trPr>
          <w:trHeight w:val="246"/>
        </w:trPr>
        <w:tc>
          <w:tcPr>
            <w:tcW w:w="8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6"/>
                <w:szCs w:val="16"/>
                <w:color w:val="131E29"/>
              </w:rPr>
              <w:t>Discounts</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N/A</w:t>
            </w:r>
          </w:p>
        </w:tc>
        <w:tc>
          <w:tcPr>
            <w:tcW w:w="14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(40)</w:t>
            </w:r>
          </w:p>
        </w:tc>
      </w:tr>
      <w:tr>
        <w:trPr>
          <w:trHeight w:val="236"/>
        </w:trPr>
        <w:tc>
          <w:tcPr>
            <w:tcW w:w="8400" w:type="dxa"/>
            <w:vAlign w:val="bottom"/>
            <w:tcBorders>
              <w:bottom w:val="single" w:sz="8" w:color="131E29"/>
            </w:tcBorders>
          </w:tcPr>
          <w:p>
            <w:pPr>
              <w:ind w:left="20"/>
              <w:spacing w:after="0"/>
              <w:rPr>
                <w:sz w:val="20"/>
                <w:szCs w:val="20"/>
                <w:color w:val="auto"/>
              </w:rPr>
            </w:pPr>
            <w:r>
              <w:rPr>
                <w:rFonts w:ascii="Arial" w:cs="Arial" w:eastAsia="Arial" w:hAnsi="Arial"/>
                <w:sz w:val="16"/>
                <w:szCs w:val="16"/>
                <w:color w:val="131E29"/>
              </w:rPr>
              <w:t>Other</w:t>
            </w:r>
          </w:p>
        </w:tc>
        <w:tc>
          <w:tcPr>
            <w:tcW w:w="100" w:type="dxa"/>
            <w:vAlign w:val="bottom"/>
          </w:tcPr>
          <w:p>
            <w:pPr>
              <w:spacing w:after="0"/>
              <w:rPr>
                <w:sz w:val="20"/>
                <w:szCs w:val="20"/>
                <w:color w:val="auto"/>
              </w:rPr>
            </w:pPr>
          </w:p>
        </w:tc>
        <w:tc>
          <w:tcPr>
            <w:tcW w:w="360" w:type="dxa"/>
            <w:vAlign w:val="bottom"/>
            <w:tcBorders>
              <w:bottom w:val="single" w:sz="8" w:color="131E29"/>
            </w:tcBorders>
          </w:tcPr>
          <w:p>
            <w:pPr>
              <w:spacing w:after="0"/>
              <w:rPr>
                <w:sz w:val="20"/>
                <w:szCs w:val="20"/>
                <w:color w:val="auto"/>
              </w:rPr>
            </w:pPr>
          </w:p>
        </w:tc>
        <w:tc>
          <w:tcPr>
            <w:tcW w:w="96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2,211</w:t>
            </w:r>
          </w:p>
        </w:tc>
        <w:tc>
          <w:tcPr>
            <w:tcW w:w="100" w:type="dxa"/>
            <w:vAlign w:val="bottom"/>
          </w:tcPr>
          <w:p>
            <w:pPr>
              <w:spacing w:after="0"/>
              <w:rPr>
                <w:sz w:val="20"/>
                <w:szCs w:val="20"/>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100</w:t>
            </w:r>
          </w:p>
        </w:tc>
      </w:tr>
      <w:tr>
        <w:trPr>
          <w:trHeight w:val="237"/>
        </w:trPr>
        <w:tc>
          <w:tcPr>
            <w:tcW w:w="8400" w:type="dxa"/>
            <w:vAlign w:val="bottom"/>
            <w:tcBorders>
              <w:bottom w:val="single" w:sz="8" w:color="D2DCE5"/>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460" w:type="dxa"/>
            <w:vAlign w:val="bottom"/>
            <w:tcBorders>
              <w:bottom w:val="single" w:sz="8" w:color="D2DCE5"/>
            </w:tcBorders>
            <w:gridSpan w:val="2"/>
            <w:shd w:val="clear" w:color="auto" w:fill="D2DCE5"/>
          </w:tcPr>
          <w:p>
            <w:pPr>
              <w:jc w:val="right"/>
              <w:ind w:right="260"/>
              <w:spacing w:after="0"/>
              <w:rPr>
                <w:sz w:val="20"/>
                <w:szCs w:val="20"/>
                <w:color w:val="auto"/>
              </w:rPr>
            </w:pPr>
            <w:r>
              <w:rPr>
                <w:rFonts w:ascii="Arial" w:cs="Arial" w:eastAsia="Arial" w:hAnsi="Arial"/>
                <w:sz w:val="16"/>
                <w:szCs w:val="16"/>
                <w:b w:val="1"/>
                <w:bCs w:val="1"/>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15,885</w:t>
            </w:r>
          </w:p>
        </w:tc>
        <w:tc>
          <w:tcPr>
            <w:tcW w:w="14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b w:val="1"/>
                <w:bCs w:val="1"/>
                <w:color w:val="131E29"/>
              </w:rPr>
              <w:t>(30)</w:t>
            </w:r>
          </w:p>
        </w:tc>
      </w:tr>
      <w:tr>
        <w:trPr>
          <w:trHeight w:val="20"/>
        </w:trPr>
        <w:tc>
          <w:tcPr>
            <w:tcW w:w="840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131E29"/>
          </w:tcPr>
          <w:p>
            <w:pPr>
              <w:spacing w:after="0" w:line="20" w:lineRule="exact"/>
              <w:rPr>
                <w:sz w:val="1"/>
                <w:szCs w:val="1"/>
                <w:color w:val="auto"/>
              </w:rPr>
            </w:pPr>
          </w:p>
        </w:tc>
        <w:tc>
          <w:tcPr>
            <w:tcW w:w="96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131E29"/>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2023 v.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beverage, food and packaging costs impacts for the year-over-year comparison, in dollars and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960" w:type="dxa"/>
            <w:vAlign w:val="bottom"/>
            <w:tcBorders>
              <w:bottom w:val="single" w:sz="8" w:color="131E29"/>
            </w:tcBorders>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320" w:type="dxa"/>
            <w:vAlign w:val="bottom"/>
            <w:tcBorders>
              <w:bottom w:val="single" w:sz="8" w:color="131E29"/>
            </w:tcBorders>
          </w:tcPr>
          <w:p>
            <w:pPr>
              <w:jc w:val="right"/>
              <w:ind w:right="397"/>
              <w:spacing w:after="0"/>
              <w:rPr>
                <w:sz w:val="20"/>
                <w:szCs w:val="20"/>
                <w:color w:val="auto"/>
              </w:rPr>
            </w:pPr>
            <w:r>
              <w:rPr>
                <w:rFonts w:ascii="Arial" w:cs="Arial" w:eastAsia="Arial" w:hAnsi="Arial"/>
                <w:sz w:val="18"/>
                <w:szCs w:val="18"/>
                <w:b w:val="1"/>
                <w:bCs w:val="1"/>
                <w:color w:val="131E29"/>
              </w:rPr>
              <w:t>BPS</w:t>
            </w:r>
          </w:p>
        </w:tc>
      </w:tr>
      <w:tr>
        <w:trPr>
          <w:trHeight w:val="243"/>
        </w:trPr>
        <w:tc>
          <w:tcPr>
            <w:tcW w:w="840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460" w:type="dxa"/>
            <w:vAlign w:val="bottom"/>
            <w:gridSpan w:val="2"/>
            <w:shd w:val="clear" w:color="auto" w:fill="D2DCE5"/>
          </w:tcPr>
          <w:p>
            <w:pPr>
              <w:jc w:val="right"/>
              <w:ind w:right="260"/>
              <w:spacing w:after="0"/>
              <w:rPr>
                <w:sz w:val="20"/>
                <w:szCs w:val="20"/>
                <w:color w:val="auto"/>
              </w:rPr>
            </w:pPr>
            <w:r>
              <w:rPr>
                <w:rFonts w:ascii="Arial" w:cs="Arial" w:eastAsia="Arial" w:hAnsi="Arial"/>
                <w:sz w:val="16"/>
                <w:szCs w:val="16"/>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22,957</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24"/>
        </w:trPr>
        <w:tc>
          <w:tcPr>
            <w:tcW w:w="8400" w:type="dxa"/>
            <w:vAlign w:val="bottom"/>
          </w:tcPr>
          <w:p>
            <w:pPr>
              <w:ind w:left="20"/>
              <w:spacing w:after="0"/>
              <w:rPr>
                <w:sz w:val="20"/>
                <w:szCs w:val="20"/>
                <w:color w:val="auto"/>
              </w:rPr>
            </w:pPr>
            <w:r>
              <w:rPr>
                <w:rFonts w:ascii="Arial" w:cs="Arial" w:eastAsia="Arial" w:hAnsi="Arial"/>
                <w:sz w:val="16"/>
                <w:szCs w:val="16"/>
                <w:color w:val="131E29"/>
              </w:rPr>
              <w:t>Ingredient costs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3,349</w:t>
            </w:r>
          </w:p>
        </w:tc>
        <w:tc>
          <w:tcPr>
            <w:tcW w:w="1420" w:type="dxa"/>
            <w:vAlign w:val="bottom"/>
            <w:gridSpan w:val="2"/>
          </w:tcPr>
          <w:p>
            <w:pPr>
              <w:jc w:val="right"/>
              <w:spacing w:after="0"/>
              <w:rPr>
                <w:sz w:val="20"/>
                <w:szCs w:val="20"/>
                <w:color w:val="auto"/>
              </w:rPr>
            </w:pPr>
            <w:r>
              <w:rPr>
                <w:rFonts w:ascii="Arial" w:cs="Arial" w:eastAsia="Arial" w:hAnsi="Arial"/>
                <w:sz w:val="16"/>
                <w:szCs w:val="16"/>
                <w:color w:val="131E29"/>
              </w:rPr>
              <w:t>80</w:t>
            </w:r>
          </w:p>
        </w:tc>
      </w:tr>
      <w:tr>
        <w:trPr>
          <w:trHeight w:val="33"/>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40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(1,055)</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23"/>
        </w:trPr>
        <w:tc>
          <w:tcPr>
            <w:tcW w:w="8400" w:type="dxa"/>
            <w:vAlign w:val="bottom"/>
          </w:tcPr>
          <w:p>
            <w:pPr>
              <w:ind w:left="20"/>
              <w:spacing w:after="0"/>
              <w:rPr>
                <w:sz w:val="20"/>
                <w:szCs w:val="20"/>
                <w:color w:val="auto"/>
              </w:rPr>
            </w:pPr>
            <w:r>
              <w:rPr>
                <w:rFonts w:ascii="Arial" w:cs="Arial" w:eastAsia="Arial" w:hAnsi="Arial"/>
                <w:sz w:val="16"/>
                <w:szCs w:val="16"/>
                <w:color w:val="131E29"/>
              </w:rPr>
              <w:t>Pricing impacts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N/A</w:t>
            </w:r>
          </w:p>
        </w:tc>
        <w:tc>
          <w:tcPr>
            <w:tcW w:w="1420" w:type="dxa"/>
            <w:vAlign w:val="bottom"/>
            <w:gridSpan w:val="2"/>
          </w:tcPr>
          <w:p>
            <w:pPr>
              <w:jc w:val="right"/>
              <w:spacing w:after="0"/>
              <w:rPr>
                <w:sz w:val="20"/>
                <w:szCs w:val="20"/>
                <w:color w:val="auto"/>
              </w:rPr>
            </w:pPr>
            <w:r>
              <w:rPr>
                <w:rFonts w:ascii="Arial" w:cs="Arial" w:eastAsia="Arial" w:hAnsi="Arial"/>
                <w:sz w:val="16"/>
                <w:szCs w:val="16"/>
                <w:color w:val="131E29"/>
              </w:rPr>
              <w:t>(140)</w:t>
            </w:r>
          </w:p>
        </w:tc>
      </w:tr>
      <w:tr>
        <w:trPr>
          <w:trHeight w:val="33"/>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40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Discounts</w:t>
            </w: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c>
          <w:tcPr>
            <w:tcW w:w="1420" w:type="dxa"/>
            <w:vAlign w:val="bottom"/>
            <w:gridSpan w:val="2"/>
            <w:shd w:val="clear" w:color="auto" w:fill="D2DCE5"/>
          </w:tcPr>
          <w:p>
            <w:pPr>
              <w:jc w:val="right"/>
              <w:spacing w:after="0"/>
              <w:rPr>
                <w:sz w:val="20"/>
                <w:szCs w:val="20"/>
                <w:color w:val="auto"/>
              </w:rPr>
            </w:pPr>
            <w:r>
              <w:rPr>
                <w:rFonts w:ascii="Arial" w:cs="Arial" w:eastAsia="Arial" w:hAnsi="Arial"/>
                <w:sz w:val="16"/>
                <w:szCs w:val="16"/>
                <w:color w:val="131E29"/>
              </w:rPr>
              <w:t>(20)</w:t>
            </w:r>
          </w:p>
        </w:tc>
      </w:tr>
      <w:tr>
        <w:trPr>
          <w:trHeight w:val="237"/>
        </w:trPr>
        <w:tc>
          <w:tcPr>
            <w:tcW w:w="8400" w:type="dxa"/>
            <w:vAlign w:val="bottom"/>
            <w:tcBorders>
              <w:bottom w:val="single" w:sz="8" w:color="131E29"/>
            </w:tcBorders>
          </w:tcPr>
          <w:p>
            <w:pPr>
              <w:ind w:left="20"/>
              <w:spacing w:after="0"/>
              <w:rPr>
                <w:sz w:val="20"/>
                <w:szCs w:val="20"/>
                <w:color w:val="auto"/>
              </w:rPr>
            </w:pPr>
            <w:r>
              <w:rPr>
                <w:rFonts w:ascii="Arial" w:cs="Arial" w:eastAsia="Arial" w:hAnsi="Arial"/>
                <w:sz w:val="16"/>
                <w:szCs w:val="16"/>
                <w:color w:val="131E29"/>
              </w:rPr>
              <w:t>Other</w:t>
            </w:r>
          </w:p>
        </w:tc>
        <w:tc>
          <w:tcPr>
            <w:tcW w:w="100" w:type="dxa"/>
            <w:vAlign w:val="bottom"/>
          </w:tcPr>
          <w:p>
            <w:pPr>
              <w:spacing w:after="0"/>
              <w:rPr>
                <w:sz w:val="20"/>
                <w:szCs w:val="20"/>
                <w:color w:val="auto"/>
              </w:rPr>
            </w:pPr>
          </w:p>
        </w:tc>
        <w:tc>
          <w:tcPr>
            <w:tcW w:w="360" w:type="dxa"/>
            <w:vAlign w:val="bottom"/>
            <w:tcBorders>
              <w:bottom w:val="single" w:sz="8" w:color="131E29"/>
            </w:tcBorders>
          </w:tcPr>
          <w:p>
            <w:pPr>
              <w:spacing w:after="0"/>
              <w:rPr>
                <w:sz w:val="20"/>
                <w:szCs w:val="20"/>
                <w:color w:val="auto"/>
              </w:rPr>
            </w:pPr>
          </w:p>
        </w:tc>
        <w:tc>
          <w:tcPr>
            <w:tcW w:w="96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3,964</w:t>
            </w:r>
          </w:p>
        </w:tc>
        <w:tc>
          <w:tcPr>
            <w:tcW w:w="100" w:type="dxa"/>
            <w:vAlign w:val="bottom"/>
          </w:tcPr>
          <w:p>
            <w:pPr>
              <w:spacing w:after="0"/>
              <w:rPr>
                <w:sz w:val="20"/>
                <w:szCs w:val="20"/>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120</w:t>
            </w:r>
          </w:p>
        </w:tc>
      </w:tr>
      <w:tr>
        <w:trPr>
          <w:trHeight w:val="236"/>
        </w:trPr>
        <w:tc>
          <w:tcPr>
            <w:tcW w:w="8400" w:type="dxa"/>
            <w:vAlign w:val="bottom"/>
            <w:tcBorders>
              <w:bottom w:val="single" w:sz="8" w:color="D2DCE5"/>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460" w:type="dxa"/>
            <w:vAlign w:val="bottom"/>
            <w:tcBorders>
              <w:bottom w:val="single" w:sz="8" w:color="D2DCE5"/>
            </w:tcBorders>
            <w:gridSpan w:val="2"/>
            <w:shd w:val="clear" w:color="auto" w:fill="D2DCE5"/>
          </w:tcPr>
          <w:p>
            <w:pPr>
              <w:jc w:val="right"/>
              <w:ind w:right="260"/>
              <w:spacing w:after="0"/>
              <w:rPr>
                <w:sz w:val="20"/>
                <w:szCs w:val="20"/>
                <w:color w:val="auto"/>
              </w:rPr>
            </w:pPr>
            <w:r>
              <w:rPr>
                <w:rFonts w:ascii="Arial" w:cs="Arial" w:eastAsia="Arial" w:hAnsi="Arial"/>
                <w:sz w:val="16"/>
                <w:szCs w:val="16"/>
                <w:b w:val="1"/>
                <w:bCs w:val="1"/>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29,215</w:t>
            </w:r>
          </w:p>
        </w:tc>
        <w:tc>
          <w:tcPr>
            <w:tcW w:w="14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b w:val="1"/>
                <w:bCs w:val="1"/>
                <w:color w:val="131E29"/>
              </w:rPr>
              <w:t>40</w:t>
            </w:r>
          </w:p>
        </w:tc>
      </w:tr>
      <w:tr>
        <w:trPr>
          <w:trHeight w:val="20"/>
        </w:trPr>
        <w:tc>
          <w:tcPr>
            <w:tcW w:w="840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131E29"/>
          </w:tcPr>
          <w:p>
            <w:pPr>
              <w:spacing w:after="0" w:line="20" w:lineRule="exact"/>
              <w:rPr>
                <w:sz w:val="1"/>
                <w:szCs w:val="1"/>
                <w:color w:val="auto"/>
              </w:rPr>
            </w:pPr>
          </w:p>
        </w:tc>
        <w:tc>
          <w:tcPr>
            <w:tcW w:w="96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131E29"/>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2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Labor Costs</w:t>
            </w: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131E29"/>
              </w:rPr>
              <w:t>Three Months Ended June 30,</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131E29"/>
              </w:rPr>
              <w:t>Six Months Ended 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131E29"/>
              </w:rPr>
              <w:t>2023</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131E29"/>
            </w:tcBorders>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40" w:type="dxa"/>
            <w:vAlign w:val="bottom"/>
            <w:tcBorders>
              <w:bottom w:val="single" w:sz="8" w:color="131E29"/>
            </w:tcBorders>
          </w:tcPr>
          <w:p>
            <w:pPr>
              <w:spacing w:after="0"/>
              <w:rPr>
                <w:sz w:val="22"/>
                <w:szCs w:val="22"/>
                <w:color w:val="auto"/>
              </w:rPr>
            </w:pPr>
          </w:p>
        </w:tc>
        <w:tc>
          <w:tcPr>
            <w:tcW w:w="2080" w:type="dxa"/>
            <w:vAlign w:val="bottom"/>
            <w:tcBorders>
              <w:bottom w:val="single" w:sz="8" w:color="131E29"/>
            </w:tcBorders>
            <w:gridSpan w:val="2"/>
          </w:tcPr>
          <w:p>
            <w:pPr>
              <w:jc w:val="right"/>
              <w:ind w:right="550"/>
              <w:spacing w:after="0"/>
              <w:rPr>
                <w:sz w:val="20"/>
                <w:szCs w:val="20"/>
                <w:color w:val="auto"/>
              </w:rPr>
            </w:pPr>
            <w:r>
              <w:rPr>
                <w:rFonts w:ascii="Arial" w:cs="Arial" w:eastAsia="Arial" w:hAnsi="Arial"/>
                <w:sz w:val="18"/>
                <w:szCs w:val="18"/>
                <w:b w:val="1"/>
                <w:bCs w:val="1"/>
                <w:color w:val="131E29"/>
              </w:rPr>
              <w:t>2023 v. 2022</w:t>
            </w:r>
          </w:p>
        </w:tc>
        <w:tc>
          <w:tcPr>
            <w:tcW w:w="120" w:type="dxa"/>
            <w:vAlign w:val="bottom"/>
          </w:tcPr>
          <w:p>
            <w:pPr>
              <w:spacing w:after="0"/>
              <w:rPr>
                <w:sz w:val="22"/>
                <w:szCs w:val="22"/>
                <w:color w:val="auto"/>
              </w:rPr>
            </w:pPr>
          </w:p>
        </w:tc>
        <w:tc>
          <w:tcPr>
            <w:tcW w:w="1080" w:type="dxa"/>
            <w:vAlign w:val="bottom"/>
            <w:tcBorders>
              <w:bottom w:val="single" w:sz="8" w:color="131E29"/>
            </w:tcBorders>
          </w:tcPr>
          <w:p>
            <w:pPr>
              <w:jc w:val="right"/>
              <w:ind w:right="230"/>
              <w:spacing w:after="0"/>
              <w:rPr>
                <w:sz w:val="20"/>
                <w:szCs w:val="20"/>
                <w:color w:val="auto"/>
              </w:rPr>
            </w:pPr>
            <w:r>
              <w:rPr>
                <w:rFonts w:ascii="Arial" w:cs="Arial" w:eastAsia="Arial" w:hAnsi="Arial"/>
                <w:sz w:val="18"/>
                <w:szCs w:val="18"/>
                <w:b w:val="1"/>
                <w:bCs w:val="1"/>
                <w:color w:val="131E29"/>
              </w:rPr>
              <w:t>2023</w:t>
            </w:r>
          </w:p>
        </w:tc>
        <w:tc>
          <w:tcPr>
            <w:tcW w:w="40" w:type="dxa"/>
            <w:vAlign w:val="bottom"/>
            <w:tcBorders>
              <w:bottom w:val="single" w:sz="8" w:color="131E29"/>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131E29"/>
            </w:tcBorders>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40" w:type="dxa"/>
            <w:vAlign w:val="bottom"/>
            <w:tcBorders>
              <w:bottom w:val="single" w:sz="8" w:color="131E29"/>
            </w:tcBorders>
          </w:tcPr>
          <w:p>
            <w:pPr>
              <w:spacing w:after="0"/>
              <w:rPr>
                <w:sz w:val="22"/>
                <w:szCs w:val="22"/>
                <w:color w:val="auto"/>
              </w:rPr>
            </w:pPr>
          </w:p>
        </w:tc>
        <w:tc>
          <w:tcPr>
            <w:tcW w:w="1980" w:type="dxa"/>
            <w:vAlign w:val="bottom"/>
            <w:tcBorders>
              <w:bottom w:val="single" w:sz="8" w:color="131E29"/>
            </w:tcBorders>
            <w:gridSpan w:val="2"/>
          </w:tcPr>
          <w:p>
            <w:pPr>
              <w:ind w:left="360"/>
              <w:spacing w:after="0"/>
              <w:rPr>
                <w:sz w:val="20"/>
                <w:szCs w:val="20"/>
                <w:color w:val="auto"/>
              </w:rPr>
            </w:pPr>
            <w:r>
              <w:rPr>
                <w:rFonts w:ascii="Arial" w:cs="Arial" w:eastAsia="Arial" w:hAnsi="Arial"/>
                <w:sz w:val="18"/>
                <w:szCs w:val="18"/>
                <w:b w:val="1"/>
                <w:bCs w:val="1"/>
                <w:color w:val="131E29"/>
              </w:rPr>
              <w:t>2023 v. 2022</w:t>
            </w:r>
          </w:p>
        </w:tc>
        <w:tc>
          <w:tcPr>
            <w:tcW w:w="0" w:type="dxa"/>
            <w:vAlign w:val="bottom"/>
          </w:tcPr>
          <w:p>
            <w:pPr>
              <w:spacing w:after="0"/>
              <w:rPr>
                <w:sz w:val="1"/>
                <w:szCs w:val="1"/>
                <w:color w:val="auto"/>
              </w:rPr>
            </w:pPr>
          </w:p>
        </w:tc>
      </w:tr>
      <w:tr>
        <w:trPr>
          <w:trHeight w:val="270"/>
        </w:trPr>
        <w:tc>
          <w:tcPr>
            <w:tcW w:w="20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Labor costs</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   58,735</w:t>
            </w:r>
          </w:p>
        </w:tc>
        <w:tc>
          <w:tcPr>
            <w:tcW w:w="1140" w:type="dxa"/>
            <w:vAlign w:val="bottom"/>
            <w:gridSpan w:val="3"/>
            <w:shd w:val="clear" w:color="auto" w:fill="D2DCE5"/>
          </w:tcPr>
          <w:p>
            <w:pPr>
              <w:jc w:val="right"/>
              <w:spacing w:after="0"/>
              <w:rPr>
                <w:sz w:val="20"/>
                <w:szCs w:val="20"/>
                <w:color w:val="auto"/>
              </w:rPr>
            </w:pPr>
            <w:r>
              <w:rPr>
                <w:rFonts w:ascii="Arial" w:cs="Arial" w:eastAsia="Arial" w:hAnsi="Arial"/>
                <w:sz w:val="18"/>
                <w:szCs w:val="18"/>
                <w:color w:val="131E29"/>
              </w:rPr>
              <w:t>$   47,240</w:t>
            </w:r>
          </w:p>
        </w:tc>
        <w:tc>
          <w:tcPr>
            <w:tcW w:w="340" w:type="dxa"/>
            <w:vAlign w:val="bottom"/>
            <w:gridSpan w:val="2"/>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1160" w:type="dxa"/>
            <w:vAlign w:val="bottom"/>
            <w:shd w:val="clear" w:color="auto" w:fill="D2DCE5"/>
          </w:tcPr>
          <w:p>
            <w:pPr>
              <w:jc w:val="right"/>
              <w:ind w:right="390"/>
              <w:spacing w:after="0"/>
              <w:rPr>
                <w:sz w:val="20"/>
                <w:szCs w:val="20"/>
                <w:color w:val="auto"/>
              </w:rPr>
            </w:pPr>
            <w:r>
              <w:rPr>
                <w:rFonts w:ascii="Arial" w:cs="Arial" w:eastAsia="Arial" w:hAnsi="Arial"/>
                <w:sz w:val="18"/>
                <w:szCs w:val="18"/>
                <w:color w:val="131E29"/>
              </w:rPr>
              <w:t>11,495</w:t>
            </w:r>
          </w:p>
        </w:tc>
        <w:tc>
          <w:tcPr>
            <w:tcW w:w="920" w:type="dxa"/>
            <w:vAlign w:val="bottom"/>
            <w:shd w:val="clear" w:color="auto" w:fill="D2DCE5"/>
          </w:tcPr>
          <w:p>
            <w:pPr>
              <w:jc w:val="right"/>
              <w:ind w:right="270"/>
              <w:spacing w:after="0"/>
              <w:rPr>
                <w:sz w:val="20"/>
                <w:szCs w:val="20"/>
                <w:color w:val="auto"/>
              </w:rPr>
            </w:pPr>
            <w:r>
              <w:rPr>
                <w:rFonts w:ascii="Arial" w:cs="Arial" w:eastAsia="Arial" w:hAnsi="Arial"/>
                <w:sz w:val="18"/>
                <w:szCs w:val="18"/>
                <w:color w:val="131E29"/>
              </w:rPr>
              <w:t>24.3%</w:t>
            </w:r>
          </w:p>
        </w:tc>
        <w:tc>
          <w:tcPr>
            <w:tcW w:w="120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   107,284</w:t>
            </w:r>
          </w:p>
        </w:tc>
        <w:tc>
          <w:tcPr>
            <w:tcW w:w="1140" w:type="dxa"/>
            <w:vAlign w:val="bottom"/>
            <w:gridSpan w:val="3"/>
            <w:shd w:val="clear" w:color="auto" w:fill="D2DCE5"/>
          </w:tcPr>
          <w:p>
            <w:pPr>
              <w:jc w:val="right"/>
              <w:spacing w:after="0"/>
              <w:rPr>
                <w:sz w:val="20"/>
                <w:szCs w:val="20"/>
                <w:color w:val="auto"/>
              </w:rPr>
            </w:pPr>
            <w:r>
              <w:rPr>
                <w:rFonts w:ascii="Arial" w:cs="Arial" w:eastAsia="Arial" w:hAnsi="Arial"/>
                <w:sz w:val="18"/>
                <w:szCs w:val="18"/>
                <w:color w:val="131E29"/>
              </w:rPr>
              <w:t>$   89,001</w:t>
            </w:r>
          </w:p>
        </w:tc>
        <w:tc>
          <w:tcPr>
            <w:tcW w:w="340" w:type="dxa"/>
            <w:vAlign w:val="bottom"/>
            <w:gridSpan w:val="2"/>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ind w:left="140"/>
              <w:spacing w:after="0"/>
              <w:rPr>
                <w:sz w:val="20"/>
                <w:szCs w:val="20"/>
                <w:color w:val="auto"/>
              </w:rPr>
            </w:pPr>
            <w:r>
              <w:rPr>
                <w:rFonts w:ascii="Arial" w:cs="Arial" w:eastAsia="Arial" w:hAnsi="Arial"/>
                <w:sz w:val="18"/>
                <w:szCs w:val="18"/>
                <w:color w:val="131E29"/>
              </w:rPr>
              <w:t>18,283</w:t>
            </w:r>
          </w:p>
        </w:tc>
        <w:tc>
          <w:tcPr>
            <w:tcW w:w="1020" w:type="dxa"/>
            <w:vAlign w:val="bottom"/>
            <w:shd w:val="clear" w:color="auto" w:fill="D2DCE5"/>
          </w:tcPr>
          <w:p>
            <w:pPr>
              <w:jc w:val="right"/>
              <w:ind w:right="210"/>
              <w:spacing w:after="0"/>
              <w:rPr>
                <w:sz w:val="20"/>
                <w:szCs w:val="20"/>
                <w:color w:val="auto"/>
              </w:rPr>
            </w:pPr>
            <w:r>
              <w:rPr>
                <w:rFonts w:ascii="Arial" w:cs="Arial" w:eastAsia="Arial" w:hAnsi="Arial"/>
                <w:sz w:val="18"/>
                <w:szCs w:val="18"/>
                <w:color w:val="131E29"/>
              </w:rPr>
              <w:t>20.5%</w:t>
            </w:r>
          </w:p>
        </w:tc>
        <w:tc>
          <w:tcPr>
            <w:tcW w:w="0" w:type="dxa"/>
            <w:vAlign w:val="bottom"/>
          </w:tcPr>
          <w:p>
            <w:pPr>
              <w:spacing w:after="0"/>
              <w:rPr>
                <w:sz w:val="1"/>
                <w:szCs w:val="1"/>
                <w:color w:val="auto"/>
              </w:rPr>
            </w:pPr>
          </w:p>
        </w:tc>
      </w:tr>
      <w:tr>
        <w:trPr>
          <w:trHeight w:val="215"/>
        </w:trPr>
        <w:tc>
          <w:tcPr>
            <w:tcW w:w="202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20" w:type="dxa"/>
            <w:vAlign w:val="bottom"/>
            <w:gridSpan w:val="2"/>
          </w:tcPr>
          <w:p>
            <w:pPr>
              <w:ind w:left="20"/>
              <w:spacing w:after="0"/>
              <w:rPr>
                <w:sz w:val="20"/>
                <w:szCs w:val="20"/>
                <w:color w:val="auto"/>
              </w:rPr>
            </w:pPr>
            <w:r>
              <w:rPr>
                <w:rFonts w:ascii="Arial" w:cs="Arial" w:eastAsia="Arial" w:hAnsi="Arial"/>
                <w:sz w:val="16"/>
                <w:szCs w:val="16"/>
                <w:i w:val="1"/>
                <w:iCs w:val="1"/>
                <w:color w:val="131E29"/>
              </w:rPr>
              <w:t>company-operated shop</w:t>
            </w:r>
          </w:p>
        </w:tc>
        <w:tc>
          <w:tcPr>
            <w:tcW w:w="960" w:type="dxa"/>
            <w:vAlign w:val="bottom"/>
            <w:vMerge w:val="restart"/>
          </w:tcPr>
          <w:p>
            <w:pPr>
              <w:jc w:val="right"/>
              <w:ind w:right="110"/>
              <w:spacing w:after="0"/>
              <w:rPr>
                <w:sz w:val="20"/>
                <w:szCs w:val="20"/>
                <w:color w:val="auto"/>
              </w:rPr>
            </w:pPr>
            <w:r>
              <w:rPr>
                <w:rFonts w:ascii="Arial" w:cs="Arial" w:eastAsia="Arial" w:hAnsi="Arial"/>
                <w:sz w:val="18"/>
                <w:szCs w:val="18"/>
                <w:color w:val="131E29"/>
              </w:rPr>
              <w:t>26.6%</w:t>
            </w:r>
          </w:p>
        </w:tc>
        <w:tc>
          <w:tcPr>
            <w:tcW w:w="114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131E29"/>
              </w:rPr>
              <w:t>29.4%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right"/>
              <w:ind w:right="670"/>
              <w:spacing w:after="0"/>
              <w:rPr>
                <w:sz w:val="20"/>
                <w:szCs w:val="20"/>
                <w:color w:val="auto"/>
              </w:rPr>
            </w:pPr>
            <w:r>
              <w:rPr>
                <w:rFonts w:ascii="Arial" w:cs="Arial" w:eastAsia="Arial" w:hAnsi="Arial"/>
                <w:sz w:val="18"/>
                <w:szCs w:val="18"/>
                <w:color w:val="131E29"/>
              </w:rPr>
              <w:t>N/A</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131E29"/>
              </w:rPr>
              <w:t>(280)bps</w:t>
            </w:r>
          </w:p>
        </w:tc>
        <w:tc>
          <w:tcPr>
            <w:tcW w:w="12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131E29"/>
              </w:rPr>
              <w:t>27.2%</w:t>
            </w:r>
          </w:p>
        </w:tc>
        <w:tc>
          <w:tcPr>
            <w:tcW w:w="114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131E29"/>
              </w:rPr>
              <w:t>30.6%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restart"/>
          </w:tcPr>
          <w:p>
            <w:pPr>
              <w:ind w:left="120"/>
              <w:spacing w:after="0"/>
              <w:rPr>
                <w:sz w:val="20"/>
                <w:szCs w:val="20"/>
                <w:color w:val="auto"/>
              </w:rPr>
            </w:pPr>
            <w:r>
              <w:rPr>
                <w:rFonts w:ascii="Arial" w:cs="Arial" w:eastAsia="Arial" w:hAnsi="Arial"/>
                <w:sz w:val="18"/>
                <w:szCs w:val="18"/>
                <w:color w:val="131E29"/>
              </w:rPr>
              <w:t>N/A</w:t>
            </w:r>
          </w:p>
        </w:tc>
        <w:tc>
          <w:tcPr>
            <w:tcW w:w="1020" w:type="dxa"/>
            <w:vAlign w:val="bottom"/>
            <w:vMerge w:val="restart"/>
          </w:tcPr>
          <w:p>
            <w:pPr>
              <w:jc w:val="center"/>
              <w:ind w:right="10"/>
              <w:spacing w:after="0"/>
              <w:rPr>
                <w:sz w:val="20"/>
                <w:szCs w:val="20"/>
                <w:color w:val="auto"/>
              </w:rPr>
            </w:pPr>
            <w:r>
              <w:rPr>
                <w:rFonts w:ascii="Arial" w:cs="Arial" w:eastAsia="Arial" w:hAnsi="Arial"/>
                <w:sz w:val="18"/>
                <w:szCs w:val="18"/>
                <w:color w:val="131E29"/>
                <w:w w:val="99"/>
              </w:rPr>
              <w:t>(340) bps</w:t>
            </w:r>
          </w:p>
        </w:tc>
        <w:tc>
          <w:tcPr>
            <w:tcW w:w="0" w:type="dxa"/>
            <w:vAlign w:val="bottom"/>
          </w:tcPr>
          <w:p>
            <w:pPr>
              <w:spacing w:after="0"/>
              <w:rPr>
                <w:sz w:val="1"/>
                <w:szCs w:val="1"/>
                <w:color w:val="auto"/>
              </w:rPr>
            </w:pPr>
          </w:p>
        </w:tc>
      </w:tr>
      <w:tr>
        <w:trPr>
          <w:trHeight w:val="217"/>
        </w:trPr>
        <w:tc>
          <w:tcPr>
            <w:tcW w:w="202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revenues</w:t>
            </w:r>
          </w:p>
        </w:tc>
        <w:tc>
          <w:tcPr>
            <w:tcW w:w="960" w:type="dxa"/>
            <w:vAlign w:val="bottom"/>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2023 v.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labor costs impacts for the year-over-year comparison, presented in dollars and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BPS; unaudited)</w:t>
            </w:r>
          </w:p>
        </w:tc>
        <w:tc>
          <w:tcPr>
            <w:tcW w:w="100" w:type="dxa"/>
            <w:vAlign w:val="bottom"/>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960" w:type="dxa"/>
            <w:vAlign w:val="bottom"/>
            <w:tcBorders>
              <w:bottom w:val="single" w:sz="8" w:color="131E29"/>
            </w:tcBorders>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320" w:type="dxa"/>
            <w:vAlign w:val="bottom"/>
            <w:tcBorders>
              <w:bottom w:val="single" w:sz="8" w:color="131E29"/>
            </w:tcBorders>
          </w:tcPr>
          <w:p>
            <w:pPr>
              <w:jc w:val="right"/>
              <w:ind w:right="397"/>
              <w:spacing w:after="0"/>
              <w:rPr>
                <w:sz w:val="20"/>
                <w:szCs w:val="20"/>
                <w:color w:val="auto"/>
              </w:rPr>
            </w:pPr>
            <w:r>
              <w:rPr>
                <w:rFonts w:ascii="Arial" w:cs="Arial" w:eastAsia="Arial" w:hAnsi="Arial"/>
                <w:sz w:val="18"/>
                <w:szCs w:val="18"/>
                <w:b w:val="1"/>
                <w:bCs w:val="1"/>
                <w:color w:val="131E29"/>
              </w:rPr>
              <w:t>BPS</w:t>
            </w:r>
          </w:p>
        </w:tc>
      </w:tr>
      <w:tr>
        <w:trPr>
          <w:trHeight w:val="237"/>
        </w:trPr>
        <w:tc>
          <w:tcPr>
            <w:tcW w:w="8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460" w:type="dxa"/>
            <w:vAlign w:val="bottom"/>
            <w:tcBorders>
              <w:bottom w:val="single" w:sz="8" w:color="D2DCE5"/>
            </w:tcBorders>
            <w:gridSpan w:val="2"/>
            <w:shd w:val="clear" w:color="auto" w:fill="D2DCE5"/>
          </w:tcPr>
          <w:p>
            <w:pPr>
              <w:jc w:val="right"/>
              <w:ind w:right="179"/>
              <w:spacing w:after="0"/>
              <w:rPr>
                <w:sz w:val="20"/>
                <w:szCs w:val="20"/>
                <w:color w:val="auto"/>
              </w:rPr>
            </w:pPr>
            <w:r>
              <w:rPr>
                <w:rFonts w:ascii="Arial" w:cs="Arial" w:eastAsia="Arial" w:hAnsi="Arial"/>
                <w:sz w:val="16"/>
                <w:szCs w:val="16"/>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13,670</w:t>
            </w:r>
          </w:p>
        </w:tc>
        <w:tc>
          <w:tcPr>
            <w:tcW w:w="100" w:type="dxa"/>
            <w:vAlign w:val="bottom"/>
            <w:tcBorders>
              <w:bottom w:val="single" w:sz="8" w:color="D2DCE5"/>
            </w:tcBorders>
            <w:shd w:val="clear" w:color="auto" w:fill="D2DCE5"/>
          </w:tcPr>
          <w:p>
            <w:pPr>
              <w:spacing w:after="0"/>
              <w:rPr>
                <w:sz w:val="20"/>
                <w:szCs w:val="20"/>
                <w:color w:val="auto"/>
              </w:rPr>
            </w:pPr>
          </w:p>
        </w:tc>
        <w:tc>
          <w:tcPr>
            <w:tcW w:w="1320" w:type="dxa"/>
            <w:vAlign w:val="bottom"/>
            <w:tcBorders>
              <w:bottom w:val="single" w:sz="8" w:color="D2DCE5"/>
            </w:tcBorders>
            <w:shd w:val="clear" w:color="auto" w:fill="D2DCE5"/>
          </w:tcPr>
          <w:p>
            <w:pPr>
              <w:jc w:val="center"/>
              <w:ind w:left="937"/>
              <w:spacing w:after="0"/>
              <w:rPr>
                <w:sz w:val="20"/>
                <w:szCs w:val="20"/>
                <w:color w:val="auto"/>
              </w:rPr>
            </w:pPr>
            <w:r>
              <w:rPr>
                <w:rFonts w:ascii="Arial" w:cs="Arial" w:eastAsia="Arial" w:hAnsi="Arial"/>
                <w:sz w:val="16"/>
                <w:szCs w:val="16"/>
                <w:color w:val="131E29"/>
                <w:w w:val="97"/>
              </w:rPr>
              <w:t>N/A</w:t>
            </w:r>
          </w:p>
        </w:tc>
      </w:tr>
      <w:tr>
        <w:trPr>
          <w:trHeight w:val="233"/>
        </w:trPr>
        <w:tc>
          <w:tcPr>
            <w:tcW w:w="8400" w:type="dxa"/>
            <w:vAlign w:val="bottom"/>
          </w:tcPr>
          <w:p>
            <w:pPr>
              <w:ind w:left="20"/>
              <w:spacing w:after="0"/>
              <w:rPr>
                <w:sz w:val="20"/>
                <w:szCs w:val="20"/>
                <w:color w:val="auto"/>
              </w:rPr>
            </w:pPr>
            <w:r>
              <w:rPr>
                <w:rFonts w:ascii="Arial" w:cs="Arial" w:eastAsia="Arial" w:hAnsi="Arial"/>
                <w:sz w:val="16"/>
                <w:szCs w:val="16"/>
                <w:color w:val="131E29"/>
              </w:rPr>
              <w:t>Staffing management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(3,916)</w:t>
            </w:r>
          </w:p>
        </w:tc>
        <w:tc>
          <w:tcPr>
            <w:tcW w:w="1420" w:type="dxa"/>
            <w:vAlign w:val="bottom"/>
            <w:gridSpan w:val="2"/>
          </w:tcPr>
          <w:p>
            <w:pPr>
              <w:jc w:val="right"/>
              <w:spacing w:after="0"/>
              <w:rPr>
                <w:sz w:val="20"/>
                <w:szCs w:val="20"/>
                <w:color w:val="auto"/>
              </w:rPr>
            </w:pPr>
            <w:r>
              <w:rPr>
                <w:rFonts w:ascii="Arial" w:cs="Arial" w:eastAsia="Arial" w:hAnsi="Arial"/>
                <w:sz w:val="16"/>
                <w:szCs w:val="16"/>
                <w:color w:val="131E29"/>
              </w:rPr>
              <w:t>(180)</w:t>
            </w:r>
          </w:p>
        </w:tc>
      </w:tr>
      <w:tr>
        <w:trPr>
          <w:trHeight w:val="253"/>
        </w:trPr>
        <w:tc>
          <w:tcPr>
            <w:tcW w:w="840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845</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center"/>
              <w:ind w:left="937"/>
              <w:spacing w:after="0"/>
              <w:rPr>
                <w:sz w:val="20"/>
                <w:szCs w:val="20"/>
                <w:color w:val="auto"/>
              </w:rPr>
            </w:pPr>
            <w:r>
              <w:rPr>
                <w:rFonts w:ascii="Arial" w:cs="Arial" w:eastAsia="Arial" w:hAnsi="Arial"/>
                <w:sz w:val="16"/>
                <w:szCs w:val="16"/>
                <w:color w:val="131E29"/>
                <w:w w:val="97"/>
              </w:rPr>
              <w:t>N/A</w:t>
            </w:r>
          </w:p>
        </w:tc>
      </w:tr>
      <w:tr>
        <w:trPr>
          <w:trHeight w:val="223"/>
        </w:trPr>
        <w:tc>
          <w:tcPr>
            <w:tcW w:w="8400" w:type="dxa"/>
            <w:vAlign w:val="bottom"/>
          </w:tcPr>
          <w:p>
            <w:pPr>
              <w:ind w:left="20"/>
              <w:spacing w:after="0"/>
              <w:rPr>
                <w:sz w:val="20"/>
                <w:szCs w:val="20"/>
                <w:color w:val="auto"/>
              </w:rPr>
            </w:pPr>
            <w:r>
              <w:rPr>
                <w:rFonts w:ascii="Arial" w:cs="Arial" w:eastAsia="Arial" w:hAnsi="Arial"/>
                <w:sz w:val="16"/>
                <w:szCs w:val="16"/>
                <w:color w:val="131E29"/>
              </w:rPr>
              <w:t>Pricing impacts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N/A</w:t>
            </w:r>
          </w:p>
        </w:tc>
        <w:tc>
          <w:tcPr>
            <w:tcW w:w="1420" w:type="dxa"/>
            <w:vAlign w:val="bottom"/>
            <w:gridSpan w:val="2"/>
          </w:tcPr>
          <w:p>
            <w:pPr>
              <w:jc w:val="right"/>
              <w:spacing w:after="0"/>
              <w:rPr>
                <w:sz w:val="20"/>
                <w:szCs w:val="20"/>
                <w:color w:val="auto"/>
              </w:rPr>
            </w:pPr>
            <w:r>
              <w:rPr>
                <w:rFonts w:ascii="Arial" w:cs="Arial" w:eastAsia="Arial" w:hAnsi="Arial"/>
                <w:sz w:val="16"/>
                <w:szCs w:val="16"/>
                <w:color w:val="131E29"/>
              </w:rPr>
              <w:t>(110)</w:t>
            </w:r>
          </w:p>
        </w:tc>
      </w:tr>
      <w:tr>
        <w:trPr>
          <w:trHeight w:val="33"/>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40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Discounts</w:t>
            </w: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c>
          <w:tcPr>
            <w:tcW w:w="1420" w:type="dxa"/>
            <w:vAlign w:val="bottom"/>
            <w:gridSpan w:val="2"/>
            <w:shd w:val="clear" w:color="auto" w:fill="D2DCE5"/>
          </w:tcPr>
          <w:p>
            <w:pPr>
              <w:jc w:val="right"/>
              <w:spacing w:after="0"/>
              <w:rPr>
                <w:sz w:val="20"/>
                <w:szCs w:val="20"/>
                <w:color w:val="auto"/>
              </w:rPr>
            </w:pPr>
            <w:r>
              <w:rPr>
                <w:rFonts w:ascii="Arial" w:cs="Arial" w:eastAsia="Arial" w:hAnsi="Arial"/>
                <w:sz w:val="16"/>
                <w:szCs w:val="16"/>
                <w:color w:val="131E29"/>
              </w:rPr>
              <w:t>(40)</w:t>
            </w:r>
          </w:p>
        </w:tc>
      </w:tr>
      <w:tr>
        <w:trPr>
          <w:trHeight w:val="223"/>
        </w:trPr>
        <w:tc>
          <w:tcPr>
            <w:tcW w:w="8400" w:type="dxa"/>
            <w:vAlign w:val="bottom"/>
          </w:tcPr>
          <w:p>
            <w:pPr>
              <w:ind w:left="20"/>
              <w:spacing w:after="0"/>
              <w:rPr>
                <w:sz w:val="20"/>
                <w:szCs w:val="20"/>
                <w:color w:val="auto"/>
              </w:rPr>
            </w:pPr>
            <w:r>
              <w:rPr>
                <w:rFonts w:ascii="Arial" w:cs="Arial" w:eastAsia="Arial" w:hAnsi="Arial"/>
                <w:sz w:val="16"/>
                <w:szCs w:val="16"/>
                <w:color w:val="131E29"/>
              </w:rPr>
              <w:t>Other</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896</w:t>
            </w:r>
          </w:p>
        </w:tc>
        <w:tc>
          <w:tcPr>
            <w:tcW w:w="1420" w:type="dxa"/>
            <w:vAlign w:val="bottom"/>
            <w:gridSpan w:val="2"/>
          </w:tcPr>
          <w:p>
            <w:pPr>
              <w:jc w:val="center"/>
              <w:ind w:left="999"/>
              <w:spacing w:after="0"/>
              <w:rPr>
                <w:sz w:val="20"/>
                <w:szCs w:val="20"/>
                <w:color w:val="auto"/>
              </w:rPr>
            </w:pPr>
            <w:r>
              <w:rPr>
                <w:rFonts w:ascii="Arial" w:cs="Arial" w:eastAsia="Arial" w:hAnsi="Arial"/>
                <w:sz w:val="16"/>
                <w:szCs w:val="16"/>
                <w:color w:val="131E29"/>
              </w:rPr>
              <w:t>50</w:t>
            </w:r>
          </w:p>
        </w:tc>
      </w:tr>
      <w:tr>
        <w:trPr>
          <w:trHeight w:val="33"/>
        </w:trPr>
        <w:tc>
          <w:tcPr>
            <w:tcW w:w="84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131E29"/>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33"/>
        </w:trPr>
        <w:tc>
          <w:tcPr>
            <w:tcW w:w="8400" w:type="dxa"/>
            <w:vAlign w:val="bottom"/>
            <w:tcBorders>
              <w:bottom w:val="single" w:sz="8" w:color="131E29"/>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100" w:type="dxa"/>
            <w:vAlign w:val="bottom"/>
            <w:shd w:val="clear" w:color="auto" w:fill="D2DCE5"/>
          </w:tcPr>
          <w:p>
            <w:pPr>
              <w:spacing w:after="0"/>
              <w:rPr>
                <w:sz w:val="20"/>
                <w:szCs w:val="20"/>
                <w:color w:val="auto"/>
              </w:rPr>
            </w:pPr>
          </w:p>
        </w:tc>
        <w:tc>
          <w:tcPr>
            <w:tcW w:w="360" w:type="dxa"/>
            <w:vAlign w:val="bottom"/>
            <w:tcBorders>
              <w:bottom w:val="single" w:sz="8" w:color="131E29"/>
            </w:tcBorders>
            <w:shd w:val="clear" w:color="auto" w:fill="D2DCE5"/>
          </w:tcPr>
          <w:p>
            <w:pPr>
              <w:jc w:val="right"/>
              <w:ind w:right="179"/>
              <w:spacing w:after="0"/>
              <w:rPr>
                <w:sz w:val="20"/>
                <w:szCs w:val="20"/>
                <w:color w:val="auto"/>
              </w:rPr>
            </w:pPr>
            <w:r>
              <w:rPr>
                <w:rFonts w:ascii="Arial" w:cs="Arial" w:eastAsia="Arial" w:hAnsi="Arial"/>
                <w:sz w:val="16"/>
                <w:szCs w:val="16"/>
                <w:b w:val="1"/>
                <w:bCs w:val="1"/>
                <w:color w:val="131E29"/>
                <w:w w:val="89"/>
              </w:rPr>
              <w:t>$</w:t>
            </w:r>
          </w:p>
        </w:tc>
        <w:tc>
          <w:tcPr>
            <w:tcW w:w="9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11,495</w:t>
            </w:r>
          </w:p>
        </w:tc>
        <w:tc>
          <w:tcPr>
            <w:tcW w:w="100" w:type="dxa"/>
            <w:vAlign w:val="bottom"/>
            <w:shd w:val="clear" w:color="auto" w:fill="D2DCE5"/>
          </w:tcPr>
          <w:p>
            <w:pPr>
              <w:spacing w:after="0"/>
              <w:rPr>
                <w:sz w:val="20"/>
                <w:szCs w:val="20"/>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(280)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2023 v.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labor costs impacts for the year-over-year comparison, presented in dollars and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598"/>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600" w:type="dxa"/>
            <w:vAlign w:val="bottom"/>
            <w:tcBorders>
              <w:bottom w:val="single" w:sz="8" w:color="131E29"/>
            </w:tcBorders>
          </w:tcPr>
          <w:p>
            <w:pPr>
              <w:jc w:val="right"/>
              <w:ind w:right="537"/>
              <w:spacing w:after="0"/>
              <w:rPr>
                <w:sz w:val="20"/>
                <w:szCs w:val="20"/>
                <w:color w:val="auto"/>
              </w:rPr>
            </w:pPr>
            <w:r>
              <w:rPr>
                <w:rFonts w:ascii="Arial" w:cs="Arial" w:eastAsia="Arial" w:hAnsi="Arial"/>
                <w:sz w:val="18"/>
                <w:szCs w:val="18"/>
                <w:b w:val="1"/>
                <w:bCs w:val="1"/>
                <w:color w:val="131E29"/>
              </w:rPr>
              <w:t>BPS</w:t>
            </w:r>
          </w:p>
        </w:tc>
      </w:tr>
      <w:tr>
        <w:trPr>
          <w:trHeight w:val="243"/>
        </w:trPr>
        <w:tc>
          <w:tcPr>
            <w:tcW w:w="800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500" w:type="dxa"/>
            <w:vAlign w:val="bottom"/>
            <w:gridSpan w:val="2"/>
            <w:shd w:val="clear" w:color="auto" w:fill="D2DCE5"/>
          </w:tcPr>
          <w:p>
            <w:pPr>
              <w:jc w:val="right"/>
              <w:ind w:right="199"/>
              <w:spacing w:after="0"/>
              <w:rPr>
                <w:sz w:val="20"/>
                <w:szCs w:val="20"/>
                <w:color w:val="auto"/>
              </w:rPr>
            </w:pPr>
            <w:r>
              <w:rPr>
                <w:rFonts w:ascii="Arial" w:cs="Arial" w:eastAsia="Arial" w:hAnsi="Arial"/>
                <w:sz w:val="16"/>
                <w:szCs w:val="16"/>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26,325</w:t>
            </w:r>
          </w:p>
        </w:tc>
        <w:tc>
          <w:tcPr>
            <w:tcW w:w="100" w:type="dxa"/>
            <w:vAlign w:val="bottom"/>
            <w:shd w:val="clear" w:color="auto" w:fill="D2DCE5"/>
          </w:tcPr>
          <w:p>
            <w:pPr>
              <w:spacing w:after="0"/>
              <w:rPr>
                <w:sz w:val="21"/>
                <w:szCs w:val="21"/>
                <w:color w:val="auto"/>
              </w:rPr>
            </w:pPr>
          </w:p>
        </w:tc>
        <w:tc>
          <w:tcPr>
            <w:tcW w:w="1600" w:type="dxa"/>
            <w:vAlign w:val="bottom"/>
            <w:shd w:val="clear" w:color="auto" w:fill="D2DCE5"/>
          </w:tcPr>
          <w:p>
            <w:pPr>
              <w:jc w:val="center"/>
              <w:ind w:left="1217"/>
              <w:spacing w:after="0"/>
              <w:rPr>
                <w:sz w:val="20"/>
                <w:szCs w:val="20"/>
                <w:color w:val="auto"/>
              </w:rPr>
            </w:pPr>
            <w:r>
              <w:rPr>
                <w:rFonts w:ascii="Arial" w:cs="Arial" w:eastAsia="Arial" w:hAnsi="Arial"/>
                <w:sz w:val="16"/>
                <w:szCs w:val="16"/>
                <w:color w:val="131E29"/>
                <w:w w:val="97"/>
              </w:rPr>
              <w:t>N/A</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131E29"/>
              </w:rPr>
              <w:t>Staffing management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31E29"/>
              </w:rPr>
              <w:t>(7,037)</w:t>
            </w:r>
          </w:p>
        </w:tc>
        <w:tc>
          <w:tcPr>
            <w:tcW w:w="1700" w:type="dxa"/>
            <w:vAlign w:val="bottom"/>
            <w:gridSpan w:val="2"/>
          </w:tcPr>
          <w:p>
            <w:pPr>
              <w:jc w:val="right"/>
              <w:spacing w:after="0"/>
              <w:rPr>
                <w:sz w:val="20"/>
                <w:szCs w:val="20"/>
                <w:color w:val="auto"/>
              </w:rPr>
            </w:pPr>
            <w:r>
              <w:rPr>
                <w:rFonts w:ascii="Arial" w:cs="Arial" w:eastAsia="Arial" w:hAnsi="Arial"/>
                <w:sz w:val="16"/>
                <w:szCs w:val="16"/>
                <w:color w:val="131E29"/>
              </w:rPr>
              <w:t>(180)</w:t>
            </w:r>
          </w:p>
        </w:tc>
      </w:tr>
      <w:tr>
        <w:trPr>
          <w:trHeight w:val="246"/>
        </w:trPr>
        <w:tc>
          <w:tcPr>
            <w:tcW w:w="80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(1,368)</w:t>
            </w:r>
          </w:p>
        </w:tc>
        <w:tc>
          <w:tcPr>
            <w:tcW w:w="1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center"/>
              <w:ind w:left="1217"/>
              <w:spacing w:after="0"/>
              <w:rPr>
                <w:sz w:val="20"/>
                <w:szCs w:val="20"/>
                <w:color w:val="auto"/>
              </w:rPr>
            </w:pPr>
            <w:r>
              <w:rPr>
                <w:rFonts w:ascii="Arial" w:cs="Arial" w:eastAsia="Arial" w:hAnsi="Arial"/>
                <w:sz w:val="16"/>
                <w:szCs w:val="16"/>
                <w:color w:val="131E29"/>
                <w:w w:val="97"/>
              </w:rPr>
              <w:t>N/A</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131E29"/>
              </w:rPr>
              <w:t>Pricing impacts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31E29"/>
              </w:rPr>
              <w:t>N/A</w:t>
            </w:r>
          </w:p>
        </w:tc>
        <w:tc>
          <w:tcPr>
            <w:tcW w:w="1700" w:type="dxa"/>
            <w:vAlign w:val="bottom"/>
            <w:gridSpan w:val="2"/>
          </w:tcPr>
          <w:p>
            <w:pPr>
              <w:jc w:val="right"/>
              <w:spacing w:after="0"/>
              <w:rPr>
                <w:sz w:val="20"/>
                <w:szCs w:val="20"/>
                <w:color w:val="auto"/>
              </w:rPr>
            </w:pPr>
            <w:r>
              <w:rPr>
                <w:rFonts w:ascii="Arial" w:cs="Arial" w:eastAsia="Arial" w:hAnsi="Arial"/>
                <w:sz w:val="16"/>
                <w:szCs w:val="16"/>
                <w:color w:val="131E29"/>
              </w:rPr>
              <w:t>(140)</w:t>
            </w:r>
          </w:p>
        </w:tc>
      </w:tr>
      <w:tr>
        <w:trPr>
          <w:trHeight w:val="246"/>
        </w:trPr>
        <w:tc>
          <w:tcPr>
            <w:tcW w:w="80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6"/>
                <w:szCs w:val="16"/>
                <w:color w:val="131E29"/>
              </w:rPr>
              <w:t>Discounts</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N/A</w:t>
            </w:r>
          </w:p>
        </w:tc>
        <w:tc>
          <w:tcPr>
            <w:tcW w:w="17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(30)</w:t>
            </w:r>
          </w:p>
        </w:tc>
      </w:tr>
      <w:tr>
        <w:trPr>
          <w:trHeight w:val="236"/>
        </w:trPr>
        <w:tc>
          <w:tcPr>
            <w:tcW w:w="8000" w:type="dxa"/>
            <w:vAlign w:val="bottom"/>
            <w:tcBorders>
              <w:bottom w:val="single" w:sz="8" w:color="131E29"/>
            </w:tcBorders>
          </w:tcPr>
          <w:p>
            <w:pPr>
              <w:ind w:left="20"/>
              <w:spacing w:after="0"/>
              <w:rPr>
                <w:sz w:val="20"/>
                <w:szCs w:val="20"/>
                <w:color w:val="auto"/>
              </w:rPr>
            </w:pPr>
            <w:r>
              <w:rPr>
                <w:rFonts w:ascii="Arial" w:cs="Arial" w:eastAsia="Arial" w:hAnsi="Arial"/>
                <w:sz w:val="16"/>
                <w:szCs w:val="16"/>
                <w:color w:val="131E29"/>
              </w:rPr>
              <w:t>Other</w:t>
            </w:r>
          </w:p>
        </w:tc>
        <w:tc>
          <w:tcPr>
            <w:tcW w:w="100" w:type="dxa"/>
            <w:vAlign w:val="bottom"/>
            <w:tcBorders>
              <w:bottom w:val="single" w:sz="8" w:color="D2DCE5"/>
            </w:tcBorders>
          </w:tcPr>
          <w:p>
            <w:pPr>
              <w:spacing w:after="0"/>
              <w:rPr>
                <w:sz w:val="20"/>
                <w:szCs w:val="20"/>
                <w:color w:val="auto"/>
              </w:rPr>
            </w:pPr>
          </w:p>
        </w:tc>
        <w:tc>
          <w:tcPr>
            <w:tcW w:w="400" w:type="dxa"/>
            <w:vAlign w:val="bottom"/>
            <w:tcBorders>
              <w:bottom w:val="single" w:sz="8" w:color="131E29"/>
            </w:tcBorders>
          </w:tcPr>
          <w:p>
            <w:pPr>
              <w:spacing w:after="0"/>
              <w:rPr>
                <w:sz w:val="20"/>
                <w:szCs w:val="20"/>
                <w:color w:val="auto"/>
              </w:rPr>
            </w:pPr>
          </w:p>
        </w:tc>
        <w:tc>
          <w:tcPr>
            <w:tcW w:w="104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363</w:t>
            </w:r>
          </w:p>
        </w:tc>
        <w:tc>
          <w:tcPr>
            <w:tcW w:w="100" w:type="dxa"/>
            <w:vAlign w:val="bottom"/>
            <w:tcBorders>
              <w:bottom w:val="single" w:sz="8" w:color="D2DCE5"/>
            </w:tcBorders>
          </w:tcPr>
          <w:p>
            <w:pPr>
              <w:spacing w:after="0"/>
              <w:rPr>
                <w:sz w:val="20"/>
                <w:szCs w:val="20"/>
                <w:color w:val="auto"/>
              </w:rPr>
            </w:pPr>
          </w:p>
        </w:tc>
        <w:tc>
          <w:tcPr>
            <w:tcW w:w="1600" w:type="dxa"/>
            <w:vAlign w:val="bottom"/>
            <w:tcBorders>
              <w:bottom w:val="single" w:sz="8" w:color="131E29"/>
            </w:tcBorders>
          </w:tcPr>
          <w:p>
            <w:pPr>
              <w:jc w:val="center"/>
              <w:ind w:left="1177"/>
              <w:spacing w:after="0"/>
              <w:rPr>
                <w:sz w:val="20"/>
                <w:szCs w:val="20"/>
                <w:color w:val="auto"/>
              </w:rPr>
            </w:pPr>
            <w:r>
              <w:rPr>
                <w:rFonts w:ascii="Arial" w:cs="Arial" w:eastAsia="Arial" w:hAnsi="Arial"/>
                <w:sz w:val="16"/>
                <w:szCs w:val="16"/>
                <w:color w:val="131E29"/>
              </w:rPr>
              <w:t>10</w:t>
            </w:r>
          </w:p>
        </w:tc>
      </w:tr>
      <w:tr>
        <w:trPr>
          <w:trHeight w:val="239"/>
        </w:trPr>
        <w:tc>
          <w:tcPr>
            <w:tcW w:w="8000" w:type="dxa"/>
            <w:vAlign w:val="bottom"/>
            <w:tcBorders>
              <w:bottom w:val="single" w:sz="8" w:color="131E29"/>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100" w:type="dxa"/>
            <w:vAlign w:val="bottom"/>
            <w:tcBorders>
              <w:bottom w:val="single" w:sz="8" w:color="D2DCE5"/>
            </w:tcBorders>
            <w:shd w:val="clear" w:color="auto" w:fill="D2DCE5"/>
          </w:tcPr>
          <w:p>
            <w:pPr>
              <w:spacing w:after="0"/>
              <w:rPr>
                <w:sz w:val="20"/>
                <w:szCs w:val="20"/>
                <w:color w:val="auto"/>
              </w:rPr>
            </w:pPr>
          </w:p>
        </w:tc>
        <w:tc>
          <w:tcPr>
            <w:tcW w:w="400" w:type="dxa"/>
            <w:vAlign w:val="bottom"/>
            <w:tcBorders>
              <w:bottom w:val="single" w:sz="8" w:color="131E29"/>
            </w:tcBorders>
            <w:shd w:val="clear" w:color="auto" w:fill="D2DCE5"/>
          </w:tcPr>
          <w:p>
            <w:pPr>
              <w:jc w:val="right"/>
              <w:ind w:right="199"/>
              <w:spacing w:after="0"/>
              <w:rPr>
                <w:sz w:val="20"/>
                <w:szCs w:val="20"/>
                <w:color w:val="auto"/>
              </w:rPr>
            </w:pPr>
            <w:r>
              <w:rPr>
                <w:rFonts w:ascii="Arial" w:cs="Arial" w:eastAsia="Arial" w:hAnsi="Arial"/>
                <w:sz w:val="16"/>
                <w:szCs w:val="16"/>
                <w:b w:val="1"/>
                <w:bCs w:val="1"/>
                <w:color w:val="131E29"/>
              </w:rPr>
              <w:t>$</w:t>
            </w:r>
          </w:p>
        </w:tc>
        <w:tc>
          <w:tcPr>
            <w:tcW w:w="10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18,283</w:t>
            </w:r>
          </w:p>
        </w:tc>
        <w:tc>
          <w:tcPr>
            <w:tcW w:w="100" w:type="dxa"/>
            <w:vAlign w:val="bottom"/>
            <w:tcBorders>
              <w:bottom w:val="single" w:sz="8" w:color="D2DCE5"/>
            </w:tcBorders>
            <w:shd w:val="clear" w:color="auto" w:fill="D2DCE5"/>
          </w:tcPr>
          <w:p>
            <w:pPr>
              <w:spacing w:after="0"/>
              <w:rPr>
                <w:sz w:val="20"/>
                <w:szCs w:val="20"/>
                <w:color w:val="auto"/>
              </w:rPr>
            </w:pPr>
          </w:p>
        </w:tc>
        <w:tc>
          <w:tcPr>
            <w:tcW w:w="16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(340)</w:t>
            </w: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040" w:type="dxa"/>
            <w:vAlign w:val="bottom"/>
            <w:gridSpan w:val="3"/>
          </w:tcPr>
          <w:p>
            <w:pPr>
              <w:spacing w:after="0"/>
              <w:rPr>
                <w:sz w:val="20"/>
                <w:szCs w:val="20"/>
                <w:color w:val="auto"/>
              </w:rPr>
            </w:pPr>
            <w:r>
              <w:rPr>
                <w:rFonts w:ascii="Arial" w:cs="Arial" w:eastAsia="Arial" w:hAnsi="Arial"/>
                <w:sz w:val="18"/>
                <w:szCs w:val="18"/>
                <w:b w:val="1"/>
                <w:bCs w:val="1"/>
                <w:i w:val="1"/>
                <w:iCs w:val="1"/>
                <w:color w:val="006098"/>
              </w:rPr>
              <w:t>Occupancy and Other Costs</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131E29"/>
            </w:tcBorders>
          </w:tcPr>
          <w:p>
            <w:pPr>
              <w:spacing w:after="0"/>
              <w:rPr>
                <w:sz w:val="24"/>
                <w:szCs w:val="24"/>
                <w:color w:val="auto"/>
              </w:rPr>
            </w:pPr>
          </w:p>
        </w:tc>
        <w:tc>
          <w:tcPr>
            <w:tcW w:w="2660" w:type="dxa"/>
            <w:vAlign w:val="bottom"/>
            <w:tcBorders>
              <w:bottom w:val="single" w:sz="8" w:color="131E29"/>
            </w:tcBorders>
            <w:gridSpan w:val="5"/>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000" w:type="dxa"/>
            <w:vAlign w:val="bottom"/>
            <w:tcBorders>
              <w:bottom w:val="single" w:sz="8" w:color="131E29"/>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131E29"/>
              </w:rPr>
              <w:t>Six Months Ended June 30,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131E29"/>
              </w:rPr>
              <w:t>2023</w:t>
            </w:r>
          </w:p>
        </w:tc>
        <w:tc>
          <w:tcPr>
            <w:tcW w:w="80" w:type="dxa"/>
            <w:vAlign w:val="bottom"/>
          </w:tcPr>
          <w:p>
            <w:pPr>
              <w:spacing w:after="0"/>
              <w:rPr>
                <w:sz w:val="22"/>
                <w:szCs w:val="22"/>
                <w:color w:val="auto"/>
              </w:rPr>
            </w:pPr>
          </w:p>
        </w:tc>
        <w:tc>
          <w:tcPr>
            <w:tcW w:w="1000" w:type="dxa"/>
            <w:vAlign w:val="bottom"/>
            <w:tcBorders>
              <w:bottom w:val="single" w:sz="8" w:color="131E29"/>
            </w:tcBorders>
          </w:tcPr>
          <w:p>
            <w:pPr>
              <w:jc w:val="right"/>
              <w:ind w:right="190"/>
              <w:spacing w:after="0"/>
              <w:rPr>
                <w:sz w:val="20"/>
                <w:szCs w:val="20"/>
                <w:color w:val="auto"/>
              </w:rPr>
            </w:pPr>
            <w:r>
              <w:rPr>
                <w:rFonts w:ascii="Arial" w:cs="Arial" w:eastAsia="Arial" w:hAnsi="Arial"/>
                <w:sz w:val="18"/>
                <w:szCs w:val="18"/>
                <w:b w:val="1"/>
                <w:bCs w:val="1"/>
                <w:color w:val="131E29"/>
              </w:rPr>
              <w:t>2022</w:t>
            </w:r>
          </w:p>
        </w:tc>
        <w:tc>
          <w:tcPr>
            <w:tcW w:w="12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2240" w:type="dxa"/>
            <w:vAlign w:val="bottom"/>
            <w:tcBorders>
              <w:bottom w:val="single" w:sz="8" w:color="131E29"/>
            </w:tcBorders>
            <w:gridSpan w:val="2"/>
          </w:tcPr>
          <w:p>
            <w:pPr>
              <w:jc w:val="right"/>
              <w:ind w:right="630"/>
              <w:spacing w:after="0"/>
              <w:rPr>
                <w:sz w:val="20"/>
                <w:szCs w:val="20"/>
                <w:color w:val="auto"/>
              </w:rPr>
            </w:pPr>
            <w:r>
              <w:rPr>
                <w:rFonts w:ascii="Arial" w:cs="Arial" w:eastAsia="Arial" w:hAnsi="Arial"/>
                <w:sz w:val="18"/>
                <w:szCs w:val="18"/>
                <w:b w:val="1"/>
                <w:bCs w:val="1"/>
                <w:color w:val="131E29"/>
              </w:rPr>
              <w:t>2023 v. 2022</w:t>
            </w:r>
          </w:p>
        </w:tc>
        <w:tc>
          <w:tcPr>
            <w:tcW w:w="120" w:type="dxa"/>
            <w:vAlign w:val="bottom"/>
          </w:tcPr>
          <w:p>
            <w:pPr>
              <w:spacing w:after="0"/>
              <w:rPr>
                <w:sz w:val="22"/>
                <w:szCs w:val="22"/>
                <w:color w:val="auto"/>
              </w:rPr>
            </w:pPr>
          </w:p>
        </w:tc>
        <w:tc>
          <w:tcPr>
            <w:tcW w:w="1000" w:type="dxa"/>
            <w:vAlign w:val="bottom"/>
            <w:tcBorders>
              <w:bottom w:val="single" w:sz="8" w:color="131E29"/>
            </w:tcBorders>
          </w:tcPr>
          <w:p>
            <w:pPr>
              <w:jc w:val="right"/>
              <w:ind w:right="230"/>
              <w:spacing w:after="0"/>
              <w:rPr>
                <w:sz w:val="20"/>
                <w:szCs w:val="20"/>
                <w:color w:val="auto"/>
              </w:rPr>
            </w:pPr>
            <w:r>
              <w:rPr>
                <w:rFonts w:ascii="Arial" w:cs="Arial" w:eastAsia="Arial" w:hAnsi="Arial"/>
                <w:sz w:val="18"/>
                <w:szCs w:val="18"/>
                <w:b w:val="1"/>
                <w:bCs w:val="1"/>
                <w:color w:val="131E29"/>
              </w:rPr>
              <w:t>2023</w:t>
            </w:r>
          </w:p>
        </w:tc>
        <w:tc>
          <w:tcPr>
            <w:tcW w:w="80" w:type="dxa"/>
            <w:vAlign w:val="bottom"/>
          </w:tcPr>
          <w:p>
            <w:pPr>
              <w:spacing w:after="0"/>
              <w:rPr>
                <w:sz w:val="22"/>
                <w:szCs w:val="22"/>
                <w:color w:val="auto"/>
              </w:rPr>
            </w:pPr>
          </w:p>
        </w:tc>
        <w:tc>
          <w:tcPr>
            <w:tcW w:w="1020" w:type="dxa"/>
            <w:vAlign w:val="bottom"/>
            <w:tcBorders>
              <w:bottom w:val="single" w:sz="8" w:color="131E29"/>
            </w:tcBorders>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2000" w:type="dxa"/>
            <w:vAlign w:val="bottom"/>
            <w:tcBorders>
              <w:bottom w:val="single" w:sz="8" w:color="131E29"/>
            </w:tcBorders>
            <w:gridSpan w:val="2"/>
          </w:tcPr>
          <w:p>
            <w:pPr>
              <w:ind w:left="360"/>
              <w:spacing w:after="0"/>
              <w:rPr>
                <w:sz w:val="20"/>
                <w:szCs w:val="20"/>
                <w:color w:val="auto"/>
              </w:rPr>
            </w:pPr>
            <w:r>
              <w:rPr>
                <w:rFonts w:ascii="Arial" w:cs="Arial" w:eastAsia="Arial" w:hAnsi="Arial"/>
                <w:sz w:val="18"/>
                <w:szCs w:val="18"/>
                <w:b w:val="1"/>
                <w:bCs w:val="1"/>
                <w:color w:val="131E29"/>
              </w:rPr>
              <w:t>2023 v. 2022</w:t>
            </w:r>
          </w:p>
        </w:tc>
        <w:tc>
          <w:tcPr>
            <w:tcW w:w="0" w:type="dxa"/>
            <w:vAlign w:val="bottom"/>
          </w:tcPr>
          <w:p>
            <w:pPr>
              <w:spacing w:after="0"/>
              <w:rPr>
                <w:sz w:val="1"/>
                <w:szCs w:val="1"/>
                <w:color w:val="auto"/>
              </w:rPr>
            </w:pPr>
          </w:p>
        </w:tc>
      </w:tr>
      <w:tr>
        <w:trPr>
          <w:trHeight w:val="206"/>
        </w:trPr>
        <w:tc>
          <w:tcPr>
            <w:tcW w:w="20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Occupancy and other</w:t>
            </w:r>
          </w:p>
        </w:tc>
        <w:tc>
          <w:tcPr>
            <w:tcW w:w="10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32,642</w:t>
            </w:r>
          </w:p>
        </w:tc>
        <w:tc>
          <w:tcPr>
            <w:tcW w:w="108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   26,621</w:t>
            </w:r>
          </w:p>
        </w:tc>
        <w:tc>
          <w:tcPr>
            <w:tcW w:w="3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1240" w:type="dxa"/>
            <w:vAlign w:val="bottom"/>
            <w:vMerge w:val="restart"/>
            <w:shd w:val="clear" w:color="auto" w:fill="D2DCE5"/>
          </w:tcPr>
          <w:p>
            <w:pPr>
              <w:jc w:val="right"/>
              <w:ind w:right="470"/>
              <w:spacing w:after="0"/>
              <w:rPr>
                <w:sz w:val="20"/>
                <w:szCs w:val="20"/>
                <w:color w:val="auto"/>
              </w:rPr>
            </w:pPr>
            <w:r>
              <w:rPr>
                <w:rFonts w:ascii="Arial" w:cs="Arial" w:eastAsia="Arial" w:hAnsi="Arial"/>
                <w:sz w:val="18"/>
                <w:szCs w:val="18"/>
                <w:color w:val="131E29"/>
              </w:rPr>
              <w:t>6,021</w:t>
            </w:r>
          </w:p>
        </w:tc>
        <w:tc>
          <w:tcPr>
            <w:tcW w:w="1000" w:type="dxa"/>
            <w:vAlign w:val="bottom"/>
            <w:vMerge w:val="restart"/>
            <w:shd w:val="clear" w:color="auto" w:fill="D2DCE5"/>
          </w:tcPr>
          <w:p>
            <w:pPr>
              <w:jc w:val="right"/>
              <w:ind w:right="350"/>
              <w:spacing w:after="0"/>
              <w:rPr>
                <w:sz w:val="20"/>
                <w:szCs w:val="20"/>
                <w:color w:val="auto"/>
              </w:rPr>
            </w:pPr>
            <w:r>
              <w:rPr>
                <w:rFonts w:ascii="Arial" w:cs="Arial" w:eastAsia="Arial" w:hAnsi="Arial"/>
                <w:sz w:val="18"/>
                <w:szCs w:val="18"/>
                <w:color w:val="131E29"/>
              </w:rPr>
              <w:t>22.6%</w:t>
            </w:r>
          </w:p>
        </w:tc>
        <w:tc>
          <w:tcPr>
            <w:tcW w:w="112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   63,201</w:t>
            </w:r>
          </w:p>
        </w:tc>
        <w:tc>
          <w:tcPr>
            <w:tcW w:w="110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   49,624</w:t>
            </w:r>
          </w:p>
        </w:tc>
        <w:tc>
          <w:tcPr>
            <w:tcW w:w="32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1000" w:type="dxa"/>
            <w:vAlign w:val="bottom"/>
            <w:vMerge w:val="restart"/>
            <w:shd w:val="clear" w:color="auto" w:fill="D2DCE5"/>
          </w:tcPr>
          <w:p>
            <w:pPr>
              <w:ind w:left="140"/>
              <w:spacing w:after="0"/>
              <w:rPr>
                <w:sz w:val="20"/>
                <w:szCs w:val="20"/>
                <w:color w:val="auto"/>
              </w:rPr>
            </w:pPr>
            <w:r>
              <w:rPr>
                <w:rFonts w:ascii="Arial" w:cs="Arial" w:eastAsia="Arial" w:hAnsi="Arial"/>
                <w:sz w:val="18"/>
                <w:szCs w:val="18"/>
                <w:color w:val="131E29"/>
              </w:rPr>
              <w:t>13,577</w:t>
            </w:r>
          </w:p>
        </w:tc>
        <w:tc>
          <w:tcPr>
            <w:tcW w:w="1000" w:type="dxa"/>
            <w:vAlign w:val="bottom"/>
            <w:vMerge w:val="restart"/>
            <w:shd w:val="clear" w:color="auto" w:fill="D2DCE5"/>
          </w:tcPr>
          <w:p>
            <w:pPr>
              <w:jc w:val="right"/>
              <w:ind w:right="210"/>
              <w:spacing w:after="0"/>
              <w:rPr>
                <w:sz w:val="20"/>
                <w:szCs w:val="20"/>
                <w:color w:val="auto"/>
              </w:rPr>
            </w:pPr>
            <w:r>
              <w:rPr>
                <w:rFonts w:ascii="Arial" w:cs="Arial" w:eastAsia="Arial" w:hAnsi="Arial"/>
                <w:sz w:val="18"/>
                <w:szCs w:val="18"/>
                <w:color w:val="131E29"/>
              </w:rPr>
              <w:t>27.4%</w:t>
            </w:r>
          </w:p>
        </w:tc>
        <w:tc>
          <w:tcPr>
            <w:tcW w:w="0" w:type="dxa"/>
            <w:vAlign w:val="bottom"/>
          </w:tcPr>
          <w:p>
            <w:pPr>
              <w:spacing w:after="0"/>
              <w:rPr>
                <w:sz w:val="1"/>
                <w:szCs w:val="1"/>
                <w:color w:val="auto"/>
              </w:rPr>
            </w:pPr>
          </w:p>
        </w:tc>
      </w:tr>
      <w:tr>
        <w:trPr>
          <w:trHeight w:val="220"/>
        </w:trPr>
        <w:tc>
          <w:tcPr>
            <w:tcW w:w="2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costs</w:t>
            </w:r>
          </w:p>
        </w:tc>
        <w:tc>
          <w:tcPr>
            <w:tcW w:w="1000" w:type="dxa"/>
            <w:vAlign w:val="bottom"/>
            <w:tcBorders>
              <w:bottom w:val="single" w:sz="8" w:color="D2DCE5"/>
            </w:tcBorders>
            <w:vMerge w:val="continue"/>
            <w:shd w:val="clear" w:color="auto" w:fill="D2DCE5"/>
          </w:tcPr>
          <w:p>
            <w:pPr>
              <w:spacing w:after="0"/>
              <w:rPr>
                <w:sz w:val="19"/>
                <w:szCs w:val="19"/>
                <w:color w:val="auto"/>
              </w:rPr>
            </w:pPr>
          </w:p>
        </w:tc>
        <w:tc>
          <w:tcPr>
            <w:tcW w:w="1080" w:type="dxa"/>
            <w:vAlign w:val="bottom"/>
            <w:tcBorders>
              <w:bottom w:val="single" w:sz="8" w:color="D2DCE5"/>
            </w:tcBorders>
            <w:gridSpan w:val="2"/>
            <w:vMerge w:val="continue"/>
            <w:shd w:val="clear" w:color="auto" w:fill="D2DCE5"/>
          </w:tcPr>
          <w:p>
            <w:pPr>
              <w:spacing w:after="0"/>
              <w:rPr>
                <w:sz w:val="19"/>
                <w:szCs w:val="19"/>
                <w:color w:val="auto"/>
              </w:rPr>
            </w:pPr>
          </w:p>
        </w:tc>
        <w:tc>
          <w:tcPr>
            <w:tcW w:w="340" w:type="dxa"/>
            <w:vAlign w:val="bottom"/>
            <w:tcBorders>
              <w:bottom w:val="single" w:sz="8" w:color="D2DCE5"/>
            </w:tcBorders>
            <w:gridSpan w:val="2"/>
            <w:vMerge w:val="continue"/>
            <w:shd w:val="clear" w:color="auto" w:fill="D2DCE5"/>
          </w:tcPr>
          <w:p>
            <w:pPr>
              <w:spacing w:after="0"/>
              <w:rPr>
                <w:sz w:val="19"/>
                <w:szCs w:val="19"/>
                <w:color w:val="auto"/>
              </w:rPr>
            </w:pPr>
          </w:p>
        </w:tc>
        <w:tc>
          <w:tcPr>
            <w:tcW w:w="1240" w:type="dxa"/>
            <w:vAlign w:val="bottom"/>
            <w:tcBorders>
              <w:bottom w:val="single" w:sz="8" w:color="D2DCE5"/>
            </w:tcBorders>
            <w:vMerge w:val="continue"/>
            <w:shd w:val="clear" w:color="auto" w:fill="D2DCE5"/>
          </w:tcPr>
          <w:p>
            <w:pPr>
              <w:spacing w:after="0"/>
              <w:rPr>
                <w:sz w:val="19"/>
                <w:szCs w:val="19"/>
                <w:color w:val="auto"/>
              </w:rPr>
            </w:pPr>
          </w:p>
        </w:tc>
        <w:tc>
          <w:tcPr>
            <w:tcW w:w="1000" w:type="dxa"/>
            <w:vAlign w:val="bottom"/>
            <w:tcBorders>
              <w:bottom w:val="single" w:sz="8" w:color="D2DCE5"/>
            </w:tcBorders>
            <w:vMerge w:val="continue"/>
            <w:shd w:val="clear" w:color="auto" w:fill="D2DCE5"/>
          </w:tcPr>
          <w:p>
            <w:pPr>
              <w:spacing w:after="0"/>
              <w:rPr>
                <w:sz w:val="19"/>
                <w:szCs w:val="19"/>
                <w:color w:val="auto"/>
              </w:rPr>
            </w:pPr>
          </w:p>
        </w:tc>
        <w:tc>
          <w:tcPr>
            <w:tcW w:w="1120" w:type="dxa"/>
            <w:vAlign w:val="bottom"/>
            <w:tcBorders>
              <w:bottom w:val="single" w:sz="8" w:color="D2DCE5"/>
            </w:tcBorders>
            <w:gridSpan w:val="2"/>
            <w:vMerge w:val="continue"/>
            <w:shd w:val="clear" w:color="auto" w:fill="D2DCE5"/>
          </w:tcPr>
          <w:p>
            <w:pPr>
              <w:spacing w:after="0"/>
              <w:rPr>
                <w:sz w:val="19"/>
                <w:szCs w:val="19"/>
                <w:color w:val="auto"/>
              </w:rPr>
            </w:pPr>
          </w:p>
        </w:tc>
        <w:tc>
          <w:tcPr>
            <w:tcW w:w="1100" w:type="dxa"/>
            <w:vAlign w:val="bottom"/>
            <w:tcBorders>
              <w:bottom w:val="single" w:sz="8" w:color="D2DCE5"/>
            </w:tcBorders>
            <w:gridSpan w:val="2"/>
            <w:vMerge w:val="continue"/>
            <w:shd w:val="clear" w:color="auto" w:fill="D2DCE5"/>
          </w:tcPr>
          <w:p>
            <w:pPr>
              <w:spacing w:after="0"/>
              <w:rPr>
                <w:sz w:val="19"/>
                <w:szCs w:val="19"/>
                <w:color w:val="auto"/>
              </w:rPr>
            </w:pPr>
          </w:p>
        </w:tc>
        <w:tc>
          <w:tcPr>
            <w:tcW w:w="320" w:type="dxa"/>
            <w:vAlign w:val="bottom"/>
            <w:tcBorders>
              <w:bottom w:val="single" w:sz="8" w:color="D2DCE5"/>
            </w:tcBorders>
            <w:gridSpan w:val="2"/>
            <w:vMerge w:val="continue"/>
            <w:shd w:val="clear" w:color="auto" w:fill="D2DCE5"/>
          </w:tcPr>
          <w:p>
            <w:pPr>
              <w:spacing w:after="0"/>
              <w:rPr>
                <w:sz w:val="19"/>
                <w:szCs w:val="19"/>
                <w:color w:val="auto"/>
              </w:rPr>
            </w:pPr>
          </w:p>
        </w:tc>
        <w:tc>
          <w:tcPr>
            <w:tcW w:w="1000" w:type="dxa"/>
            <w:vAlign w:val="bottom"/>
            <w:tcBorders>
              <w:bottom w:val="single" w:sz="8" w:color="D2DCE5"/>
            </w:tcBorders>
            <w:vMerge w:val="continue"/>
            <w:shd w:val="clear" w:color="auto" w:fill="D2DCE5"/>
          </w:tcPr>
          <w:p>
            <w:pPr>
              <w:spacing w:after="0"/>
              <w:rPr>
                <w:sz w:val="19"/>
                <w:szCs w:val="19"/>
                <w:color w:val="auto"/>
              </w:rPr>
            </w:pPr>
          </w:p>
        </w:tc>
        <w:tc>
          <w:tcPr>
            <w:tcW w:w="1000" w:type="dxa"/>
            <w:vAlign w:val="bottom"/>
            <w:tcBorders>
              <w:bottom w:val="single" w:sz="8" w:color="D2DCE5"/>
            </w:tcBorders>
            <w:vMerge w:val="continue"/>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gridSpan w:val="2"/>
          </w:tcPr>
          <w:p>
            <w:pPr>
              <w:ind w:left="20"/>
              <w:spacing w:after="0"/>
              <w:rPr>
                <w:sz w:val="20"/>
                <w:szCs w:val="20"/>
                <w:color w:val="auto"/>
              </w:rPr>
            </w:pPr>
            <w:r>
              <w:rPr>
                <w:rFonts w:ascii="Arial" w:cs="Arial" w:eastAsia="Arial" w:hAnsi="Arial"/>
                <w:sz w:val="16"/>
                <w:szCs w:val="16"/>
                <w:i w:val="1"/>
                <w:iCs w:val="1"/>
                <w:color w:val="131E29"/>
              </w:rPr>
              <w:t>company-operated shop</w:t>
            </w: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131E29"/>
              </w:rPr>
              <w:t>14.8%</w:t>
            </w:r>
          </w:p>
        </w:tc>
        <w:tc>
          <w:tcPr>
            <w:tcW w:w="108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131E29"/>
              </w:rPr>
              <w:t>16.6%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ind w:right="730"/>
              <w:spacing w:after="0"/>
              <w:rPr>
                <w:sz w:val="20"/>
                <w:szCs w:val="20"/>
                <w:color w:val="auto"/>
              </w:rPr>
            </w:pPr>
            <w:r>
              <w:rPr>
                <w:rFonts w:ascii="Arial" w:cs="Arial" w:eastAsia="Arial" w:hAnsi="Arial"/>
                <w:sz w:val="18"/>
                <w:szCs w:val="18"/>
                <w:color w:val="131E29"/>
              </w:rPr>
              <w:t>N/A</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131E29"/>
              </w:rPr>
              <w:t>(180)bps</w:t>
            </w:r>
          </w:p>
        </w:tc>
        <w:tc>
          <w:tcPr>
            <w:tcW w:w="112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131E29"/>
              </w:rPr>
              <w:t>16.0%</w:t>
            </w:r>
          </w:p>
        </w:tc>
        <w:tc>
          <w:tcPr>
            <w:tcW w:w="11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131E29"/>
              </w:rPr>
              <w:t>17.1%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ind w:left="120"/>
              <w:spacing w:after="0"/>
              <w:rPr>
                <w:sz w:val="20"/>
                <w:szCs w:val="20"/>
                <w:color w:val="auto"/>
              </w:rPr>
            </w:pPr>
            <w:r>
              <w:rPr>
                <w:rFonts w:ascii="Arial" w:cs="Arial" w:eastAsia="Arial" w:hAnsi="Arial"/>
                <w:sz w:val="18"/>
                <w:szCs w:val="18"/>
                <w:color w:val="131E29"/>
              </w:rPr>
              <w:t>N/A</w:t>
            </w:r>
          </w:p>
        </w:tc>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131E29"/>
                <w:w w:val="99"/>
              </w:rPr>
              <w:t>(110) bps</w:t>
            </w:r>
          </w:p>
        </w:tc>
        <w:tc>
          <w:tcPr>
            <w:tcW w:w="0" w:type="dxa"/>
            <w:vAlign w:val="bottom"/>
          </w:tcPr>
          <w:p>
            <w:pPr>
              <w:spacing w:after="0"/>
              <w:rPr>
                <w:sz w:val="1"/>
                <w:szCs w:val="1"/>
                <w:color w:val="auto"/>
              </w:rPr>
            </w:pPr>
          </w:p>
        </w:tc>
      </w:tr>
      <w:tr>
        <w:trPr>
          <w:trHeight w:val="211"/>
        </w:trPr>
        <w:tc>
          <w:tcPr>
            <w:tcW w:w="204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revenues</w:t>
            </w:r>
          </w:p>
        </w:tc>
        <w:tc>
          <w:tcPr>
            <w:tcW w:w="10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2023 v. 2022</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occupancy and other costs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BPS; unaudited)</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960" w:type="dxa"/>
            <w:vAlign w:val="bottom"/>
            <w:tcBorders>
              <w:bottom w:val="single" w:sz="8" w:color="131E29"/>
            </w:tcBorders>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320" w:type="dxa"/>
            <w:vAlign w:val="bottom"/>
            <w:tcBorders>
              <w:bottom w:val="single" w:sz="8" w:color="131E29"/>
            </w:tcBorders>
          </w:tcPr>
          <w:p>
            <w:pPr>
              <w:jc w:val="right"/>
              <w:ind w:right="396"/>
              <w:spacing w:after="0"/>
              <w:rPr>
                <w:sz w:val="20"/>
                <w:szCs w:val="20"/>
                <w:color w:val="auto"/>
              </w:rPr>
            </w:pPr>
            <w:r>
              <w:rPr>
                <w:rFonts w:ascii="Arial" w:cs="Arial" w:eastAsia="Arial" w:hAnsi="Arial"/>
                <w:sz w:val="18"/>
                <w:szCs w:val="18"/>
                <w:b w:val="1"/>
                <w:bCs w:val="1"/>
                <w:color w:val="131E29"/>
              </w:rPr>
              <w:t>BPS</w:t>
            </w:r>
          </w:p>
        </w:tc>
      </w:tr>
      <w:tr>
        <w:trPr>
          <w:trHeight w:val="243"/>
        </w:trPr>
        <w:tc>
          <w:tcPr>
            <w:tcW w:w="840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460" w:type="dxa"/>
            <w:vAlign w:val="bottom"/>
            <w:gridSpan w:val="2"/>
            <w:shd w:val="clear" w:color="auto" w:fill="D2DCE5"/>
          </w:tcPr>
          <w:p>
            <w:pPr>
              <w:jc w:val="right"/>
              <w:ind w:right="179"/>
              <w:spacing w:after="0"/>
              <w:rPr>
                <w:sz w:val="20"/>
                <w:szCs w:val="20"/>
                <w:color w:val="auto"/>
              </w:rPr>
            </w:pPr>
            <w:r>
              <w:rPr>
                <w:rFonts w:ascii="Arial" w:cs="Arial" w:eastAsia="Arial" w:hAnsi="Arial"/>
                <w:sz w:val="16"/>
                <w:szCs w:val="16"/>
                <w:color w:val="131E29"/>
              </w:rPr>
              <w:t>$</w:t>
            </w:r>
          </w:p>
        </w:tc>
        <w:tc>
          <w:tcPr>
            <w:tcW w:w="960" w:type="dxa"/>
            <w:vAlign w:val="bottom"/>
            <w:shd w:val="clear" w:color="auto" w:fill="D2DCE5"/>
          </w:tcPr>
          <w:p>
            <w:pPr>
              <w:jc w:val="center"/>
              <w:ind w:left="318"/>
              <w:spacing w:after="0"/>
              <w:rPr>
                <w:sz w:val="20"/>
                <w:szCs w:val="20"/>
                <w:color w:val="auto"/>
              </w:rPr>
            </w:pPr>
            <w:r>
              <w:rPr>
                <w:rFonts w:ascii="Arial" w:cs="Arial" w:eastAsia="Arial" w:hAnsi="Arial"/>
                <w:sz w:val="16"/>
                <w:szCs w:val="16"/>
                <w:color w:val="131E29"/>
                <w:w w:val="99"/>
              </w:rPr>
              <w:t>7,780</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00" w:type="dxa"/>
            <w:vAlign w:val="bottom"/>
          </w:tcPr>
          <w:p>
            <w:pPr>
              <w:ind w:left="20"/>
              <w:spacing w:after="0"/>
              <w:rPr>
                <w:sz w:val="20"/>
                <w:szCs w:val="20"/>
                <w:color w:val="auto"/>
              </w:rPr>
            </w:pPr>
            <w:r>
              <w:rPr>
                <w:rFonts w:ascii="Arial" w:cs="Arial" w:eastAsia="Arial" w:hAnsi="Arial"/>
                <w:sz w:val="16"/>
                <w:szCs w:val="16"/>
                <w:color w:val="131E29"/>
              </w:rPr>
              <w:t>Leverage/deleverage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ind w:left="680"/>
              <w:spacing w:after="0"/>
              <w:rPr>
                <w:sz w:val="20"/>
                <w:szCs w:val="20"/>
                <w:color w:val="auto"/>
              </w:rPr>
            </w:pPr>
            <w:r>
              <w:rPr>
                <w:rFonts w:ascii="Arial" w:cs="Arial" w:eastAsia="Arial" w:hAnsi="Arial"/>
                <w:sz w:val="16"/>
                <w:szCs w:val="16"/>
                <w:color w:val="131E29"/>
                <w:w w:val="97"/>
              </w:rPr>
              <w:t>N/A</w:t>
            </w:r>
          </w:p>
        </w:tc>
        <w:tc>
          <w:tcPr>
            <w:tcW w:w="1420" w:type="dxa"/>
            <w:vAlign w:val="bottom"/>
            <w:gridSpan w:val="2"/>
          </w:tcPr>
          <w:p>
            <w:pPr>
              <w:jc w:val="right"/>
              <w:spacing w:after="0"/>
              <w:rPr>
                <w:sz w:val="20"/>
                <w:szCs w:val="20"/>
                <w:color w:val="auto"/>
              </w:rPr>
            </w:pPr>
            <w:r>
              <w:rPr>
                <w:rFonts w:ascii="Arial" w:cs="Arial" w:eastAsia="Arial" w:hAnsi="Arial"/>
                <w:sz w:val="16"/>
                <w:szCs w:val="16"/>
                <w:color w:val="131E29"/>
              </w:rPr>
              <w:t>(20)</w:t>
            </w:r>
          </w:p>
        </w:tc>
      </w:tr>
      <w:tr>
        <w:trPr>
          <w:trHeight w:val="246"/>
        </w:trPr>
        <w:tc>
          <w:tcPr>
            <w:tcW w:w="8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6"/>
                <w:szCs w:val="16"/>
                <w:color w:val="131E29"/>
              </w:rPr>
              <w:t>Pricing impacts</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ind w:left="680"/>
              <w:spacing w:after="0"/>
              <w:rPr>
                <w:sz w:val="20"/>
                <w:szCs w:val="20"/>
                <w:color w:val="auto"/>
              </w:rPr>
            </w:pPr>
            <w:r>
              <w:rPr>
                <w:rFonts w:ascii="Arial" w:cs="Arial" w:eastAsia="Arial" w:hAnsi="Arial"/>
                <w:sz w:val="16"/>
                <w:szCs w:val="16"/>
                <w:color w:val="131E29"/>
                <w:w w:val="97"/>
              </w:rPr>
              <w:t>N/A</w:t>
            </w:r>
          </w:p>
        </w:tc>
        <w:tc>
          <w:tcPr>
            <w:tcW w:w="14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(60)</w:t>
            </w:r>
          </w:p>
        </w:tc>
      </w:tr>
      <w:tr>
        <w:trPr>
          <w:trHeight w:val="233"/>
        </w:trPr>
        <w:tc>
          <w:tcPr>
            <w:tcW w:w="8400" w:type="dxa"/>
            <w:vAlign w:val="bottom"/>
          </w:tcPr>
          <w:p>
            <w:pPr>
              <w:ind w:left="20"/>
              <w:spacing w:after="0"/>
              <w:rPr>
                <w:sz w:val="20"/>
                <w:szCs w:val="20"/>
                <w:color w:val="auto"/>
              </w:rPr>
            </w:pPr>
            <w:r>
              <w:rPr>
                <w:rFonts w:ascii="Arial" w:cs="Arial" w:eastAsia="Arial" w:hAnsi="Arial"/>
                <w:sz w:val="16"/>
                <w:szCs w:val="16"/>
                <w:color w:val="131E29"/>
              </w:rPr>
              <w:t>Discounts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ind w:left="680"/>
              <w:spacing w:after="0"/>
              <w:rPr>
                <w:sz w:val="20"/>
                <w:szCs w:val="20"/>
                <w:color w:val="auto"/>
              </w:rPr>
            </w:pPr>
            <w:r>
              <w:rPr>
                <w:rFonts w:ascii="Arial" w:cs="Arial" w:eastAsia="Arial" w:hAnsi="Arial"/>
                <w:sz w:val="16"/>
                <w:szCs w:val="16"/>
                <w:color w:val="131E29"/>
                <w:w w:val="97"/>
              </w:rPr>
              <w:t>N/A</w:t>
            </w:r>
          </w:p>
        </w:tc>
        <w:tc>
          <w:tcPr>
            <w:tcW w:w="1420" w:type="dxa"/>
            <w:vAlign w:val="bottom"/>
            <w:gridSpan w:val="2"/>
          </w:tcPr>
          <w:p>
            <w:pPr>
              <w:jc w:val="right"/>
              <w:spacing w:after="0"/>
              <w:rPr>
                <w:sz w:val="20"/>
                <w:szCs w:val="20"/>
                <w:color w:val="auto"/>
              </w:rPr>
            </w:pPr>
            <w:r>
              <w:rPr>
                <w:rFonts w:ascii="Arial" w:cs="Arial" w:eastAsia="Arial" w:hAnsi="Arial"/>
                <w:sz w:val="16"/>
                <w:szCs w:val="16"/>
                <w:color w:val="131E29"/>
              </w:rPr>
              <w:t>(20)</w:t>
            </w:r>
          </w:p>
        </w:tc>
      </w:tr>
      <w:tr>
        <w:trPr>
          <w:trHeight w:val="266"/>
        </w:trPr>
        <w:tc>
          <w:tcPr>
            <w:tcW w:w="84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6"/>
                <w:szCs w:val="16"/>
                <w:color w:val="131E29"/>
              </w:rPr>
              <w:t>Other</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D2DCE5"/>
            </w:tcBorders>
            <w:shd w:val="clear" w:color="auto" w:fill="D2DCE5"/>
          </w:tcPr>
          <w:p>
            <w:pPr>
              <w:jc w:val="center"/>
              <w:ind w:left="318"/>
              <w:spacing w:after="0"/>
              <w:rPr>
                <w:sz w:val="20"/>
                <w:szCs w:val="20"/>
                <w:color w:val="auto"/>
              </w:rPr>
            </w:pPr>
            <w:r>
              <w:rPr>
                <w:rFonts w:ascii="Arial" w:cs="Arial" w:eastAsia="Arial" w:hAnsi="Arial"/>
                <w:sz w:val="16"/>
                <w:szCs w:val="16"/>
                <w:color w:val="131E29"/>
              </w:rPr>
              <w:t>(1,759)</w:t>
            </w:r>
          </w:p>
        </w:tc>
        <w:tc>
          <w:tcPr>
            <w:tcW w:w="14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(80)</w:t>
            </w:r>
          </w:p>
        </w:tc>
      </w:tr>
      <w:tr>
        <w:trPr>
          <w:trHeight w:val="233"/>
        </w:trPr>
        <w:tc>
          <w:tcPr>
            <w:tcW w:w="8400" w:type="dxa"/>
            <w:vAlign w:val="bottom"/>
            <w:tcBorders>
              <w:top w:val="single" w:sz="8" w:color="131E29"/>
              <w:bottom w:val="single" w:sz="8" w:color="131E29"/>
            </w:tcBorders>
          </w:tcPr>
          <w:p>
            <w:pPr>
              <w:ind w:left="140"/>
              <w:spacing w:after="0"/>
              <w:rPr>
                <w:sz w:val="20"/>
                <w:szCs w:val="20"/>
                <w:color w:val="auto"/>
              </w:rPr>
            </w:pPr>
            <w:r>
              <w:rPr>
                <w:rFonts w:ascii="Arial" w:cs="Arial" w:eastAsia="Arial" w:hAnsi="Arial"/>
                <w:sz w:val="16"/>
                <w:szCs w:val="16"/>
                <w:b w:val="1"/>
                <w:bCs w:val="1"/>
                <w:color w:val="131E29"/>
              </w:rPr>
              <w:t>Total change</w:t>
            </w:r>
          </w:p>
        </w:tc>
        <w:tc>
          <w:tcPr>
            <w:tcW w:w="100" w:type="dxa"/>
            <w:vAlign w:val="bottom"/>
          </w:tcPr>
          <w:p>
            <w:pPr>
              <w:spacing w:after="0"/>
              <w:rPr>
                <w:sz w:val="20"/>
                <w:szCs w:val="20"/>
                <w:color w:val="auto"/>
              </w:rPr>
            </w:pPr>
          </w:p>
        </w:tc>
        <w:tc>
          <w:tcPr>
            <w:tcW w:w="360" w:type="dxa"/>
            <w:vAlign w:val="bottom"/>
            <w:tcBorders>
              <w:top w:val="single" w:sz="8" w:color="131E29"/>
              <w:bottom w:val="single" w:sz="8" w:color="131E29"/>
            </w:tcBorders>
          </w:tcPr>
          <w:p>
            <w:pPr>
              <w:jc w:val="right"/>
              <w:ind w:right="179"/>
              <w:spacing w:after="0"/>
              <w:rPr>
                <w:sz w:val="20"/>
                <w:szCs w:val="20"/>
                <w:color w:val="auto"/>
              </w:rPr>
            </w:pPr>
            <w:r>
              <w:rPr>
                <w:rFonts w:ascii="Arial" w:cs="Arial" w:eastAsia="Arial" w:hAnsi="Arial"/>
                <w:sz w:val="16"/>
                <w:szCs w:val="16"/>
                <w:b w:val="1"/>
                <w:bCs w:val="1"/>
                <w:color w:val="131E29"/>
                <w:w w:val="89"/>
              </w:rPr>
              <w:t>$</w:t>
            </w:r>
          </w:p>
        </w:tc>
        <w:tc>
          <w:tcPr>
            <w:tcW w:w="960" w:type="dxa"/>
            <w:vAlign w:val="bottom"/>
            <w:tcBorders>
              <w:top w:val="single" w:sz="8" w:color="131E29"/>
              <w:bottom w:val="single" w:sz="8" w:color="131E29"/>
            </w:tcBorders>
          </w:tcPr>
          <w:p>
            <w:pPr>
              <w:jc w:val="center"/>
              <w:ind w:left="318"/>
              <w:spacing w:after="0"/>
              <w:rPr>
                <w:sz w:val="20"/>
                <w:szCs w:val="20"/>
                <w:color w:val="auto"/>
              </w:rPr>
            </w:pPr>
            <w:r>
              <w:rPr>
                <w:rFonts w:ascii="Arial" w:cs="Arial" w:eastAsia="Arial" w:hAnsi="Arial"/>
                <w:sz w:val="16"/>
                <w:szCs w:val="16"/>
                <w:b w:val="1"/>
                <w:bCs w:val="1"/>
                <w:color w:val="131E29"/>
                <w:w w:val="99"/>
              </w:rPr>
              <w:t>6,021</w:t>
            </w:r>
          </w:p>
        </w:tc>
        <w:tc>
          <w:tcPr>
            <w:tcW w:w="100" w:type="dxa"/>
            <w:vAlign w:val="bottom"/>
          </w:tcPr>
          <w:p>
            <w:pPr>
              <w:spacing w:after="0"/>
              <w:rPr>
                <w:sz w:val="20"/>
                <w:szCs w:val="20"/>
                <w:color w:val="auto"/>
              </w:rPr>
            </w:pPr>
          </w:p>
        </w:tc>
        <w:tc>
          <w:tcPr>
            <w:tcW w:w="1320" w:type="dxa"/>
            <w:vAlign w:val="bottom"/>
            <w:tcBorders>
              <w:top w:val="single" w:sz="8" w:color="131E29"/>
              <w:bottom w:val="single" w:sz="8" w:color="131E29"/>
            </w:tcBorders>
          </w:tcPr>
          <w:p>
            <w:pPr>
              <w:jc w:val="right"/>
              <w:spacing w:after="0"/>
              <w:rPr>
                <w:sz w:val="20"/>
                <w:szCs w:val="20"/>
                <w:color w:val="auto"/>
              </w:rPr>
            </w:pPr>
            <w:r>
              <w:rPr>
                <w:rFonts w:ascii="Arial" w:cs="Arial" w:eastAsia="Arial" w:hAnsi="Arial"/>
                <w:sz w:val="16"/>
                <w:szCs w:val="16"/>
                <w:b w:val="1"/>
                <w:bCs w:val="1"/>
                <w:color w:val="131E29"/>
              </w:rPr>
              <w:t>(180)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2023 v. 2022</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occupancy and other costs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598"/>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600" w:type="dxa"/>
            <w:vAlign w:val="bottom"/>
            <w:tcBorders>
              <w:bottom w:val="single" w:sz="8" w:color="131E29"/>
            </w:tcBorders>
          </w:tcPr>
          <w:p>
            <w:pPr>
              <w:jc w:val="right"/>
              <w:ind w:right="536"/>
              <w:spacing w:after="0"/>
              <w:rPr>
                <w:sz w:val="20"/>
                <w:szCs w:val="20"/>
                <w:color w:val="auto"/>
              </w:rPr>
            </w:pPr>
            <w:r>
              <w:rPr>
                <w:rFonts w:ascii="Arial" w:cs="Arial" w:eastAsia="Arial" w:hAnsi="Arial"/>
                <w:sz w:val="18"/>
                <w:szCs w:val="18"/>
                <w:b w:val="1"/>
                <w:bCs w:val="1"/>
                <w:color w:val="131E29"/>
              </w:rPr>
              <w:t>BPS</w:t>
            </w:r>
          </w:p>
        </w:tc>
      </w:tr>
      <w:tr>
        <w:trPr>
          <w:trHeight w:val="243"/>
        </w:trPr>
        <w:tc>
          <w:tcPr>
            <w:tcW w:w="800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500" w:type="dxa"/>
            <w:vAlign w:val="bottom"/>
            <w:gridSpan w:val="2"/>
            <w:shd w:val="clear" w:color="auto" w:fill="D2DCE5"/>
          </w:tcPr>
          <w:p>
            <w:pPr>
              <w:jc w:val="right"/>
              <w:ind w:right="280"/>
              <w:spacing w:after="0"/>
              <w:rPr>
                <w:sz w:val="20"/>
                <w:szCs w:val="20"/>
                <w:color w:val="auto"/>
              </w:rPr>
            </w:pPr>
            <w:r>
              <w:rPr>
                <w:rFonts w:ascii="Arial" w:cs="Arial" w:eastAsia="Arial" w:hAnsi="Arial"/>
                <w:sz w:val="16"/>
                <w:szCs w:val="16"/>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14,772</w:t>
            </w:r>
          </w:p>
        </w:tc>
        <w:tc>
          <w:tcPr>
            <w:tcW w:w="100" w:type="dxa"/>
            <w:vAlign w:val="bottom"/>
            <w:shd w:val="clear" w:color="auto" w:fill="D2DCE5"/>
          </w:tcPr>
          <w:p>
            <w:pPr>
              <w:spacing w:after="0"/>
              <w:rPr>
                <w:sz w:val="21"/>
                <w:szCs w:val="21"/>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131E29"/>
              </w:rPr>
              <w:t>Pricing impacts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31E29"/>
              </w:rPr>
              <w:t>N/A</w:t>
            </w:r>
          </w:p>
        </w:tc>
        <w:tc>
          <w:tcPr>
            <w:tcW w:w="1700" w:type="dxa"/>
            <w:vAlign w:val="bottom"/>
            <w:gridSpan w:val="2"/>
          </w:tcPr>
          <w:p>
            <w:pPr>
              <w:jc w:val="right"/>
              <w:spacing w:after="0"/>
              <w:rPr>
                <w:sz w:val="20"/>
                <w:szCs w:val="20"/>
                <w:color w:val="auto"/>
              </w:rPr>
            </w:pPr>
            <w:r>
              <w:rPr>
                <w:rFonts w:ascii="Arial" w:cs="Arial" w:eastAsia="Arial" w:hAnsi="Arial"/>
                <w:sz w:val="16"/>
                <w:szCs w:val="16"/>
                <w:color w:val="131E29"/>
              </w:rPr>
              <w:t>(70)</w:t>
            </w:r>
          </w:p>
        </w:tc>
      </w:tr>
      <w:tr>
        <w:trPr>
          <w:trHeight w:val="246"/>
        </w:trPr>
        <w:tc>
          <w:tcPr>
            <w:tcW w:w="80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6"/>
                <w:szCs w:val="16"/>
                <w:color w:val="131E29"/>
              </w:rPr>
              <w:t>Promotional discounts</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color w:val="131E29"/>
              </w:rPr>
              <w:t>N/A</w:t>
            </w:r>
          </w:p>
        </w:tc>
        <w:tc>
          <w:tcPr>
            <w:tcW w:w="17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color w:val="131E29"/>
              </w:rPr>
              <w:t>(10)</w:t>
            </w:r>
          </w:p>
        </w:tc>
      </w:tr>
      <w:tr>
        <w:trPr>
          <w:trHeight w:val="237"/>
        </w:trPr>
        <w:tc>
          <w:tcPr>
            <w:tcW w:w="8000" w:type="dxa"/>
            <w:vAlign w:val="bottom"/>
            <w:tcBorders>
              <w:bottom w:val="single" w:sz="8" w:color="131E29"/>
            </w:tcBorders>
          </w:tcPr>
          <w:p>
            <w:pPr>
              <w:ind w:left="20"/>
              <w:spacing w:after="0"/>
              <w:rPr>
                <w:sz w:val="20"/>
                <w:szCs w:val="20"/>
                <w:color w:val="auto"/>
              </w:rPr>
            </w:pPr>
            <w:r>
              <w:rPr>
                <w:rFonts w:ascii="Arial" w:cs="Arial" w:eastAsia="Arial" w:hAnsi="Arial"/>
                <w:sz w:val="16"/>
                <w:szCs w:val="16"/>
                <w:color w:val="131E29"/>
              </w:rPr>
              <w:t>Other</w:t>
            </w:r>
          </w:p>
        </w:tc>
        <w:tc>
          <w:tcPr>
            <w:tcW w:w="100" w:type="dxa"/>
            <w:vAlign w:val="bottom"/>
          </w:tcPr>
          <w:p>
            <w:pPr>
              <w:spacing w:after="0"/>
              <w:rPr>
                <w:sz w:val="20"/>
                <w:szCs w:val="20"/>
                <w:color w:val="auto"/>
              </w:rPr>
            </w:pPr>
          </w:p>
        </w:tc>
        <w:tc>
          <w:tcPr>
            <w:tcW w:w="400" w:type="dxa"/>
            <w:vAlign w:val="bottom"/>
            <w:tcBorders>
              <w:bottom w:val="single" w:sz="8" w:color="131E29"/>
            </w:tcBorders>
          </w:tcPr>
          <w:p>
            <w:pPr>
              <w:spacing w:after="0"/>
              <w:rPr>
                <w:sz w:val="20"/>
                <w:szCs w:val="20"/>
                <w:color w:val="auto"/>
              </w:rPr>
            </w:pPr>
          </w:p>
        </w:tc>
        <w:tc>
          <w:tcPr>
            <w:tcW w:w="104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(1,195)</w:t>
            </w:r>
          </w:p>
        </w:tc>
        <w:tc>
          <w:tcPr>
            <w:tcW w:w="100" w:type="dxa"/>
            <w:vAlign w:val="bottom"/>
          </w:tcPr>
          <w:p>
            <w:pPr>
              <w:spacing w:after="0"/>
              <w:rPr>
                <w:sz w:val="20"/>
                <w:szCs w:val="20"/>
                <w:color w:val="auto"/>
              </w:rPr>
            </w:pPr>
          </w:p>
        </w:tc>
        <w:tc>
          <w:tcPr>
            <w:tcW w:w="160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(30)</w:t>
            </w:r>
          </w:p>
        </w:tc>
      </w:tr>
      <w:tr>
        <w:trPr>
          <w:trHeight w:val="236"/>
        </w:trPr>
        <w:tc>
          <w:tcPr>
            <w:tcW w:w="8000" w:type="dxa"/>
            <w:vAlign w:val="bottom"/>
            <w:tcBorders>
              <w:bottom w:val="single" w:sz="8" w:color="D2DCE5"/>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500" w:type="dxa"/>
            <w:vAlign w:val="bottom"/>
            <w:tcBorders>
              <w:bottom w:val="single" w:sz="8" w:color="D2DCE5"/>
            </w:tcBorders>
            <w:gridSpan w:val="2"/>
            <w:shd w:val="clear" w:color="auto" w:fill="D2DCE5"/>
          </w:tcPr>
          <w:p>
            <w:pPr>
              <w:jc w:val="right"/>
              <w:ind w:right="280"/>
              <w:spacing w:after="0"/>
              <w:rPr>
                <w:sz w:val="20"/>
                <w:szCs w:val="20"/>
                <w:color w:val="auto"/>
              </w:rPr>
            </w:pPr>
            <w:r>
              <w:rPr>
                <w:rFonts w:ascii="Arial" w:cs="Arial" w:eastAsia="Arial" w:hAnsi="Arial"/>
                <w:sz w:val="16"/>
                <w:szCs w:val="16"/>
                <w:b w:val="1"/>
                <w:bCs w:val="1"/>
                <w:color w:val="131E2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13,577</w:t>
            </w:r>
          </w:p>
        </w:tc>
        <w:tc>
          <w:tcPr>
            <w:tcW w:w="17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6"/>
                <w:szCs w:val="16"/>
                <w:b w:val="1"/>
                <w:bCs w:val="1"/>
                <w:color w:val="131E29"/>
              </w:rPr>
              <w:t>(110)</w:t>
            </w:r>
          </w:p>
        </w:tc>
      </w:tr>
      <w:tr>
        <w:trPr>
          <w:trHeight w:val="20"/>
        </w:trPr>
        <w:tc>
          <w:tcPr>
            <w:tcW w:w="800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131E29"/>
          </w:tcPr>
          <w:p>
            <w:pPr>
              <w:spacing w:after="0" w:line="20" w:lineRule="exact"/>
              <w:rPr>
                <w:sz w:val="1"/>
                <w:szCs w:val="1"/>
                <w:color w:val="auto"/>
              </w:rPr>
            </w:pPr>
          </w:p>
        </w:tc>
        <w:tc>
          <w:tcPr>
            <w:tcW w:w="104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131E29"/>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12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Pre-opening Costs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131E29"/>
              </w:rPr>
              <w:t>Three Months Ended June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131E29"/>
              </w:rPr>
              <w:t>Six Months Ended June 30,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120" w:type="dxa"/>
            <w:vAlign w:val="bottom"/>
            <w:gridSpan w:val="2"/>
          </w:tcPr>
          <w:p>
            <w:pPr>
              <w:ind w:left="20"/>
              <w:spacing w:after="0"/>
              <w:rPr>
                <w:sz w:val="20"/>
                <w:szCs w:val="20"/>
                <w:color w:val="auto"/>
              </w:rPr>
            </w:pPr>
            <w:r>
              <w:rPr>
                <w:rFonts w:ascii="Arial" w:cs="Arial" w:eastAsia="Arial" w:hAnsi="Arial"/>
                <w:sz w:val="14"/>
                <w:szCs w:val="14"/>
                <w:color w:val="131E29"/>
              </w:rPr>
              <w:t>(in thousands, except shop</w:t>
            </w: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131E29"/>
                <w:w w:val="99"/>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131E29"/>
                <w:w w:val="99"/>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131E29"/>
              </w:rPr>
              <w:t>2023 v.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131E29"/>
                <w:w w:val="99"/>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131E29"/>
                <w:w w:val="99"/>
              </w:rPr>
              <w:t>2022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vMerge w:val="restart"/>
          </w:tcPr>
          <w:p>
            <w:pPr>
              <w:jc w:val="right"/>
              <w:ind w:right="510"/>
              <w:spacing w:after="0"/>
              <w:rPr>
                <w:sz w:val="20"/>
                <w:szCs w:val="20"/>
                <w:color w:val="auto"/>
              </w:rPr>
            </w:pPr>
            <w:r>
              <w:rPr>
                <w:rFonts w:ascii="Arial" w:cs="Arial" w:eastAsia="Arial" w:hAnsi="Arial"/>
                <w:sz w:val="18"/>
                <w:szCs w:val="18"/>
                <w:b w:val="1"/>
                <w:bCs w:val="1"/>
                <w:color w:val="131E29"/>
              </w:rPr>
              <w:t>2023 v. 2022</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data; unaudited)</w:t>
            </w:r>
          </w:p>
        </w:tc>
        <w:tc>
          <w:tcPr>
            <w:tcW w:w="8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800" w:type="dxa"/>
            <w:vAlign w:val="bottom"/>
            <w:tcBorders>
              <w:bottom w:val="single" w:sz="8" w:color="131E29"/>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2180" w:type="dxa"/>
            <w:vAlign w:val="bottom"/>
            <w:tcBorders>
              <w:bottom w:val="single" w:sz="8" w:color="131E29"/>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800" w:type="dxa"/>
            <w:vAlign w:val="bottom"/>
            <w:tcBorders>
              <w:bottom w:val="single" w:sz="8" w:color="131E29"/>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800" w:type="dxa"/>
            <w:vAlign w:val="bottom"/>
            <w:tcBorders>
              <w:bottom w:val="single" w:sz="8" w:color="131E29"/>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131E29"/>
            </w:tcBorders>
          </w:tcPr>
          <w:p>
            <w:pPr>
              <w:spacing w:after="0"/>
              <w:rPr>
                <w:sz w:val="16"/>
                <w:szCs w:val="16"/>
                <w:color w:val="auto"/>
              </w:rPr>
            </w:pPr>
          </w:p>
        </w:tc>
        <w:tc>
          <w:tcPr>
            <w:tcW w:w="2040" w:type="dxa"/>
            <w:vAlign w:val="bottom"/>
            <w:tcBorders>
              <w:bottom w:val="single" w:sz="8" w:color="131E29"/>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1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Pre-opening costs</w:t>
            </w:r>
          </w:p>
        </w:tc>
        <w:tc>
          <w:tcPr>
            <w:tcW w:w="102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   3,264</w:t>
            </w:r>
          </w:p>
        </w:tc>
        <w:tc>
          <w:tcPr>
            <w:tcW w:w="30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3,578</w:t>
            </w:r>
          </w:p>
        </w:tc>
        <w:tc>
          <w:tcPr>
            <w:tcW w:w="28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1200" w:type="dxa"/>
            <w:vAlign w:val="bottom"/>
            <w:shd w:val="clear" w:color="auto" w:fill="D2DCE5"/>
          </w:tcPr>
          <w:p>
            <w:pPr>
              <w:jc w:val="right"/>
              <w:ind w:right="350"/>
              <w:spacing w:after="0"/>
              <w:rPr>
                <w:sz w:val="20"/>
                <w:szCs w:val="20"/>
                <w:color w:val="auto"/>
              </w:rPr>
            </w:pPr>
            <w:r>
              <w:rPr>
                <w:rFonts w:ascii="Arial" w:cs="Arial" w:eastAsia="Arial" w:hAnsi="Arial"/>
                <w:sz w:val="18"/>
                <w:szCs w:val="18"/>
                <w:color w:val="131E29"/>
              </w:rPr>
              <w:t>(314)</w:t>
            </w:r>
          </w:p>
        </w:tc>
        <w:tc>
          <w:tcPr>
            <w:tcW w:w="980" w:type="dxa"/>
            <w:vAlign w:val="bottom"/>
            <w:shd w:val="clear" w:color="auto" w:fill="D2DCE5"/>
          </w:tcPr>
          <w:p>
            <w:pPr>
              <w:jc w:val="center"/>
              <w:ind w:right="210"/>
              <w:spacing w:after="0"/>
              <w:rPr>
                <w:sz w:val="20"/>
                <w:szCs w:val="20"/>
                <w:color w:val="auto"/>
              </w:rPr>
            </w:pPr>
            <w:r>
              <w:rPr>
                <w:rFonts w:ascii="Arial" w:cs="Arial" w:eastAsia="Arial" w:hAnsi="Arial"/>
                <w:sz w:val="18"/>
                <w:szCs w:val="18"/>
                <w:color w:val="131E29"/>
                <w:w w:val="98"/>
              </w:rPr>
              <w:t>(8.8)%</w:t>
            </w:r>
          </w:p>
        </w:tc>
        <w:tc>
          <w:tcPr>
            <w:tcW w:w="30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6,495</w:t>
            </w:r>
          </w:p>
        </w:tc>
        <w:tc>
          <w:tcPr>
            <w:tcW w:w="30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800" w:type="dxa"/>
            <w:vAlign w:val="bottom"/>
            <w:shd w:val="clear" w:color="auto" w:fill="D2DCE5"/>
          </w:tcPr>
          <w:p>
            <w:pPr>
              <w:jc w:val="right"/>
              <w:ind w:right="10"/>
              <w:spacing w:after="0"/>
              <w:rPr>
                <w:sz w:val="20"/>
                <w:szCs w:val="20"/>
                <w:color w:val="auto"/>
              </w:rPr>
            </w:pPr>
            <w:r>
              <w:rPr>
                <w:rFonts w:ascii="Arial" w:cs="Arial" w:eastAsia="Arial" w:hAnsi="Arial"/>
                <w:sz w:val="18"/>
                <w:szCs w:val="18"/>
                <w:color w:val="131E29"/>
              </w:rPr>
              <w:t>9,600</w:t>
            </w:r>
          </w:p>
        </w:tc>
        <w:tc>
          <w:tcPr>
            <w:tcW w:w="300" w:type="dxa"/>
            <w:vAlign w:val="bottom"/>
            <w:gridSpan w:val="2"/>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ind w:left="200"/>
              <w:spacing w:after="0"/>
              <w:rPr>
                <w:sz w:val="20"/>
                <w:szCs w:val="20"/>
                <w:color w:val="auto"/>
              </w:rPr>
            </w:pPr>
            <w:r>
              <w:rPr>
                <w:rFonts w:ascii="Arial" w:cs="Arial" w:eastAsia="Arial" w:hAnsi="Arial"/>
                <w:sz w:val="18"/>
                <w:szCs w:val="18"/>
                <w:color w:val="131E29"/>
              </w:rPr>
              <w:t>(3,105)</w:t>
            </w:r>
          </w:p>
        </w:tc>
        <w:tc>
          <w:tcPr>
            <w:tcW w:w="1000" w:type="dxa"/>
            <w:vAlign w:val="bottom"/>
            <w:shd w:val="clear" w:color="auto" w:fill="D2DCE5"/>
          </w:tcPr>
          <w:p>
            <w:pPr>
              <w:jc w:val="right"/>
              <w:ind w:right="170"/>
              <w:spacing w:after="0"/>
              <w:rPr>
                <w:sz w:val="20"/>
                <w:szCs w:val="20"/>
                <w:color w:val="auto"/>
              </w:rPr>
            </w:pPr>
            <w:r>
              <w:rPr>
                <w:rFonts w:ascii="Arial" w:cs="Arial" w:eastAsia="Arial" w:hAnsi="Arial"/>
                <w:sz w:val="18"/>
                <w:szCs w:val="18"/>
                <w:color w:val="131E29"/>
              </w:rPr>
              <w:t>(32.3)%</w:t>
            </w:r>
          </w:p>
        </w:tc>
        <w:tc>
          <w:tcPr>
            <w:tcW w:w="0" w:type="dxa"/>
            <w:vAlign w:val="bottom"/>
          </w:tcPr>
          <w:p>
            <w:pPr>
              <w:spacing w:after="0"/>
              <w:rPr>
                <w:sz w:val="1"/>
                <w:szCs w:val="1"/>
                <w:color w:val="auto"/>
              </w:rPr>
            </w:pPr>
          </w:p>
        </w:tc>
      </w:tr>
      <w:tr>
        <w:trPr>
          <w:trHeight w:val="215"/>
        </w:trPr>
        <w:tc>
          <w:tcPr>
            <w:tcW w:w="212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20" w:type="dxa"/>
            <w:vAlign w:val="bottom"/>
            <w:gridSpan w:val="2"/>
          </w:tcPr>
          <w:p>
            <w:pPr>
              <w:ind w:left="20"/>
              <w:spacing w:after="0"/>
              <w:rPr>
                <w:sz w:val="20"/>
                <w:szCs w:val="20"/>
                <w:color w:val="auto"/>
              </w:rPr>
            </w:pPr>
            <w:r>
              <w:rPr>
                <w:rFonts w:ascii="Arial" w:cs="Arial" w:eastAsia="Arial" w:hAnsi="Arial"/>
                <w:sz w:val="16"/>
                <w:szCs w:val="16"/>
                <w:i w:val="1"/>
                <w:iCs w:val="1"/>
                <w:color w:val="131E29"/>
              </w:rPr>
              <w:t>company-operated shop</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131E29"/>
                <w:w w:val="97"/>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center"/>
              <w:ind w:right="130"/>
              <w:spacing w:after="0"/>
              <w:rPr>
                <w:sz w:val="20"/>
                <w:szCs w:val="20"/>
                <w:color w:val="auto"/>
              </w:rPr>
            </w:pPr>
            <w:r>
              <w:rPr>
                <w:rFonts w:ascii="Arial" w:cs="Arial" w:eastAsia="Arial" w:hAnsi="Arial"/>
                <w:sz w:val="18"/>
                <w:szCs w:val="18"/>
                <w:color w:val="131E29"/>
              </w:rPr>
              <w:t>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restart"/>
          </w:tcPr>
          <w:p>
            <w:pPr>
              <w:jc w:val="right"/>
              <w:ind w:right="670"/>
              <w:spacing w:after="0"/>
              <w:rPr>
                <w:sz w:val="20"/>
                <w:szCs w:val="20"/>
                <w:color w:val="auto"/>
              </w:rPr>
            </w:pPr>
            <w:r>
              <w:rPr>
                <w:rFonts w:ascii="Arial" w:cs="Arial" w:eastAsia="Arial" w:hAnsi="Arial"/>
                <w:sz w:val="18"/>
                <w:szCs w:val="18"/>
                <w:color w:val="131E29"/>
              </w:rPr>
              <w:t>N/A</w:t>
            </w:r>
          </w:p>
        </w:tc>
        <w:tc>
          <w:tcPr>
            <w:tcW w:w="980" w:type="dxa"/>
            <w:vAlign w:val="bottom"/>
            <w:vMerge w:val="restart"/>
          </w:tcPr>
          <w:p>
            <w:pPr>
              <w:ind w:left="360"/>
              <w:spacing w:after="0"/>
              <w:rPr>
                <w:sz w:val="20"/>
                <w:szCs w:val="20"/>
                <w:color w:val="auto"/>
              </w:rPr>
            </w:pPr>
            <w:r>
              <w:rPr>
                <w:rFonts w:ascii="Arial" w:cs="Arial" w:eastAsia="Arial" w:hAnsi="Arial"/>
                <w:sz w:val="18"/>
                <w:szCs w:val="18"/>
                <w:color w:val="131E29"/>
                <w:w w:val="98"/>
              </w:rPr>
              <w:t>(70)bps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color w:val="131E29"/>
                <w:w w:val="97"/>
              </w:rPr>
              <w:t>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center"/>
              <w:ind w:right="130"/>
              <w:spacing w:after="0"/>
              <w:rPr>
                <w:sz w:val="20"/>
                <w:szCs w:val="20"/>
                <w:color w:val="auto"/>
              </w:rPr>
            </w:pPr>
            <w:r>
              <w:rPr>
                <w:rFonts w:ascii="Arial" w:cs="Arial" w:eastAsia="Arial" w:hAnsi="Arial"/>
                <w:sz w:val="18"/>
                <w:szCs w:val="18"/>
                <w:color w:val="131E29"/>
              </w:rPr>
              <w:t>3.3%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restart"/>
          </w:tcPr>
          <w:p>
            <w:pPr>
              <w:jc w:val="center"/>
              <w:ind w:right="370"/>
              <w:spacing w:after="0"/>
              <w:rPr>
                <w:sz w:val="20"/>
                <w:szCs w:val="20"/>
                <w:color w:val="auto"/>
              </w:rPr>
            </w:pPr>
            <w:r>
              <w:rPr>
                <w:rFonts w:ascii="Arial" w:cs="Arial" w:eastAsia="Arial" w:hAnsi="Arial"/>
                <w:sz w:val="18"/>
                <w:szCs w:val="18"/>
                <w:color w:val="131E29"/>
                <w:w w:val="99"/>
              </w:rPr>
              <w:t>N/A</w:t>
            </w: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131E29"/>
              </w:rPr>
              <w:t>(170) bps</w:t>
            </w:r>
          </w:p>
        </w:tc>
        <w:tc>
          <w:tcPr>
            <w:tcW w:w="0" w:type="dxa"/>
            <w:vAlign w:val="bottom"/>
          </w:tcPr>
          <w:p>
            <w:pPr>
              <w:spacing w:after="0"/>
              <w:rPr>
                <w:sz w:val="1"/>
                <w:szCs w:val="1"/>
                <w:color w:val="auto"/>
              </w:rPr>
            </w:pPr>
          </w:p>
        </w:tc>
      </w:tr>
      <w:tr>
        <w:trPr>
          <w:trHeight w:val="220"/>
        </w:trPr>
        <w:tc>
          <w:tcPr>
            <w:tcW w:w="212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revenues</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New company-operated</w:t>
            </w:r>
          </w:p>
        </w:tc>
        <w:tc>
          <w:tcPr>
            <w:tcW w:w="1020" w:type="dxa"/>
            <w:vAlign w:val="bottom"/>
            <w:vMerge w:val="restart"/>
            <w:shd w:val="clear" w:color="auto" w:fill="D2DCE5"/>
          </w:tcPr>
          <w:p>
            <w:pPr>
              <w:jc w:val="center"/>
              <w:spacing w:after="0"/>
              <w:rPr>
                <w:sz w:val="20"/>
                <w:szCs w:val="20"/>
                <w:color w:val="auto"/>
              </w:rPr>
            </w:pPr>
            <w:r>
              <w:rPr>
                <w:rFonts w:ascii="Arial" w:cs="Arial" w:eastAsia="Arial" w:hAnsi="Arial"/>
                <w:sz w:val="18"/>
                <w:szCs w:val="18"/>
                <w:color w:val="131E29"/>
                <w:w w:val="99"/>
              </w:rPr>
              <w:t>35</w:t>
            </w:r>
          </w:p>
        </w:tc>
        <w:tc>
          <w:tcPr>
            <w:tcW w:w="10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800" w:type="dxa"/>
            <w:vAlign w:val="bottom"/>
            <w:vMerge w:val="restart"/>
            <w:shd w:val="clear" w:color="auto" w:fill="D2DCE5"/>
          </w:tcPr>
          <w:p>
            <w:pPr>
              <w:jc w:val="center"/>
              <w:ind w:right="110"/>
              <w:spacing w:after="0"/>
              <w:rPr>
                <w:sz w:val="20"/>
                <w:szCs w:val="20"/>
                <w:color w:val="auto"/>
              </w:rPr>
            </w:pPr>
            <w:r>
              <w:rPr>
                <w:rFonts w:ascii="Arial" w:cs="Arial" w:eastAsia="Arial" w:hAnsi="Arial"/>
                <w:sz w:val="18"/>
                <w:szCs w:val="18"/>
                <w:color w:val="131E29"/>
                <w:w w:val="99"/>
              </w:rPr>
              <w:t>26</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200" w:type="dxa"/>
            <w:vAlign w:val="bottom"/>
            <w:vMerge w:val="restart"/>
            <w:shd w:val="clear" w:color="auto" w:fill="D2DCE5"/>
          </w:tcPr>
          <w:p>
            <w:pPr>
              <w:jc w:val="right"/>
              <w:ind w:right="770"/>
              <w:spacing w:after="0"/>
              <w:rPr>
                <w:sz w:val="20"/>
                <w:szCs w:val="20"/>
                <w:color w:val="auto"/>
              </w:rPr>
            </w:pPr>
            <w:r>
              <w:rPr>
                <w:rFonts w:ascii="Arial" w:cs="Arial" w:eastAsia="Arial" w:hAnsi="Arial"/>
                <w:sz w:val="18"/>
                <w:szCs w:val="18"/>
                <w:color w:val="131E29"/>
              </w:rPr>
              <w:t>9</w:t>
            </w:r>
          </w:p>
        </w:tc>
        <w:tc>
          <w:tcPr>
            <w:tcW w:w="980" w:type="dxa"/>
            <w:vAlign w:val="bottom"/>
            <w:vMerge w:val="restart"/>
            <w:shd w:val="clear" w:color="auto" w:fill="D2DCE5"/>
          </w:tcPr>
          <w:p>
            <w:pPr>
              <w:jc w:val="center"/>
              <w:ind w:right="210"/>
              <w:spacing w:after="0"/>
              <w:rPr>
                <w:sz w:val="20"/>
                <w:szCs w:val="20"/>
                <w:color w:val="auto"/>
              </w:rPr>
            </w:pPr>
            <w:r>
              <w:rPr>
                <w:rFonts w:ascii="Arial" w:cs="Arial" w:eastAsia="Arial" w:hAnsi="Arial"/>
                <w:sz w:val="18"/>
                <w:szCs w:val="18"/>
                <w:color w:val="131E29"/>
              </w:rPr>
              <w:t>34.6%</w:t>
            </w:r>
          </w:p>
        </w:tc>
        <w:tc>
          <w:tcPr>
            <w:tcW w:w="10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800" w:type="dxa"/>
            <w:vAlign w:val="bottom"/>
            <w:vMerge w:val="restart"/>
            <w:shd w:val="clear" w:color="auto" w:fill="D2DCE5"/>
          </w:tcPr>
          <w:p>
            <w:pPr>
              <w:jc w:val="center"/>
              <w:ind w:right="110"/>
              <w:spacing w:after="0"/>
              <w:rPr>
                <w:sz w:val="20"/>
                <w:szCs w:val="20"/>
                <w:color w:val="auto"/>
              </w:rPr>
            </w:pPr>
            <w:r>
              <w:rPr>
                <w:rFonts w:ascii="Arial" w:cs="Arial" w:eastAsia="Arial" w:hAnsi="Arial"/>
                <w:sz w:val="18"/>
                <w:szCs w:val="18"/>
                <w:color w:val="131E29"/>
                <w:w w:val="99"/>
              </w:rPr>
              <w:t>77</w:t>
            </w:r>
          </w:p>
        </w:tc>
        <w:tc>
          <w:tcPr>
            <w:tcW w:w="10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800" w:type="dxa"/>
            <w:vAlign w:val="bottom"/>
            <w:vMerge w:val="restart"/>
            <w:shd w:val="clear" w:color="auto" w:fill="D2DCE5"/>
          </w:tcPr>
          <w:p>
            <w:pPr>
              <w:jc w:val="center"/>
              <w:ind w:right="110"/>
              <w:spacing w:after="0"/>
              <w:rPr>
                <w:sz w:val="20"/>
                <w:szCs w:val="20"/>
                <w:color w:val="auto"/>
              </w:rPr>
            </w:pPr>
            <w:r>
              <w:rPr>
                <w:rFonts w:ascii="Arial" w:cs="Arial" w:eastAsia="Arial" w:hAnsi="Arial"/>
                <w:sz w:val="18"/>
                <w:szCs w:val="18"/>
                <w:color w:val="131E29"/>
                <w:w w:val="99"/>
              </w:rPr>
              <w:t>60</w:t>
            </w: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040" w:type="dxa"/>
            <w:vAlign w:val="bottom"/>
            <w:vMerge w:val="restart"/>
            <w:shd w:val="clear" w:color="auto" w:fill="D2DCE5"/>
          </w:tcPr>
          <w:p>
            <w:pPr>
              <w:ind w:left="180"/>
              <w:spacing w:after="0"/>
              <w:rPr>
                <w:sz w:val="20"/>
                <w:szCs w:val="20"/>
                <w:color w:val="auto"/>
              </w:rPr>
            </w:pPr>
            <w:r>
              <w:rPr>
                <w:rFonts w:ascii="Arial" w:cs="Arial" w:eastAsia="Arial" w:hAnsi="Arial"/>
                <w:sz w:val="18"/>
                <w:szCs w:val="18"/>
                <w:color w:val="131E29"/>
              </w:rPr>
              <w:t>17</w:t>
            </w:r>
          </w:p>
        </w:tc>
        <w:tc>
          <w:tcPr>
            <w:tcW w:w="1000" w:type="dxa"/>
            <w:vAlign w:val="bottom"/>
            <w:vMerge w:val="restart"/>
            <w:shd w:val="clear" w:color="auto" w:fill="D2DCE5"/>
          </w:tcPr>
          <w:p>
            <w:pPr>
              <w:jc w:val="right"/>
              <w:ind w:right="230"/>
              <w:spacing w:after="0"/>
              <w:rPr>
                <w:sz w:val="20"/>
                <w:szCs w:val="20"/>
                <w:color w:val="auto"/>
              </w:rPr>
            </w:pPr>
            <w:r>
              <w:rPr>
                <w:rFonts w:ascii="Arial" w:cs="Arial" w:eastAsia="Arial" w:hAnsi="Arial"/>
                <w:sz w:val="18"/>
                <w:szCs w:val="18"/>
                <w:color w:val="131E29"/>
              </w:rPr>
              <w:t>28.3%</w:t>
            </w:r>
          </w:p>
        </w:tc>
        <w:tc>
          <w:tcPr>
            <w:tcW w:w="0" w:type="dxa"/>
            <w:vAlign w:val="bottom"/>
          </w:tcPr>
          <w:p>
            <w:pPr>
              <w:spacing w:after="0"/>
              <w:rPr>
                <w:sz w:val="1"/>
                <w:szCs w:val="1"/>
                <w:color w:val="auto"/>
              </w:rPr>
            </w:pPr>
          </w:p>
        </w:tc>
      </w:tr>
      <w:tr>
        <w:trPr>
          <w:trHeight w:val="226"/>
        </w:trPr>
        <w:tc>
          <w:tcPr>
            <w:tcW w:w="21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shops opened</w:t>
            </w:r>
          </w:p>
        </w:tc>
        <w:tc>
          <w:tcPr>
            <w:tcW w:w="1020" w:type="dxa"/>
            <w:vAlign w:val="bottom"/>
            <w:vMerge w:val="continue"/>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800" w:type="dxa"/>
            <w:vAlign w:val="bottom"/>
            <w:vMerge w:val="continue"/>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200" w:type="dxa"/>
            <w:vAlign w:val="bottom"/>
            <w:vMerge w:val="continue"/>
            <w:shd w:val="clear" w:color="auto" w:fill="D2DCE5"/>
          </w:tcPr>
          <w:p>
            <w:pPr>
              <w:spacing w:after="0"/>
              <w:rPr>
                <w:sz w:val="19"/>
                <w:szCs w:val="19"/>
                <w:color w:val="auto"/>
              </w:rPr>
            </w:pPr>
          </w:p>
        </w:tc>
        <w:tc>
          <w:tcPr>
            <w:tcW w:w="980" w:type="dxa"/>
            <w:vAlign w:val="bottom"/>
            <w:vMerge w:val="continue"/>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800" w:type="dxa"/>
            <w:vAlign w:val="bottom"/>
            <w:vMerge w:val="continue"/>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800" w:type="dxa"/>
            <w:vAlign w:val="bottom"/>
            <w:vMerge w:val="continue"/>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040" w:type="dxa"/>
            <w:vAlign w:val="bottom"/>
            <w:vMerge w:val="continue"/>
            <w:shd w:val="clear" w:color="auto" w:fill="D2DCE5"/>
          </w:tcPr>
          <w:p>
            <w:pPr>
              <w:spacing w:after="0"/>
              <w:rPr>
                <w:sz w:val="19"/>
                <w:szCs w:val="19"/>
                <w:color w:val="auto"/>
              </w:rPr>
            </w:pPr>
          </w:p>
        </w:tc>
        <w:tc>
          <w:tcPr>
            <w:tcW w:w="1000" w:type="dxa"/>
            <w:vAlign w:val="bottom"/>
            <w:vMerge w:val="continue"/>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20" w:type="dxa"/>
            <w:vAlign w:val="bottom"/>
            <w:gridSpan w:val="2"/>
          </w:tcPr>
          <w:p>
            <w:pPr>
              <w:ind w:left="20"/>
              <w:spacing w:after="0"/>
              <w:rPr>
                <w:sz w:val="20"/>
                <w:szCs w:val="20"/>
                <w:color w:val="auto"/>
              </w:rPr>
            </w:pPr>
            <w:r>
              <w:rPr>
                <w:rFonts w:ascii="Arial" w:cs="Arial" w:eastAsia="Arial" w:hAnsi="Arial"/>
                <w:sz w:val="16"/>
                <w:szCs w:val="16"/>
                <w:color w:val="131E29"/>
              </w:rPr>
              <w:t>Pre-opening costs per new</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131E29"/>
                <w:w w:val="99"/>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color w:val="131E29"/>
                <w:w w:val="99"/>
              </w:rPr>
              <w:t>$138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restart"/>
          </w:tcPr>
          <w:p>
            <w:pPr>
              <w:jc w:val="right"/>
              <w:ind w:right="610"/>
              <w:spacing w:after="0"/>
              <w:rPr>
                <w:sz w:val="20"/>
                <w:szCs w:val="20"/>
                <w:color w:val="auto"/>
              </w:rPr>
            </w:pPr>
            <w:r>
              <w:rPr>
                <w:rFonts w:ascii="Arial" w:cs="Arial" w:eastAsia="Arial" w:hAnsi="Arial"/>
                <w:sz w:val="18"/>
                <w:szCs w:val="18"/>
                <w:color w:val="131E29"/>
              </w:rPr>
              <w:t>$(45)</w:t>
            </w:r>
          </w:p>
        </w:tc>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131E29"/>
              </w:rPr>
              <w:t>(32.6)%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restart"/>
          </w:tcPr>
          <w:p>
            <w:pPr>
              <w:jc w:val="center"/>
              <w:ind w:right="130"/>
              <w:spacing w:after="0"/>
              <w:rPr>
                <w:sz w:val="20"/>
                <w:szCs w:val="20"/>
                <w:color w:val="auto"/>
              </w:rPr>
            </w:pPr>
            <w:r>
              <w:rPr>
                <w:rFonts w:ascii="Arial" w:cs="Arial" w:eastAsia="Arial" w:hAnsi="Arial"/>
                <w:sz w:val="18"/>
                <w:szCs w:val="18"/>
                <w:color w:val="131E29"/>
                <w:w w:val="99"/>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color w:val="131E29"/>
                <w:w w:val="99"/>
              </w:rPr>
              <w:t>$160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restart"/>
          </w:tcPr>
          <w:p>
            <w:pPr>
              <w:jc w:val="right"/>
              <w:ind w:right="450"/>
              <w:spacing w:after="0"/>
              <w:rPr>
                <w:sz w:val="20"/>
                <w:szCs w:val="20"/>
                <w:color w:val="auto"/>
              </w:rPr>
            </w:pPr>
            <w:r>
              <w:rPr>
                <w:rFonts w:ascii="Arial" w:cs="Arial" w:eastAsia="Arial" w:hAnsi="Arial"/>
                <w:sz w:val="18"/>
                <w:szCs w:val="18"/>
                <w:color w:val="131E29"/>
              </w:rPr>
              <w:t>$(76)</w:t>
            </w: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131E29"/>
              </w:rPr>
              <w:t>(47.5)%</w:t>
            </w:r>
          </w:p>
        </w:tc>
        <w:tc>
          <w:tcPr>
            <w:tcW w:w="0" w:type="dxa"/>
            <w:vAlign w:val="bottom"/>
          </w:tcPr>
          <w:p>
            <w:pPr>
              <w:spacing w:after="0"/>
              <w:rPr>
                <w:sz w:val="1"/>
                <w:szCs w:val="1"/>
                <w:color w:val="auto"/>
              </w:rPr>
            </w:pPr>
          </w:p>
        </w:tc>
      </w:tr>
      <w:tr>
        <w:trPr>
          <w:trHeight w:val="207"/>
        </w:trPr>
        <w:tc>
          <w:tcPr>
            <w:tcW w:w="2120" w:type="dxa"/>
            <w:vAlign w:val="bottom"/>
            <w:gridSpan w:val="2"/>
          </w:tcPr>
          <w:p>
            <w:pPr>
              <w:ind w:left="20"/>
              <w:spacing w:after="0"/>
              <w:rPr>
                <w:sz w:val="20"/>
                <w:szCs w:val="20"/>
                <w:color w:val="auto"/>
              </w:rPr>
            </w:pPr>
            <w:r>
              <w:rPr>
                <w:rFonts w:ascii="Arial" w:cs="Arial" w:eastAsia="Arial" w:hAnsi="Arial"/>
                <w:sz w:val="16"/>
                <w:szCs w:val="16"/>
                <w:color w:val="131E29"/>
              </w:rPr>
              <w:t>company-operated shop</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Six Months Ended June 30, 2023 v. 2022</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decrease in pre-opening costs was primarily driven by opening a higher proportion of shops in existing markets, which do not require as much support, in the three and six months ended June 30, 2023 as compared to the same periods in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Depreciation and Amortization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131E29"/>
              </w:rPr>
              <w:t>Three Months Ended June 30,</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131E29"/>
              </w:rPr>
              <w:t>Six Months Ended June 30,</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780" w:type="dxa"/>
            <w:vAlign w:val="bottom"/>
            <w:tcBorders>
              <w:bottom w:val="single" w:sz="8" w:color="131E29"/>
            </w:tcBorders>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2"/>
                <w:szCs w:val="22"/>
                <w:color w:val="auto"/>
              </w:rPr>
            </w:pPr>
          </w:p>
        </w:tc>
        <w:tc>
          <w:tcPr>
            <w:tcW w:w="240" w:type="dxa"/>
            <w:vAlign w:val="bottom"/>
            <w:tcBorders>
              <w:bottom w:val="single" w:sz="8" w:color="131E29"/>
            </w:tcBorders>
          </w:tcPr>
          <w:p>
            <w:pPr>
              <w:spacing w:after="0"/>
              <w:rPr>
                <w:sz w:val="22"/>
                <w:szCs w:val="22"/>
                <w:color w:val="auto"/>
              </w:rPr>
            </w:pPr>
          </w:p>
        </w:tc>
        <w:tc>
          <w:tcPr>
            <w:tcW w:w="2200" w:type="dxa"/>
            <w:vAlign w:val="bottom"/>
            <w:tcBorders>
              <w:bottom w:val="single" w:sz="8" w:color="131E29"/>
            </w:tcBorders>
            <w:gridSpan w:val="2"/>
          </w:tcPr>
          <w:p>
            <w:pPr>
              <w:jc w:val="right"/>
              <w:ind w:right="610"/>
              <w:spacing w:after="0"/>
              <w:rPr>
                <w:sz w:val="20"/>
                <w:szCs w:val="20"/>
                <w:color w:val="auto"/>
              </w:rPr>
            </w:pPr>
            <w:r>
              <w:rPr>
                <w:rFonts w:ascii="Arial" w:cs="Arial" w:eastAsia="Arial" w:hAnsi="Arial"/>
                <w:sz w:val="18"/>
                <w:szCs w:val="18"/>
                <w:b w:val="1"/>
                <w:bCs w:val="1"/>
                <w:color w:val="131E29"/>
              </w:rPr>
              <w:t>2023 v. 2022</w:t>
            </w:r>
          </w:p>
        </w:tc>
        <w:tc>
          <w:tcPr>
            <w:tcW w:w="100" w:type="dxa"/>
            <w:vAlign w:val="bottom"/>
          </w:tcPr>
          <w:p>
            <w:pPr>
              <w:spacing w:after="0"/>
              <w:rPr>
                <w:sz w:val="22"/>
                <w:szCs w:val="22"/>
                <w:color w:val="auto"/>
              </w:rPr>
            </w:pPr>
          </w:p>
        </w:tc>
        <w:tc>
          <w:tcPr>
            <w:tcW w:w="1000" w:type="dxa"/>
            <w:vAlign w:val="bottom"/>
            <w:tcBorders>
              <w:bottom w:val="single" w:sz="8" w:color="131E29"/>
            </w:tcBorders>
          </w:tcPr>
          <w:p>
            <w:pPr>
              <w:jc w:val="right"/>
              <w:ind w:right="210"/>
              <w:spacing w:after="0"/>
              <w:rPr>
                <w:sz w:val="20"/>
                <w:szCs w:val="20"/>
                <w:color w:val="auto"/>
              </w:rPr>
            </w:pPr>
            <w:r>
              <w:rPr>
                <w:rFonts w:ascii="Arial" w:cs="Arial" w:eastAsia="Arial" w:hAnsi="Arial"/>
                <w:sz w:val="18"/>
                <w:szCs w:val="18"/>
                <w:b w:val="1"/>
                <w:bCs w:val="1"/>
                <w:color w:val="131E29"/>
              </w:rPr>
              <w:t>2023</w:t>
            </w:r>
          </w:p>
        </w:tc>
        <w:tc>
          <w:tcPr>
            <w:tcW w:w="80" w:type="dxa"/>
            <w:vAlign w:val="bottom"/>
          </w:tcPr>
          <w:p>
            <w:pPr>
              <w:spacing w:after="0"/>
              <w:rPr>
                <w:sz w:val="22"/>
                <w:szCs w:val="22"/>
                <w:color w:val="auto"/>
              </w:rPr>
            </w:pPr>
          </w:p>
        </w:tc>
        <w:tc>
          <w:tcPr>
            <w:tcW w:w="1000" w:type="dxa"/>
            <w:vAlign w:val="bottom"/>
            <w:tcBorders>
              <w:bottom w:val="single" w:sz="8" w:color="131E29"/>
            </w:tcBorders>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40" w:type="dxa"/>
            <w:vAlign w:val="bottom"/>
            <w:tcBorders>
              <w:bottom w:val="single" w:sz="8" w:color="131E29"/>
            </w:tcBorders>
          </w:tcPr>
          <w:p>
            <w:pPr>
              <w:spacing w:after="0"/>
              <w:rPr>
                <w:sz w:val="22"/>
                <w:szCs w:val="22"/>
                <w:color w:val="auto"/>
              </w:rPr>
            </w:pPr>
          </w:p>
        </w:tc>
        <w:tc>
          <w:tcPr>
            <w:tcW w:w="1960" w:type="dxa"/>
            <w:vAlign w:val="bottom"/>
            <w:tcBorders>
              <w:bottom w:val="single" w:sz="8" w:color="131E29"/>
            </w:tcBorders>
            <w:gridSpan w:val="2"/>
          </w:tcPr>
          <w:p>
            <w:pPr>
              <w:ind w:left="340"/>
              <w:spacing w:after="0"/>
              <w:rPr>
                <w:sz w:val="20"/>
                <w:szCs w:val="20"/>
                <w:color w:val="auto"/>
              </w:rPr>
            </w:pPr>
            <w:r>
              <w:rPr>
                <w:rFonts w:ascii="Arial" w:cs="Arial" w:eastAsia="Arial" w:hAnsi="Arial"/>
                <w:sz w:val="18"/>
                <w:szCs w:val="18"/>
                <w:b w:val="1"/>
                <w:bCs w:val="1"/>
                <w:color w:val="131E29"/>
              </w:rPr>
              <w:t>2023 v. 2022</w:t>
            </w:r>
          </w:p>
        </w:tc>
        <w:tc>
          <w:tcPr>
            <w:tcW w:w="0" w:type="dxa"/>
            <w:vAlign w:val="bottom"/>
          </w:tcPr>
          <w:p>
            <w:pPr>
              <w:spacing w:after="0"/>
              <w:rPr>
                <w:sz w:val="1"/>
                <w:szCs w:val="1"/>
                <w:color w:val="auto"/>
              </w:rPr>
            </w:pPr>
          </w:p>
        </w:tc>
      </w:tr>
      <w:tr>
        <w:trPr>
          <w:trHeight w:val="206"/>
        </w:trPr>
        <w:tc>
          <w:tcPr>
            <w:tcW w:w="20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Depreciation and</w:t>
            </w:r>
          </w:p>
        </w:tc>
        <w:tc>
          <w:tcPr>
            <w:tcW w:w="26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8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14,799</w:t>
            </w:r>
          </w:p>
        </w:tc>
        <w:tc>
          <w:tcPr>
            <w:tcW w:w="400" w:type="dxa"/>
            <w:vAlign w:val="bottom"/>
            <w:gridSpan w:val="3"/>
            <w:vMerge w:val="restart"/>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7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8,307</w:t>
            </w:r>
          </w:p>
        </w:tc>
        <w:tc>
          <w:tcPr>
            <w:tcW w:w="32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1180" w:type="dxa"/>
            <w:vAlign w:val="bottom"/>
            <w:vMerge w:val="restart"/>
            <w:shd w:val="clear" w:color="auto" w:fill="D2DCE5"/>
          </w:tcPr>
          <w:p>
            <w:pPr>
              <w:jc w:val="right"/>
              <w:ind w:right="430"/>
              <w:spacing w:after="0"/>
              <w:rPr>
                <w:sz w:val="20"/>
                <w:szCs w:val="20"/>
                <w:color w:val="auto"/>
              </w:rPr>
            </w:pPr>
            <w:r>
              <w:rPr>
                <w:rFonts w:ascii="Arial" w:cs="Arial" w:eastAsia="Arial" w:hAnsi="Arial"/>
                <w:sz w:val="18"/>
                <w:szCs w:val="18"/>
                <w:color w:val="131E29"/>
              </w:rPr>
              <w:t>6,492</w:t>
            </w:r>
          </w:p>
        </w:tc>
        <w:tc>
          <w:tcPr>
            <w:tcW w:w="1020" w:type="dxa"/>
            <w:vAlign w:val="bottom"/>
            <w:vMerge w:val="restart"/>
            <w:shd w:val="clear" w:color="auto" w:fill="D2DCE5"/>
          </w:tcPr>
          <w:p>
            <w:pPr>
              <w:jc w:val="right"/>
              <w:ind w:right="330"/>
              <w:spacing w:after="0"/>
              <w:rPr>
                <w:sz w:val="20"/>
                <w:szCs w:val="20"/>
                <w:color w:val="auto"/>
              </w:rPr>
            </w:pPr>
            <w:r>
              <w:rPr>
                <w:rFonts w:ascii="Arial" w:cs="Arial" w:eastAsia="Arial" w:hAnsi="Arial"/>
                <w:sz w:val="18"/>
                <w:szCs w:val="18"/>
                <w:color w:val="131E29"/>
              </w:rPr>
              <w:t>78.2%</w:t>
            </w:r>
          </w:p>
        </w:tc>
        <w:tc>
          <w:tcPr>
            <w:tcW w:w="110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   27,800</w:t>
            </w:r>
          </w:p>
        </w:tc>
        <w:tc>
          <w:tcPr>
            <w:tcW w:w="108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   15,447</w:t>
            </w:r>
          </w:p>
        </w:tc>
        <w:tc>
          <w:tcPr>
            <w:tcW w:w="3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1020" w:type="dxa"/>
            <w:vAlign w:val="bottom"/>
            <w:vMerge w:val="restart"/>
            <w:shd w:val="clear" w:color="auto" w:fill="D2DCE5"/>
          </w:tcPr>
          <w:p>
            <w:pPr>
              <w:ind w:left="120"/>
              <w:spacing w:after="0"/>
              <w:rPr>
                <w:sz w:val="20"/>
                <w:szCs w:val="20"/>
                <w:color w:val="auto"/>
              </w:rPr>
            </w:pPr>
            <w:r>
              <w:rPr>
                <w:rFonts w:ascii="Arial" w:cs="Arial" w:eastAsia="Arial" w:hAnsi="Arial"/>
                <w:sz w:val="18"/>
                <w:szCs w:val="18"/>
                <w:color w:val="131E29"/>
              </w:rPr>
              <w:t>12,353</w:t>
            </w:r>
          </w:p>
        </w:tc>
        <w:tc>
          <w:tcPr>
            <w:tcW w:w="940" w:type="dxa"/>
            <w:vAlign w:val="bottom"/>
            <w:vMerge w:val="restart"/>
            <w:shd w:val="clear" w:color="auto" w:fill="D2DCE5"/>
          </w:tcPr>
          <w:p>
            <w:pPr>
              <w:jc w:val="right"/>
              <w:ind w:right="210"/>
              <w:spacing w:after="0"/>
              <w:rPr>
                <w:sz w:val="20"/>
                <w:szCs w:val="20"/>
                <w:color w:val="auto"/>
              </w:rPr>
            </w:pPr>
            <w:r>
              <w:rPr>
                <w:rFonts w:ascii="Arial" w:cs="Arial" w:eastAsia="Arial" w:hAnsi="Arial"/>
                <w:sz w:val="18"/>
                <w:szCs w:val="18"/>
                <w:color w:val="131E29"/>
              </w:rPr>
              <w:t>80.0%</w:t>
            </w:r>
          </w:p>
        </w:tc>
        <w:tc>
          <w:tcPr>
            <w:tcW w:w="0" w:type="dxa"/>
            <w:vAlign w:val="bottom"/>
          </w:tcPr>
          <w:p>
            <w:pPr>
              <w:spacing w:after="0"/>
              <w:rPr>
                <w:sz w:val="1"/>
                <w:szCs w:val="1"/>
                <w:color w:val="auto"/>
              </w:rPr>
            </w:pPr>
          </w:p>
        </w:tc>
      </w:tr>
      <w:tr>
        <w:trPr>
          <w:trHeight w:val="220"/>
        </w:trPr>
        <w:tc>
          <w:tcPr>
            <w:tcW w:w="20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amortization</w:t>
            </w:r>
          </w:p>
        </w:tc>
        <w:tc>
          <w:tcPr>
            <w:tcW w:w="260" w:type="dxa"/>
            <w:vAlign w:val="bottom"/>
            <w:tcBorders>
              <w:bottom w:val="single" w:sz="8" w:color="D2DCE5"/>
            </w:tcBorders>
            <w:vMerge w:val="continue"/>
            <w:shd w:val="clear" w:color="auto" w:fill="D2DCE5"/>
          </w:tcPr>
          <w:p>
            <w:pPr>
              <w:spacing w:after="0"/>
              <w:rPr>
                <w:sz w:val="19"/>
                <w:szCs w:val="19"/>
                <w:color w:val="auto"/>
              </w:rPr>
            </w:pPr>
          </w:p>
        </w:tc>
        <w:tc>
          <w:tcPr>
            <w:tcW w:w="800" w:type="dxa"/>
            <w:vAlign w:val="bottom"/>
            <w:tcBorders>
              <w:bottom w:val="single" w:sz="8" w:color="D2DCE5"/>
            </w:tcBorders>
            <w:vMerge w:val="continue"/>
            <w:shd w:val="clear" w:color="auto" w:fill="D2DCE5"/>
          </w:tcPr>
          <w:p>
            <w:pPr>
              <w:spacing w:after="0"/>
              <w:rPr>
                <w:sz w:val="19"/>
                <w:szCs w:val="19"/>
                <w:color w:val="auto"/>
              </w:rPr>
            </w:pPr>
          </w:p>
        </w:tc>
        <w:tc>
          <w:tcPr>
            <w:tcW w:w="400" w:type="dxa"/>
            <w:vAlign w:val="bottom"/>
            <w:tcBorders>
              <w:bottom w:val="single" w:sz="8" w:color="D2DCE5"/>
            </w:tcBorders>
            <w:gridSpan w:val="3"/>
            <w:vMerge w:val="continue"/>
            <w:shd w:val="clear" w:color="auto" w:fill="D2DCE5"/>
          </w:tcPr>
          <w:p>
            <w:pPr>
              <w:spacing w:after="0"/>
              <w:rPr>
                <w:sz w:val="19"/>
                <w:szCs w:val="19"/>
                <w:color w:val="auto"/>
              </w:rPr>
            </w:pPr>
          </w:p>
        </w:tc>
        <w:tc>
          <w:tcPr>
            <w:tcW w:w="780" w:type="dxa"/>
            <w:vAlign w:val="bottom"/>
            <w:tcBorders>
              <w:bottom w:val="single" w:sz="8" w:color="D2DCE5"/>
            </w:tcBorders>
            <w:vMerge w:val="continue"/>
            <w:shd w:val="clear" w:color="auto" w:fill="D2DCE5"/>
          </w:tcPr>
          <w:p>
            <w:pPr>
              <w:spacing w:after="0"/>
              <w:rPr>
                <w:sz w:val="19"/>
                <w:szCs w:val="19"/>
                <w:color w:val="auto"/>
              </w:rPr>
            </w:pPr>
          </w:p>
        </w:tc>
        <w:tc>
          <w:tcPr>
            <w:tcW w:w="320" w:type="dxa"/>
            <w:vAlign w:val="bottom"/>
            <w:tcBorders>
              <w:bottom w:val="single" w:sz="8" w:color="D2DCE5"/>
            </w:tcBorders>
            <w:gridSpan w:val="2"/>
            <w:vMerge w:val="continue"/>
            <w:shd w:val="clear" w:color="auto" w:fill="D2DCE5"/>
          </w:tcPr>
          <w:p>
            <w:pPr>
              <w:spacing w:after="0"/>
              <w:rPr>
                <w:sz w:val="19"/>
                <w:szCs w:val="19"/>
                <w:color w:val="auto"/>
              </w:rPr>
            </w:pPr>
          </w:p>
        </w:tc>
        <w:tc>
          <w:tcPr>
            <w:tcW w:w="1180" w:type="dxa"/>
            <w:vAlign w:val="bottom"/>
            <w:tcBorders>
              <w:bottom w:val="single" w:sz="8" w:color="D2DCE5"/>
            </w:tcBorders>
            <w:vMerge w:val="continue"/>
            <w:shd w:val="clear" w:color="auto" w:fill="D2DCE5"/>
          </w:tcPr>
          <w:p>
            <w:pPr>
              <w:spacing w:after="0"/>
              <w:rPr>
                <w:sz w:val="19"/>
                <w:szCs w:val="19"/>
                <w:color w:val="auto"/>
              </w:rPr>
            </w:pPr>
          </w:p>
        </w:tc>
        <w:tc>
          <w:tcPr>
            <w:tcW w:w="1020" w:type="dxa"/>
            <w:vAlign w:val="bottom"/>
            <w:tcBorders>
              <w:bottom w:val="single" w:sz="8" w:color="D2DCE5"/>
            </w:tcBorders>
            <w:vMerge w:val="continue"/>
            <w:shd w:val="clear" w:color="auto" w:fill="D2DCE5"/>
          </w:tcPr>
          <w:p>
            <w:pPr>
              <w:spacing w:after="0"/>
              <w:rPr>
                <w:sz w:val="19"/>
                <w:szCs w:val="19"/>
                <w:color w:val="auto"/>
              </w:rPr>
            </w:pPr>
          </w:p>
        </w:tc>
        <w:tc>
          <w:tcPr>
            <w:tcW w:w="1100" w:type="dxa"/>
            <w:vAlign w:val="bottom"/>
            <w:tcBorders>
              <w:bottom w:val="single" w:sz="8" w:color="D2DCE5"/>
            </w:tcBorders>
            <w:gridSpan w:val="2"/>
            <w:vMerge w:val="continue"/>
            <w:shd w:val="clear" w:color="auto" w:fill="D2DCE5"/>
          </w:tcPr>
          <w:p>
            <w:pPr>
              <w:spacing w:after="0"/>
              <w:rPr>
                <w:sz w:val="19"/>
                <w:szCs w:val="19"/>
                <w:color w:val="auto"/>
              </w:rPr>
            </w:pPr>
          </w:p>
        </w:tc>
        <w:tc>
          <w:tcPr>
            <w:tcW w:w="1080" w:type="dxa"/>
            <w:vAlign w:val="bottom"/>
            <w:tcBorders>
              <w:bottom w:val="single" w:sz="8" w:color="D2DCE5"/>
            </w:tcBorders>
            <w:gridSpan w:val="2"/>
            <w:vMerge w:val="continue"/>
            <w:shd w:val="clear" w:color="auto" w:fill="D2DCE5"/>
          </w:tcPr>
          <w:p>
            <w:pPr>
              <w:spacing w:after="0"/>
              <w:rPr>
                <w:sz w:val="19"/>
                <w:szCs w:val="19"/>
                <w:color w:val="auto"/>
              </w:rPr>
            </w:pPr>
          </w:p>
        </w:tc>
        <w:tc>
          <w:tcPr>
            <w:tcW w:w="340" w:type="dxa"/>
            <w:vAlign w:val="bottom"/>
            <w:tcBorders>
              <w:bottom w:val="single" w:sz="8" w:color="D2DCE5"/>
            </w:tcBorders>
            <w:gridSpan w:val="2"/>
            <w:vMerge w:val="continue"/>
            <w:shd w:val="clear" w:color="auto" w:fill="D2DCE5"/>
          </w:tcPr>
          <w:p>
            <w:pPr>
              <w:spacing w:after="0"/>
              <w:rPr>
                <w:sz w:val="19"/>
                <w:szCs w:val="19"/>
                <w:color w:val="auto"/>
              </w:rPr>
            </w:pPr>
          </w:p>
        </w:tc>
        <w:tc>
          <w:tcPr>
            <w:tcW w:w="1020" w:type="dxa"/>
            <w:vAlign w:val="bottom"/>
            <w:tcBorders>
              <w:bottom w:val="single" w:sz="8" w:color="D2DCE5"/>
            </w:tcBorders>
            <w:vMerge w:val="continue"/>
            <w:shd w:val="clear" w:color="auto" w:fill="D2DCE5"/>
          </w:tcPr>
          <w:p>
            <w:pPr>
              <w:spacing w:after="0"/>
              <w:rPr>
                <w:sz w:val="19"/>
                <w:szCs w:val="19"/>
                <w:color w:val="auto"/>
              </w:rPr>
            </w:pPr>
          </w:p>
        </w:tc>
        <w:tc>
          <w:tcPr>
            <w:tcW w:w="940" w:type="dxa"/>
            <w:vAlign w:val="bottom"/>
            <w:tcBorders>
              <w:bottom w:val="single" w:sz="8" w:color="D2DCE5"/>
            </w:tcBorders>
            <w:vMerge w:val="continue"/>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0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ind w:left="20"/>
              <w:spacing w:after="0"/>
              <w:rPr>
                <w:sz w:val="20"/>
                <w:szCs w:val="20"/>
                <w:color w:val="auto"/>
              </w:rPr>
            </w:pPr>
            <w:r>
              <w:rPr>
                <w:rFonts w:ascii="Arial" w:cs="Arial" w:eastAsia="Arial" w:hAnsi="Arial"/>
                <w:sz w:val="16"/>
                <w:szCs w:val="16"/>
                <w:i w:val="1"/>
                <w:iCs w:val="1"/>
                <w:color w:val="131E29"/>
              </w:rPr>
              <w:t>company-operated shop</w:t>
            </w:r>
          </w:p>
        </w:tc>
        <w:tc>
          <w:tcPr>
            <w:tcW w:w="26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131E29"/>
              </w:rPr>
              <w:t>6.7 %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131E29"/>
              </w:rPr>
              <w:t>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vMerge w:val="restart"/>
          </w:tcPr>
          <w:p>
            <w:pPr>
              <w:jc w:val="right"/>
              <w:ind w:right="690"/>
              <w:spacing w:after="0"/>
              <w:rPr>
                <w:sz w:val="20"/>
                <w:szCs w:val="20"/>
                <w:color w:val="auto"/>
              </w:rPr>
            </w:pPr>
            <w:r>
              <w:rPr>
                <w:rFonts w:ascii="Arial" w:cs="Arial" w:eastAsia="Arial" w:hAnsi="Arial"/>
                <w:sz w:val="18"/>
                <w:szCs w:val="18"/>
                <w:color w:val="131E29"/>
              </w:rPr>
              <w:t>N/A</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131E29"/>
              </w:rPr>
              <w:t>150 bps</w:t>
            </w:r>
          </w:p>
        </w:tc>
        <w:tc>
          <w:tcPr>
            <w:tcW w:w="110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131E29"/>
              </w:rPr>
              <w:t>7.1%</w:t>
            </w:r>
          </w:p>
        </w:tc>
        <w:tc>
          <w:tcPr>
            <w:tcW w:w="108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131E29"/>
              </w:rPr>
              <w:t>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restart"/>
          </w:tcPr>
          <w:p>
            <w:pPr>
              <w:ind w:left="100"/>
              <w:spacing w:after="0"/>
              <w:rPr>
                <w:sz w:val="20"/>
                <w:szCs w:val="20"/>
                <w:color w:val="auto"/>
              </w:rPr>
            </w:pPr>
            <w:r>
              <w:rPr>
                <w:rFonts w:ascii="Arial" w:cs="Arial" w:eastAsia="Arial" w:hAnsi="Arial"/>
                <w:sz w:val="18"/>
                <w:szCs w:val="18"/>
                <w:color w:val="131E29"/>
              </w:rPr>
              <w:t>N/A</w:t>
            </w: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131E29"/>
                <w:w w:val="99"/>
              </w:rPr>
              <w:t>180 bps</w:t>
            </w:r>
          </w:p>
        </w:tc>
        <w:tc>
          <w:tcPr>
            <w:tcW w:w="0" w:type="dxa"/>
            <w:vAlign w:val="bottom"/>
          </w:tcPr>
          <w:p>
            <w:pPr>
              <w:spacing w:after="0"/>
              <w:rPr>
                <w:sz w:val="1"/>
                <w:szCs w:val="1"/>
                <w:color w:val="auto"/>
              </w:rPr>
            </w:pPr>
          </w:p>
        </w:tc>
      </w:tr>
      <w:tr>
        <w:trPr>
          <w:trHeight w:val="211"/>
        </w:trPr>
        <w:tc>
          <w:tcPr>
            <w:tcW w:w="200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revenues</w:t>
            </w:r>
          </w:p>
        </w:tc>
        <w:tc>
          <w:tcPr>
            <w:tcW w:w="2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Six Months Ended June 30, 2023 v. 2022</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increases in depreciation and amortization were primarily driven by the opening of new company-operated shops during both 2023 and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Gross Profit and Contribution</w:t>
      </w:r>
      <w:r>
        <w:rPr>
          <w:rFonts w:ascii="Arial" w:cs="Arial" w:eastAsia="Arial" w:hAnsi="Arial"/>
          <w:sz w:val="23"/>
          <w:szCs w:val="23"/>
          <w:b w:val="1"/>
          <w:bCs w:val="1"/>
          <w:i w:val="1"/>
          <w:iCs w:val="1"/>
          <w:color w:val="006098"/>
          <w:vertAlign w:val="superscript"/>
        </w:rPr>
        <w:t>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131E29"/>
              </w:rPr>
              <w:t>Three Months Ended June 30,</w:t>
            </w:r>
          </w:p>
        </w:tc>
        <w:tc>
          <w:tcPr>
            <w:tcW w:w="9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7"/>
          </w:tcPr>
          <w:p>
            <w:pPr>
              <w:jc w:val="right"/>
              <w:ind w:right="17"/>
              <w:spacing w:after="0"/>
              <w:rPr>
                <w:sz w:val="20"/>
                <w:szCs w:val="20"/>
                <w:color w:val="auto"/>
              </w:rPr>
            </w:pPr>
            <w:r>
              <w:rPr>
                <w:rFonts w:ascii="Arial" w:cs="Arial" w:eastAsia="Arial" w:hAnsi="Arial"/>
                <w:sz w:val="18"/>
                <w:szCs w:val="18"/>
                <w:b w:val="1"/>
                <w:bCs w:val="1"/>
                <w:color w:val="131E29"/>
                <w:w w:val="99"/>
              </w:rPr>
              <w:t>Six Months Ended June 30,</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20" w:type="dxa"/>
            <w:vAlign w:val="bottom"/>
            <w:tcBorders>
              <w:bottom w:val="single" w:sz="8" w:color="D2DCE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8"/>
                <w:szCs w:val="18"/>
                <w:b w:val="1"/>
                <w:bCs w:val="1"/>
                <w:color w:val="131E29"/>
                <w:w w:val="99"/>
              </w:rPr>
              <w:t>2023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800" w:type="dxa"/>
            <w:vAlign w:val="bottom"/>
            <w:tcBorders>
              <w:bottom w:val="single" w:sz="8" w:color="131E29"/>
            </w:tcBorders>
          </w:tcPr>
          <w:p>
            <w:pPr>
              <w:jc w:val="center"/>
              <w:ind w:right="117"/>
              <w:spacing w:after="0"/>
              <w:rPr>
                <w:sz w:val="20"/>
                <w:szCs w:val="20"/>
                <w:color w:val="auto"/>
              </w:rPr>
            </w:pPr>
            <w:r>
              <w:rPr>
                <w:rFonts w:ascii="Arial" w:cs="Arial" w:eastAsia="Arial" w:hAnsi="Arial"/>
                <w:sz w:val="18"/>
                <w:szCs w:val="18"/>
                <w:b w:val="1"/>
                <w:bCs w:val="1"/>
                <w:color w:val="131E29"/>
                <w:w w:val="99"/>
              </w:rPr>
              <w:t>2022</w:t>
            </w:r>
          </w:p>
        </w:tc>
        <w:tc>
          <w:tcPr>
            <w:tcW w:w="100" w:type="dxa"/>
            <w:vAlign w:val="bottom"/>
            <w:tcBorders>
              <w:bottom w:val="single" w:sz="8" w:color="D2DCE5"/>
            </w:tcBorders>
          </w:tcPr>
          <w:p>
            <w:pPr>
              <w:spacing w:after="0"/>
              <w:rPr>
                <w:sz w:val="22"/>
                <w:szCs w:val="22"/>
                <w:color w:val="auto"/>
              </w:rPr>
            </w:pPr>
          </w:p>
        </w:tc>
        <w:tc>
          <w:tcPr>
            <w:tcW w:w="240" w:type="dxa"/>
            <w:vAlign w:val="bottom"/>
            <w:tcBorders>
              <w:bottom w:val="single" w:sz="8" w:color="131E29"/>
            </w:tcBorders>
          </w:tcPr>
          <w:p>
            <w:pPr>
              <w:spacing w:after="0"/>
              <w:rPr>
                <w:sz w:val="22"/>
                <w:szCs w:val="22"/>
                <w:color w:val="auto"/>
              </w:rPr>
            </w:pPr>
          </w:p>
        </w:tc>
        <w:tc>
          <w:tcPr>
            <w:tcW w:w="2080" w:type="dxa"/>
            <w:vAlign w:val="bottom"/>
            <w:tcBorders>
              <w:bottom w:val="single" w:sz="8" w:color="131E29"/>
            </w:tcBorders>
            <w:gridSpan w:val="2"/>
          </w:tcPr>
          <w:p>
            <w:pPr>
              <w:jc w:val="right"/>
              <w:ind w:right="559"/>
              <w:spacing w:after="0"/>
              <w:rPr>
                <w:sz w:val="20"/>
                <w:szCs w:val="20"/>
                <w:color w:val="auto"/>
              </w:rPr>
            </w:pPr>
            <w:r>
              <w:rPr>
                <w:rFonts w:ascii="Arial" w:cs="Arial" w:eastAsia="Arial" w:hAnsi="Arial"/>
                <w:sz w:val="18"/>
                <w:szCs w:val="18"/>
                <w:b w:val="1"/>
                <w:bCs w:val="1"/>
                <w:color w:val="131E29"/>
              </w:rPr>
              <w:t>2023 v. 2022</w:t>
            </w:r>
          </w:p>
        </w:tc>
        <w:tc>
          <w:tcPr>
            <w:tcW w:w="80" w:type="dxa"/>
            <w:vAlign w:val="bottom"/>
            <w:tcBorders>
              <w:bottom w:val="single" w:sz="8" w:color="D2DCE5"/>
            </w:tcBorders>
          </w:tcPr>
          <w:p>
            <w:pPr>
              <w:spacing w:after="0"/>
              <w:rPr>
                <w:sz w:val="22"/>
                <w:szCs w:val="22"/>
                <w:color w:val="auto"/>
              </w:rPr>
            </w:pPr>
          </w:p>
        </w:tc>
        <w:tc>
          <w:tcPr>
            <w:tcW w:w="200" w:type="dxa"/>
            <w:vAlign w:val="bottom"/>
            <w:tcBorders>
              <w:bottom w:val="single" w:sz="8" w:color="131E29"/>
            </w:tcBorders>
          </w:tcPr>
          <w:p>
            <w:pPr>
              <w:spacing w:after="0"/>
              <w:rPr>
                <w:sz w:val="22"/>
                <w:szCs w:val="22"/>
                <w:color w:val="auto"/>
              </w:rPr>
            </w:pPr>
          </w:p>
        </w:tc>
        <w:tc>
          <w:tcPr>
            <w:tcW w:w="760" w:type="dxa"/>
            <w:vAlign w:val="bottom"/>
            <w:tcBorders>
              <w:bottom w:val="single" w:sz="8" w:color="131E29"/>
            </w:tcBorders>
          </w:tcPr>
          <w:p>
            <w:pPr>
              <w:jc w:val="center"/>
              <w:ind w:right="37"/>
              <w:spacing w:after="0"/>
              <w:rPr>
                <w:sz w:val="20"/>
                <w:szCs w:val="20"/>
                <w:color w:val="auto"/>
              </w:rPr>
            </w:pPr>
            <w:r>
              <w:rPr>
                <w:rFonts w:ascii="Arial" w:cs="Arial" w:eastAsia="Arial" w:hAnsi="Arial"/>
                <w:sz w:val="18"/>
                <w:szCs w:val="18"/>
                <w:b w:val="1"/>
                <w:bCs w:val="1"/>
                <w:color w:val="131E29"/>
                <w:w w:val="99"/>
              </w:rPr>
              <w:t>2023</w:t>
            </w:r>
          </w:p>
        </w:tc>
        <w:tc>
          <w:tcPr>
            <w:tcW w:w="60" w:type="dxa"/>
            <w:vAlign w:val="bottom"/>
            <w:tcBorders>
              <w:bottom w:val="single" w:sz="8" w:color="131E29"/>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800" w:type="dxa"/>
            <w:vAlign w:val="bottom"/>
            <w:tcBorders>
              <w:bottom w:val="single" w:sz="8" w:color="131E29"/>
            </w:tcBorders>
          </w:tcPr>
          <w:p>
            <w:pPr>
              <w:jc w:val="center"/>
              <w:ind w:right="117"/>
              <w:spacing w:after="0"/>
              <w:rPr>
                <w:sz w:val="20"/>
                <w:szCs w:val="20"/>
                <w:color w:val="auto"/>
              </w:rPr>
            </w:pPr>
            <w:r>
              <w:rPr>
                <w:rFonts w:ascii="Arial" w:cs="Arial" w:eastAsia="Arial" w:hAnsi="Arial"/>
                <w:sz w:val="18"/>
                <w:szCs w:val="18"/>
                <w:b w:val="1"/>
                <w:bCs w:val="1"/>
                <w:color w:val="131E29"/>
                <w:w w:val="99"/>
              </w:rPr>
              <w:t>2022</w:t>
            </w:r>
          </w:p>
        </w:tc>
        <w:tc>
          <w:tcPr>
            <w:tcW w:w="100" w:type="dxa"/>
            <w:vAlign w:val="bottom"/>
            <w:tcBorders>
              <w:bottom w:val="single" w:sz="8" w:color="D2DCE5"/>
            </w:tcBorders>
          </w:tcPr>
          <w:p>
            <w:pPr>
              <w:spacing w:after="0"/>
              <w:rPr>
                <w:sz w:val="22"/>
                <w:szCs w:val="22"/>
                <w:color w:val="auto"/>
              </w:rPr>
            </w:pPr>
          </w:p>
        </w:tc>
        <w:tc>
          <w:tcPr>
            <w:tcW w:w="240" w:type="dxa"/>
            <w:vAlign w:val="bottom"/>
            <w:tcBorders>
              <w:bottom w:val="single" w:sz="8" w:color="131E29"/>
            </w:tcBorders>
          </w:tcPr>
          <w:p>
            <w:pPr>
              <w:spacing w:after="0"/>
              <w:rPr>
                <w:sz w:val="22"/>
                <w:szCs w:val="22"/>
                <w:color w:val="auto"/>
              </w:rPr>
            </w:pPr>
          </w:p>
        </w:tc>
        <w:tc>
          <w:tcPr>
            <w:tcW w:w="1820" w:type="dxa"/>
            <w:vAlign w:val="bottom"/>
            <w:tcBorders>
              <w:bottom w:val="single" w:sz="8" w:color="131E29"/>
            </w:tcBorders>
            <w:gridSpan w:val="2"/>
          </w:tcPr>
          <w:p>
            <w:pPr>
              <w:ind w:left="280"/>
              <w:spacing w:after="0"/>
              <w:rPr>
                <w:sz w:val="20"/>
                <w:szCs w:val="20"/>
                <w:color w:val="auto"/>
              </w:rPr>
            </w:pPr>
            <w:r>
              <w:rPr>
                <w:rFonts w:ascii="Arial" w:cs="Arial" w:eastAsia="Arial" w:hAnsi="Arial"/>
                <w:sz w:val="18"/>
                <w:szCs w:val="18"/>
                <w:b w:val="1"/>
                <w:bCs w:val="1"/>
                <w:color w:val="131E29"/>
              </w:rPr>
              <w:t>2023 v. 2022</w:t>
            </w:r>
          </w:p>
        </w:tc>
        <w:tc>
          <w:tcPr>
            <w:tcW w:w="0" w:type="dxa"/>
            <w:vAlign w:val="bottom"/>
          </w:tcPr>
          <w:p>
            <w:pPr>
              <w:spacing w:after="0"/>
              <w:rPr>
                <w:sz w:val="1"/>
                <w:szCs w:val="1"/>
                <w:color w:val="auto"/>
              </w:rPr>
            </w:pPr>
          </w:p>
        </w:tc>
      </w:tr>
      <w:tr>
        <w:trPr>
          <w:trHeight w:val="184"/>
        </w:trPr>
        <w:tc>
          <w:tcPr>
            <w:tcW w:w="2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shop gross</w:t>
            </w:r>
          </w:p>
        </w:tc>
        <w:tc>
          <w:tcPr>
            <w:tcW w:w="18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w w:val="8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52,079</w:t>
            </w:r>
          </w:p>
        </w:tc>
        <w:tc>
          <w:tcPr>
            <w:tcW w:w="340" w:type="dxa"/>
            <w:vAlign w:val="bottom"/>
            <w:gridSpan w:val="3"/>
            <w:vMerge w:val="restart"/>
            <w:shd w:val="clear" w:color="auto" w:fill="D2DCE5"/>
          </w:tcPr>
          <w:p>
            <w:pPr>
              <w:jc w:val="right"/>
              <w:ind w:right="80"/>
              <w:spacing w:after="0"/>
              <w:rPr>
                <w:sz w:val="20"/>
                <w:szCs w:val="20"/>
                <w:color w:val="auto"/>
              </w:rPr>
            </w:pPr>
            <w:r>
              <w:rPr>
                <w:rFonts w:ascii="Arial" w:cs="Arial" w:eastAsia="Arial" w:hAnsi="Arial"/>
                <w:sz w:val="16"/>
                <w:szCs w:val="16"/>
                <w:color w:val="131E29"/>
              </w:rPr>
              <w:t>$</w:t>
            </w:r>
          </w:p>
        </w:tc>
        <w:tc>
          <w:tcPr>
            <w:tcW w:w="80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31,218</w:t>
            </w:r>
          </w:p>
        </w:tc>
        <w:tc>
          <w:tcPr>
            <w:tcW w:w="340" w:type="dxa"/>
            <w:vAlign w:val="bottom"/>
            <w:gridSpan w:val="2"/>
            <w:vMerge w:val="restart"/>
            <w:shd w:val="clear" w:color="auto" w:fill="D2DCE5"/>
          </w:tcPr>
          <w:p>
            <w:pPr>
              <w:jc w:val="center"/>
              <w:spacing w:after="0"/>
              <w:rPr>
                <w:sz w:val="20"/>
                <w:szCs w:val="20"/>
                <w:color w:val="auto"/>
              </w:rPr>
            </w:pPr>
            <w:r>
              <w:rPr>
                <w:rFonts w:ascii="Arial" w:cs="Arial" w:eastAsia="Arial" w:hAnsi="Arial"/>
                <w:sz w:val="16"/>
                <w:szCs w:val="16"/>
                <w:color w:val="131E29"/>
              </w:rPr>
              <w:t>$</w:t>
            </w:r>
          </w:p>
        </w:tc>
        <w:tc>
          <w:tcPr>
            <w:tcW w:w="1160" w:type="dxa"/>
            <w:vAlign w:val="bottom"/>
            <w:vMerge w:val="restart"/>
            <w:shd w:val="clear" w:color="auto" w:fill="D2DCE5"/>
          </w:tcPr>
          <w:p>
            <w:pPr>
              <w:jc w:val="right"/>
              <w:ind w:right="377"/>
              <w:spacing w:after="0"/>
              <w:rPr>
                <w:sz w:val="20"/>
                <w:szCs w:val="20"/>
                <w:color w:val="auto"/>
              </w:rPr>
            </w:pPr>
            <w:r>
              <w:rPr>
                <w:rFonts w:ascii="Arial" w:cs="Arial" w:eastAsia="Arial" w:hAnsi="Arial"/>
                <w:sz w:val="16"/>
                <w:szCs w:val="16"/>
                <w:color w:val="131E29"/>
              </w:rPr>
              <w:t>20,861</w:t>
            </w:r>
          </w:p>
        </w:tc>
        <w:tc>
          <w:tcPr>
            <w:tcW w:w="920" w:type="dxa"/>
            <w:vAlign w:val="bottom"/>
            <w:vMerge w:val="restart"/>
            <w:shd w:val="clear" w:color="auto" w:fill="D2DCE5"/>
          </w:tcPr>
          <w:p>
            <w:pPr>
              <w:jc w:val="right"/>
              <w:ind w:right="299"/>
              <w:spacing w:after="0"/>
              <w:rPr>
                <w:sz w:val="20"/>
                <w:szCs w:val="20"/>
                <w:color w:val="auto"/>
              </w:rPr>
            </w:pPr>
            <w:r>
              <w:rPr>
                <w:rFonts w:ascii="Arial" w:cs="Arial" w:eastAsia="Arial" w:hAnsi="Arial"/>
                <w:sz w:val="16"/>
                <w:szCs w:val="16"/>
                <w:color w:val="131E29"/>
              </w:rPr>
              <w:t>66.8%</w:t>
            </w:r>
          </w:p>
        </w:tc>
        <w:tc>
          <w:tcPr>
            <w:tcW w:w="280" w:type="dxa"/>
            <w:vAlign w:val="bottom"/>
            <w:gridSpan w:val="2"/>
            <w:vMerge w:val="restart"/>
            <w:shd w:val="clear" w:color="auto" w:fill="D2DCE5"/>
          </w:tcPr>
          <w:p>
            <w:pPr>
              <w:jc w:val="right"/>
              <w:ind w:right="80"/>
              <w:spacing w:after="0"/>
              <w:rPr>
                <w:sz w:val="20"/>
                <w:szCs w:val="20"/>
                <w:color w:val="auto"/>
              </w:rPr>
            </w:pPr>
            <w:r>
              <w:rPr>
                <w:rFonts w:ascii="Arial" w:cs="Arial" w:eastAsia="Arial" w:hAnsi="Arial"/>
                <w:sz w:val="16"/>
                <w:szCs w:val="16"/>
                <w:color w:val="131E2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80,951</w:t>
            </w:r>
          </w:p>
        </w:tc>
        <w:tc>
          <w:tcPr>
            <w:tcW w:w="340" w:type="dxa"/>
            <w:vAlign w:val="bottom"/>
            <w:gridSpan w:val="3"/>
            <w:vMerge w:val="restart"/>
            <w:shd w:val="clear" w:color="auto" w:fill="D2DCE5"/>
          </w:tcPr>
          <w:p>
            <w:pPr>
              <w:jc w:val="right"/>
              <w:ind w:right="80"/>
              <w:spacing w:after="0"/>
              <w:rPr>
                <w:sz w:val="20"/>
                <w:szCs w:val="20"/>
                <w:color w:val="auto"/>
              </w:rPr>
            </w:pPr>
            <w:r>
              <w:rPr>
                <w:rFonts w:ascii="Arial" w:cs="Arial" w:eastAsia="Arial" w:hAnsi="Arial"/>
                <w:sz w:val="16"/>
                <w:szCs w:val="16"/>
                <w:color w:val="131E29"/>
              </w:rPr>
              <w:t>$</w:t>
            </w:r>
          </w:p>
        </w:tc>
        <w:tc>
          <w:tcPr>
            <w:tcW w:w="80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47,857</w:t>
            </w:r>
          </w:p>
        </w:tc>
        <w:tc>
          <w:tcPr>
            <w:tcW w:w="3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6"/>
                <w:szCs w:val="16"/>
                <w:color w:val="131E29"/>
              </w:rPr>
              <w:t>$</w:t>
            </w:r>
          </w:p>
        </w:tc>
        <w:tc>
          <w:tcPr>
            <w:tcW w:w="960" w:type="dxa"/>
            <w:vAlign w:val="bottom"/>
            <w:vMerge w:val="restart"/>
            <w:shd w:val="clear" w:color="auto" w:fill="D2DCE5"/>
          </w:tcPr>
          <w:p>
            <w:pPr>
              <w:jc w:val="right"/>
              <w:ind w:right="197"/>
              <w:spacing w:after="0"/>
              <w:rPr>
                <w:sz w:val="20"/>
                <w:szCs w:val="20"/>
                <w:color w:val="auto"/>
              </w:rPr>
            </w:pPr>
            <w:r>
              <w:rPr>
                <w:rFonts w:ascii="Arial" w:cs="Arial" w:eastAsia="Arial" w:hAnsi="Arial"/>
                <w:sz w:val="16"/>
                <w:szCs w:val="16"/>
                <w:color w:val="131E29"/>
              </w:rPr>
              <w:t>33,094</w:t>
            </w:r>
          </w:p>
        </w:tc>
        <w:tc>
          <w:tcPr>
            <w:tcW w:w="860" w:type="dxa"/>
            <w:vAlign w:val="bottom"/>
            <w:vMerge w:val="restart"/>
            <w:shd w:val="clear" w:color="auto" w:fill="D2DCE5"/>
          </w:tcPr>
          <w:p>
            <w:pPr>
              <w:jc w:val="center"/>
              <w:ind w:right="39"/>
              <w:spacing w:after="0"/>
              <w:rPr>
                <w:sz w:val="20"/>
                <w:szCs w:val="20"/>
                <w:color w:val="auto"/>
              </w:rPr>
            </w:pPr>
            <w:r>
              <w:rPr>
                <w:rFonts w:ascii="Arial" w:cs="Arial" w:eastAsia="Arial" w:hAnsi="Arial"/>
                <w:sz w:val="16"/>
                <w:szCs w:val="16"/>
                <w:color w:val="131E29"/>
              </w:rPr>
              <w:t>69.2%</w:t>
            </w:r>
          </w:p>
        </w:tc>
        <w:tc>
          <w:tcPr>
            <w:tcW w:w="0" w:type="dxa"/>
            <w:vAlign w:val="bottom"/>
          </w:tcPr>
          <w:p>
            <w:pPr>
              <w:spacing w:after="0"/>
              <w:rPr>
                <w:sz w:val="1"/>
                <w:szCs w:val="1"/>
                <w:color w:val="auto"/>
              </w:rPr>
            </w:pPr>
          </w:p>
        </w:tc>
      </w:tr>
      <w:tr>
        <w:trPr>
          <w:trHeight w:val="208"/>
        </w:trPr>
        <w:tc>
          <w:tcPr>
            <w:tcW w:w="2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profit</w:t>
            </w:r>
          </w:p>
        </w:tc>
        <w:tc>
          <w:tcPr>
            <w:tcW w:w="180" w:type="dxa"/>
            <w:vAlign w:val="bottom"/>
            <w:vMerge w:val="continue"/>
            <w:shd w:val="clear" w:color="auto" w:fill="D2DCE5"/>
          </w:tcPr>
          <w:p>
            <w:pPr>
              <w:spacing w:after="0"/>
              <w:rPr>
                <w:sz w:val="18"/>
                <w:szCs w:val="18"/>
                <w:color w:val="auto"/>
              </w:rPr>
            </w:pPr>
          </w:p>
        </w:tc>
        <w:tc>
          <w:tcPr>
            <w:tcW w:w="760" w:type="dxa"/>
            <w:vAlign w:val="bottom"/>
            <w:vMerge w:val="continue"/>
            <w:shd w:val="clear" w:color="auto" w:fill="D2DCE5"/>
          </w:tcPr>
          <w:p>
            <w:pPr>
              <w:spacing w:after="0"/>
              <w:rPr>
                <w:sz w:val="18"/>
                <w:szCs w:val="18"/>
                <w:color w:val="auto"/>
              </w:rPr>
            </w:pPr>
          </w:p>
        </w:tc>
        <w:tc>
          <w:tcPr>
            <w:tcW w:w="340" w:type="dxa"/>
            <w:vAlign w:val="bottom"/>
            <w:gridSpan w:val="3"/>
            <w:vMerge w:val="continue"/>
            <w:shd w:val="clear" w:color="auto" w:fill="D2DCE5"/>
          </w:tcPr>
          <w:p>
            <w:pPr>
              <w:spacing w:after="0"/>
              <w:rPr>
                <w:sz w:val="18"/>
                <w:szCs w:val="18"/>
                <w:color w:val="auto"/>
              </w:rPr>
            </w:pPr>
          </w:p>
        </w:tc>
        <w:tc>
          <w:tcPr>
            <w:tcW w:w="800" w:type="dxa"/>
            <w:vAlign w:val="bottom"/>
            <w:vMerge w:val="continue"/>
            <w:shd w:val="clear" w:color="auto" w:fill="D2DCE5"/>
          </w:tcPr>
          <w:p>
            <w:pPr>
              <w:spacing w:after="0"/>
              <w:rPr>
                <w:sz w:val="18"/>
                <w:szCs w:val="18"/>
                <w:color w:val="auto"/>
              </w:rPr>
            </w:pPr>
          </w:p>
        </w:tc>
        <w:tc>
          <w:tcPr>
            <w:tcW w:w="340" w:type="dxa"/>
            <w:vAlign w:val="bottom"/>
            <w:gridSpan w:val="2"/>
            <w:vMerge w:val="continue"/>
            <w:shd w:val="clear" w:color="auto" w:fill="D2DCE5"/>
          </w:tcPr>
          <w:p>
            <w:pPr>
              <w:spacing w:after="0"/>
              <w:rPr>
                <w:sz w:val="18"/>
                <w:szCs w:val="18"/>
                <w:color w:val="auto"/>
              </w:rPr>
            </w:pPr>
          </w:p>
        </w:tc>
        <w:tc>
          <w:tcPr>
            <w:tcW w:w="1160" w:type="dxa"/>
            <w:vAlign w:val="bottom"/>
            <w:vMerge w:val="continue"/>
            <w:shd w:val="clear" w:color="auto" w:fill="D2DCE5"/>
          </w:tcPr>
          <w:p>
            <w:pPr>
              <w:spacing w:after="0"/>
              <w:rPr>
                <w:sz w:val="18"/>
                <w:szCs w:val="18"/>
                <w:color w:val="auto"/>
              </w:rPr>
            </w:pPr>
          </w:p>
        </w:tc>
        <w:tc>
          <w:tcPr>
            <w:tcW w:w="920" w:type="dxa"/>
            <w:vAlign w:val="bottom"/>
            <w:vMerge w:val="continue"/>
            <w:shd w:val="clear" w:color="auto" w:fill="D2DCE5"/>
          </w:tcPr>
          <w:p>
            <w:pPr>
              <w:spacing w:after="0"/>
              <w:rPr>
                <w:sz w:val="18"/>
                <w:szCs w:val="18"/>
                <w:color w:val="auto"/>
              </w:rPr>
            </w:pPr>
          </w:p>
        </w:tc>
        <w:tc>
          <w:tcPr>
            <w:tcW w:w="280" w:type="dxa"/>
            <w:vAlign w:val="bottom"/>
            <w:gridSpan w:val="2"/>
            <w:vMerge w:val="continue"/>
            <w:shd w:val="clear" w:color="auto" w:fill="D2DCE5"/>
          </w:tcPr>
          <w:p>
            <w:pPr>
              <w:spacing w:after="0"/>
              <w:rPr>
                <w:sz w:val="18"/>
                <w:szCs w:val="18"/>
                <w:color w:val="auto"/>
              </w:rPr>
            </w:pPr>
          </w:p>
        </w:tc>
        <w:tc>
          <w:tcPr>
            <w:tcW w:w="760" w:type="dxa"/>
            <w:vAlign w:val="bottom"/>
            <w:vMerge w:val="continue"/>
            <w:shd w:val="clear" w:color="auto" w:fill="D2DCE5"/>
          </w:tcPr>
          <w:p>
            <w:pPr>
              <w:spacing w:after="0"/>
              <w:rPr>
                <w:sz w:val="18"/>
                <w:szCs w:val="18"/>
                <w:color w:val="auto"/>
              </w:rPr>
            </w:pPr>
          </w:p>
        </w:tc>
        <w:tc>
          <w:tcPr>
            <w:tcW w:w="340" w:type="dxa"/>
            <w:vAlign w:val="bottom"/>
            <w:gridSpan w:val="3"/>
            <w:vMerge w:val="continue"/>
            <w:shd w:val="clear" w:color="auto" w:fill="D2DCE5"/>
          </w:tcPr>
          <w:p>
            <w:pPr>
              <w:spacing w:after="0"/>
              <w:rPr>
                <w:sz w:val="18"/>
                <w:szCs w:val="18"/>
                <w:color w:val="auto"/>
              </w:rPr>
            </w:pPr>
          </w:p>
        </w:tc>
        <w:tc>
          <w:tcPr>
            <w:tcW w:w="800" w:type="dxa"/>
            <w:vAlign w:val="bottom"/>
            <w:vMerge w:val="continue"/>
            <w:shd w:val="clear" w:color="auto" w:fill="D2DCE5"/>
          </w:tcPr>
          <w:p>
            <w:pPr>
              <w:spacing w:after="0"/>
              <w:rPr>
                <w:sz w:val="18"/>
                <w:szCs w:val="18"/>
                <w:color w:val="auto"/>
              </w:rPr>
            </w:pPr>
          </w:p>
        </w:tc>
        <w:tc>
          <w:tcPr>
            <w:tcW w:w="340" w:type="dxa"/>
            <w:vAlign w:val="bottom"/>
            <w:gridSpan w:val="2"/>
            <w:vMerge w:val="continue"/>
            <w:shd w:val="clear" w:color="auto" w:fill="D2DCE5"/>
          </w:tcPr>
          <w:p>
            <w:pPr>
              <w:spacing w:after="0"/>
              <w:rPr>
                <w:sz w:val="18"/>
                <w:szCs w:val="18"/>
                <w:color w:val="auto"/>
              </w:rPr>
            </w:pPr>
          </w:p>
        </w:tc>
        <w:tc>
          <w:tcPr>
            <w:tcW w:w="960" w:type="dxa"/>
            <w:vAlign w:val="bottom"/>
            <w:vMerge w:val="continue"/>
            <w:shd w:val="clear" w:color="auto" w:fill="D2DCE5"/>
          </w:tcPr>
          <w:p>
            <w:pPr>
              <w:spacing w:after="0"/>
              <w:rPr>
                <w:sz w:val="18"/>
                <w:szCs w:val="18"/>
                <w:color w:val="auto"/>
              </w:rPr>
            </w:pPr>
          </w:p>
        </w:tc>
        <w:tc>
          <w:tcPr>
            <w:tcW w:w="860" w:type="dxa"/>
            <w:vAlign w:val="bottom"/>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0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 company-</w:t>
            </w:r>
          </w:p>
        </w:tc>
        <w:tc>
          <w:tcPr>
            <w:tcW w:w="180" w:type="dxa"/>
            <w:vAlign w:val="bottom"/>
          </w:tcPr>
          <w:p>
            <w:pPr>
              <w:spacing w:after="0"/>
              <w:rPr>
                <w:sz w:val="16"/>
                <w:szCs w:val="16"/>
                <w:color w:val="auto"/>
              </w:rPr>
            </w:pPr>
          </w:p>
        </w:tc>
        <w:tc>
          <w:tcPr>
            <w:tcW w:w="760" w:type="dxa"/>
            <w:vAlign w:val="bottom"/>
            <w:vMerge w:val="restart"/>
          </w:tcPr>
          <w:p>
            <w:pPr>
              <w:jc w:val="center"/>
              <w:ind w:right="57"/>
              <w:spacing w:after="0"/>
              <w:rPr>
                <w:sz w:val="20"/>
                <w:szCs w:val="20"/>
                <w:color w:val="auto"/>
              </w:rPr>
            </w:pPr>
            <w:r>
              <w:rPr>
                <w:rFonts w:ascii="Arial" w:cs="Arial" w:eastAsia="Arial" w:hAnsi="Arial"/>
                <w:sz w:val="16"/>
                <w:szCs w:val="16"/>
                <w:color w:val="131E29"/>
              </w:rPr>
              <w:t>23.6%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center"/>
              <w:ind w:right="97"/>
              <w:spacing w:after="0"/>
              <w:rPr>
                <w:sz w:val="20"/>
                <w:szCs w:val="20"/>
                <w:color w:val="auto"/>
              </w:rPr>
            </w:pPr>
            <w:r>
              <w:rPr>
                <w:rFonts w:ascii="Arial" w:cs="Arial" w:eastAsia="Arial" w:hAnsi="Arial"/>
                <w:sz w:val="16"/>
                <w:szCs w:val="16"/>
                <w:color w:val="131E29"/>
              </w:rPr>
              <w:t>19.4%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right"/>
              <w:ind w:right="677"/>
              <w:spacing w:after="0"/>
              <w:rPr>
                <w:sz w:val="20"/>
                <w:szCs w:val="20"/>
                <w:color w:val="auto"/>
              </w:rPr>
            </w:pPr>
            <w:r>
              <w:rPr>
                <w:rFonts w:ascii="Arial" w:cs="Arial" w:eastAsia="Arial" w:hAnsi="Arial"/>
                <w:sz w:val="16"/>
                <w:szCs w:val="16"/>
                <w:color w:val="131E29"/>
              </w:rPr>
              <w:t>N/A</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131E29"/>
              </w:rPr>
              <w:t>420 bps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center"/>
              <w:ind w:right="57"/>
              <w:spacing w:after="0"/>
              <w:rPr>
                <w:sz w:val="20"/>
                <w:szCs w:val="20"/>
                <w:color w:val="auto"/>
              </w:rPr>
            </w:pPr>
            <w:r>
              <w:rPr>
                <w:rFonts w:ascii="Arial" w:cs="Arial" w:eastAsia="Arial" w:hAnsi="Arial"/>
                <w:sz w:val="16"/>
                <w:szCs w:val="16"/>
                <w:color w:val="131E29"/>
              </w:rPr>
              <w:t>20.5%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center"/>
              <w:ind w:right="97"/>
              <w:spacing w:after="0"/>
              <w:rPr>
                <w:sz w:val="20"/>
                <w:szCs w:val="20"/>
                <w:color w:val="auto"/>
              </w:rPr>
            </w:pPr>
            <w:r>
              <w:rPr>
                <w:rFonts w:ascii="Arial" w:cs="Arial" w:eastAsia="Arial" w:hAnsi="Arial"/>
                <w:sz w:val="16"/>
                <w:szCs w:val="16"/>
                <w:color w:val="131E29"/>
              </w:rPr>
              <w:t>16.5%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restart"/>
          </w:tcPr>
          <w:p>
            <w:pPr>
              <w:jc w:val="right"/>
              <w:ind w:right="477"/>
              <w:spacing w:after="0"/>
              <w:rPr>
                <w:sz w:val="20"/>
                <w:szCs w:val="20"/>
                <w:color w:val="auto"/>
              </w:rPr>
            </w:pPr>
            <w:r>
              <w:rPr>
                <w:rFonts w:ascii="Arial" w:cs="Arial" w:eastAsia="Arial" w:hAnsi="Arial"/>
                <w:sz w:val="16"/>
                <w:szCs w:val="16"/>
                <w:color w:val="131E29"/>
              </w:rPr>
              <w:t>N/A</w:t>
            </w:r>
          </w:p>
        </w:tc>
        <w:tc>
          <w:tcPr>
            <w:tcW w:w="860" w:type="dxa"/>
            <w:vAlign w:val="bottom"/>
            <w:vMerge w:val="restart"/>
          </w:tcPr>
          <w:p>
            <w:pPr>
              <w:jc w:val="center"/>
              <w:ind w:right="39"/>
              <w:spacing w:after="0"/>
              <w:rPr>
                <w:sz w:val="20"/>
                <w:szCs w:val="20"/>
                <w:color w:val="auto"/>
              </w:rPr>
            </w:pPr>
            <w:r>
              <w:rPr>
                <w:rFonts w:ascii="Arial" w:cs="Arial" w:eastAsia="Arial" w:hAnsi="Arial"/>
                <w:sz w:val="16"/>
                <w:szCs w:val="16"/>
                <w:color w:val="131E29"/>
              </w:rPr>
              <w:t>400 bps</w:t>
            </w:r>
          </w:p>
        </w:tc>
        <w:tc>
          <w:tcPr>
            <w:tcW w:w="0" w:type="dxa"/>
            <w:vAlign w:val="bottom"/>
          </w:tcPr>
          <w:p>
            <w:pPr>
              <w:spacing w:after="0"/>
              <w:rPr>
                <w:sz w:val="1"/>
                <w:szCs w:val="1"/>
                <w:color w:val="auto"/>
              </w:rPr>
            </w:pPr>
          </w:p>
        </w:tc>
      </w:tr>
      <w:tr>
        <w:trPr>
          <w:trHeight w:val="186"/>
        </w:trPr>
        <w:tc>
          <w:tcPr>
            <w:tcW w:w="2400" w:type="dxa"/>
            <w:vAlign w:val="bottom"/>
            <w:gridSpan w:val="2"/>
          </w:tcPr>
          <w:p>
            <w:pPr>
              <w:ind w:left="20"/>
              <w:spacing w:after="0"/>
              <w:rPr>
                <w:sz w:val="20"/>
                <w:szCs w:val="20"/>
                <w:color w:val="auto"/>
              </w:rPr>
            </w:pPr>
            <w:r>
              <w:rPr>
                <w:rFonts w:ascii="Arial" w:cs="Arial" w:eastAsia="Arial" w:hAnsi="Arial"/>
                <w:sz w:val="14"/>
                <w:szCs w:val="14"/>
                <w:i w:val="1"/>
                <w:iCs w:val="1"/>
                <w:color w:val="131E29"/>
              </w:rPr>
              <w:t>operated shop revenues</w:t>
            </w: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shop</w:t>
            </w:r>
          </w:p>
        </w:tc>
        <w:tc>
          <w:tcPr>
            <w:tcW w:w="180" w:type="dxa"/>
            <w:vAlign w:val="bottom"/>
            <w:shd w:val="clear" w:color="auto" w:fill="D2DCE5"/>
          </w:tcPr>
          <w:p>
            <w:pPr>
              <w:spacing w:after="0"/>
              <w:rPr>
                <w:sz w:val="16"/>
                <w:szCs w:val="16"/>
                <w:color w:val="auto"/>
              </w:rPr>
            </w:pPr>
          </w:p>
        </w:tc>
        <w:tc>
          <w:tcPr>
            <w:tcW w:w="760" w:type="dxa"/>
            <w:vAlign w:val="bottom"/>
            <w:shd w:val="clear" w:color="auto" w:fill="D2DCE5"/>
          </w:tcPr>
          <w:p>
            <w:pPr>
              <w:spacing w:after="0"/>
              <w:rPr>
                <w:sz w:val="16"/>
                <w:szCs w:val="16"/>
                <w:color w:val="auto"/>
              </w:rPr>
            </w:pPr>
          </w:p>
        </w:tc>
        <w:tc>
          <w:tcPr>
            <w:tcW w:w="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8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1160" w:type="dxa"/>
            <w:vAlign w:val="bottom"/>
            <w:shd w:val="clear" w:color="auto" w:fill="D2DCE5"/>
          </w:tcPr>
          <w:p>
            <w:pPr>
              <w:spacing w:after="0"/>
              <w:rPr>
                <w:sz w:val="16"/>
                <w:szCs w:val="16"/>
                <w:color w:val="auto"/>
              </w:rPr>
            </w:pPr>
          </w:p>
        </w:tc>
        <w:tc>
          <w:tcPr>
            <w:tcW w:w="9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00" w:type="dxa"/>
            <w:vAlign w:val="bottom"/>
            <w:shd w:val="clear" w:color="auto" w:fill="D2DCE5"/>
          </w:tcPr>
          <w:p>
            <w:pPr>
              <w:spacing w:after="0"/>
              <w:rPr>
                <w:sz w:val="16"/>
                <w:szCs w:val="16"/>
                <w:color w:val="auto"/>
              </w:rPr>
            </w:pPr>
          </w:p>
        </w:tc>
        <w:tc>
          <w:tcPr>
            <w:tcW w:w="760" w:type="dxa"/>
            <w:vAlign w:val="bottom"/>
            <w:shd w:val="clear" w:color="auto" w:fill="D2DCE5"/>
          </w:tcPr>
          <w:p>
            <w:pPr>
              <w:spacing w:after="0"/>
              <w:rPr>
                <w:sz w:val="16"/>
                <w:szCs w:val="16"/>
                <w:color w:val="auto"/>
              </w:rPr>
            </w:pPr>
          </w:p>
        </w:tc>
        <w:tc>
          <w:tcPr>
            <w:tcW w:w="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8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6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contribution </w:t>
            </w:r>
            <w:r>
              <w:rPr>
                <w:rFonts w:ascii="Arial" w:cs="Arial" w:eastAsia="Arial" w:hAnsi="Arial"/>
                <w:sz w:val="18"/>
                <w:szCs w:val="18"/>
                <w:color w:val="131E29"/>
                <w:vertAlign w:val="superscript"/>
              </w:rPr>
              <w:t>1</w:t>
            </w:r>
          </w:p>
        </w:tc>
        <w:tc>
          <w:tcPr>
            <w:tcW w:w="18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w w:val="8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66,878</w:t>
            </w:r>
          </w:p>
        </w:tc>
        <w:tc>
          <w:tcPr>
            <w:tcW w:w="340" w:type="dxa"/>
            <w:vAlign w:val="bottom"/>
            <w:gridSpan w:val="3"/>
            <w:vMerge w:val="restart"/>
            <w:shd w:val="clear" w:color="auto" w:fill="D2DCE5"/>
          </w:tcPr>
          <w:p>
            <w:pPr>
              <w:jc w:val="right"/>
              <w:ind w:right="80"/>
              <w:spacing w:after="0"/>
              <w:rPr>
                <w:sz w:val="20"/>
                <w:szCs w:val="20"/>
                <w:color w:val="auto"/>
              </w:rPr>
            </w:pPr>
            <w:r>
              <w:rPr>
                <w:rFonts w:ascii="Arial" w:cs="Arial" w:eastAsia="Arial" w:hAnsi="Arial"/>
                <w:sz w:val="16"/>
                <w:szCs w:val="16"/>
                <w:color w:val="131E29"/>
              </w:rPr>
              <w:t>$</w:t>
            </w:r>
          </w:p>
        </w:tc>
        <w:tc>
          <w:tcPr>
            <w:tcW w:w="80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39,525</w:t>
            </w:r>
          </w:p>
        </w:tc>
        <w:tc>
          <w:tcPr>
            <w:tcW w:w="340" w:type="dxa"/>
            <w:vAlign w:val="bottom"/>
            <w:gridSpan w:val="2"/>
            <w:vMerge w:val="restart"/>
            <w:shd w:val="clear" w:color="auto" w:fill="D2DCE5"/>
          </w:tcPr>
          <w:p>
            <w:pPr>
              <w:jc w:val="center"/>
              <w:spacing w:after="0"/>
              <w:rPr>
                <w:sz w:val="20"/>
                <w:szCs w:val="20"/>
                <w:color w:val="auto"/>
              </w:rPr>
            </w:pPr>
            <w:r>
              <w:rPr>
                <w:rFonts w:ascii="Arial" w:cs="Arial" w:eastAsia="Arial" w:hAnsi="Arial"/>
                <w:sz w:val="16"/>
                <w:szCs w:val="16"/>
                <w:color w:val="131E29"/>
              </w:rPr>
              <w:t>$</w:t>
            </w:r>
          </w:p>
        </w:tc>
        <w:tc>
          <w:tcPr>
            <w:tcW w:w="1160" w:type="dxa"/>
            <w:vAlign w:val="bottom"/>
            <w:vMerge w:val="restart"/>
            <w:shd w:val="clear" w:color="auto" w:fill="D2DCE5"/>
          </w:tcPr>
          <w:p>
            <w:pPr>
              <w:jc w:val="right"/>
              <w:ind w:right="377"/>
              <w:spacing w:after="0"/>
              <w:rPr>
                <w:sz w:val="20"/>
                <w:szCs w:val="20"/>
                <w:color w:val="auto"/>
              </w:rPr>
            </w:pPr>
            <w:r>
              <w:rPr>
                <w:rFonts w:ascii="Arial" w:cs="Arial" w:eastAsia="Arial" w:hAnsi="Arial"/>
                <w:sz w:val="16"/>
                <w:szCs w:val="16"/>
                <w:color w:val="131E29"/>
              </w:rPr>
              <w:t>27,353</w:t>
            </w:r>
          </w:p>
        </w:tc>
        <w:tc>
          <w:tcPr>
            <w:tcW w:w="920" w:type="dxa"/>
            <w:vAlign w:val="bottom"/>
            <w:vMerge w:val="restart"/>
            <w:shd w:val="clear" w:color="auto" w:fill="D2DCE5"/>
          </w:tcPr>
          <w:p>
            <w:pPr>
              <w:jc w:val="right"/>
              <w:ind w:right="299"/>
              <w:spacing w:after="0"/>
              <w:rPr>
                <w:sz w:val="20"/>
                <w:szCs w:val="20"/>
                <w:color w:val="auto"/>
              </w:rPr>
            </w:pPr>
            <w:r>
              <w:rPr>
                <w:rFonts w:ascii="Arial" w:cs="Arial" w:eastAsia="Arial" w:hAnsi="Arial"/>
                <w:sz w:val="16"/>
                <w:szCs w:val="16"/>
                <w:color w:val="131E29"/>
              </w:rPr>
              <w:t>69.2%</w:t>
            </w:r>
          </w:p>
        </w:tc>
        <w:tc>
          <w:tcPr>
            <w:tcW w:w="280" w:type="dxa"/>
            <w:vAlign w:val="bottom"/>
            <w:gridSpan w:val="2"/>
            <w:vMerge w:val="restart"/>
            <w:shd w:val="clear" w:color="auto" w:fill="D2DCE5"/>
          </w:tcPr>
          <w:p>
            <w:pPr>
              <w:jc w:val="right"/>
              <w:ind w:right="80"/>
              <w:spacing w:after="0"/>
              <w:rPr>
                <w:sz w:val="20"/>
                <w:szCs w:val="20"/>
                <w:color w:val="auto"/>
              </w:rPr>
            </w:pPr>
            <w:r>
              <w:rPr>
                <w:rFonts w:ascii="Arial" w:cs="Arial" w:eastAsia="Arial" w:hAnsi="Arial"/>
                <w:sz w:val="16"/>
                <w:szCs w:val="16"/>
                <w:color w:val="131E2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108,751</w:t>
            </w:r>
          </w:p>
        </w:tc>
        <w:tc>
          <w:tcPr>
            <w:tcW w:w="340" w:type="dxa"/>
            <w:vAlign w:val="bottom"/>
            <w:gridSpan w:val="3"/>
            <w:vMerge w:val="restart"/>
            <w:shd w:val="clear" w:color="auto" w:fill="D2DCE5"/>
          </w:tcPr>
          <w:p>
            <w:pPr>
              <w:jc w:val="right"/>
              <w:ind w:right="80"/>
              <w:spacing w:after="0"/>
              <w:rPr>
                <w:sz w:val="20"/>
                <w:szCs w:val="20"/>
                <w:color w:val="auto"/>
              </w:rPr>
            </w:pPr>
            <w:r>
              <w:rPr>
                <w:rFonts w:ascii="Arial" w:cs="Arial" w:eastAsia="Arial" w:hAnsi="Arial"/>
                <w:sz w:val="16"/>
                <w:szCs w:val="16"/>
                <w:color w:val="131E29"/>
              </w:rPr>
              <w:t>$</w:t>
            </w:r>
          </w:p>
        </w:tc>
        <w:tc>
          <w:tcPr>
            <w:tcW w:w="80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63,304</w:t>
            </w:r>
          </w:p>
        </w:tc>
        <w:tc>
          <w:tcPr>
            <w:tcW w:w="3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6"/>
                <w:szCs w:val="16"/>
                <w:color w:val="131E29"/>
              </w:rPr>
              <w:t>$</w:t>
            </w:r>
          </w:p>
        </w:tc>
        <w:tc>
          <w:tcPr>
            <w:tcW w:w="960" w:type="dxa"/>
            <w:vAlign w:val="bottom"/>
            <w:vMerge w:val="restart"/>
            <w:shd w:val="clear" w:color="auto" w:fill="D2DCE5"/>
          </w:tcPr>
          <w:p>
            <w:pPr>
              <w:jc w:val="right"/>
              <w:ind w:right="197"/>
              <w:spacing w:after="0"/>
              <w:rPr>
                <w:sz w:val="20"/>
                <w:szCs w:val="20"/>
                <w:color w:val="auto"/>
              </w:rPr>
            </w:pPr>
            <w:r>
              <w:rPr>
                <w:rFonts w:ascii="Arial" w:cs="Arial" w:eastAsia="Arial" w:hAnsi="Arial"/>
                <w:sz w:val="16"/>
                <w:szCs w:val="16"/>
                <w:color w:val="131E29"/>
              </w:rPr>
              <w:t>45,447</w:t>
            </w:r>
          </w:p>
        </w:tc>
        <w:tc>
          <w:tcPr>
            <w:tcW w:w="860" w:type="dxa"/>
            <w:vAlign w:val="bottom"/>
            <w:vMerge w:val="restart"/>
            <w:shd w:val="clear" w:color="auto" w:fill="D2DCE5"/>
          </w:tcPr>
          <w:p>
            <w:pPr>
              <w:jc w:val="center"/>
              <w:ind w:right="39"/>
              <w:spacing w:after="0"/>
              <w:rPr>
                <w:sz w:val="20"/>
                <w:szCs w:val="20"/>
                <w:color w:val="auto"/>
              </w:rPr>
            </w:pPr>
            <w:r>
              <w:rPr>
                <w:rFonts w:ascii="Arial" w:cs="Arial" w:eastAsia="Arial" w:hAnsi="Arial"/>
                <w:sz w:val="16"/>
                <w:szCs w:val="16"/>
                <w:color w:val="131E29"/>
              </w:rPr>
              <w:t>71.8%</w:t>
            </w:r>
          </w:p>
        </w:tc>
        <w:tc>
          <w:tcPr>
            <w:tcW w:w="0" w:type="dxa"/>
            <w:vAlign w:val="bottom"/>
          </w:tcPr>
          <w:p>
            <w:pPr>
              <w:spacing w:after="0"/>
              <w:rPr>
                <w:sz w:val="1"/>
                <w:szCs w:val="1"/>
                <w:color w:val="auto"/>
              </w:rPr>
            </w:pPr>
          </w:p>
        </w:tc>
      </w:tr>
      <w:tr>
        <w:trPr>
          <w:trHeight w:val="115"/>
        </w:trPr>
        <w:tc>
          <w:tcPr>
            <w:tcW w:w="2280" w:type="dxa"/>
            <w:vAlign w:val="bottom"/>
            <w:shd w:val="clear" w:color="auto" w:fill="D2DCE5"/>
          </w:tcPr>
          <w:p>
            <w:pPr>
              <w:spacing w:after="0"/>
              <w:rPr>
                <w:sz w:val="10"/>
                <w:szCs w:val="10"/>
                <w:color w:val="auto"/>
              </w:rPr>
            </w:pPr>
          </w:p>
        </w:tc>
        <w:tc>
          <w:tcPr>
            <w:tcW w:w="120" w:type="dxa"/>
            <w:vAlign w:val="bottom"/>
            <w:shd w:val="clear" w:color="auto" w:fill="D2DCE5"/>
          </w:tcPr>
          <w:p>
            <w:pPr>
              <w:spacing w:after="0"/>
              <w:rPr>
                <w:sz w:val="10"/>
                <w:szCs w:val="10"/>
                <w:color w:val="auto"/>
              </w:rPr>
            </w:pPr>
          </w:p>
        </w:tc>
        <w:tc>
          <w:tcPr>
            <w:tcW w:w="180" w:type="dxa"/>
            <w:vAlign w:val="bottom"/>
            <w:vMerge w:val="continue"/>
            <w:shd w:val="clear" w:color="auto" w:fill="D2DCE5"/>
          </w:tcPr>
          <w:p>
            <w:pPr>
              <w:spacing w:after="0"/>
              <w:rPr>
                <w:sz w:val="10"/>
                <w:szCs w:val="10"/>
                <w:color w:val="auto"/>
              </w:rPr>
            </w:pPr>
          </w:p>
        </w:tc>
        <w:tc>
          <w:tcPr>
            <w:tcW w:w="760" w:type="dxa"/>
            <w:vAlign w:val="bottom"/>
            <w:vMerge w:val="continue"/>
            <w:shd w:val="clear" w:color="auto" w:fill="D2DCE5"/>
          </w:tcPr>
          <w:p>
            <w:pPr>
              <w:spacing w:after="0"/>
              <w:rPr>
                <w:sz w:val="10"/>
                <w:szCs w:val="10"/>
                <w:color w:val="auto"/>
              </w:rPr>
            </w:pPr>
          </w:p>
        </w:tc>
        <w:tc>
          <w:tcPr>
            <w:tcW w:w="340" w:type="dxa"/>
            <w:vAlign w:val="bottom"/>
            <w:gridSpan w:val="3"/>
            <w:vMerge w:val="continue"/>
            <w:shd w:val="clear" w:color="auto" w:fill="D2DCE5"/>
          </w:tcPr>
          <w:p>
            <w:pPr>
              <w:spacing w:after="0"/>
              <w:rPr>
                <w:sz w:val="10"/>
                <w:szCs w:val="10"/>
                <w:color w:val="auto"/>
              </w:rPr>
            </w:pPr>
          </w:p>
        </w:tc>
        <w:tc>
          <w:tcPr>
            <w:tcW w:w="800" w:type="dxa"/>
            <w:vAlign w:val="bottom"/>
            <w:vMerge w:val="continue"/>
            <w:shd w:val="clear" w:color="auto" w:fill="D2DCE5"/>
          </w:tcPr>
          <w:p>
            <w:pPr>
              <w:spacing w:after="0"/>
              <w:rPr>
                <w:sz w:val="10"/>
                <w:szCs w:val="10"/>
                <w:color w:val="auto"/>
              </w:rPr>
            </w:pPr>
          </w:p>
        </w:tc>
        <w:tc>
          <w:tcPr>
            <w:tcW w:w="340" w:type="dxa"/>
            <w:vAlign w:val="bottom"/>
            <w:gridSpan w:val="2"/>
            <w:vMerge w:val="continue"/>
            <w:shd w:val="clear" w:color="auto" w:fill="D2DCE5"/>
          </w:tcPr>
          <w:p>
            <w:pPr>
              <w:spacing w:after="0"/>
              <w:rPr>
                <w:sz w:val="10"/>
                <w:szCs w:val="10"/>
                <w:color w:val="auto"/>
              </w:rPr>
            </w:pPr>
          </w:p>
        </w:tc>
        <w:tc>
          <w:tcPr>
            <w:tcW w:w="1160" w:type="dxa"/>
            <w:vAlign w:val="bottom"/>
            <w:vMerge w:val="continue"/>
            <w:shd w:val="clear" w:color="auto" w:fill="D2DCE5"/>
          </w:tcPr>
          <w:p>
            <w:pPr>
              <w:spacing w:after="0"/>
              <w:rPr>
                <w:sz w:val="10"/>
                <w:szCs w:val="10"/>
                <w:color w:val="auto"/>
              </w:rPr>
            </w:pPr>
          </w:p>
        </w:tc>
        <w:tc>
          <w:tcPr>
            <w:tcW w:w="920" w:type="dxa"/>
            <w:vAlign w:val="bottom"/>
            <w:vMerge w:val="continue"/>
            <w:shd w:val="clear" w:color="auto" w:fill="D2DCE5"/>
          </w:tcPr>
          <w:p>
            <w:pPr>
              <w:spacing w:after="0"/>
              <w:rPr>
                <w:sz w:val="10"/>
                <w:szCs w:val="10"/>
                <w:color w:val="auto"/>
              </w:rPr>
            </w:pPr>
          </w:p>
        </w:tc>
        <w:tc>
          <w:tcPr>
            <w:tcW w:w="280" w:type="dxa"/>
            <w:vAlign w:val="bottom"/>
            <w:gridSpan w:val="2"/>
            <w:vMerge w:val="continue"/>
            <w:shd w:val="clear" w:color="auto" w:fill="D2DCE5"/>
          </w:tcPr>
          <w:p>
            <w:pPr>
              <w:spacing w:after="0"/>
              <w:rPr>
                <w:sz w:val="10"/>
                <w:szCs w:val="10"/>
                <w:color w:val="auto"/>
              </w:rPr>
            </w:pPr>
          </w:p>
        </w:tc>
        <w:tc>
          <w:tcPr>
            <w:tcW w:w="760" w:type="dxa"/>
            <w:vAlign w:val="bottom"/>
            <w:vMerge w:val="continue"/>
            <w:shd w:val="clear" w:color="auto" w:fill="D2DCE5"/>
          </w:tcPr>
          <w:p>
            <w:pPr>
              <w:spacing w:after="0"/>
              <w:rPr>
                <w:sz w:val="10"/>
                <w:szCs w:val="10"/>
                <w:color w:val="auto"/>
              </w:rPr>
            </w:pPr>
          </w:p>
        </w:tc>
        <w:tc>
          <w:tcPr>
            <w:tcW w:w="340" w:type="dxa"/>
            <w:vAlign w:val="bottom"/>
            <w:gridSpan w:val="3"/>
            <w:vMerge w:val="continue"/>
            <w:shd w:val="clear" w:color="auto" w:fill="D2DCE5"/>
          </w:tcPr>
          <w:p>
            <w:pPr>
              <w:spacing w:after="0"/>
              <w:rPr>
                <w:sz w:val="10"/>
                <w:szCs w:val="10"/>
                <w:color w:val="auto"/>
              </w:rPr>
            </w:pPr>
          </w:p>
        </w:tc>
        <w:tc>
          <w:tcPr>
            <w:tcW w:w="800" w:type="dxa"/>
            <w:vAlign w:val="bottom"/>
            <w:vMerge w:val="continue"/>
            <w:shd w:val="clear" w:color="auto" w:fill="D2DCE5"/>
          </w:tcPr>
          <w:p>
            <w:pPr>
              <w:spacing w:after="0"/>
              <w:rPr>
                <w:sz w:val="10"/>
                <w:szCs w:val="10"/>
                <w:color w:val="auto"/>
              </w:rPr>
            </w:pPr>
          </w:p>
        </w:tc>
        <w:tc>
          <w:tcPr>
            <w:tcW w:w="340" w:type="dxa"/>
            <w:vAlign w:val="bottom"/>
            <w:gridSpan w:val="2"/>
            <w:vMerge w:val="continue"/>
            <w:shd w:val="clear" w:color="auto" w:fill="D2DCE5"/>
          </w:tcPr>
          <w:p>
            <w:pPr>
              <w:spacing w:after="0"/>
              <w:rPr>
                <w:sz w:val="10"/>
                <w:szCs w:val="10"/>
                <w:color w:val="auto"/>
              </w:rPr>
            </w:pPr>
          </w:p>
        </w:tc>
        <w:tc>
          <w:tcPr>
            <w:tcW w:w="960" w:type="dxa"/>
            <w:vAlign w:val="bottom"/>
            <w:vMerge w:val="continue"/>
            <w:shd w:val="clear" w:color="auto" w:fill="D2DCE5"/>
          </w:tcPr>
          <w:p>
            <w:pPr>
              <w:spacing w:after="0"/>
              <w:rPr>
                <w:sz w:val="10"/>
                <w:szCs w:val="10"/>
                <w:color w:val="auto"/>
              </w:rPr>
            </w:pPr>
          </w:p>
        </w:tc>
        <w:tc>
          <w:tcPr>
            <w:tcW w:w="860" w:type="dxa"/>
            <w:vAlign w:val="bottom"/>
            <w:vMerge w:val="continue"/>
            <w:shd w:val="clear" w:color="auto" w:fill="D2DCE5"/>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40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 company-</w:t>
            </w:r>
          </w:p>
        </w:tc>
        <w:tc>
          <w:tcPr>
            <w:tcW w:w="180" w:type="dxa"/>
            <w:vAlign w:val="bottom"/>
          </w:tcPr>
          <w:p>
            <w:pPr>
              <w:spacing w:after="0"/>
              <w:rPr>
                <w:sz w:val="16"/>
                <w:szCs w:val="16"/>
                <w:color w:val="auto"/>
              </w:rPr>
            </w:pPr>
          </w:p>
        </w:tc>
        <w:tc>
          <w:tcPr>
            <w:tcW w:w="760" w:type="dxa"/>
            <w:vAlign w:val="bottom"/>
            <w:vMerge w:val="restart"/>
          </w:tcPr>
          <w:p>
            <w:pPr>
              <w:jc w:val="center"/>
              <w:ind w:right="57"/>
              <w:spacing w:after="0"/>
              <w:rPr>
                <w:sz w:val="20"/>
                <w:szCs w:val="20"/>
                <w:color w:val="auto"/>
              </w:rPr>
            </w:pPr>
            <w:r>
              <w:rPr>
                <w:rFonts w:ascii="Arial" w:cs="Arial" w:eastAsia="Arial" w:hAnsi="Arial"/>
                <w:sz w:val="16"/>
                <w:szCs w:val="16"/>
                <w:color w:val="131E29"/>
              </w:rPr>
              <w:t>30.3%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center"/>
              <w:ind w:right="97"/>
              <w:spacing w:after="0"/>
              <w:rPr>
                <w:sz w:val="20"/>
                <w:szCs w:val="20"/>
                <w:color w:val="auto"/>
              </w:rPr>
            </w:pPr>
            <w:r>
              <w:rPr>
                <w:rFonts w:ascii="Arial" w:cs="Arial" w:eastAsia="Arial" w:hAnsi="Arial"/>
                <w:sz w:val="16"/>
                <w:szCs w:val="16"/>
                <w:color w:val="131E29"/>
              </w:rPr>
              <w:t>24.6%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right"/>
              <w:ind w:right="677"/>
              <w:spacing w:after="0"/>
              <w:rPr>
                <w:sz w:val="20"/>
                <w:szCs w:val="20"/>
                <w:color w:val="auto"/>
              </w:rPr>
            </w:pPr>
            <w:r>
              <w:rPr>
                <w:rFonts w:ascii="Arial" w:cs="Arial" w:eastAsia="Arial" w:hAnsi="Arial"/>
                <w:sz w:val="16"/>
                <w:szCs w:val="16"/>
                <w:color w:val="131E29"/>
              </w:rPr>
              <w:t>N/A</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131E29"/>
              </w:rPr>
              <w:t>570 bps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center"/>
              <w:ind w:right="57"/>
              <w:spacing w:after="0"/>
              <w:rPr>
                <w:sz w:val="20"/>
                <w:szCs w:val="20"/>
                <w:color w:val="auto"/>
              </w:rPr>
            </w:pPr>
            <w:r>
              <w:rPr>
                <w:rFonts w:ascii="Arial" w:cs="Arial" w:eastAsia="Arial" w:hAnsi="Arial"/>
                <w:sz w:val="16"/>
                <w:szCs w:val="16"/>
                <w:color w:val="131E29"/>
              </w:rPr>
              <w:t>27.6%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center"/>
              <w:ind w:right="97"/>
              <w:spacing w:after="0"/>
              <w:rPr>
                <w:sz w:val="20"/>
                <w:szCs w:val="20"/>
                <w:color w:val="auto"/>
              </w:rPr>
            </w:pPr>
            <w:r>
              <w:rPr>
                <w:rFonts w:ascii="Arial" w:cs="Arial" w:eastAsia="Arial" w:hAnsi="Arial"/>
                <w:sz w:val="16"/>
                <w:szCs w:val="16"/>
                <w:color w:val="131E29"/>
              </w:rPr>
              <w:t>21.8%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restart"/>
          </w:tcPr>
          <w:p>
            <w:pPr>
              <w:jc w:val="right"/>
              <w:ind w:right="477"/>
              <w:spacing w:after="0"/>
              <w:rPr>
                <w:sz w:val="20"/>
                <w:szCs w:val="20"/>
                <w:color w:val="auto"/>
              </w:rPr>
            </w:pPr>
            <w:r>
              <w:rPr>
                <w:rFonts w:ascii="Arial" w:cs="Arial" w:eastAsia="Arial" w:hAnsi="Arial"/>
                <w:sz w:val="16"/>
                <w:szCs w:val="16"/>
                <w:color w:val="131E29"/>
              </w:rPr>
              <w:t>N/A</w:t>
            </w:r>
          </w:p>
        </w:tc>
        <w:tc>
          <w:tcPr>
            <w:tcW w:w="860" w:type="dxa"/>
            <w:vAlign w:val="bottom"/>
            <w:vMerge w:val="restart"/>
          </w:tcPr>
          <w:p>
            <w:pPr>
              <w:jc w:val="center"/>
              <w:ind w:right="39"/>
              <w:spacing w:after="0"/>
              <w:rPr>
                <w:sz w:val="20"/>
                <w:szCs w:val="20"/>
                <w:color w:val="auto"/>
              </w:rPr>
            </w:pPr>
            <w:r>
              <w:rPr>
                <w:rFonts w:ascii="Arial" w:cs="Arial" w:eastAsia="Arial" w:hAnsi="Arial"/>
                <w:sz w:val="16"/>
                <w:szCs w:val="16"/>
                <w:color w:val="131E29"/>
              </w:rPr>
              <w:t>580 bps</w:t>
            </w:r>
          </w:p>
        </w:tc>
        <w:tc>
          <w:tcPr>
            <w:tcW w:w="0" w:type="dxa"/>
            <w:vAlign w:val="bottom"/>
          </w:tcPr>
          <w:p>
            <w:pPr>
              <w:spacing w:after="0"/>
              <w:rPr>
                <w:sz w:val="1"/>
                <w:szCs w:val="1"/>
                <w:color w:val="auto"/>
              </w:rPr>
            </w:pPr>
          </w:p>
        </w:tc>
      </w:tr>
      <w:tr>
        <w:trPr>
          <w:trHeight w:val="192"/>
        </w:trPr>
        <w:tc>
          <w:tcPr>
            <w:tcW w:w="2400" w:type="dxa"/>
            <w:vAlign w:val="bottom"/>
            <w:gridSpan w:val="2"/>
          </w:tcPr>
          <w:p>
            <w:pPr>
              <w:ind w:left="20"/>
              <w:spacing w:after="0"/>
              <w:rPr>
                <w:sz w:val="20"/>
                <w:szCs w:val="20"/>
                <w:color w:val="auto"/>
              </w:rPr>
            </w:pPr>
            <w:r>
              <w:rPr>
                <w:rFonts w:ascii="Arial" w:cs="Arial" w:eastAsia="Arial" w:hAnsi="Arial"/>
                <w:sz w:val="14"/>
                <w:szCs w:val="14"/>
                <w:i w:val="1"/>
                <w:iCs w:val="1"/>
                <w:color w:val="131E29"/>
              </w:rPr>
              <w:t>operated shop revenues</w:t>
            </w: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9" w:lineRule="exact"/>
        <w:rPr>
          <w:sz w:val="20"/>
          <w:szCs w:val="20"/>
          <w:color w:val="auto"/>
        </w:rPr>
      </w:pPr>
    </w:p>
    <w:p>
      <w:pPr>
        <w:ind w:left="180" w:hanging="172"/>
        <w:spacing w:after="0" w:line="217" w:lineRule="auto"/>
        <w:tabs>
          <w:tab w:leader="none" w:pos="179" w:val="left"/>
        </w:tabs>
        <w:numPr>
          <w:ilvl w:val="0"/>
          <w:numId w:val="22"/>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2023 v. 2022</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Company-operated shop gross profit and contribution impacts for the year-over-year comparison, presented in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120" w:type="dxa"/>
            <w:vAlign w:val="bottom"/>
          </w:tcPr>
          <w:p>
            <w:pPr>
              <w:spacing w:after="0"/>
              <w:rPr>
                <w:sz w:val="22"/>
                <w:szCs w:val="22"/>
                <w:color w:val="auto"/>
              </w:rPr>
            </w:pPr>
          </w:p>
        </w:tc>
        <w:tc>
          <w:tcPr>
            <w:tcW w:w="1320" w:type="dxa"/>
            <w:vAlign w:val="bottom"/>
            <w:tcBorders>
              <w:bottom w:val="single" w:sz="8" w:color="131E29"/>
            </w:tcBorders>
          </w:tcPr>
          <w:p>
            <w:pPr>
              <w:jc w:val="right"/>
              <w:ind w:right="390"/>
              <w:spacing w:after="0"/>
              <w:rPr>
                <w:sz w:val="20"/>
                <w:szCs w:val="20"/>
                <w:color w:val="auto"/>
              </w:rPr>
            </w:pPr>
            <w:r>
              <w:rPr>
                <w:rFonts w:ascii="Arial" w:cs="Arial" w:eastAsia="Arial" w:hAnsi="Arial"/>
                <w:sz w:val="18"/>
                <w:szCs w:val="18"/>
                <w:b w:val="1"/>
                <w:bCs w:val="1"/>
                <w:color w:val="131E29"/>
              </w:rPr>
              <w:t>BPS</w:t>
            </w:r>
          </w:p>
        </w:tc>
      </w:tr>
      <w:tr>
        <w:trPr>
          <w:trHeight w:val="250"/>
        </w:trPr>
        <w:tc>
          <w:tcPr>
            <w:tcW w:w="98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Ingredient costs</w:t>
            </w:r>
          </w:p>
        </w:tc>
        <w:tc>
          <w:tcPr>
            <w:tcW w:w="14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(20)</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131E29"/>
              </w:rPr>
              <w:t>Shop operating costs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131E29"/>
              </w:rPr>
              <w:t>80</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3"/>
        </w:trPr>
        <w:tc>
          <w:tcPr>
            <w:tcW w:w="98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Labor costs</w:t>
            </w:r>
          </w:p>
        </w:tc>
        <w:tc>
          <w:tcPr>
            <w:tcW w:w="120" w:type="dxa"/>
            <w:vAlign w:val="bottom"/>
            <w:tcBorders>
              <w:bottom w:val="single" w:sz="8" w:color="D2DCE5"/>
            </w:tcBorders>
            <w:shd w:val="clear" w:color="auto" w:fill="D2DCE5"/>
          </w:tcPr>
          <w:p>
            <w:pPr>
              <w:spacing w:after="0"/>
              <w:rPr>
                <w:sz w:val="22"/>
                <w:szCs w:val="22"/>
                <w:color w:val="auto"/>
              </w:rPr>
            </w:pPr>
          </w:p>
        </w:tc>
        <w:tc>
          <w:tcPr>
            <w:tcW w:w="1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180</w:t>
            </w:r>
          </w:p>
        </w:tc>
      </w:tr>
      <w:tr>
        <w:trPr>
          <w:trHeight w:val="243"/>
        </w:trPr>
        <w:tc>
          <w:tcPr>
            <w:tcW w:w="9800" w:type="dxa"/>
            <w:vAlign w:val="bottom"/>
          </w:tcPr>
          <w:p>
            <w:pPr>
              <w:ind w:left="180"/>
              <w:spacing w:after="0"/>
              <w:rPr>
                <w:sz w:val="20"/>
                <w:szCs w:val="20"/>
                <w:color w:val="auto"/>
              </w:rPr>
            </w:pPr>
            <w:r>
              <w:rPr>
                <w:rFonts w:ascii="Arial" w:cs="Arial" w:eastAsia="Arial" w:hAnsi="Arial"/>
                <w:sz w:val="18"/>
                <w:szCs w:val="18"/>
                <w:color w:val="131E29"/>
              </w:rPr>
              <w:t>Costs increases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131E29"/>
              </w:rPr>
              <w:t>240</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Menu prices</w:t>
            </w:r>
          </w:p>
        </w:tc>
        <w:tc>
          <w:tcPr>
            <w:tcW w:w="14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320</w:t>
            </w:r>
          </w:p>
        </w:tc>
      </w:tr>
      <w:tr>
        <w:trPr>
          <w:trHeight w:val="263"/>
        </w:trPr>
        <w:tc>
          <w:tcPr>
            <w:tcW w:w="9800" w:type="dxa"/>
            <w:vAlign w:val="bottom"/>
          </w:tcPr>
          <w:p>
            <w:pPr>
              <w:ind w:left="20"/>
              <w:spacing w:after="0"/>
              <w:rPr>
                <w:sz w:val="20"/>
                <w:szCs w:val="20"/>
                <w:color w:val="auto"/>
              </w:rPr>
            </w:pPr>
            <w:r>
              <w:rPr>
                <w:rFonts w:ascii="Arial" w:cs="Arial" w:eastAsia="Arial" w:hAnsi="Arial"/>
                <w:sz w:val="18"/>
                <w:szCs w:val="18"/>
                <w:color w:val="131E29"/>
              </w:rPr>
              <w:t>Discounts</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40</w:t>
            </w:r>
          </w:p>
        </w:tc>
      </w:tr>
      <w:tr>
        <w:trPr>
          <w:trHeight w:val="270"/>
        </w:trPr>
        <w:tc>
          <w:tcPr>
            <w:tcW w:w="980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Pricing and discounts</w:t>
            </w:r>
          </w:p>
        </w:tc>
        <w:tc>
          <w:tcPr>
            <w:tcW w:w="120" w:type="dxa"/>
            <w:vAlign w:val="bottom"/>
            <w:tcBorders>
              <w:bottom w:val="single" w:sz="8" w:color="D2DCE5"/>
            </w:tcBorders>
            <w:shd w:val="clear" w:color="auto" w:fill="D2DCE5"/>
          </w:tcPr>
          <w:p>
            <w:pPr>
              <w:spacing w:after="0"/>
              <w:rPr>
                <w:sz w:val="23"/>
                <w:szCs w:val="23"/>
                <w:color w:val="auto"/>
              </w:rPr>
            </w:pP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360</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131E29"/>
              </w:rPr>
              <w:t>Pre-opening costs</w:t>
            </w:r>
          </w:p>
        </w:tc>
        <w:tc>
          <w:tcPr>
            <w:tcW w:w="12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70</w:t>
            </w:r>
          </w:p>
        </w:tc>
      </w:tr>
      <w:tr>
        <w:trPr>
          <w:trHeight w:val="270"/>
        </w:trPr>
        <w:tc>
          <w:tcPr>
            <w:tcW w:w="980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New shop related items</w:t>
            </w:r>
          </w:p>
        </w:tc>
        <w:tc>
          <w:tcPr>
            <w:tcW w:w="120" w:type="dxa"/>
            <w:vAlign w:val="bottom"/>
            <w:tcBorders>
              <w:bottom w:val="single" w:sz="8" w:color="D2DCE5"/>
            </w:tcBorders>
            <w:shd w:val="clear" w:color="auto" w:fill="D2DCE5"/>
          </w:tcPr>
          <w:p>
            <w:pPr>
              <w:spacing w:after="0"/>
              <w:rPr>
                <w:sz w:val="23"/>
                <w:szCs w:val="23"/>
                <w:color w:val="auto"/>
              </w:rPr>
            </w:pP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w:t>
            </w: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color w:val="131E29"/>
              </w:rPr>
              <w:t>Leverage (deleverage)</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70</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Other</w:t>
            </w:r>
          </w:p>
        </w:tc>
        <w:tc>
          <w:tcPr>
            <w:tcW w:w="14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(320)</w:t>
            </w:r>
          </w:p>
        </w:tc>
      </w:tr>
      <w:tr>
        <w:trPr>
          <w:trHeight w:val="257"/>
        </w:trPr>
        <w:tc>
          <w:tcPr>
            <w:tcW w:w="9800" w:type="dxa"/>
            <w:vAlign w:val="bottom"/>
            <w:tcBorders>
              <w:top w:val="single" w:sz="8" w:color="131E29"/>
              <w:bottom w:val="single" w:sz="8" w:color="131E29"/>
            </w:tcBorders>
          </w:tcPr>
          <w:p>
            <w:pPr>
              <w:ind w:left="20"/>
              <w:spacing w:after="0"/>
              <w:rPr>
                <w:sz w:val="20"/>
                <w:szCs w:val="20"/>
                <w:color w:val="auto"/>
              </w:rPr>
            </w:pPr>
            <w:r>
              <w:rPr>
                <w:rFonts w:ascii="Arial" w:cs="Arial" w:eastAsia="Arial" w:hAnsi="Arial"/>
                <w:sz w:val="18"/>
                <w:szCs w:val="18"/>
                <w:b w:val="1"/>
                <w:bCs w:val="1"/>
                <w:color w:val="131E29"/>
              </w:rPr>
              <w:t>Total change in Company-operated shop gross profit</w:t>
            </w:r>
          </w:p>
        </w:tc>
        <w:tc>
          <w:tcPr>
            <w:tcW w:w="120" w:type="dxa"/>
            <w:vAlign w:val="bottom"/>
            <w:tcBorders>
              <w:bottom w:val="single" w:sz="8" w:color="D2DCE5"/>
            </w:tcBorders>
          </w:tcPr>
          <w:p>
            <w:pPr>
              <w:spacing w:after="0"/>
              <w:rPr>
                <w:sz w:val="22"/>
                <w:szCs w:val="22"/>
                <w:color w:val="auto"/>
              </w:rPr>
            </w:pPr>
          </w:p>
        </w:tc>
        <w:tc>
          <w:tcPr>
            <w:tcW w:w="1320" w:type="dxa"/>
            <w:vAlign w:val="bottom"/>
            <w:tcBorders>
              <w:top w:val="single" w:sz="8" w:color="131E29"/>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420</w:t>
            </w:r>
          </w:p>
        </w:tc>
      </w:tr>
      <w:tr>
        <w:trPr>
          <w:trHeight w:val="270"/>
        </w:trPr>
        <w:tc>
          <w:tcPr>
            <w:tcW w:w="98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4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150</w:t>
            </w:r>
          </w:p>
        </w:tc>
      </w:tr>
      <w:tr>
        <w:trPr>
          <w:trHeight w:val="263"/>
        </w:trPr>
        <w:tc>
          <w:tcPr>
            <w:tcW w:w="9800" w:type="dxa"/>
            <w:vAlign w:val="bottom"/>
            <w:tcBorders>
              <w:top w:val="single" w:sz="8" w:color="131E29"/>
              <w:bottom w:val="single" w:sz="8" w:color="131E29"/>
            </w:tcBorders>
          </w:tcPr>
          <w:p>
            <w:pPr>
              <w:ind w:left="20"/>
              <w:spacing w:after="0"/>
              <w:rPr>
                <w:sz w:val="20"/>
                <w:szCs w:val="20"/>
                <w:color w:val="auto"/>
              </w:rPr>
            </w:pPr>
            <w:r>
              <w:rPr>
                <w:rFonts w:ascii="Arial" w:cs="Arial" w:eastAsia="Arial" w:hAnsi="Arial"/>
                <w:sz w:val="18"/>
                <w:szCs w:val="18"/>
                <w:b w:val="1"/>
                <w:bCs w:val="1"/>
                <w:color w:val="131E29"/>
              </w:rPr>
              <w:t xml:space="preserve">Total change in Company-operated shop contribution </w:t>
            </w:r>
            <w:r>
              <w:rPr>
                <w:rFonts w:ascii="Arial" w:cs="Arial" w:eastAsia="Arial" w:hAnsi="Arial"/>
                <w:sz w:val="23"/>
                <w:szCs w:val="23"/>
                <w:b w:val="1"/>
                <w:bCs w:val="1"/>
                <w:color w:val="131E29"/>
                <w:vertAlign w:val="superscript"/>
              </w:rPr>
              <w:t>1</w:t>
            </w:r>
          </w:p>
        </w:tc>
        <w:tc>
          <w:tcPr>
            <w:tcW w:w="120" w:type="dxa"/>
            <w:vAlign w:val="bottom"/>
          </w:tcPr>
          <w:p>
            <w:pPr>
              <w:spacing w:after="0"/>
              <w:rPr>
                <w:sz w:val="22"/>
                <w:szCs w:val="22"/>
                <w:color w:val="auto"/>
              </w:rPr>
            </w:pPr>
          </w:p>
        </w:tc>
        <w:tc>
          <w:tcPr>
            <w:tcW w:w="1320" w:type="dxa"/>
            <w:vAlign w:val="bottom"/>
            <w:tcBorders>
              <w:top w:val="single" w:sz="8" w:color="131E29"/>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570</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2023 v. 2022</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Company-operated shop gross profit and contribution impacts for the year-over-year comparison, presented in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20" w:type="dxa"/>
            <w:vAlign w:val="bottom"/>
          </w:tcPr>
          <w:p>
            <w:pPr>
              <w:spacing w:after="0"/>
              <w:rPr>
                <w:sz w:val="22"/>
                <w:szCs w:val="22"/>
                <w:color w:val="auto"/>
              </w:rPr>
            </w:pPr>
          </w:p>
        </w:tc>
        <w:tc>
          <w:tcPr>
            <w:tcW w:w="1600" w:type="dxa"/>
            <w:vAlign w:val="bottom"/>
            <w:tcBorders>
              <w:bottom w:val="single" w:sz="8" w:color="131E29"/>
            </w:tcBorders>
          </w:tcPr>
          <w:p>
            <w:pPr>
              <w:jc w:val="right"/>
              <w:ind w:right="530"/>
              <w:spacing w:after="0"/>
              <w:rPr>
                <w:sz w:val="20"/>
                <w:szCs w:val="20"/>
                <w:color w:val="auto"/>
              </w:rPr>
            </w:pPr>
            <w:r>
              <w:rPr>
                <w:rFonts w:ascii="Arial" w:cs="Arial" w:eastAsia="Arial" w:hAnsi="Arial"/>
                <w:sz w:val="18"/>
                <w:szCs w:val="18"/>
                <w:b w:val="1"/>
                <w:bCs w:val="1"/>
                <w:color w:val="131E29"/>
              </w:rPr>
              <w:t>BPS</w:t>
            </w:r>
          </w:p>
        </w:tc>
      </w:tr>
      <w:tr>
        <w:trPr>
          <w:trHeight w:val="250"/>
        </w:trPr>
        <w:tc>
          <w:tcPr>
            <w:tcW w:w="95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Ingredient costs</w:t>
            </w:r>
          </w:p>
        </w:tc>
        <w:tc>
          <w:tcPr>
            <w:tcW w:w="17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(80)</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131E29"/>
              </w:rPr>
              <w:t>Shop operating costs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131E29"/>
              </w:rPr>
              <w:t>30</w:t>
            </w:r>
          </w:p>
        </w:tc>
      </w:tr>
      <w:tr>
        <w:trPr>
          <w:trHeight w:val="27"/>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3"/>
        </w:trPr>
        <w:tc>
          <w:tcPr>
            <w:tcW w:w="95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Labor costs</w:t>
            </w:r>
          </w:p>
        </w:tc>
        <w:tc>
          <w:tcPr>
            <w:tcW w:w="120" w:type="dxa"/>
            <w:vAlign w:val="bottom"/>
            <w:tcBorders>
              <w:bottom w:val="single" w:sz="8" w:color="D2DCE5"/>
            </w:tcBorders>
            <w:shd w:val="clear" w:color="auto" w:fill="D2DCE5"/>
          </w:tcPr>
          <w:p>
            <w:pPr>
              <w:spacing w:after="0"/>
              <w:rPr>
                <w:sz w:val="22"/>
                <w:szCs w:val="22"/>
                <w:color w:val="auto"/>
              </w:rPr>
            </w:pPr>
          </w:p>
        </w:tc>
        <w:tc>
          <w:tcPr>
            <w:tcW w:w="1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180</w:t>
            </w:r>
          </w:p>
        </w:tc>
      </w:tr>
      <w:tr>
        <w:trPr>
          <w:trHeight w:val="243"/>
        </w:trPr>
        <w:tc>
          <w:tcPr>
            <w:tcW w:w="9520" w:type="dxa"/>
            <w:vAlign w:val="bottom"/>
          </w:tcPr>
          <w:p>
            <w:pPr>
              <w:ind w:left="180"/>
              <w:spacing w:after="0"/>
              <w:rPr>
                <w:sz w:val="20"/>
                <w:szCs w:val="20"/>
                <w:color w:val="auto"/>
              </w:rPr>
            </w:pPr>
            <w:r>
              <w:rPr>
                <w:rFonts w:ascii="Arial" w:cs="Arial" w:eastAsia="Arial" w:hAnsi="Arial"/>
                <w:sz w:val="18"/>
                <w:szCs w:val="18"/>
                <w:color w:val="131E29"/>
              </w:rPr>
              <w:t>Costs increases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131E29"/>
              </w:rPr>
              <w:t>130</w:t>
            </w:r>
          </w:p>
        </w:tc>
      </w:tr>
      <w:tr>
        <w:trPr>
          <w:trHeight w:val="27"/>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Menu prices</w:t>
            </w:r>
          </w:p>
        </w:tc>
        <w:tc>
          <w:tcPr>
            <w:tcW w:w="17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400</w:t>
            </w:r>
          </w:p>
        </w:tc>
      </w:tr>
      <w:tr>
        <w:trPr>
          <w:trHeight w:val="263"/>
        </w:trPr>
        <w:tc>
          <w:tcPr>
            <w:tcW w:w="9520" w:type="dxa"/>
            <w:vAlign w:val="bottom"/>
          </w:tcPr>
          <w:p>
            <w:pPr>
              <w:ind w:left="20"/>
              <w:spacing w:after="0"/>
              <w:rPr>
                <w:sz w:val="20"/>
                <w:szCs w:val="20"/>
                <w:color w:val="auto"/>
              </w:rPr>
            </w:pPr>
            <w:r>
              <w:rPr>
                <w:rFonts w:ascii="Arial" w:cs="Arial" w:eastAsia="Arial" w:hAnsi="Arial"/>
                <w:sz w:val="18"/>
                <w:szCs w:val="18"/>
                <w:color w:val="131E29"/>
              </w:rPr>
              <w:t>Discounts</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30</w:t>
            </w:r>
          </w:p>
        </w:tc>
      </w:tr>
      <w:tr>
        <w:trPr>
          <w:trHeight w:val="270"/>
        </w:trPr>
        <w:tc>
          <w:tcPr>
            <w:tcW w:w="952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Pricing and discounts</w:t>
            </w:r>
          </w:p>
        </w:tc>
        <w:tc>
          <w:tcPr>
            <w:tcW w:w="120" w:type="dxa"/>
            <w:vAlign w:val="bottom"/>
            <w:tcBorders>
              <w:bottom w:val="single" w:sz="8" w:color="D2DCE5"/>
            </w:tcBorders>
            <w:shd w:val="clear" w:color="auto" w:fill="D2DCE5"/>
          </w:tcPr>
          <w:p>
            <w:pPr>
              <w:spacing w:after="0"/>
              <w:rPr>
                <w:sz w:val="23"/>
                <w:szCs w:val="23"/>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430</w:t>
            </w:r>
          </w:p>
        </w:tc>
      </w:tr>
      <w:tr>
        <w:trPr>
          <w:trHeight w:val="244"/>
        </w:trPr>
        <w:tc>
          <w:tcPr>
            <w:tcW w:w="9520" w:type="dxa"/>
            <w:vAlign w:val="bottom"/>
          </w:tcPr>
          <w:p>
            <w:pPr>
              <w:ind w:left="20"/>
              <w:spacing w:after="0"/>
              <w:rPr>
                <w:sz w:val="20"/>
                <w:szCs w:val="20"/>
                <w:color w:val="auto"/>
              </w:rPr>
            </w:pPr>
            <w:r>
              <w:rPr>
                <w:rFonts w:ascii="Arial" w:cs="Arial" w:eastAsia="Arial" w:hAnsi="Arial"/>
                <w:sz w:val="18"/>
                <w:szCs w:val="18"/>
                <w:color w:val="131E29"/>
              </w:rPr>
              <w:t>Pre-opening costs</w:t>
            </w:r>
          </w:p>
        </w:tc>
        <w:tc>
          <w:tcPr>
            <w:tcW w:w="12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170</w:t>
            </w:r>
          </w:p>
        </w:tc>
      </w:tr>
      <w:tr>
        <w:trPr>
          <w:trHeight w:val="270"/>
        </w:trPr>
        <w:tc>
          <w:tcPr>
            <w:tcW w:w="952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New shop related items</w:t>
            </w:r>
          </w:p>
        </w:tc>
        <w:tc>
          <w:tcPr>
            <w:tcW w:w="120" w:type="dxa"/>
            <w:vAlign w:val="bottom"/>
            <w:tcBorders>
              <w:bottom w:val="single" w:sz="8" w:color="D2DCE5"/>
            </w:tcBorders>
            <w:shd w:val="clear" w:color="auto" w:fill="D2DCE5"/>
          </w:tcPr>
          <w:p>
            <w:pPr>
              <w:spacing w:after="0"/>
              <w:rPr>
                <w:sz w:val="23"/>
                <w:szCs w:val="23"/>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170</w:t>
            </w:r>
          </w:p>
        </w:tc>
      </w:tr>
      <w:tr>
        <w:trPr>
          <w:trHeight w:val="237"/>
        </w:trPr>
        <w:tc>
          <w:tcPr>
            <w:tcW w:w="9520" w:type="dxa"/>
            <w:vAlign w:val="bottom"/>
          </w:tcPr>
          <w:p>
            <w:pPr>
              <w:ind w:left="20"/>
              <w:spacing w:after="0"/>
              <w:rPr>
                <w:sz w:val="20"/>
                <w:szCs w:val="20"/>
                <w:color w:val="auto"/>
              </w:rPr>
            </w:pPr>
            <w:r>
              <w:rPr>
                <w:rFonts w:ascii="Arial" w:cs="Arial" w:eastAsia="Arial" w:hAnsi="Arial"/>
                <w:sz w:val="18"/>
                <w:szCs w:val="18"/>
                <w:color w:val="131E29"/>
              </w:rPr>
              <w:t>Leverage (deleverage)</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(60)</w:t>
            </w:r>
          </w:p>
        </w:tc>
      </w:tr>
      <w:tr>
        <w:trPr>
          <w:trHeight w:val="27"/>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5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Other</w:t>
            </w:r>
          </w:p>
        </w:tc>
        <w:tc>
          <w:tcPr>
            <w:tcW w:w="172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(270)</w:t>
            </w:r>
          </w:p>
        </w:tc>
      </w:tr>
      <w:tr>
        <w:trPr>
          <w:trHeight w:val="257"/>
        </w:trPr>
        <w:tc>
          <w:tcPr>
            <w:tcW w:w="9520" w:type="dxa"/>
            <w:vAlign w:val="bottom"/>
            <w:tcBorders>
              <w:top w:val="single" w:sz="8" w:color="131E29"/>
              <w:bottom w:val="single" w:sz="8" w:color="131E29"/>
            </w:tcBorders>
          </w:tcPr>
          <w:p>
            <w:pPr>
              <w:ind w:left="140"/>
              <w:spacing w:after="0"/>
              <w:rPr>
                <w:sz w:val="20"/>
                <w:szCs w:val="20"/>
                <w:color w:val="auto"/>
              </w:rPr>
            </w:pPr>
            <w:r>
              <w:rPr>
                <w:rFonts w:ascii="Arial" w:cs="Arial" w:eastAsia="Arial" w:hAnsi="Arial"/>
                <w:sz w:val="18"/>
                <w:szCs w:val="18"/>
                <w:b w:val="1"/>
                <w:bCs w:val="1"/>
                <w:color w:val="131E29"/>
              </w:rPr>
              <w:t>Total change in Company-operated shop gross profit</w:t>
            </w:r>
          </w:p>
        </w:tc>
        <w:tc>
          <w:tcPr>
            <w:tcW w:w="120" w:type="dxa"/>
            <w:vAlign w:val="bottom"/>
            <w:tcBorders>
              <w:bottom w:val="single" w:sz="8" w:color="D2DCE5"/>
            </w:tcBorders>
          </w:tcPr>
          <w:p>
            <w:pPr>
              <w:spacing w:after="0"/>
              <w:rPr>
                <w:sz w:val="22"/>
                <w:szCs w:val="22"/>
                <w:color w:val="auto"/>
              </w:rPr>
            </w:pPr>
          </w:p>
        </w:tc>
        <w:tc>
          <w:tcPr>
            <w:tcW w:w="1600" w:type="dxa"/>
            <w:vAlign w:val="bottom"/>
            <w:tcBorders>
              <w:top w:val="single" w:sz="8" w:color="131E29"/>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400</w:t>
            </w:r>
          </w:p>
        </w:tc>
      </w:tr>
      <w:tr>
        <w:trPr>
          <w:trHeight w:val="263"/>
        </w:trPr>
        <w:tc>
          <w:tcPr>
            <w:tcW w:w="9520" w:type="dxa"/>
            <w:vAlign w:val="bottom"/>
            <w:tcBorders>
              <w:bottom w:val="single" w:sz="8" w:color="131E29"/>
            </w:tcBorders>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20" w:type="dxa"/>
            <w:vAlign w:val="bottom"/>
            <w:shd w:val="clear" w:color="auto" w:fill="D2DCE5"/>
          </w:tcPr>
          <w:p>
            <w:pPr>
              <w:spacing w:after="0"/>
              <w:rPr>
                <w:sz w:val="22"/>
                <w:szCs w:val="22"/>
                <w:color w:val="auto"/>
              </w:rPr>
            </w:pPr>
          </w:p>
        </w:tc>
        <w:tc>
          <w:tcPr>
            <w:tcW w:w="16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180</w:t>
            </w:r>
          </w:p>
        </w:tc>
      </w:tr>
      <w:tr>
        <w:trPr>
          <w:trHeight w:val="270"/>
        </w:trPr>
        <w:tc>
          <w:tcPr>
            <w:tcW w:w="9520" w:type="dxa"/>
            <w:vAlign w:val="bottom"/>
            <w:tcBorders>
              <w:bottom w:val="single" w:sz="8" w:color="131E29"/>
            </w:tcBorders>
          </w:tcPr>
          <w:p>
            <w:pPr>
              <w:ind w:left="140"/>
              <w:spacing w:after="0"/>
              <w:rPr>
                <w:sz w:val="20"/>
                <w:szCs w:val="20"/>
                <w:color w:val="auto"/>
              </w:rPr>
            </w:pPr>
            <w:r>
              <w:rPr>
                <w:rFonts w:ascii="Arial" w:cs="Arial" w:eastAsia="Arial" w:hAnsi="Arial"/>
                <w:sz w:val="18"/>
                <w:szCs w:val="18"/>
                <w:b w:val="1"/>
                <w:bCs w:val="1"/>
                <w:color w:val="131E29"/>
              </w:rPr>
              <w:t xml:space="preserve">Total change in Company-operated shop contribution </w:t>
            </w:r>
            <w:r>
              <w:rPr>
                <w:rFonts w:ascii="Arial" w:cs="Arial" w:eastAsia="Arial" w:hAnsi="Arial"/>
                <w:sz w:val="23"/>
                <w:szCs w:val="23"/>
                <w:b w:val="1"/>
                <w:bCs w:val="1"/>
                <w:color w:val="131E29"/>
                <w:vertAlign w:val="superscript"/>
              </w:rPr>
              <w:t>1</w:t>
            </w:r>
          </w:p>
        </w:tc>
        <w:tc>
          <w:tcPr>
            <w:tcW w:w="120" w:type="dxa"/>
            <w:vAlign w:val="bottom"/>
          </w:tcPr>
          <w:p>
            <w:pPr>
              <w:spacing w:after="0"/>
              <w:rPr>
                <w:sz w:val="23"/>
                <w:szCs w:val="23"/>
                <w:color w:val="auto"/>
              </w:rPr>
            </w:pPr>
          </w:p>
        </w:tc>
        <w:tc>
          <w:tcPr>
            <w:tcW w:w="1600" w:type="dxa"/>
            <w:vAlign w:val="bottom"/>
            <w:tcBorders>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580</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9" w:lineRule="exact"/>
        <w:rPr>
          <w:sz w:val="20"/>
          <w:szCs w:val="20"/>
          <w:color w:val="auto"/>
        </w:rPr>
      </w:pPr>
    </w:p>
    <w:p>
      <w:pPr>
        <w:ind w:left="180" w:hanging="172"/>
        <w:spacing w:after="0" w:line="293" w:lineRule="auto"/>
        <w:tabs>
          <w:tab w:leader="none" w:pos="185" w:val="left"/>
        </w:tabs>
        <w:numPr>
          <w:ilvl w:val="0"/>
          <w:numId w:val="23"/>
        </w:numPr>
        <w:rPr>
          <w:rFonts w:ascii="Arial" w:cs="Arial" w:eastAsia="Arial" w:hAnsi="Arial"/>
          <w:sz w:val="9"/>
          <w:szCs w:val="9"/>
          <w:color w:val="131E29"/>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Franchising and Other Segment Performance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6"/>
          </w:tcPr>
          <w:p>
            <w:pPr>
              <w:jc w:val="right"/>
              <w:ind w:right="17"/>
              <w:spacing w:after="0"/>
              <w:rPr>
                <w:sz w:val="20"/>
                <w:szCs w:val="20"/>
                <w:color w:val="auto"/>
              </w:rPr>
            </w:pPr>
            <w:r>
              <w:rPr>
                <w:rFonts w:ascii="Arial" w:cs="Arial" w:eastAsia="Arial" w:hAnsi="Arial"/>
                <w:sz w:val="18"/>
                <w:szCs w:val="18"/>
                <w:b w:val="1"/>
                <w:bCs w:val="1"/>
                <w:color w:val="131E29"/>
              </w:rPr>
              <w:t>Six Months Ended June 30,</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800" w:type="dxa"/>
            <w:vAlign w:val="bottom"/>
            <w:tcBorders>
              <w:bottom w:val="single" w:sz="8" w:color="131E29"/>
            </w:tcBorders>
          </w:tcPr>
          <w:p>
            <w:pPr>
              <w:jc w:val="right"/>
              <w:ind w:right="195"/>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2280" w:type="dxa"/>
            <w:vAlign w:val="bottom"/>
            <w:tcBorders>
              <w:bottom w:val="single" w:sz="8" w:color="131E29"/>
            </w:tcBorders>
            <w:gridSpan w:val="2"/>
          </w:tcPr>
          <w:p>
            <w:pPr>
              <w:jc w:val="right"/>
              <w:ind w:right="656"/>
              <w:spacing w:after="0"/>
              <w:rPr>
                <w:sz w:val="20"/>
                <w:szCs w:val="20"/>
                <w:color w:val="auto"/>
              </w:rPr>
            </w:pPr>
            <w:r>
              <w:rPr>
                <w:rFonts w:ascii="Arial" w:cs="Arial" w:eastAsia="Arial" w:hAnsi="Arial"/>
                <w:sz w:val="18"/>
                <w:szCs w:val="18"/>
                <w:b w:val="1"/>
                <w:bCs w:val="1"/>
                <w:color w:val="131E29"/>
              </w:rPr>
              <w:t>2023 v. 2022</w:t>
            </w:r>
          </w:p>
        </w:tc>
        <w:tc>
          <w:tcPr>
            <w:tcW w:w="100" w:type="dxa"/>
            <w:vAlign w:val="bottom"/>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820" w:type="dxa"/>
            <w:vAlign w:val="bottom"/>
            <w:tcBorders>
              <w:bottom w:val="single" w:sz="8" w:color="131E29"/>
            </w:tcBorders>
          </w:tcPr>
          <w:p>
            <w:pPr>
              <w:jc w:val="right"/>
              <w:ind w:right="217"/>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820" w:type="dxa"/>
            <w:vAlign w:val="bottom"/>
            <w:tcBorders>
              <w:bottom w:val="single" w:sz="8" w:color="131E29"/>
            </w:tcBorders>
          </w:tcPr>
          <w:p>
            <w:pPr>
              <w:jc w:val="right"/>
              <w:ind w:right="237"/>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2"/>
                <w:szCs w:val="22"/>
                <w:color w:val="auto"/>
              </w:rPr>
            </w:pPr>
          </w:p>
        </w:tc>
        <w:tc>
          <w:tcPr>
            <w:tcW w:w="240" w:type="dxa"/>
            <w:vAlign w:val="bottom"/>
            <w:tcBorders>
              <w:bottom w:val="single" w:sz="8" w:color="131E29"/>
            </w:tcBorders>
          </w:tcPr>
          <w:p>
            <w:pPr>
              <w:spacing w:after="0"/>
              <w:rPr>
                <w:sz w:val="22"/>
                <w:szCs w:val="22"/>
                <w:color w:val="auto"/>
              </w:rPr>
            </w:pPr>
          </w:p>
        </w:tc>
        <w:tc>
          <w:tcPr>
            <w:tcW w:w="1980" w:type="dxa"/>
            <w:vAlign w:val="bottom"/>
            <w:tcBorders>
              <w:bottom w:val="single" w:sz="8" w:color="131E29"/>
            </w:tcBorders>
            <w:gridSpan w:val="2"/>
          </w:tcPr>
          <w:p>
            <w:pPr>
              <w:ind w:left="360"/>
              <w:spacing w:after="0"/>
              <w:rPr>
                <w:sz w:val="20"/>
                <w:szCs w:val="20"/>
                <w:color w:val="auto"/>
              </w:rPr>
            </w:pPr>
            <w:r>
              <w:rPr>
                <w:rFonts w:ascii="Arial" w:cs="Arial" w:eastAsia="Arial" w:hAnsi="Arial"/>
                <w:sz w:val="18"/>
                <w:szCs w:val="18"/>
                <w:b w:val="1"/>
                <w:bCs w:val="1"/>
                <w:color w:val="131E29"/>
              </w:rPr>
              <w:t>2023 v. 2022</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Franchising and other</w:t>
            </w:r>
          </w:p>
        </w:tc>
        <w:tc>
          <w:tcPr>
            <w:tcW w:w="160" w:type="dxa"/>
            <w:vAlign w:val="bottom"/>
            <w:shd w:val="clear" w:color="auto" w:fill="D2DCE5"/>
          </w:tcPr>
          <w:p>
            <w:pPr>
              <w:spacing w:after="0"/>
              <w:rPr>
                <w:sz w:val="19"/>
                <w:szCs w:val="19"/>
                <w:color w:val="auto"/>
              </w:rPr>
            </w:pPr>
          </w:p>
        </w:tc>
        <w:tc>
          <w:tcPr>
            <w:tcW w:w="8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280" w:type="dxa"/>
            <w:vAlign w:val="bottom"/>
            <w:shd w:val="clear" w:color="auto" w:fill="D2DCE5"/>
          </w:tcPr>
          <w:p>
            <w:pPr>
              <w:spacing w:after="0"/>
              <w:rPr>
                <w:sz w:val="19"/>
                <w:szCs w:val="19"/>
                <w:color w:val="auto"/>
              </w:rPr>
            </w:pPr>
          </w:p>
        </w:tc>
        <w:tc>
          <w:tcPr>
            <w:tcW w:w="10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revenue</w:t>
            </w:r>
          </w:p>
        </w:tc>
        <w:tc>
          <w:tcPr>
            <w:tcW w:w="160" w:type="dxa"/>
            <w:vAlign w:val="bottom"/>
            <w:shd w:val="clear" w:color="auto" w:fill="D2DCE5"/>
          </w:tcPr>
          <w:p>
            <w:pPr>
              <w:jc w:val="right"/>
              <w:spacing w:after="0"/>
              <w:rPr>
                <w:sz w:val="20"/>
                <w:szCs w:val="20"/>
                <w:color w:val="auto"/>
              </w:rPr>
            </w:pPr>
            <w:r>
              <w:rPr>
                <w:rFonts w:ascii="Arial" w:cs="Arial" w:eastAsia="Arial" w:hAnsi="Arial"/>
                <w:sz w:val="16"/>
                <w:szCs w:val="16"/>
                <w:color w:val="131E29"/>
                <w:w w:val="8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28,927</w:t>
            </w:r>
          </w:p>
        </w:tc>
        <w:tc>
          <w:tcPr>
            <w:tcW w:w="280" w:type="dxa"/>
            <w:vAlign w:val="bottom"/>
            <w:gridSpan w:val="2"/>
            <w:shd w:val="clear" w:color="auto" w:fill="D2DCE5"/>
          </w:tcPr>
          <w:p>
            <w:pPr>
              <w:jc w:val="right"/>
              <w:ind w:right="60"/>
              <w:spacing w:after="0"/>
              <w:rPr>
                <w:sz w:val="20"/>
                <w:szCs w:val="20"/>
                <w:color w:val="auto"/>
              </w:rPr>
            </w:pPr>
            <w:r>
              <w:rPr>
                <w:rFonts w:ascii="Arial" w:cs="Arial" w:eastAsia="Arial" w:hAnsi="Arial"/>
                <w:sz w:val="16"/>
                <w:szCs w:val="16"/>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25,869</w:t>
            </w:r>
          </w:p>
        </w:tc>
        <w:tc>
          <w:tcPr>
            <w:tcW w:w="320" w:type="dxa"/>
            <w:vAlign w:val="bottom"/>
            <w:gridSpan w:val="2"/>
            <w:shd w:val="clear" w:color="auto" w:fill="D2DCE5"/>
          </w:tcPr>
          <w:p>
            <w:pPr>
              <w:jc w:val="right"/>
              <w:ind w:right="100"/>
              <w:spacing w:after="0"/>
              <w:rPr>
                <w:sz w:val="20"/>
                <w:szCs w:val="20"/>
                <w:color w:val="auto"/>
              </w:rPr>
            </w:pPr>
            <w:r>
              <w:rPr>
                <w:rFonts w:ascii="Arial" w:cs="Arial" w:eastAsia="Arial" w:hAnsi="Arial"/>
                <w:sz w:val="16"/>
                <w:szCs w:val="16"/>
                <w:color w:val="131E29"/>
              </w:rPr>
              <w:t>$</w:t>
            </w:r>
          </w:p>
        </w:tc>
        <w:tc>
          <w:tcPr>
            <w:tcW w:w="1280" w:type="dxa"/>
            <w:vAlign w:val="bottom"/>
            <w:shd w:val="clear" w:color="auto" w:fill="D2DCE5"/>
          </w:tcPr>
          <w:p>
            <w:pPr>
              <w:jc w:val="right"/>
              <w:ind w:right="495"/>
              <w:spacing w:after="0"/>
              <w:rPr>
                <w:sz w:val="20"/>
                <w:szCs w:val="20"/>
                <w:color w:val="auto"/>
              </w:rPr>
            </w:pPr>
            <w:r>
              <w:rPr>
                <w:rFonts w:ascii="Arial" w:cs="Arial" w:eastAsia="Arial" w:hAnsi="Arial"/>
                <w:sz w:val="16"/>
                <w:szCs w:val="16"/>
                <w:color w:val="131E29"/>
              </w:rPr>
              <w:t>3,058</w:t>
            </w:r>
          </w:p>
        </w:tc>
        <w:tc>
          <w:tcPr>
            <w:tcW w:w="1000" w:type="dxa"/>
            <w:vAlign w:val="bottom"/>
            <w:shd w:val="clear" w:color="auto" w:fill="D2DCE5"/>
          </w:tcPr>
          <w:p>
            <w:pPr>
              <w:jc w:val="right"/>
              <w:ind w:right="396"/>
              <w:spacing w:after="0"/>
              <w:rPr>
                <w:sz w:val="20"/>
                <w:szCs w:val="20"/>
                <w:color w:val="auto"/>
              </w:rPr>
            </w:pPr>
            <w:r>
              <w:rPr>
                <w:rFonts w:ascii="Arial" w:cs="Arial" w:eastAsia="Arial" w:hAnsi="Arial"/>
                <w:sz w:val="16"/>
                <w:szCs w:val="16"/>
                <w:color w:val="131E29"/>
              </w:rPr>
              <w:t>11.8%</w:t>
            </w:r>
          </w:p>
        </w:tc>
        <w:tc>
          <w:tcPr>
            <w:tcW w:w="280" w:type="dxa"/>
            <w:vAlign w:val="bottom"/>
            <w:gridSpan w:val="2"/>
            <w:shd w:val="clear" w:color="auto" w:fill="D2DCE5"/>
          </w:tcPr>
          <w:p>
            <w:pPr>
              <w:jc w:val="right"/>
              <w:ind w:right="80"/>
              <w:spacing w:after="0"/>
              <w:rPr>
                <w:sz w:val="20"/>
                <w:szCs w:val="20"/>
                <w:color w:val="auto"/>
              </w:rPr>
            </w:pPr>
            <w:r>
              <w:rPr>
                <w:rFonts w:ascii="Arial" w:cs="Arial" w:eastAsia="Arial" w:hAnsi="Arial"/>
                <w:sz w:val="16"/>
                <w:szCs w:val="16"/>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53,030</w:t>
            </w:r>
          </w:p>
        </w:tc>
        <w:tc>
          <w:tcPr>
            <w:tcW w:w="280" w:type="dxa"/>
            <w:vAlign w:val="bottom"/>
            <w:gridSpan w:val="2"/>
            <w:shd w:val="clear" w:color="auto" w:fill="D2DCE5"/>
          </w:tcPr>
          <w:p>
            <w:pPr>
              <w:jc w:val="right"/>
              <w:ind w:right="80"/>
              <w:spacing w:after="0"/>
              <w:rPr>
                <w:sz w:val="20"/>
                <w:szCs w:val="20"/>
                <w:color w:val="auto"/>
              </w:rPr>
            </w:pPr>
            <w:r>
              <w:rPr>
                <w:rFonts w:ascii="Arial" w:cs="Arial" w:eastAsia="Arial" w:hAnsi="Arial"/>
                <w:sz w:val="16"/>
                <w:szCs w:val="16"/>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47,838</w:t>
            </w:r>
          </w:p>
        </w:tc>
        <w:tc>
          <w:tcPr>
            <w:tcW w:w="320" w:type="dxa"/>
            <w:vAlign w:val="bottom"/>
            <w:gridSpan w:val="2"/>
            <w:shd w:val="clear" w:color="auto" w:fill="D2DCE5"/>
          </w:tcPr>
          <w:p>
            <w:pPr>
              <w:jc w:val="right"/>
              <w:ind w:right="120"/>
              <w:spacing w:after="0"/>
              <w:rPr>
                <w:sz w:val="20"/>
                <w:szCs w:val="20"/>
                <w:color w:val="auto"/>
              </w:rPr>
            </w:pPr>
            <w:r>
              <w:rPr>
                <w:rFonts w:ascii="Arial" w:cs="Arial" w:eastAsia="Arial" w:hAnsi="Arial"/>
                <w:sz w:val="16"/>
                <w:szCs w:val="16"/>
                <w:color w:val="131E29"/>
              </w:rPr>
              <w:t>$</w:t>
            </w:r>
          </w:p>
        </w:tc>
        <w:tc>
          <w:tcPr>
            <w:tcW w:w="1040" w:type="dxa"/>
            <w:vAlign w:val="bottom"/>
            <w:shd w:val="clear" w:color="auto" w:fill="D2DCE5"/>
          </w:tcPr>
          <w:p>
            <w:pPr>
              <w:jc w:val="right"/>
              <w:ind w:right="277"/>
              <w:spacing w:after="0"/>
              <w:rPr>
                <w:sz w:val="20"/>
                <w:szCs w:val="20"/>
                <w:color w:val="auto"/>
              </w:rPr>
            </w:pPr>
            <w:r>
              <w:rPr>
                <w:rFonts w:ascii="Arial" w:cs="Arial" w:eastAsia="Arial" w:hAnsi="Arial"/>
                <w:sz w:val="16"/>
                <w:szCs w:val="16"/>
                <w:color w:val="131E29"/>
              </w:rPr>
              <w:t>5,192</w:t>
            </w:r>
          </w:p>
        </w:tc>
        <w:tc>
          <w:tcPr>
            <w:tcW w:w="940" w:type="dxa"/>
            <w:vAlign w:val="bottom"/>
            <w:shd w:val="clear" w:color="auto" w:fill="D2DCE5"/>
          </w:tcPr>
          <w:p>
            <w:pPr>
              <w:jc w:val="center"/>
              <w:ind w:right="119"/>
              <w:spacing w:after="0"/>
              <w:rPr>
                <w:sz w:val="20"/>
                <w:szCs w:val="20"/>
                <w:color w:val="auto"/>
              </w:rPr>
            </w:pPr>
            <w:r>
              <w:rPr>
                <w:rFonts w:ascii="Arial" w:cs="Arial" w:eastAsia="Arial" w:hAnsi="Arial"/>
                <w:sz w:val="16"/>
                <w:szCs w:val="16"/>
                <w:color w:val="131E29"/>
              </w:rPr>
              <w:t>10.9%</w:t>
            </w:r>
          </w:p>
        </w:tc>
        <w:tc>
          <w:tcPr>
            <w:tcW w:w="0" w:type="dxa"/>
            <w:vAlign w:val="bottom"/>
          </w:tcPr>
          <w:p>
            <w:pPr>
              <w:spacing w:after="0"/>
              <w:rPr>
                <w:sz w:val="1"/>
                <w:szCs w:val="1"/>
                <w:color w:val="auto"/>
              </w:rPr>
            </w:pPr>
          </w:p>
        </w:tc>
      </w:tr>
      <w:tr>
        <w:trPr>
          <w:trHeight w:val="206"/>
        </w:trPr>
        <w:tc>
          <w:tcPr>
            <w:tcW w:w="2080" w:type="dxa"/>
            <w:vAlign w:val="bottom"/>
            <w:gridSpan w:val="2"/>
          </w:tcPr>
          <w:p>
            <w:pPr>
              <w:ind w:left="20"/>
              <w:spacing w:after="0"/>
              <w:rPr>
                <w:sz w:val="20"/>
                <w:szCs w:val="20"/>
                <w:color w:val="auto"/>
              </w:rPr>
            </w:pPr>
            <w:r>
              <w:rPr>
                <w:rFonts w:ascii="Arial" w:cs="Arial" w:eastAsia="Arial" w:hAnsi="Arial"/>
                <w:sz w:val="16"/>
                <w:szCs w:val="16"/>
                <w:color w:val="131E29"/>
              </w:rPr>
              <w:t>Franchising and other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80" w:type="dxa"/>
            <w:vAlign w:val="bottom"/>
            <w:gridSpan w:val="2"/>
          </w:tcPr>
          <w:p>
            <w:pPr>
              <w:ind w:left="20"/>
              <w:spacing w:after="0"/>
              <w:rPr>
                <w:sz w:val="20"/>
                <w:szCs w:val="20"/>
                <w:color w:val="auto"/>
              </w:rPr>
            </w:pPr>
            <w:r>
              <w:rPr>
                <w:rFonts w:ascii="Arial" w:cs="Arial" w:eastAsia="Arial" w:hAnsi="Arial"/>
                <w:sz w:val="16"/>
                <w:szCs w:val="16"/>
                <w:color w:val="131E29"/>
              </w:rPr>
              <w:t>gross profit</w:t>
            </w:r>
          </w:p>
        </w:tc>
        <w:tc>
          <w:tcPr>
            <w:tcW w:w="160" w:type="dxa"/>
            <w:vAlign w:val="bottom"/>
          </w:tcPr>
          <w:p>
            <w:pPr>
              <w:jc w:val="right"/>
              <w:spacing w:after="0"/>
              <w:rPr>
                <w:sz w:val="20"/>
                <w:szCs w:val="20"/>
                <w:color w:val="auto"/>
              </w:rPr>
            </w:pPr>
            <w:r>
              <w:rPr>
                <w:rFonts w:ascii="Arial" w:cs="Arial" w:eastAsia="Arial" w:hAnsi="Arial"/>
                <w:sz w:val="16"/>
                <w:szCs w:val="16"/>
                <w:color w:val="131E29"/>
                <w:w w:val="89"/>
              </w:rPr>
              <w:t>$</w:t>
            </w:r>
          </w:p>
        </w:tc>
        <w:tc>
          <w:tcPr>
            <w:tcW w:w="820" w:type="dxa"/>
            <w:vAlign w:val="bottom"/>
          </w:tcPr>
          <w:p>
            <w:pPr>
              <w:jc w:val="right"/>
              <w:spacing w:after="0"/>
              <w:rPr>
                <w:sz w:val="20"/>
                <w:szCs w:val="20"/>
                <w:color w:val="auto"/>
              </w:rPr>
            </w:pPr>
            <w:r>
              <w:rPr>
                <w:rFonts w:ascii="Arial" w:cs="Arial" w:eastAsia="Arial" w:hAnsi="Arial"/>
                <w:sz w:val="16"/>
                <w:szCs w:val="16"/>
                <w:color w:val="131E29"/>
              </w:rPr>
              <w:t>19,164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131E29"/>
              </w:rPr>
              <w:t>$</w:t>
            </w:r>
          </w:p>
        </w:tc>
        <w:tc>
          <w:tcPr>
            <w:tcW w:w="800" w:type="dxa"/>
            <w:vAlign w:val="bottom"/>
          </w:tcPr>
          <w:p>
            <w:pPr>
              <w:jc w:val="right"/>
              <w:spacing w:after="0"/>
              <w:rPr>
                <w:sz w:val="20"/>
                <w:szCs w:val="20"/>
                <w:color w:val="auto"/>
              </w:rPr>
            </w:pPr>
            <w:r>
              <w:rPr>
                <w:rFonts w:ascii="Arial" w:cs="Arial" w:eastAsia="Arial" w:hAnsi="Arial"/>
                <w:sz w:val="16"/>
                <w:szCs w:val="16"/>
                <w:color w:val="131E29"/>
              </w:rPr>
              <w:t>13,793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131E29"/>
              </w:rPr>
              <w:t>$</w:t>
            </w:r>
          </w:p>
        </w:tc>
        <w:tc>
          <w:tcPr>
            <w:tcW w:w="1280" w:type="dxa"/>
            <w:vAlign w:val="bottom"/>
          </w:tcPr>
          <w:p>
            <w:pPr>
              <w:jc w:val="right"/>
              <w:ind w:right="495"/>
              <w:spacing w:after="0"/>
              <w:rPr>
                <w:sz w:val="20"/>
                <w:szCs w:val="20"/>
                <w:color w:val="auto"/>
              </w:rPr>
            </w:pPr>
            <w:r>
              <w:rPr>
                <w:rFonts w:ascii="Arial" w:cs="Arial" w:eastAsia="Arial" w:hAnsi="Arial"/>
                <w:sz w:val="16"/>
                <w:szCs w:val="16"/>
                <w:color w:val="131E29"/>
              </w:rPr>
              <w:t>5,371</w:t>
            </w:r>
          </w:p>
        </w:tc>
        <w:tc>
          <w:tcPr>
            <w:tcW w:w="1000" w:type="dxa"/>
            <w:vAlign w:val="bottom"/>
          </w:tcPr>
          <w:p>
            <w:pPr>
              <w:jc w:val="right"/>
              <w:ind w:right="396"/>
              <w:spacing w:after="0"/>
              <w:rPr>
                <w:sz w:val="20"/>
                <w:szCs w:val="20"/>
                <w:color w:val="auto"/>
              </w:rPr>
            </w:pPr>
            <w:r>
              <w:rPr>
                <w:rFonts w:ascii="Arial" w:cs="Arial" w:eastAsia="Arial" w:hAnsi="Arial"/>
                <w:sz w:val="16"/>
                <w:szCs w:val="16"/>
                <w:color w:val="131E29"/>
              </w:rPr>
              <w:t>38.9%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131E29"/>
              </w:rPr>
              <w:t>$</w:t>
            </w:r>
          </w:p>
        </w:tc>
        <w:tc>
          <w:tcPr>
            <w:tcW w:w="820" w:type="dxa"/>
            <w:vAlign w:val="bottom"/>
          </w:tcPr>
          <w:p>
            <w:pPr>
              <w:jc w:val="right"/>
              <w:spacing w:after="0"/>
              <w:rPr>
                <w:sz w:val="20"/>
                <w:szCs w:val="20"/>
                <w:color w:val="auto"/>
              </w:rPr>
            </w:pPr>
            <w:r>
              <w:rPr>
                <w:rFonts w:ascii="Arial" w:cs="Arial" w:eastAsia="Arial" w:hAnsi="Arial"/>
                <w:sz w:val="16"/>
                <w:szCs w:val="16"/>
                <w:color w:val="131E29"/>
              </w:rPr>
              <w:t>36,036</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131E29"/>
              </w:rPr>
              <w:t>$</w:t>
            </w:r>
          </w:p>
        </w:tc>
        <w:tc>
          <w:tcPr>
            <w:tcW w:w="820" w:type="dxa"/>
            <w:vAlign w:val="bottom"/>
          </w:tcPr>
          <w:p>
            <w:pPr>
              <w:jc w:val="right"/>
              <w:spacing w:after="0"/>
              <w:rPr>
                <w:sz w:val="20"/>
                <w:szCs w:val="20"/>
                <w:color w:val="auto"/>
              </w:rPr>
            </w:pPr>
            <w:r>
              <w:rPr>
                <w:rFonts w:ascii="Arial" w:cs="Arial" w:eastAsia="Arial" w:hAnsi="Arial"/>
                <w:sz w:val="16"/>
                <w:szCs w:val="16"/>
                <w:color w:val="131E29"/>
              </w:rPr>
              <w:t>28,143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131E29"/>
              </w:rPr>
              <w:t>$</w:t>
            </w:r>
          </w:p>
        </w:tc>
        <w:tc>
          <w:tcPr>
            <w:tcW w:w="1040" w:type="dxa"/>
            <w:vAlign w:val="bottom"/>
          </w:tcPr>
          <w:p>
            <w:pPr>
              <w:jc w:val="right"/>
              <w:ind w:right="277"/>
              <w:spacing w:after="0"/>
              <w:rPr>
                <w:sz w:val="20"/>
                <w:szCs w:val="20"/>
                <w:color w:val="auto"/>
              </w:rPr>
            </w:pPr>
            <w:r>
              <w:rPr>
                <w:rFonts w:ascii="Arial" w:cs="Arial" w:eastAsia="Arial" w:hAnsi="Arial"/>
                <w:sz w:val="16"/>
                <w:szCs w:val="16"/>
                <w:color w:val="131E29"/>
              </w:rPr>
              <w:t>7,893</w:t>
            </w:r>
          </w:p>
        </w:tc>
        <w:tc>
          <w:tcPr>
            <w:tcW w:w="940" w:type="dxa"/>
            <w:vAlign w:val="bottom"/>
          </w:tcPr>
          <w:p>
            <w:pPr>
              <w:jc w:val="center"/>
              <w:ind w:right="119"/>
              <w:spacing w:after="0"/>
              <w:rPr>
                <w:sz w:val="20"/>
                <w:szCs w:val="20"/>
                <w:color w:val="auto"/>
              </w:rPr>
            </w:pPr>
            <w:r>
              <w:rPr>
                <w:rFonts w:ascii="Arial" w:cs="Arial" w:eastAsia="Arial" w:hAnsi="Arial"/>
                <w:sz w:val="16"/>
                <w:szCs w:val="16"/>
                <w:color w:val="131E29"/>
              </w:rPr>
              <w:t>28.0%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16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1280" w:type="dxa"/>
            <w:vAlign w:val="bottom"/>
            <w:shd w:val="clear" w:color="auto" w:fill="D2DCE5"/>
          </w:tcPr>
          <w:p>
            <w:pPr>
              <w:spacing w:after="0"/>
              <w:rPr>
                <w:sz w:val="17"/>
                <w:szCs w:val="17"/>
                <w:color w:val="auto"/>
              </w:rPr>
            </w:pPr>
          </w:p>
        </w:tc>
        <w:tc>
          <w:tcPr>
            <w:tcW w:w="10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104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6"/>
                <w:szCs w:val="16"/>
                <w:i w:val="1"/>
                <w:iCs w:val="1"/>
                <w:color w:val="131E29"/>
              </w:rPr>
              <w:t>franchising and other</w:t>
            </w:r>
          </w:p>
        </w:tc>
        <w:tc>
          <w:tcPr>
            <w:tcW w:w="160" w:type="dxa"/>
            <w:vAlign w:val="bottom"/>
            <w:shd w:val="clear" w:color="auto" w:fill="D2DCE5"/>
          </w:tcPr>
          <w:p>
            <w:pPr>
              <w:spacing w:after="0"/>
              <w:rPr>
                <w:sz w:val="17"/>
                <w:szCs w:val="17"/>
                <w:color w:val="auto"/>
              </w:rPr>
            </w:pPr>
          </w:p>
        </w:tc>
        <w:tc>
          <w:tcPr>
            <w:tcW w:w="820" w:type="dxa"/>
            <w:vAlign w:val="bottom"/>
            <w:vMerge w:val="restart"/>
            <w:shd w:val="clear" w:color="auto" w:fill="D2DCE5"/>
          </w:tcPr>
          <w:p>
            <w:pPr>
              <w:jc w:val="right"/>
              <w:ind w:right="155"/>
              <w:spacing w:after="0"/>
              <w:rPr>
                <w:sz w:val="20"/>
                <w:szCs w:val="20"/>
                <w:color w:val="auto"/>
              </w:rPr>
            </w:pPr>
            <w:r>
              <w:rPr>
                <w:rFonts w:ascii="Arial" w:cs="Arial" w:eastAsia="Arial" w:hAnsi="Arial"/>
                <w:sz w:val="18"/>
                <w:szCs w:val="18"/>
                <w:color w:val="131E29"/>
              </w:rPr>
              <w:t>66.2%</w:t>
            </w:r>
          </w:p>
        </w:tc>
        <w:tc>
          <w:tcPr>
            <w:tcW w:w="10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00" w:type="dxa"/>
            <w:vAlign w:val="bottom"/>
            <w:vMerge w:val="restart"/>
            <w:shd w:val="clear" w:color="auto" w:fill="D2DCE5"/>
          </w:tcPr>
          <w:p>
            <w:pPr>
              <w:jc w:val="right"/>
              <w:ind w:right="155"/>
              <w:spacing w:after="0"/>
              <w:rPr>
                <w:sz w:val="20"/>
                <w:szCs w:val="20"/>
                <w:color w:val="auto"/>
              </w:rPr>
            </w:pPr>
            <w:r>
              <w:rPr>
                <w:rFonts w:ascii="Arial" w:cs="Arial" w:eastAsia="Arial" w:hAnsi="Arial"/>
                <w:sz w:val="18"/>
                <w:szCs w:val="18"/>
                <w:color w:val="131E29"/>
              </w:rPr>
              <w:t>53.3%</w:t>
            </w:r>
          </w:p>
        </w:tc>
        <w:tc>
          <w:tcPr>
            <w:tcW w:w="10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1280" w:type="dxa"/>
            <w:vAlign w:val="bottom"/>
            <w:vMerge w:val="restart"/>
            <w:shd w:val="clear" w:color="auto" w:fill="D2DCE5"/>
          </w:tcPr>
          <w:p>
            <w:pPr>
              <w:jc w:val="right"/>
              <w:ind w:right="775"/>
              <w:spacing w:after="0"/>
              <w:rPr>
                <w:sz w:val="20"/>
                <w:szCs w:val="20"/>
                <w:color w:val="auto"/>
              </w:rPr>
            </w:pPr>
            <w:r>
              <w:rPr>
                <w:rFonts w:ascii="Arial" w:cs="Arial" w:eastAsia="Arial" w:hAnsi="Arial"/>
                <w:sz w:val="18"/>
                <w:szCs w:val="18"/>
                <w:color w:val="131E29"/>
              </w:rPr>
              <w:t>N/A</w:t>
            </w:r>
          </w:p>
        </w:tc>
        <w:tc>
          <w:tcPr>
            <w:tcW w:w="10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1,290 bps</w:t>
            </w:r>
          </w:p>
        </w:tc>
        <w:tc>
          <w:tcPr>
            <w:tcW w:w="10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104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6"/>
                <w:szCs w:val="16"/>
                <w:i w:val="1"/>
                <w:iCs w:val="1"/>
                <w:color w:val="131E29"/>
              </w:rPr>
              <w:t>revenue</w:t>
            </w:r>
          </w:p>
        </w:tc>
        <w:tc>
          <w:tcPr>
            <w:tcW w:w="160" w:type="dxa"/>
            <w:vAlign w:val="bottom"/>
            <w:shd w:val="clear" w:color="auto" w:fill="D2DCE5"/>
          </w:tcPr>
          <w:p>
            <w:pPr>
              <w:spacing w:after="0"/>
              <w:rPr>
                <w:sz w:val="20"/>
                <w:szCs w:val="20"/>
                <w:color w:val="auto"/>
              </w:rPr>
            </w:pPr>
          </w:p>
        </w:tc>
        <w:tc>
          <w:tcPr>
            <w:tcW w:w="820" w:type="dxa"/>
            <w:vAlign w:val="bottom"/>
            <w:vMerge w:val="continue"/>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800" w:type="dxa"/>
            <w:vAlign w:val="bottom"/>
            <w:vMerge w:val="continue"/>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1280" w:type="dxa"/>
            <w:vAlign w:val="bottom"/>
            <w:vMerge w:val="continue"/>
            <w:shd w:val="clear" w:color="auto" w:fill="D2DCE5"/>
          </w:tcPr>
          <w:p>
            <w:pPr>
              <w:spacing w:after="0"/>
              <w:rPr>
                <w:sz w:val="20"/>
                <w:szCs w:val="20"/>
                <w:color w:val="auto"/>
              </w:rPr>
            </w:pPr>
          </w:p>
        </w:tc>
        <w:tc>
          <w:tcPr>
            <w:tcW w:w="1000" w:type="dxa"/>
            <w:vAlign w:val="bottom"/>
            <w:vMerge w:val="continue"/>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820" w:type="dxa"/>
            <w:vAlign w:val="bottom"/>
            <w:shd w:val="clear" w:color="auto" w:fill="D2DCE5"/>
          </w:tcPr>
          <w:p>
            <w:pPr>
              <w:jc w:val="right"/>
              <w:ind w:right="197"/>
              <w:spacing w:after="0"/>
              <w:rPr>
                <w:sz w:val="20"/>
                <w:szCs w:val="20"/>
                <w:color w:val="auto"/>
              </w:rPr>
            </w:pPr>
            <w:r>
              <w:rPr>
                <w:rFonts w:ascii="Arial" w:cs="Arial" w:eastAsia="Arial" w:hAnsi="Arial"/>
                <w:sz w:val="16"/>
                <w:szCs w:val="16"/>
                <w:color w:val="131E29"/>
              </w:rPr>
              <w:t>68.0%</w:t>
            </w:r>
          </w:p>
        </w:tc>
        <w:tc>
          <w:tcPr>
            <w:tcW w:w="10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820" w:type="dxa"/>
            <w:vAlign w:val="bottom"/>
            <w:shd w:val="clear" w:color="auto" w:fill="D2DCE5"/>
          </w:tcPr>
          <w:p>
            <w:pPr>
              <w:jc w:val="right"/>
              <w:ind w:right="197"/>
              <w:spacing w:after="0"/>
              <w:rPr>
                <w:sz w:val="20"/>
                <w:szCs w:val="20"/>
                <w:color w:val="auto"/>
              </w:rPr>
            </w:pPr>
            <w:r>
              <w:rPr>
                <w:rFonts w:ascii="Arial" w:cs="Arial" w:eastAsia="Arial" w:hAnsi="Arial"/>
                <w:sz w:val="16"/>
                <w:szCs w:val="16"/>
                <w:color w:val="131E29"/>
              </w:rPr>
              <w:t>58.8%</w:t>
            </w:r>
          </w:p>
        </w:tc>
        <w:tc>
          <w:tcPr>
            <w:tcW w:w="8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1040" w:type="dxa"/>
            <w:vAlign w:val="bottom"/>
            <w:shd w:val="clear" w:color="auto" w:fill="D2DCE5"/>
          </w:tcPr>
          <w:p>
            <w:pPr>
              <w:jc w:val="right"/>
              <w:ind w:right="557"/>
              <w:spacing w:after="0"/>
              <w:rPr>
                <w:sz w:val="20"/>
                <w:szCs w:val="20"/>
                <w:color w:val="auto"/>
              </w:rPr>
            </w:pPr>
            <w:r>
              <w:rPr>
                <w:rFonts w:ascii="Arial" w:cs="Arial" w:eastAsia="Arial" w:hAnsi="Arial"/>
                <w:sz w:val="16"/>
                <w:szCs w:val="16"/>
                <w:color w:val="131E29"/>
              </w:rPr>
              <w:t>N/A</w:t>
            </w:r>
          </w:p>
        </w:tc>
        <w:tc>
          <w:tcPr>
            <w:tcW w:w="940" w:type="dxa"/>
            <w:vAlign w:val="bottom"/>
            <w:shd w:val="clear" w:color="auto" w:fill="D2DCE5"/>
          </w:tcPr>
          <w:p>
            <w:pPr>
              <w:jc w:val="center"/>
              <w:ind w:right="119"/>
              <w:spacing w:after="0"/>
              <w:rPr>
                <w:sz w:val="20"/>
                <w:szCs w:val="20"/>
                <w:color w:val="auto"/>
              </w:rPr>
            </w:pPr>
            <w:r>
              <w:rPr>
                <w:rFonts w:ascii="Arial" w:cs="Arial" w:eastAsia="Arial" w:hAnsi="Arial"/>
                <w:sz w:val="16"/>
                <w:szCs w:val="16"/>
                <w:color w:val="131E29"/>
              </w:rPr>
              <w:t>920 bps</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2023 v.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Franchising and other gross profit impacts for the year-over-year comparison, presented in dollars, were driven by the following:</w:t>
      </w:r>
    </w:p>
    <w:p>
      <w:pPr>
        <w:spacing w:after="0" w:line="175"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2"/>
          <w:szCs w:val="22"/>
          <w:b w:val="1"/>
          <w:bCs w:val="1"/>
          <w:color w:val="006098"/>
        </w:rPr>
      </w:pPr>
      <w:r>
        <w:rPr>
          <w:rFonts w:ascii="Arial" w:cs="Arial" w:eastAsia="Arial" w:hAnsi="Arial"/>
          <w:sz w:val="18"/>
          <w:szCs w:val="18"/>
          <w:color w:val="131E29"/>
        </w:rPr>
        <w:t>$3.7 million primarily from products sold to franchisees, net of costs and adjustments.</w:t>
      </w:r>
    </w:p>
    <w:p>
      <w:pPr>
        <w:spacing w:after="0" w:line="16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4"/>
        </w:numPr>
        <w:rPr>
          <w:rFonts w:ascii="Arial" w:cs="Arial" w:eastAsia="Arial" w:hAnsi="Arial"/>
          <w:sz w:val="22"/>
          <w:szCs w:val="22"/>
          <w:b w:val="1"/>
          <w:bCs w:val="1"/>
          <w:color w:val="006098"/>
        </w:rPr>
      </w:pPr>
      <w:r>
        <w:rPr>
          <w:rFonts w:ascii="Arial" w:cs="Arial" w:eastAsia="Arial" w:hAnsi="Arial"/>
          <w:sz w:val="18"/>
          <w:szCs w:val="18"/>
          <w:color w:val="131E29"/>
        </w:rPr>
        <w:t xml:space="preserve">$0.9 million </w:t>
      </w:r>
      <w:r>
        <w:rPr>
          <w:rFonts w:ascii="Arial" w:cs="Arial" w:eastAsia="Arial" w:hAnsi="Arial"/>
          <w:sz w:val="18"/>
          <w:szCs w:val="18"/>
          <w:color w:val="000000"/>
        </w:rPr>
        <w:t>from shop weeks, driven by shop openings during the period.</w:t>
      </w:r>
    </w:p>
    <w:p>
      <w:pPr>
        <w:spacing w:after="0" w:line="16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4"/>
        </w:numPr>
        <w:rPr>
          <w:rFonts w:ascii="Arial" w:cs="Arial" w:eastAsia="Arial" w:hAnsi="Arial"/>
          <w:sz w:val="22"/>
          <w:szCs w:val="22"/>
          <w:b w:val="1"/>
          <w:bCs w:val="1"/>
          <w:color w:val="006098"/>
        </w:rPr>
      </w:pPr>
      <w:r>
        <w:rPr>
          <w:rFonts w:ascii="Arial" w:cs="Arial" w:eastAsia="Arial" w:hAnsi="Arial"/>
          <w:sz w:val="18"/>
          <w:szCs w:val="18"/>
          <w:color w:val="131E29"/>
        </w:rPr>
        <w:t>$0.8 million from same shop sales.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2023 v.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Franchising and other gross profit impacts for the year-over-year comparison, presented in dollars, were driven by the following:</w:t>
      </w:r>
    </w:p>
    <w:p>
      <w:pPr>
        <w:spacing w:after="0" w:line="175"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22"/>
          <w:szCs w:val="22"/>
          <w:b w:val="1"/>
          <w:bCs w:val="1"/>
          <w:color w:val="006098"/>
        </w:rPr>
      </w:pPr>
      <w:r>
        <w:rPr>
          <w:rFonts w:ascii="Arial" w:cs="Arial" w:eastAsia="Arial" w:hAnsi="Arial"/>
          <w:sz w:val="18"/>
          <w:szCs w:val="18"/>
          <w:color w:val="131E29"/>
        </w:rPr>
        <w:t>$5.7 million primarily from products sold to franchisees, net of costs and adjustments.</w:t>
      </w:r>
    </w:p>
    <w:p>
      <w:pPr>
        <w:spacing w:after="0" w:line="16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5"/>
        </w:numPr>
        <w:rPr>
          <w:rFonts w:ascii="Arial" w:cs="Arial" w:eastAsia="Arial" w:hAnsi="Arial"/>
          <w:sz w:val="22"/>
          <w:szCs w:val="22"/>
          <w:b w:val="1"/>
          <w:bCs w:val="1"/>
          <w:color w:val="006098"/>
        </w:rPr>
      </w:pPr>
      <w:r>
        <w:rPr>
          <w:rFonts w:ascii="Arial" w:cs="Arial" w:eastAsia="Arial" w:hAnsi="Arial"/>
          <w:sz w:val="18"/>
          <w:szCs w:val="18"/>
          <w:color w:val="131E29"/>
        </w:rPr>
        <w:t xml:space="preserve">$1.4 million </w:t>
      </w:r>
      <w:r>
        <w:rPr>
          <w:rFonts w:ascii="Arial" w:cs="Arial" w:eastAsia="Arial" w:hAnsi="Arial"/>
          <w:sz w:val="18"/>
          <w:szCs w:val="18"/>
          <w:color w:val="000000"/>
        </w:rPr>
        <w:t>from shop weeks, driven by shop openings during the period.</w:t>
      </w:r>
    </w:p>
    <w:p>
      <w:pPr>
        <w:spacing w:after="0" w:line="179"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5"/>
        </w:numPr>
        <w:rPr>
          <w:rFonts w:ascii="Arial" w:cs="Arial" w:eastAsia="Arial" w:hAnsi="Arial"/>
          <w:sz w:val="22"/>
          <w:szCs w:val="22"/>
          <w:b w:val="1"/>
          <w:bCs w:val="1"/>
          <w:color w:val="006098"/>
        </w:rPr>
      </w:pPr>
      <w:r>
        <w:rPr>
          <w:rFonts w:ascii="Arial" w:cs="Arial" w:eastAsia="Arial" w:hAnsi="Arial"/>
          <w:sz w:val="18"/>
          <w:szCs w:val="18"/>
          <w:color w:val="131E29"/>
        </w:rPr>
        <w:t>$0.8 million from same shop sales.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Selling, General, and Administrative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131E29"/>
            </w:tcBorders>
          </w:tcPr>
          <w:p>
            <w:pPr>
              <w:spacing w:after="0"/>
              <w:rPr>
                <w:sz w:val="22"/>
                <w:szCs w:val="22"/>
                <w:color w:val="auto"/>
              </w:rPr>
            </w:pPr>
          </w:p>
        </w:tc>
        <w:tc>
          <w:tcPr>
            <w:tcW w:w="3320" w:type="dxa"/>
            <w:vAlign w:val="bottom"/>
            <w:tcBorders>
              <w:bottom w:val="single" w:sz="8" w:color="131E29"/>
            </w:tcBorders>
            <w:gridSpan w:val="7"/>
          </w:tcPr>
          <w:p>
            <w:pPr>
              <w:ind w:left="700"/>
              <w:spacing w:after="0"/>
              <w:rPr>
                <w:sz w:val="20"/>
                <w:szCs w:val="20"/>
                <w:color w:val="auto"/>
              </w:rPr>
            </w:pPr>
            <w:r>
              <w:rPr>
                <w:rFonts w:ascii="Arial" w:cs="Arial" w:eastAsia="Arial" w:hAnsi="Arial"/>
                <w:sz w:val="18"/>
                <w:szCs w:val="18"/>
                <w:b w:val="1"/>
                <w:bCs w:val="1"/>
                <w:color w:val="131E29"/>
              </w:rPr>
              <w:t>Three Months Ended June 30,</w:t>
            </w:r>
          </w:p>
        </w:tc>
        <w:tc>
          <w:tcPr>
            <w:tcW w:w="820" w:type="dxa"/>
            <w:vAlign w:val="bottom"/>
            <w:tcBorders>
              <w:bottom w:val="single" w:sz="8" w:color="131E29"/>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7"/>
          </w:tcPr>
          <w:p>
            <w:pPr>
              <w:jc w:val="right"/>
              <w:ind w:right="56"/>
              <w:spacing w:after="0"/>
              <w:rPr>
                <w:sz w:val="20"/>
                <w:szCs w:val="20"/>
                <w:color w:val="auto"/>
              </w:rPr>
            </w:pPr>
            <w:r>
              <w:rPr>
                <w:rFonts w:ascii="Arial" w:cs="Arial" w:eastAsia="Arial" w:hAnsi="Arial"/>
                <w:sz w:val="18"/>
                <w:szCs w:val="18"/>
                <w:b w:val="1"/>
                <w:bCs w:val="1"/>
                <w:color w:val="131E29"/>
              </w:rPr>
              <w:t>Six Months Ended June 30,</w:t>
            </w:r>
          </w:p>
        </w:tc>
        <w:tc>
          <w:tcPr>
            <w:tcW w:w="860" w:type="dxa"/>
            <w:vAlign w:val="bottom"/>
            <w:tcBorders>
              <w:bottom w:val="single" w:sz="8" w:color="auto"/>
            </w:tcBorders>
          </w:tcPr>
          <w:p>
            <w:pPr>
              <w:spacing w:after="0"/>
              <w:rPr>
                <w:sz w:val="22"/>
                <w:szCs w:val="22"/>
                <w:color w:val="auto"/>
              </w:rPr>
            </w:pPr>
          </w:p>
        </w:tc>
      </w:tr>
      <w:tr>
        <w:trPr>
          <w:trHeight w:val="256"/>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820" w:type="dxa"/>
            <w:vAlign w:val="bottom"/>
            <w:tcBorders>
              <w:bottom w:val="single" w:sz="8" w:color="131E29"/>
            </w:tcBorders>
          </w:tcPr>
          <w:p>
            <w:pPr>
              <w:jc w:val="right"/>
              <w:ind w:right="216"/>
              <w:spacing w:after="0"/>
              <w:rPr>
                <w:sz w:val="20"/>
                <w:szCs w:val="20"/>
                <w:color w:val="auto"/>
              </w:rPr>
            </w:pPr>
            <w:r>
              <w:rPr>
                <w:rFonts w:ascii="Arial" w:cs="Arial" w:eastAsia="Arial" w:hAnsi="Arial"/>
                <w:sz w:val="18"/>
                <w:szCs w:val="18"/>
                <w:b w:val="1"/>
                <w:bCs w:val="1"/>
                <w:color w:val="131E29"/>
              </w:rPr>
              <w:t>2022</w:t>
            </w:r>
          </w:p>
        </w:tc>
        <w:tc>
          <w:tcPr>
            <w:tcW w:w="12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1880" w:type="dxa"/>
            <w:vAlign w:val="bottom"/>
            <w:tcBorders>
              <w:bottom w:val="single" w:sz="8" w:color="131E29"/>
            </w:tcBorders>
            <w:gridSpan w:val="2"/>
          </w:tcPr>
          <w:p>
            <w:pPr>
              <w:ind w:left="300"/>
              <w:spacing w:after="0"/>
              <w:rPr>
                <w:sz w:val="20"/>
                <w:szCs w:val="20"/>
                <w:color w:val="auto"/>
              </w:rPr>
            </w:pPr>
            <w:r>
              <w:rPr>
                <w:rFonts w:ascii="Arial" w:cs="Arial" w:eastAsia="Arial" w:hAnsi="Arial"/>
                <w:sz w:val="18"/>
                <w:szCs w:val="18"/>
                <w:b w:val="1"/>
                <w:bCs w:val="1"/>
                <w:color w:val="131E29"/>
              </w:rPr>
              <w:t>2023 v. 2022</w:t>
            </w:r>
          </w:p>
        </w:tc>
        <w:tc>
          <w:tcPr>
            <w:tcW w:w="100" w:type="dxa"/>
            <w:vAlign w:val="bottom"/>
          </w:tcPr>
          <w:p>
            <w:pPr>
              <w:spacing w:after="0"/>
              <w:rPr>
                <w:sz w:val="22"/>
                <w:szCs w:val="22"/>
                <w:color w:val="auto"/>
              </w:rPr>
            </w:pPr>
          </w:p>
        </w:tc>
        <w:tc>
          <w:tcPr>
            <w:tcW w:w="900" w:type="dxa"/>
            <w:vAlign w:val="bottom"/>
            <w:tcBorders>
              <w:bottom w:val="single" w:sz="8" w:color="131E29"/>
            </w:tcBorders>
          </w:tcPr>
          <w:p>
            <w:pPr>
              <w:jc w:val="center"/>
              <w:ind w:left="10"/>
              <w:spacing w:after="0"/>
              <w:rPr>
                <w:sz w:val="20"/>
                <w:szCs w:val="20"/>
                <w:color w:val="auto"/>
              </w:rPr>
            </w:pPr>
            <w:r>
              <w:rPr>
                <w:rFonts w:ascii="Arial" w:cs="Arial" w:eastAsia="Arial" w:hAnsi="Arial"/>
                <w:sz w:val="18"/>
                <w:szCs w:val="18"/>
                <w:b w:val="1"/>
                <w:bCs w:val="1"/>
                <w:color w:val="131E29"/>
                <w:w w:val="99"/>
              </w:rPr>
              <w:t>2023</w:t>
            </w:r>
          </w:p>
        </w:tc>
        <w:tc>
          <w:tcPr>
            <w:tcW w:w="100" w:type="dxa"/>
            <w:vAlign w:val="bottom"/>
            <w:tcBorders>
              <w:bottom w:val="single" w:sz="8" w:color="131E29"/>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820" w:type="dxa"/>
            <w:vAlign w:val="bottom"/>
            <w:tcBorders>
              <w:bottom w:val="single" w:sz="8" w:color="131E29"/>
            </w:tcBorders>
          </w:tcPr>
          <w:p>
            <w:pPr>
              <w:jc w:val="right"/>
              <w:ind w:right="216"/>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240" w:type="dxa"/>
            <w:vAlign w:val="bottom"/>
            <w:tcBorders>
              <w:bottom w:val="single" w:sz="8" w:color="131E29"/>
            </w:tcBorders>
          </w:tcPr>
          <w:p>
            <w:pPr>
              <w:spacing w:after="0"/>
              <w:rPr>
                <w:sz w:val="22"/>
                <w:szCs w:val="22"/>
                <w:color w:val="auto"/>
              </w:rPr>
            </w:pPr>
          </w:p>
        </w:tc>
        <w:tc>
          <w:tcPr>
            <w:tcW w:w="1880" w:type="dxa"/>
            <w:vAlign w:val="bottom"/>
            <w:tcBorders>
              <w:bottom w:val="single" w:sz="8" w:color="131E29"/>
            </w:tcBorders>
            <w:gridSpan w:val="2"/>
          </w:tcPr>
          <w:p>
            <w:pPr>
              <w:ind w:left="300"/>
              <w:spacing w:after="0"/>
              <w:rPr>
                <w:sz w:val="20"/>
                <w:szCs w:val="20"/>
                <w:color w:val="auto"/>
              </w:rPr>
            </w:pPr>
            <w:r>
              <w:rPr>
                <w:rFonts w:ascii="Arial" w:cs="Arial" w:eastAsia="Arial" w:hAnsi="Arial"/>
                <w:sz w:val="18"/>
                <w:szCs w:val="18"/>
                <w:b w:val="1"/>
                <w:bCs w:val="1"/>
                <w:color w:val="131E29"/>
              </w:rPr>
              <w:t>2023 v. 2022</w:t>
            </w:r>
          </w:p>
        </w:tc>
      </w:tr>
      <w:tr>
        <w:trPr>
          <w:trHeight w:val="214"/>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Selling, General and</w:t>
            </w:r>
          </w:p>
        </w:tc>
        <w:tc>
          <w:tcPr>
            <w:tcW w:w="20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220" w:type="dxa"/>
            <w:vAlign w:val="bottom"/>
            <w:shd w:val="clear" w:color="auto" w:fill="D2DCE5"/>
          </w:tcPr>
          <w:p>
            <w:pPr>
              <w:spacing w:after="0"/>
              <w:rPr>
                <w:sz w:val="18"/>
                <w:szCs w:val="18"/>
                <w:color w:val="auto"/>
              </w:rPr>
            </w:pPr>
          </w:p>
        </w:tc>
        <w:tc>
          <w:tcPr>
            <w:tcW w:w="106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9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60" w:type="dxa"/>
            <w:vAlign w:val="bottom"/>
            <w:shd w:val="clear" w:color="auto" w:fill="D2DCE5"/>
          </w:tcPr>
          <w:p>
            <w:pPr>
              <w:spacing w:after="0"/>
              <w:rPr>
                <w:sz w:val="18"/>
                <w:szCs w:val="18"/>
                <w:color w:val="auto"/>
              </w:rPr>
            </w:pPr>
          </w:p>
        </w:tc>
      </w:tr>
      <w:tr>
        <w:trPr>
          <w:trHeight w:val="226"/>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Administrative</w:t>
            </w:r>
          </w:p>
        </w:tc>
        <w:tc>
          <w:tcPr>
            <w:tcW w:w="2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51,662</w:t>
            </w:r>
          </w:p>
        </w:tc>
        <w:tc>
          <w:tcPr>
            <w:tcW w:w="280" w:type="dxa"/>
            <w:vAlign w:val="bottom"/>
            <w:gridSpan w:val="2"/>
            <w:shd w:val="clear" w:color="auto" w:fill="D2DCE5"/>
          </w:tcPr>
          <w:p>
            <w:pPr>
              <w:jc w:val="right"/>
              <w:ind w:right="80"/>
              <w:spacing w:after="0"/>
              <w:rPr>
                <w:sz w:val="20"/>
                <w:szCs w:val="20"/>
                <w:color w:val="auto"/>
              </w:rPr>
            </w:pPr>
            <w:r>
              <w:rPr>
                <w:rFonts w:ascii="Arial" w:cs="Arial" w:eastAsia="Arial" w:hAnsi="Arial"/>
                <w:sz w:val="16"/>
                <w:szCs w:val="16"/>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42,342</w:t>
            </w:r>
          </w:p>
        </w:tc>
        <w:tc>
          <w:tcPr>
            <w:tcW w:w="340" w:type="dxa"/>
            <w:vAlign w:val="bottom"/>
            <w:gridSpan w:val="2"/>
            <w:shd w:val="clear" w:color="auto" w:fill="D2DCE5"/>
          </w:tcPr>
          <w:p>
            <w:pPr>
              <w:jc w:val="right"/>
              <w:ind w:right="120"/>
              <w:spacing w:after="0"/>
              <w:rPr>
                <w:sz w:val="20"/>
                <w:szCs w:val="20"/>
                <w:color w:val="auto"/>
              </w:rPr>
            </w:pPr>
            <w:r>
              <w:rPr>
                <w:rFonts w:ascii="Arial" w:cs="Arial" w:eastAsia="Arial" w:hAnsi="Arial"/>
                <w:sz w:val="16"/>
                <w:szCs w:val="16"/>
                <w:color w:val="131E29"/>
              </w:rPr>
              <w:t>$</w:t>
            </w:r>
          </w:p>
        </w:tc>
        <w:tc>
          <w:tcPr>
            <w:tcW w:w="1060" w:type="dxa"/>
            <w:vAlign w:val="bottom"/>
            <w:shd w:val="clear" w:color="auto" w:fill="D2DCE5"/>
          </w:tcPr>
          <w:p>
            <w:pPr>
              <w:ind w:left="300"/>
              <w:spacing w:after="0"/>
              <w:rPr>
                <w:sz w:val="20"/>
                <w:szCs w:val="20"/>
                <w:color w:val="auto"/>
              </w:rPr>
            </w:pPr>
            <w:r>
              <w:rPr>
                <w:rFonts w:ascii="Arial" w:cs="Arial" w:eastAsia="Arial" w:hAnsi="Arial"/>
                <w:sz w:val="16"/>
                <w:szCs w:val="16"/>
                <w:color w:val="131E29"/>
              </w:rPr>
              <w:t>9,320</w:t>
            </w:r>
          </w:p>
        </w:tc>
        <w:tc>
          <w:tcPr>
            <w:tcW w:w="820" w:type="dxa"/>
            <w:vAlign w:val="bottom"/>
            <w:shd w:val="clear" w:color="auto" w:fill="D2DCE5"/>
          </w:tcPr>
          <w:p>
            <w:pPr>
              <w:jc w:val="right"/>
              <w:ind w:right="199"/>
              <w:spacing w:after="0"/>
              <w:rPr>
                <w:sz w:val="20"/>
                <w:szCs w:val="20"/>
                <w:color w:val="auto"/>
              </w:rPr>
            </w:pPr>
            <w:r>
              <w:rPr>
                <w:rFonts w:ascii="Arial" w:cs="Arial" w:eastAsia="Arial" w:hAnsi="Arial"/>
                <w:sz w:val="16"/>
                <w:szCs w:val="16"/>
                <w:color w:val="131E29"/>
              </w:rPr>
              <w:t>22.0%</w:t>
            </w:r>
          </w:p>
        </w:tc>
        <w:tc>
          <w:tcPr>
            <w:tcW w:w="1000" w:type="dxa"/>
            <w:vAlign w:val="bottom"/>
            <w:gridSpan w:val="2"/>
            <w:shd w:val="clear" w:color="auto" w:fill="D2DCE5"/>
          </w:tcPr>
          <w:p>
            <w:pPr>
              <w:jc w:val="center"/>
              <w:ind w:left="139"/>
              <w:spacing w:after="0"/>
              <w:rPr>
                <w:sz w:val="20"/>
                <w:szCs w:val="20"/>
                <w:color w:val="auto"/>
              </w:rPr>
            </w:pPr>
            <w:r>
              <w:rPr>
                <w:rFonts w:ascii="Arial" w:cs="Arial" w:eastAsia="Arial" w:hAnsi="Arial"/>
                <w:sz w:val="16"/>
                <w:szCs w:val="16"/>
                <w:color w:val="131E29"/>
              </w:rPr>
              <w:t>$97,638</w:t>
            </w:r>
          </w:p>
        </w:tc>
        <w:tc>
          <w:tcPr>
            <w:tcW w:w="400" w:type="dxa"/>
            <w:vAlign w:val="bottom"/>
            <w:gridSpan w:val="3"/>
            <w:shd w:val="clear" w:color="auto" w:fill="D2DCE5"/>
          </w:tcPr>
          <w:p>
            <w:pPr>
              <w:jc w:val="right"/>
              <w:ind w:right="80"/>
              <w:spacing w:after="0"/>
              <w:rPr>
                <w:sz w:val="20"/>
                <w:szCs w:val="20"/>
                <w:color w:val="auto"/>
              </w:rPr>
            </w:pPr>
            <w:r>
              <w:rPr>
                <w:rFonts w:ascii="Arial" w:cs="Arial" w:eastAsia="Arial" w:hAnsi="Arial"/>
                <w:sz w:val="16"/>
                <w:szCs w:val="16"/>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87,556</w:t>
            </w:r>
          </w:p>
        </w:tc>
        <w:tc>
          <w:tcPr>
            <w:tcW w:w="340" w:type="dxa"/>
            <w:vAlign w:val="bottom"/>
            <w:gridSpan w:val="2"/>
            <w:shd w:val="clear" w:color="auto" w:fill="D2DCE5"/>
          </w:tcPr>
          <w:p>
            <w:pPr>
              <w:jc w:val="right"/>
              <w:ind w:right="120"/>
              <w:spacing w:after="0"/>
              <w:rPr>
                <w:sz w:val="20"/>
                <w:szCs w:val="20"/>
                <w:color w:val="auto"/>
              </w:rPr>
            </w:pPr>
            <w:r>
              <w:rPr>
                <w:rFonts w:ascii="Arial" w:cs="Arial" w:eastAsia="Arial" w:hAnsi="Arial"/>
                <w:sz w:val="16"/>
                <w:szCs w:val="16"/>
                <w:color w:val="131E29"/>
              </w:rPr>
              <w:t>$</w:t>
            </w:r>
          </w:p>
        </w:tc>
        <w:tc>
          <w:tcPr>
            <w:tcW w:w="1020" w:type="dxa"/>
            <w:vAlign w:val="bottom"/>
            <w:shd w:val="clear" w:color="auto" w:fill="D2DCE5"/>
          </w:tcPr>
          <w:p>
            <w:pPr>
              <w:jc w:val="right"/>
              <w:ind w:right="236"/>
              <w:spacing w:after="0"/>
              <w:rPr>
                <w:sz w:val="20"/>
                <w:szCs w:val="20"/>
                <w:color w:val="auto"/>
              </w:rPr>
            </w:pPr>
            <w:r>
              <w:rPr>
                <w:rFonts w:ascii="Arial" w:cs="Arial" w:eastAsia="Arial" w:hAnsi="Arial"/>
                <w:sz w:val="16"/>
                <w:szCs w:val="16"/>
                <w:color w:val="131E29"/>
              </w:rPr>
              <w:t>10,082</w:t>
            </w:r>
          </w:p>
        </w:tc>
        <w:tc>
          <w:tcPr>
            <w:tcW w:w="860" w:type="dxa"/>
            <w:vAlign w:val="bottom"/>
            <w:shd w:val="clear" w:color="auto" w:fill="D2DCE5"/>
          </w:tcPr>
          <w:p>
            <w:pPr>
              <w:jc w:val="right"/>
              <w:ind w:right="199"/>
              <w:spacing w:after="0"/>
              <w:rPr>
                <w:sz w:val="20"/>
                <w:szCs w:val="20"/>
                <w:color w:val="auto"/>
              </w:rPr>
            </w:pPr>
            <w:r>
              <w:rPr>
                <w:rFonts w:ascii="Arial" w:cs="Arial" w:eastAsia="Arial" w:hAnsi="Arial"/>
                <w:sz w:val="16"/>
                <w:szCs w:val="16"/>
                <w:color w:val="131E29"/>
              </w:rPr>
              <w:t>11.5%</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total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246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revenues</w:t>
            </w:r>
          </w:p>
        </w:tc>
        <w:tc>
          <w:tcPr>
            <w:tcW w:w="200" w:type="dxa"/>
            <w:vAlign w:val="bottom"/>
          </w:tcPr>
          <w:p>
            <w:pPr>
              <w:spacing w:after="0"/>
              <w:rPr>
                <w:sz w:val="18"/>
                <w:szCs w:val="18"/>
                <w:color w:val="auto"/>
              </w:rPr>
            </w:pPr>
          </w:p>
        </w:tc>
        <w:tc>
          <w:tcPr>
            <w:tcW w:w="820" w:type="dxa"/>
            <w:vAlign w:val="bottom"/>
          </w:tcPr>
          <w:p>
            <w:pPr>
              <w:jc w:val="right"/>
              <w:ind w:right="195"/>
              <w:spacing w:after="0"/>
              <w:rPr>
                <w:sz w:val="20"/>
                <w:szCs w:val="20"/>
                <w:color w:val="auto"/>
              </w:rPr>
            </w:pPr>
            <w:r>
              <w:rPr>
                <w:rFonts w:ascii="Arial" w:cs="Arial" w:eastAsia="Arial" w:hAnsi="Arial"/>
                <w:sz w:val="16"/>
                <w:szCs w:val="16"/>
                <w:color w:val="131E29"/>
              </w:rPr>
              <w:t>20.7%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6"/>
              <w:spacing w:after="0"/>
              <w:rPr>
                <w:sz w:val="20"/>
                <w:szCs w:val="20"/>
                <w:color w:val="auto"/>
              </w:rPr>
            </w:pPr>
            <w:r>
              <w:rPr>
                <w:rFonts w:ascii="Arial" w:cs="Arial" w:eastAsia="Arial" w:hAnsi="Arial"/>
                <w:sz w:val="16"/>
                <w:szCs w:val="16"/>
                <w:color w:val="131E29"/>
              </w:rPr>
              <w:t>22.7%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6"/>
                <w:szCs w:val="16"/>
                <w:color w:val="131E29"/>
              </w:rPr>
              <w:t>N/A</w:t>
            </w:r>
          </w:p>
        </w:tc>
        <w:tc>
          <w:tcPr>
            <w:tcW w:w="820" w:type="dxa"/>
            <w:vAlign w:val="bottom"/>
          </w:tcPr>
          <w:p>
            <w:pPr>
              <w:jc w:val="right"/>
              <w:spacing w:after="0"/>
              <w:rPr>
                <w:sz w:val="20"/>
                <w:szCs w:val="20"/>
                <w:color w:val="auto"/>
              </w:rPr>
            </w:pPr>
            <w:r>
              <w:rPr>
                <w:rFonts w:ascii="Arial" w:cs="Arial" w:eastAsia="Arial" w:hAnsi="Arial"/>
                <w:sz w:val="16"/>
                <w:szCs w:val="16"/>
                <w:color w:val="131E29"/>
              </w:rPr>
              <w:t>N/M</w:t>
            </w:r>
          </w:p>
        </w:tc>
        <w:tc>
          <w:tcPr>
            <w:tcW w:w="1000" w:type="dxa"/>
            <w:vAlign w:val="bottom"/>
            <w:gridSpan w:val="2"/>
          </w:tcPr>
          <w:p>
            <w:pPr>
              <w:jc w:val="center"/>
              <w:ind w:left="139"/>
              <w:spacing w:after="0"/>
              <w:rPr>
                <w:sz w:val="20"/>
                <w:szCs w:val="20"/>
                <w:color w:val="auto"/>
              </w:rPr>
            </w:pPr>
            <w:r>
              <w:rPr>
                <w:rFonts w:ascii="Arial" w:cs="Arial" w:eastAsia="Arial" w:hAnsi="Arial"/>
                <w:sz w:val="16"/>
                <w:szCs w:val="16"/>
                <w:color w:val="131E29"/>
              </w:rPr>
              <w:t>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96"/>
              <w:spacing w:after="0"/>
              <w:rPr>
                <w:sz w:val="20"/>
                <w:szCs w:val="20"/>
                <w:color w:val="auto"/>
              </w:rPr>
            </w:pPr>
            <w:r>
              <w:rPr>
                <w:rFonts w:ascii="Arial" w:cs="Arial" w:eastAsia="Arial" w:hAnsi="Arial"/>
                <w:sz w:val="16"/>
                <w:szCs w:val="16"/>
                <w:color w:val="131E29"/>
              </w:rPr>
              <w:t>25.9%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36"/>
              <w:spacing w:after="0"/>
              <w:rPr>
                <w:sz w:val="20"/>
                <w:szCs w:val="20"/>
                <w:color w:val="auto"/>
              </w:rPr>
            </w:pPr>
            <w:r>
              <w:rPr>
                <w:rFonts w:ascii="Arial" w:cs="Arial" w:eastAsia="Arial" w:hAnsi="Arial"/>
                <w:sz w:val="16"/>
                <w:szCs w:val="16"/>
                <w:color w:val="131E29"/>
              </w:rPr>
              <w:t>N/A</w:t>
            </w:r>
          </w:p>
        </w:tc>
        <w:tc>
          <w:tcPr>
            <w:tcW w:w="860" w:type="dxa"/>
            <w:vAlign w:val="bottom"/>
          </w:tcPr>
          <w:p>
            <w:pPr>
              <w:jc w:val="center"/>
              <w:ind w:right="79"/>
              <w:spacing w:after="0"/>
              <w:rPr>
                <w:sz w:val="20"/>
                <w:szCs w:val="20"/>
                <w:color w:val="auto"/>
              </w:rPr>
            </w:pPr>
            <w:r>
              <w:rPr>
                <w:rFonts w:ascii="Arial" w:cs="Arial" w:eastAsia="Arial" w:hAnsi="Arial"/>
                <w:sz w:val="16"/>
                <w:szCs w:val="16"/>
                <w:color w:val="131E29"/>
              </w:rPr>
              <w:t>N/M</w:t>
            </w:r>
          </w:p>
        </w:tc>
      </w:tr>
    </w:tbl>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2023 v. 2022</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selling, general, and administrative impacts for the year-over-year comparison, presented in dollars and basis points, were driven by the following:</w:t>
      </w:r>
    </w:p>
    <w:p>
      <w:pPr>
        <w:spacing w:after="0" w:line="148"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22"/>
          <w:szCs w:val="22"/>
          <w:b w:val="1"/>
          <w:bCs w:val="1"/>
          <w:color w:val="006098"/>
        </w:rPr>
      </w:pPr>
      <w:r>
        <w:rPr>
          <w:rFonts w:ascii="Arial" w:cs="Arial" w:eastAsia="Arial" w:hAnsi="Arial"/>
          <w:sz w:val="18"/>
          <w:szCs w:val="18"/>
          <w:color w:val="131E29"/>
        </w:rPr>
        <w:t>$7.4 million from investments in human capital, processes, and systems to support our revenue growth.</w:t>
      </w:r>
    </w:p>
    <w:p>
      <w:pPr>
        <w:spacing w:after="0" w:line="16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6"/>
        </w:numPr>
        <w:rPr>
          <w:rFonts w:ascii="Arial" w:cs="Arial" w:eastAsia="Arial" w:hAnsi="Arial"/>
          <w:sz w:val="22"/>
          <w:szCs w:val="22"/>
          <w:b w:val="1"/>
          <w:bCs w:val="1"/>
          <w:color w:val="006098"/>
        </w:rPr>
      </w:pPr>
      <w:r>
        <w:rPr>
          <w:rFonts w:ascii="Arial" w:cs="Arial" w:eastAsia="Arial" w:hAnsi="Arial"/>
          <w:sz w:val="18"/>
          <w:szCs w:val="18"/>
          <w:color w:val="131E29"/>
        </w:rPr>
        <w:t>$2.0 million or 80 bps in estimated expense for certain legal disputes.</w:t>
      </w:r>
    </w:p>
    <w:p>
      <w:pPr>
        <w:spacing w:after="0" w:line="166"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2"/>
          <w:szCs w:val="22"/>
          <w:b w:val="1"/>
          <w:bCs w:val="1"/>
          <w:color w:val="D7282F"/>
        </w:rPr>
      </w:pPr>
      <w:r>
        <w:rPr>
          <w:rFonts w:ascii="Arial" w:cs="Arial" w:eastAsia="Arial" w:hAnsi="Arial"/>
          <w:sz w:val="18"/>
          <w:szCs w:val="18"/>
          <w:color w:val="131E29"/>
        </w:rPr>
        <w:t>$0.3 million or 10 bps from lower equity-based compensation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5" w:lineRule="auto"/>
        <w:rPr>
          <w:sz w:val="20"/>
          <w:szCs w:val="20"/>
          <w:color w:val="auto"/>
        </w:rPr>
      </w:pPr>
      <w:r>
        <w:rPr>
          <w:rFonts w:ascii="Arial" w:cs="Arial" w:eastAsia="Arial" w:hAnsi="Arial"/>
          <w:sz w:val="18"/>
          <w:szCs w:val="18"/>
          <w:color w:val="131E29"/>
        </w:rPr>
        <w:t>The summation of the impact of the specific items above would have increased selling, general and administrative expenses by 70 bps to be 23.4% of revenue. However, leverage from revenue growth reduces that percentage by 270 bps to be 20.7% of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2023 v. 2022</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selling, general, and administrative impacts for the year-over-year comparison, presented in dollars and basis points, were driven by the following:</w:t>
      </w:r>
    </w:p>
    <w:p>
      <w:pPr>
        <w:spacing w:after="0" w:line="148"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22"/>
          <w:szCs w:val="22"/>
          <w:b w:val="1"/>
          <w:bCs w:val="1"/>
          <w:color w:val="006098"/>
        </w:rPr>
      </w:pPr>
      <w:r>
        <w:rPr>
          <w:rFonts w:ascii="Arial" w:cs="Arial" w:eastAsia="Arial" w:hAnsi="Arial"/>
          <w:sz w:val="18"/>
          <w:szCs w:val="18"/>
          <w:color w:val="131E29"/>
        </w:rPr>
        <w:t>$12.4 million from investments in human capital, processes, and systems to support our revenue growth.</w:t>
      </w:r>
    </w:p>
    <w:p>
      <w:pPr>
        <w:spacing w:after="0" w:line="165" w:lineRule="exact"/>
        <w:rPr>
          <w:rFonts w:ascii="Arial" w:cs="Arial" w:eastAsia="Arial" w:hAnsi="Arial"/>
          <w:sz w:val="22"/>
          <w:szCs w:val="22"/>
          <w:b w:val="1"/>
          <w:bCs w:val="1"/>
          <w:color w:val="006098"/>
        </w:rPr>
      </w:pPr>
    </w:p>
    <w:p>
      <w:pPr>
        <w:ind w:left="420" w:hanging="412"/>
        <w:spacing w:after="0"/>
        <w:tabs>
          <w:tab w:leader="none" w:pos="420" w:val="left"/>
        </w:tabs>
        <w:numPr>
          <w:ilvl w:val="0"/>
          <w:numId w:val="28"/>
        </w:numPr>
        <w:rPr>
          <w:rFonts w:ascii="Arial" w:cs="Arial" w:eastAsia="Arial" w:hAnsi="Arial"/>
          <w:sz w:val="22"/>
          <w:szCs w:val="22"/>
          <w:b w:val="1"/>
          <w:bCs w:val="1"/>
          <w:color w:val="006098"/>
        </w:rPr>
      </w:pPr>
      <w:r>
        <w:rPr>
          <w:rFonts w:ascii="Arial" w:cs="Arial" w:eastAsia="Arial" w:hAnsi="Arial"/>
          <w:sz w:val="18"/>
          <w:szCs w:val="18"/>
          <w:color w:val="131E29"/>
        </w:rPr>
        <w:t>$2.0 million or 40 bps in estimated expense for certain legal disputes.</w:t>
      </w:r>
    </w:p>
    <w:p>
      <w:pPr>
        <w:spacing w:after="0" w:line="190" w:lineRule="exact"/>
        <w:rPr>
          <w:sz w:val="20"/>
          <w:szCs w:val="20"/>
          <w:color w:val="auto"/>
        </w:rPr>
      </w:pPr>
    </w:p>
    <w:p>
      <w:pPr>
        <w:ind w:left="340" w:hanging="332"/>
        <w:spacing w:after="0" w:line="239" w:lineRule="auto"/>
        <w:tabs>
          <w:tab w:leader="none" w:pos="388" w:val="left"/>
        </w:tabs>
        <w:numPr>
          <w:ilvl w:val="0"/>
          <w:numId w:val="29"/>
        </w:numPr>
        <w:rPr>
          <w:rFonts w:ascii="Arial" w:cs="Arial" w:eastAsia="Arial" w:hAnsi="Arial"/>
          <w:sz w:val="22"/>
          <w:szCs w:val="22"/>
          <w:b w:val="1"/>
          <w:bCs w:val="1"/>
          <w:color w:val="D7282F"/>
        </w:rPr>
      </w:pPr>
      <w:r>
        <w:rPr>
          <w:rFonts w:ascii="Arial" w:cs="Arial" w:eastAsia="Arial" w:hAnsi="Arial"/>
          <w:sz w:val="18"/>
          <w:szCs w:val="18"/>
          <w:color w:val="131E29"/>
        </w:rPr>
        <w:t xml:space="preserve">$2.4 million </w:t>
      </w:r>
      <w:r>
        <w:rPr>
          <w:rFonts w:ascii="Arial" w:cs="Arial" w:eastAsia="Arial" w:hAnsi="Arial"/>
          <w:sz w:val="18"/>
          <w:szCs w:val="18"/>
          <w:color w:val="000000"/>
        </w:rPr>
        <w:t>or</w:t>
      </w:r>
      <w:r>
        <w:rPr>
          <w:rFonts w:ascii="Arial" w:cs="Arial" w:eastAsia="Arial" w:hAnsi="Arial"/>
          <w:sz w:val="18"/>
          <w:szCs w:val="18"/>
          <w:color w:val="131E29"/>
        </w:rPr>
        <w:t xml:space="preserve"> 50 bps </w:t>
      </w:r>
      <w:r>
        <w:rPr>
          <w:rFonts w:ascii="Arial" w:cs="Arial" w:eastAsia="Arial" w:hAnsi="Arial"/>
          <w:sz w:val="18"/>
          <w:szCs w:val="18"/>
          <w:color w:val="000000"/>
        </w:rPr>
        <w:t>from prior year company-wide event costs celebrating 30 years serving high QUALITY, hand-crafted beverages</w:t>
      </w:r>
      <w:r>
        <w:rPr>
          <w:rFonts w:ascii="Arial" w:cs="Arial" w:eastAsia="Arial" w:hAnsi="Arial"/>
          <w:sz w:val="18"/>
          <w:szCs w:val="18"/>
          <w:color w:val="131E29"/>
        </w:rPr>
        <w:t xml:space="preserve"> </w:t>
      </w:r>
      <w:r>
        <w:rPr>
          <w:rFonts w:ascii="Arial" w:cs="Arial" w:eastAsia="Arial" w:hAnsi="Arial"/>
          <w:sz w:val="18"/>
          <w:szCs w:val="18"/>
          <w:color w:val="000000"/>
        </w:rPr>
        <w:t>with unparalleled SPEED and superior SERVICE to our customers.</w:t>
      </w:r>
    </w:p>
    <w:p>
      <w:pPr>
        <w:spacing w:after="0" w:line="189" w:lineRule="exact"/>
        <w:rPr>
          <w:rFonts w:ascii="Arial" w:cs="Arial" w:eastAsia="Arial" w:hAnsi="Arial"/>
          <w:sz w:val="22"/>
          <w:szCs w:val="22"/>
          <w:b w:val="1"/>
          <w:bCs w:val="1"/>
          <w:color w:val="D7282F"/>
        </w:rPr>
      </w:pPr>
    </w:p>
    <w:p>
      <w:pPr>
        <w:jc w:val="both"/>
        <w:ind w:left="340" w:hanging="332"/>
        <w:spacing w:after="0" w:line="237" w:lineRule="auto"/>
        <w:tabs>
          <w:tab w:leader="none" w:pos="408" w:val="left"/>
        </w:tabs>
        <w:numPr>
          <w:ilvl w:val="0"/>
          <w:numId w:val="29"/>
        </w:numPr>
        <w:rPr>
          <w:rFonts w:ascii="Arial" w:cs="Arial" w:eastAsia="Arial" w:hAnsi="Arial"/>
          <w:sz w:val="22"/>
          <w:szCs w:val="22"/>
          <w:b w:val="1"/>
          <w:bCs w:val="1"/>
          <w:color w:val="D7282F"/>
        </w:rPr>
      </w:pPr>
      <w:r>
        <w:rPr>
          <w:rFonts w:ascii="Arial" w:cs="Arial" w:eastAsia="Arial" w:hAnsi="Arial"/>
          <w:sz w:val="18"/>
          <w:szCs w:val="18"/>
          <w:color w:val="131E29"/>
        </w:rPr>
        <w:t>$1.2 million or 30 bps from prior year write-off of prepaid expense for our virtual corporate engagement platform built in response to COVID-19 pandemic as a substitute for in person engagement practices pre-pandemic. The platform was determined ineffective, particularly as we shifted back to in person engagement and easing of restrictions related to the COVID-19 pandemic.</w:t>
      </w:r>
    </w:p>
    <w:p>
      <w:pPr>
        <w:spacing w:after="0" w:line="167" w:lineRule="exact"/>
        <w:rPr>
          <w:rFonts w:ascii="Arial" w:cs="Arial" w:eastAsia="Arial" w:hAnsi="Arial"/>
          <w:sz w:val="22"/>
          <w:szCs w:val="22"/>
          <w:b w:val="1"/>
          <w:bCs w:val="1"/>
          <w:color w:val="D7282F"/>
        </w:rPr>
      </w:pPr>
    </w:p>
    <w:p>
      <w:pPr>
        <w:ind w:left="320" w:hanging="312"/>
        <w:spacing w:after="0"/>
        <w:tabs>
          <w:tab w:leader="none" w:pos="320" w:val="left"/>
        </w:tabs>
        <w:numPr>
          <w:ilvl w:val="0"/>
          <w:numId w:val="29"/>
        </w:numPr>
        <w:rPr>
          <w:rFonts w:ascii="Arial" w:cs="Arial" w:eastAsia="Arial" w:hAnsi="Arial"/>
          <w:sz w:val="22"/>
          <w:szCs w:val="22"/>
          <w:b w:val="1"/>
          <w:bCs w:val="1"/>
          <w:color w:val="D7282F"/>
        </w:rPr>
      </w:pPr>
      <w:r>
        <w:rPr>
          <w:rFonts w:ascii="Arial" w:cs="Arial" w:eastAsia="Arial" w:hAnsi="Arial"/>
          <w:sz w:val="18"/>
          <w:szCs w:val="18"/>
          <w:color w:val="131E29"/>
        </w:rPr>
        <w:t>$1.0 million or 20 bps from lower equity-based compensation charges.</w:t>
      </w:r>
    </w:p>
    <w:p>
      <w:pPr>
        <w:spacing w:after="0" w:line="95" w:lineRule="exact"/>
        <w:rPr>
          <w:sz w:val="20"/>
          <w:szCs w:val="20"/>
          <w:color w:val="auto"/>
        </w:rPr>
      </w:pPr>
    </w:p>
    <w:p>
      <w:pPr>
        <w:spacing w:after="0" w:line="275" w:lineRule="auto"/>
        <w:rPr>
          <w:sz w:val="20"/>
          <w:szCs w:val="20"/>
          <w:color w:val="auto"/>
        </w:rPr>
      </w:pPr>
      <w:r>
        <w:rPr>
          <w:rFonts w:ascii="Arial" w:cs="Arial" w:eastAsia="Arial" w:hAnsi="Arial"/>
          <w:sz w:val="18"/>
          <w:szCs w:val="18"/>
          <w:color w:val="131E29"/>
        </w:rPr>
        <w:t>The summation of the impact of the specific items above would have decreased selling, general and administrative expenses from prior year by 60 bps to be 25.3% of revenue. However, leverage from revenue growth reduces that percentage by 350 bps to be 21.8% of revenue.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Other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3260" w:type="dxa"/>
            <w:vAlign w:val="bottom"/>
            <w:tcBorders>
              <w:bottom w:val="single" w:sz="8" w:color="131E29"/>
            </w:tcBorders>
            <w:gridSpan w:val="9"/>
          </w:tcPr>
          <w:p>
            <w:pPr>
              <w:ind w:left="660"/>
              <w:spacing w:after="0"/>
              <w:rPr>
                <w:sz w:val="20"/>
                <w:szCs w:val="20"/>
                <w:color w:val="auto"/>
              </w:rPr>
            </w:pPr>
            <w:r>
              <w:rPr>
                <w:rFonts w:ascii="Arial" w:cs="Arial" w:eastAsia="Arial" w:hAnsi="Arial"/>
                <w:sz w:val="18"/>
                <w:szCs w:val="18"/>
                <w:b w:val="1"/>
                <w:bCs w:val="1"/>
                <w:color w:val="131E29"/>
              </w:rPr>
              <w:t>Three Months Ended June 30,</w:t>
            </w:r>
          </w:p>
        </w:tc>
        <w:tc>
          <w:tcPr>
            <w:tcW w:w="800" w:type="dxa"/>
            <w:vAlign w:val="bottom"/>
            <w:tcBorders>
              <w:bottom w:val="single" w:sz="8" w:color="131E29"/>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8"/>
          </w:tcPr>
          <w:p>
            <w:pPr>
              <w:ind w:left="780"/>
              <w:spacing w:after="0"/>
              <w:rPr>
                <w:sz w:val="20"/>
                <w:szCs w:val="20"/>
                <w:color w:val="auto"/>
              </w:rPr>
            </w:pPr>
            <w:r>
              <w:rPr>
                <w:rFonts w:ascii="Arial" w:cs="Arial" w:eastAsia="Arial" w:hAnsi="Arial"/>
                <w:sz w:val="18"/>
                <w:szCs w:val="18"/>
                <w:b w:val="1"/>
                <w:bCs w:val="1"/>
                <w:color w:val="131E29"/>
              </w:rPr>
              <w:t>Six Months Ended June 30,</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800" w:type="dxa"/>
            <w:vAlign w:val="bottom"/>
            <w:tcBorders>
              <w:bottom w:val="single" w:sz="8" w:color="131E29"/>
            </w:tcBorders>
          </w:tcPr>
          <w:p>
            <w:pPr>
              <w:jc w:val="right"/>
              <w:ind w:right="230"/>
              <w:spacing w:after="0"/>
              <w:rPr>
                <w:sz w:val="20"/>
                <w:szCs w:val="20"/>
                <w:color w:val="auto"/>
              </w:rPr>
            </w:pPr>
            <w:r>
              <w:rPr>
                <w:rFonts w:ascii="Arial" w:cs="Arial" w:eastAsia="Arial" w:hAnsi="Arial"/>
                <w:sz w:val="18"/>
                <w:szCs w:val="18"/>
                <w:b w:val="1"/>
                <w:bCs w:val="1"/>
                <w:color w:val="131E29"/>
              </w:rPr>
              <w:t>2022</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131E29"/>
            </w:tcBorders>
          </w:tcPr>
          <w:p>
            <w:pPr>
              <w:spacing w:after="0"/>
              <w:rPr>
                <w:sz w:val="22"/>
                <w:szCs w:val="22"/>
                <w:color w:val="auto"/>
              </w:rPr>
            </w:pPr>
          </w:p>
        </w:tc>
        <w:tc>
          <w:tcPr>
            <w:tcW w:w="1780" w:type="dxa"/>
            <w:vAlign w:val="bottom"/>
            <w:tcBorders>
              <w:bottom w:val="single" w:sz="8" w:color="131E29"/>
            </w:tcBorders>
            <w:gridSpan w:val="4"/>
          </w:tcPr>
          <w:p>
            <w:pPr>
              <w:ind w:left="240"/>
              <w:spacing w:after="0"/>
              <w:rPr>
                <w:sz w:val="20"/>
                <w:szCs w:val="20"/>
                <w:color w:val="auto"/>
              </w:rPr>
            </w:pPr>
            <w:r>
              <w:rPr>
                <w:rFonts w:ascii="Arial" w:cs="Arial" w:eastAsia="Arial" w:hAnsi="Arial"/>
                <w:sz w:val="18"/>
                <w:szCs w:val="18"/>
                <w:b w:val="1"/>
                <w:bCs w:val="1"/>
                <w:color w:val="131E29"/>
              </w:rPr>
              <w:t>2023 v. 2022</w:t>
            </w:r>
          </w:p>
        </w:tc>
        <w:tc>
          <w:tcPr>
            <w:tcW w:w="120" w:type="dxa"/>
            <w:vAlign w:val="bottom"/>
            <w:tcBorders>
              <w:bottom w:val="single" w:sz="8" w:color="D2DCE5"/>
            </w:tcBorders>
          </w:tcPr>
          <w:p>
            <w:pPr>
              <w:spacing w:after="0"/>
              <w:rPr>
                <w:sz w:val="22"/>
                <w:szCs w:val="22"/>
                <w:color w:val="auto"/>
              </w:rPr>
            </w:pPr>
          </w:p>
        </w:tc>
        <w:tc>
          <w:tcPr>
            <w:tcW w:w="200" w:type="dxa"/>
            <w:vAlign w:val="bottom"/>
            <w:tcBorders>
              <w:bottom w:val="single" w:sz="8" w:color="131E29"/>
            </w:tcBorders>
          </w:tcPr>
          <w:p>
            <w:pPr>
              <w:spacing w:after="0"/>
              <w:rPr>
                <w:sz w:val="22"/>
                <w:szCs w:val="22"/>
                <w:color w:val="auto"/>
              </w:rPr>
            </w:pPr>
          </w:p>
        </w:tc>
        <w:tc>
          <w:tcPr>
            <w:tcW w:w="820" w:type="dxa"/>
            <w:vAlign w:val="bottom"/>
            <w:tcBorders>
              <w:bottom w:val="single" w:sz="8" w:color="131E29"/>
            </w:tcBorders>
          </w:tcPr>
          <w:p>
            <w:pPr>
              <w:jc w:val="right"/>
              <w:ind w:right="23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200" w:type="dxa"/>
            <w:vAlign w:val="bottom"/>
            <w:tcBorders>
              <w:bottom w:val="single" w:sz="8" w:color="131E29"/>
            </w:tcBorders>
          </w:tcPr>
          <w:p>
            <w:pPr>
              <w:spacing w:after="0"/>
              <w:rPr>
                <w:sz w:val="22"/>
                <w:szCs w:val="22"/>
                <w:color w:val="auto"/>
              </w:rPr>
            </w:pPr>
          </w:p>
        </w:tc>
        <w:tc>
          <w:tcPr>
            <w:tcW w:w="800" w:type="dxa"/>
            <w:vAlign w:val="bottom"/>
            <w:tcBorders>
              <w:bottom w:val="single" w:sz="8" w:color="131E29"/>
            </w:tcBorders>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20" w:type="dxa"/>
            <w:vAlign w:val="bottom"/>
            <w:tcBorders>
              <w:bottom w:val="single" w:sz="8" w:color="D2DCE5"/>
            </w:tcBorders>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1840" w:type="dxa"/>
            <w:vAlign w:val="bottom"/>
            <w:tcBorders>
              <w:bottom w:val="single" w:sz="8" w:color="131E29"/>
            </w:tcBorders>
            <w:gridSpan w:val="3"/>
          </w:tcPr>
          <w:p>
            <w:pPr>
              <w:ind w:left="280"/>
              <w:spacing w:after="0"/>
              <w:rPr>
                <w:sz w:val="20"/>
                <w:szCs w:val="20"/>
                <w:color w:val="auto"/>
              </w:rPr>
            </w:pPr>
            <w:r>
              <w:rPr>
                <w:rFonts w:ascii="Arial" w:cs="Arial" w:eastAsia="Arial" w:hAnsi="Arial"/>
                <w:sz w:val="18"/>
                <w:szCs w:val="18"/>
                <w:b w:val="1"/>
                <w:bCs w:val="1"/>
                <w:color w:val="131E29"/>
              </w:rPr>
              <w:t>2023 v. 2022</w:t>
            </w: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on finance</w:t>
            </w:r>
          </w:p>
        </w:tc>
        <w:tc>
          <w:tcPr>
            <w:tcW w:w="220" w:type="dxa"/>
            <w:vAlign w:val="bottom"/>
            <w:shd w:val="clear" w:color="auto" w:fill="D2DCE5"/>
          </w:tcPr>
          <w:p>
            <w:pPr>
              <w:spacing w:after="0"/>
              <w:rPr>
                <w:sz w:val="20"/>
                <w:szCs w:val="20"/>
                <w:color w:val="auto"/>
              </w:rPr>
            </w:pPr>
          </w:p>
        </w:tc>
        <w:tc>
          <w:tcPr>
            <w:tcW w:w="8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8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74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80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200" w:type="dxa"/>
            <w:vAlign w:val="bottom"/>
            <w:shd w:val="clear" w:color="auto" w:fill="D2DCE5"/>
          </w:tcPr>
          <w:p>
            <w:pPr>
              <w:spacing w:after="0"/>
              <w:rPr>
                <w:sz w:val="20"/>
                <w:szCs w:val="20"/>
                <w:color w:val="auto"/>
              </w:rPr>
            </w:pPr>
          </w:p>
        </w:tc>
        <w:tc>
          <w:tcPr>
            <w:tcW w:w="8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00" w:type="dxa"/>
            <w:vAlign w:val="bottom"/>
            <w:shd w:val="clear" w:color="auto" w:fill="D2DCE5"/>
          </w:tcPr>
          <w:p>
            <w:pPr>
              <w:spacing w:after="0"/>
              <w:rPr>
                <w:sz w:val="20"/>
                <w:szCs w:val="20"/>
                <w:color w:val="auto"/>
              </w:rPr>
            </w:pPr>
          </w:p>
        </w:tc>
        <w:tc>
          <w:tcPr>
            <w:tcW w:w="80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8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leases</w:t>
            </w: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00" w:type="dxa"/>
            <w:vAlign w:val="bottom"/>
            <w:tcBorders>
              <w:bottom w:val="single" w:sz="8" w:color="D2DCE5"/>
            </w:tcBorders>
            <w:shd w:val="clear" w:color="auto" w:fill="D2DCE5"/>
          </w:tcPr>
          <w:p>
            <w:pPr>
              <w:jc w:val="center"/>
              <w:ind w:left="90"/>
              <w:spacing w:after="0"/>
              <w:rPr>
                <w:sz w:val="20"/>
                <w:szCs w:val="20"/>
                <w:color w:val="auto"/>
              </w:rPr>
            </w:pPr>
            <w:r>
              <w:rPr>
                <w:rFonts w:ascii="Arial" w:cs="Arial" w:eastAsia="Arial" w:hAnsi="Arial"/>
                <w:sz w:val="18"/>
                <w:szCs w:val="18"/>
                <w:color w:val="131E29"/>
              </w:rPr>
              <w:t>(4,134)</w:t>
            </w:r>
          </w:p>
        </w:tc>
        <w:tc>
          <w:tcPr>
            <w:tcW w:w="320" w:type="dxa"/>
            <w:vAlign w:val="bottom"/>
            <w:tcBorders>
              <w:bottom w:val="single" w:sz="8" w:color="D2DCE5"/>
            </w:tcBorders>
            <w:gridSpan w:val="2"/>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(2,056)</w:t>
            </w: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(2,078)</w:t>
            </w:r>
          </w:p>
        </w:tc>
        <w:tc>
          <w:tcPr>
            <w:tcW w:w="120" w:type="dxa"/>
            <w:vAlign w:val="bottom"/>
            <w:tcBorders>
              <w:bottom w:val="single" w:sz="8" w:color="D2DCE5"/>
            </w:tcBorders>
            <w:shd w:val="clear" w:color="auto" w:fill="D2DCE5"/>
          </w:tcPr>
          <w:p>
            <w:pPr>
              <w:spacing w:after="0"/>
              <w:rPr>
                <w:sz w:val="20"/>
                <w:szCs w:val="20"/>
                <w:color w:val="auto"/>
              </w:rPr>
            </w:pPr>
          </w:p>
        </w:tc>
        <w:tc>
          <w:tcPr>
            <w:tcW w:w="120" w:type="dxa"/>
            <w:vAlign w:val="bottom"/>
            <w:tcBorders>
              <w:bottom w:val="single" w:sz="8" w:color="D2DCE5"/>
            </w:tcBorders>
            <w:shd w:val="clear" w:color="auto" w:fill="D2DCE5"/>
          </w:tcPr>
          <w:p>
            <w:pPr>
              <w:spacing w:after="0"/>
              <w:rPr>
                <w:sz w:val="20"/>
                <w:szCs w:val="20"/>
                <w:color w:val="auto"/>
              </w:rPr>
            </w:pPr>
          </w:p>
        </w:tc>
        <w:tc>
          <w:tcPr>
            <w:tcW w:w="800" w:type="dxa"/>
            <w:vAlign w:val="bottom"/>
            <w:tcBorders>
              <w:bottom w:val="single" w:sz="8" w:color="D2DCE5"/>
            </w:tcBorders>
            <w:shd w:val="clear" w:color="auto" w:fill="D2DCE5"/>
          </w:tcPr>
          <w:p>
            <w:pPr>
              <w:jc w:val="center"/>
              <w:ind w:right="30"/>
              <w:spacing w:after="0"/>
              <w:rPr>
                <w:sz w:val="20"/>
                <w:szCs w:val="20"/>
                <w:color w:val="auto"/>
              </w:rPr>
            </w:pPr>
            <w:r>
              <w:rPr>
                <w:rFonts w:ascii="Arial" w:cs="Arial" w:eastAsia="Arial" w:hAnsi="Arial"/>
                <w:sz w:val="18"/>
                <w:szCs w:val="18"/>
                <w:color w:val="131E29"/>
                <w:w w:val="98"/>
              </w:rPr>
              <w:t>101.1%</w:t>
            </w:r>
          </w:p>
        </w:tc>
        <w:tc>
          <w:tcPr>
            <w:tcW w:w="320" w:type="dxa"/>
            <w:vAlign w:val="bottom"/>
            <w:tcBorders>
              <w:bottom w:val="single" w:sz="8" w:color="D2DCE5"/>
            </w:tcBorders>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8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(7,589)</w:t>
            </w:r>
          </w:p>
        </w:tc>
        <w:tc>
          <w:tcPr>
            <w:tcW w:w="300" w:type="dxa"/>
            <w:vAlign w:val="bottom"/>
            <w:tcBorders>
              <w:bottom w:val="single" w:sz="8" w:color="D2DCE5"/>
            </w:tcBorders>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(3,779)</w:t>
            </w:r>
          </w:p>
        </w:tc>
        <w:tc>
          <w:tcPr>
            <w:tcW w:w="340" w:type="dxa"/>
            <w:vAlign w:val="bottom"/>
            <w:tcBorders>
              <w:bottom w:val="single" w:sz="8" w:color="D2DCE5"/>
            </w:tcBorders>
            <w:gridSpan w:val="2"/>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(3,810)</w:t>
            </w:r>
          </w:p>
        </w:tc>
        <w:tc>
          <w:tcPr>
            <w:tcW w:w="100" w:type="dxa"/>
            <w:vAlign w:val="bottom"/>
            <w:tcBorders>
              <w:bottom w:val="single" w:sz="8" w:color="D2DCE5"/>
            </w:tcBorders>
            <w:shd w:val="clear" w:color="auto" w:fill="D2DCE5"/>
          </w:tcPr>
          <w:p>
            <w:pPr>
              <w:spacing w:after="0"/>
              <w:rPr>
                <w:sz w:val="20"/>
                <w:szCs w:val="20"/>
                <w:color w:val="auto"/>
              </w:rPr>
            </w:pPr>
          </w:p>
        </w:tc>
        <w:tc>
          <w:tcPr>
            <w:tcW w:w="9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100.8%</w:t>
            </w:r>
          </w:p>
        </w:tc>
        <w:tc>
          <w:tcPr>
            <w:tcW w:w="0" w:type="dxa"/>
            <w:vAlign w:val="bottom"/>
          </w:tcPr>
          <w:p>
            <w:pPr>
              <w:spacing w:after="0"/>
              <w:rPr>
                <w:sz w:val="1"/>
                <w:szCs w:val="1"/>
                <w:color w:val="auto"/>
              </w:rPr>
            </w:pP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18"/>
                <w:szCs w:val="18"/>
                <w:color w:val="131E29"/>
              </w:rPr>
              <w:t>Other interest expense, net</w:t>
            </w:r>
          </w:p>
        </w:tc>
        <w:tc>
          <w:tcPr>
            <w:tcW w:w="220" w:type="dxa"/>
            <w:vAlign w:val="bottom"/>
          </w:tcPr>
          <w:p>
            <w:pPr>
              <w:spacing w:after="0"/>
              <w:rPr>
                <w:sz w:val="21"/>
                <w:szCs w:val="21"/>
                <w:color w:val="auto"/>
              </w:rPr>
            </w:pPr>
          </w:p>
        </w:tc>
        <w:tc>
          <w:tcPr>
            <w:tcW w:w="800" w:type="dxa"/>
            <w:vAlign w:val="bottom"/>
          </w:tcPr>
          <w:p>
            <w:pPr>
              <w:jc w:val="center"/>
              <w:ind w:left="90"/>
              <w:spacing w:after="0"/>
              <w:rPr>
                <w:sz w:val="20"/>
                <w:szCs w:val="20"/>
                <w:color w:val="auto"/>
              </w:rPr>
            </w:pPr>
            <w:r>
              <w:rPr>
                <w:rFonts w:ascii="Arial" w:cs="Arial" w:eastAsia="Arial" w:hAnsi="Arial"/>
                <w:sz w:val="18"/>
                <w:szCs w:val="18"/>
                <w:color w:val="131E29"/>
              </w:rPr>
              <w:t>(4,924)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131E29"/>
              </w:rPr>
              <w:t>(1,540)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131E29"/>
              </w:rPr>
              <w:t>(3,384)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131E29"/>
                <w:w w:val="98"/>
              </w:rPr>
              <w:t>219.7%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131E29"/>
              </w:rPr>
              <w:t>(9,355)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131E29"/>
              </w:rPr>
              <w:t>(2,306)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131E29"/>
              </w:rPr>
              <w:t>(7,049)</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131E29"/>
              </w:rPr>
              <w:t>305.7%</w:t>
            </w:r>
          </w:p>
        </w:tc>
        <w:tc>
          <w:tcPr>
            <w:tcW w:w="0" w:type="dxa"/>
            <w:vAlign w:val="bottom"/>
          </w:tcPr>
          <w:p>
            <w:pPr>
              <w:spacing w:after="0"/>
              <w:rPr>
                <w:sz w:val="1"/>
                <w:szCs w:val="1"/>
                <w:color w:val="auto"/>
              </w:rPr>
            </w:pPr>
          </w:p>
        </w:tc>
      </w:tr>
      <w:tr>
        <w:trPr>
          <w:trHeight w:val="27"/>
        </w:trPr>
        <w:tc>
          <w:tcPr>
            <w:tcW w:w="246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220" w:type="dxa"/>
            <w:vAlign w:val="bottom"/>
            <w:vMerge w:val="restart"/>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00" w:type="dxa"/>
            <w:vAlign w:val="bottom"/>
            <w:vMerge w:val="restart"/>
            <w:shd w:val="clear" w:color="auto" w:fill="D2DCE5"/>
          </w:tcPr>
          <w:p>
            <w:pPr>
              <w:jc w:val="center"/>
              <w:ind w:left="90"/>
              <w:spacing w:after="0"/>
              <w:rPr>
                <w:sz w:val="20"/>
                <w:szCs w:val="20"/>
                <w:color w:val="auto"/>
              </w:rPr>
            </w:pPr>
            <w:r>
              <w:rPr>
                <w:rFonts w:ascii="Arial" w:cs="Arial" w:eastAsia="Arial" w:hAnsi="Arial"/>
                <w:sz w:val="18"/>
                <w:szCs w:val="18"/>
                <w:color w:val="131E29"/>
              </w:rPr>
              <w:t>(9,058)</w:t>
            </w:r>
          </w:p>
        </w:tc>
        <w:tc>
          <w:tcPr>
            <w:tcW w:w="32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8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(3,596)</w:t>
            </w: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(5,462)</w:t>
            </w:r>
          </w:p>
        </w:tc>
        <w:tc>
          <w:tcPr>
            <w:tcW w:w="12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800" w:type="dxa"/>
            <w:vAlign w:val="bottom"/>
            <w:vMerge w:val="restart"/>
            <w:shd w:val="clear" w:color="auto" w:fill="D2DCE5"/>
          </w:tcPr>
          <w:p>
            <w:pPr>
              <w:jc w:val="center"/>
              <w:ind w:right="30"/>
              <w:spacing w:after="0"/>
              <w:rPr>
                <w:sz w:val="20"/>
                <w:szCs w:val="20"/>
                <w:color w:val="auto"/>
              </w:rPr>
            </w:pPr>
            <w:r>
              <w:rPr>
                <w:rFonts w:ascii="Arial" w:cs="Arial" w:eastAsia="Arial" w:hAnsi="Arial"/>
                <w:sz w:val="18"/>
                <w:szCs w:val="18"/>
                <w:color w:val="131E29"/>
                <w:w w:val="98"/>
              </w:rPr>
              <w:t>151.9%</w:t>
            </w:r>
          </w:p>
        </w:tc>
        <w:tc>
          <w:tcPr>
            <w:tcW w:w="320" w:type="dxa"/>
            <w:vAlign w:val="bottom"/>
            <w:gridSpan w:val="2"/>
            <w:vMerge w:val="restart"/>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(16,944)</w:t>
            </w:r>
          </w:p>
        </w:tc>
        <w:tc>
          <w:tcPr>
            <w:tcW w:w="300" w:type="dxa"/>
            <w:vAlign w:val="bottom"/>
            <w:gridSpan w:val="2"/>
            <w:vMerge w:val="restart"/>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8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(6,085)</w:t>
            </w:r>
          </w:p>
        </w:tc>
        <w:tc>
          <w:tcPr>
            <w:tcW w:w="3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8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(10,859)</w:t>
            </w:r>
          </w:p>
        </w:tc>
        <w:tc>
          <w:tcPr>
            <w:tcW w:w="100" w:type="dxa"/>
            <w:vAlign w:val="bottom"/>
            <w:shd w:val="clear" w:color="auto" w:fill="D2DCE5"/>
          </w:tcPr>
          <w:p>
            <w:pPr>
              <w:spacing w:after="0"/>
              <w:rPr>
                <w:sz w:val="19"/>
                <w:szCs w:val="19"/>
                <w:color w:val="auto"/>
              </w:rPr>
            </w:pPr>
          </w:p>
        </w:tc>
        <w:tc>
          <w:tcPr>
            <w:tcW w:w="940" w:type="dxa"/>
            <w:vAlign w:val="bottom"/>
            <w:vMerge w:val="restart"/>
            <w:shd w:val="clear" w:color="auto" w:fill="D2DCE5"/>
          </w:tcPr>
          <w:p>
            <w:pPr>
              <w:jc w:val="center"/>
              <w:spacing w:after="0"/>
              <w:rPr>
                <w:sz w:val="20"/>
                <w:szCs w:val="20"/>
                <w:color w:val="auto"/>
              </w:rPr>
            </w:pPr>
            <w:r>
              <w:rPr>
                <w:rFonts w:ascii="Arial" w:cs="Arial" w:eastAsia="Arial" w:hAnsi="Arial"/>
                <w:sz w:val="18"/>
                <w:szCs w:val="18"/>
                <w:color w:val="131E29"/>
              </w:rPr>
              <w:t>178.5%</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20" w:type="dxa"/>
            <w:vAlign w:val="bottom"/>
            <w:tcBorders>
              <w:bottom w:val="single" w:sz="8" w:color="D2DCE5"/>
            </w:tcBorders>
            <w:vMerge w:val="continue"/>
            <w:shd w:val="clear" w:color="auto" w:fill="D2DCE5"/>
          </w:tcPr>
          <w:p>
            <w:pPr>
              <w:spacing w:after="0"/>
              <w:rPr>
                <w:sz w:val="16"/>
                <w:szCs w:val="16"/>
                <w:color w:val="auto"/>
              </w:rPr>
            </w:pPr>
          </w:p>
        </w:tc>
        <w:tc>
          <w:tcPr>
            <w:tcW w:w="800" w:type="dxa"/>
            <w:vAlign w:val="bottom"/>
            <w:tcBorders>
              <w:bottom w:val="single" w:sz="8" w:color="D2DCE5"/>
            </w:tcBorders>
            <w:vMerge w:val="continue"/>
            <w:shd w:val="clear" w:color="auto" w:fill="D2DCE5"/>
          </w:tcPr>
          <w:p>
            <w:pPr>
              <w:spacing w:after="0"/>
              <w:rPr>
                <w:sz w:val="16"/>
                <w:szCs w:val="16"/>
                <w:color w:val="auto"/>
              </w:rPr>
            </w:pPr>
          </w:p>
        </w:tc>
        <w:tc>
          <w:tcPr>
            <w:tcW w:w="320" w:type="dxa"/>
            <w:vAlign w:val="bottom"/>
            <w:tcBorders>
              <w:bottom w:val="single" w:sz="8" w:color="D2DCE5"/>
            </w:tcBorders>
            <w:gridSpan w:val="2"/>
            <w:vMerge w:val="continue"/>
            <w:shd w:val="clear" w:color="auto" w:fill="D2DCE5"/>
          </w:tcPr>
          <w:p>
            <w:pPr>
              <w:spacing w:after="0"/>
              <w:rPr>
                <w:sz w:val="16"/>
                <w:szCs w:val="16"/>
                <w:color w:val="auto"/>
              </w:rPr>
            </w:pPr>
          </w:p>
        </w:tc>
        <w:tc>
          <w:tcPr>
            <w:tcW w:w="800" w:type="dxa"/>
            <w:vAlign w:val="bottom"/>
            <w:tcBorders>
              <w:bottom w:val="single" w:sz="8" w:color="D2DCE5"/>
            </w:tcBorders>
            <w:vMerge w:val="continue"/>
            <w:shd w:val="clear" w:color="auto" w:fill="D2DCE5"/>
          </w:tcPr>
          <w:p>
            <w:pPr>
              <w:spacing w:after="0"/>
              <w:rPr>
                <w:sz w:val="16"/>
                <w:szCs w:val="16"/>
                <w:color w:val="auto"/>
              </w:rPr>
            </w:pPr>
          </w:p>
        </w:tc>
        <w:tc>
          <w:tcPr>
            <w:tcW w:w="360" w:type="dxa"/>
            <w:vAlign w:val="bottom"/>
            <w:tcBorders>
              <w:bottom w:val="single" w:sz="8" w:color="D2DCE5"/>
            </w:tcBorders>
            <w:gridSpan w:val="2"/>
            <w:vMerge w:val="continue"/>
            <w:shd w:val="clear" w:color="auto" w:fill="D2DCE5"/>
          </w:tcPr>
          <w:p>
            <w:pPr>
              <w:spacing w:after="0"/>
              <w:rPr>
                <w:sz w:val="16"/>
                <w:szCs w:val="16"/>
                <w:color w:val="auto"/>
              </w:rPr>
            </w:pPr>
          </w:p>
        </w:tc>
        <w:tc>
          <w:tcPr>
            <w:tcW w:w="740" w:type="dxa"/>
            <w:vAlign w:val="bottom"/>
            <w:tcBorders>
              <w:bottom w:val="single" w:sz="8" w:color="D2DCE5"/>
            </w:tcBorders>
            <w:vMerge w:val="continue"/>
            <w:shd w:val="clear" w:color="auto" w:fill="D2DCE5"/>
          </w:tcPr>
          <w:p>
            <w:pPr>
              <w:spacing w:after="0"/>
              <w:rPr>
                <w:sz w:val="16"/>
                <w:szCs w:val="16"/>
                <w:color w:val="auto"/>
              </w:rPr>
            </w:pPr>
          </w:p>
        </w:tc>
        <w:tc>
          <w:tcPr>
            <w:tcW w:w="120" w:type="dxa"/>
            <w:vAlign w:val="bottom"/>
            <w:tcBorders>
              <w:bottom w:val="single" w:sz="8" w:color="D2DCE5"/>
            </w:tcBorders>
            <w:shd w:val="clear" w:color="auto" w:fill="D2DCE5"/>
          </w:tcPr>
          <w:p>
            <w:pPr>
              <w:spacing w:after="0"/>
              <w:rPr>
                <w:sz w:val="16"/>
                <w:szCs w:val="16"/>
                <w:color w:val="auto"/>
              </w:rPr>
            </w:pPr>
          </w:p>
        </w:tc>
        <w:tc>
          <w:tcPr>
            <w:tcW w:w="120" w:type="dxa"/>
            <w:vAlign w:val="bottom"/>
            <w:tcBorders>
              <w:bottom w:val="single" w:sz="8" w:color="D2DCE5"/>
            </w:tcBorders>
            <w:shd w:val="clear" w:color="auto" w:fill="D2DCE5"/>
          </w:tcPr>
          <w:p>
            <w:pPr>
              <w:spacing w:after="0"/>
              <w:rPr>
                <w:sz w:val="16"/>
                <w:szCs w:val="16"/>
                <w:color w:val="auto"/>
              </w:rPr>
            </w:pPr>
          </w:p>
        </w:tc>
        <w:tc>
          <w:tcPr>
            <w:tcW w:w="800" w:type="dxa"/>
            <w:vAlign w:val="bottom"/>
            <w:tcBorders>
              <w:bottom w:val="single" w:sz="8" w:color="D2DCE5"/>
            </w:tcBorders>
            <w:vMerge w:val="continue"/>
            <w:shd w:val="clear" w:color="auto" w:fill="D2DCE5"/>
          </w:tcPr>
          <w:p>
            <w:pPr>
              <w:spacing w:after="0"/>
              <w:rPr>
                <w:sz w:val="16"/>
                <w:szCs w:val="16"/>
                <w:color w:val="auto"/>
              </w:rPr>
            </w:pPr>
          </w:p>
        </w:tc>
        <w:tc>
          <w:tcPr>
            <w:tcW w:w="320" w:type="dxa"/>
            <w:vAlign w:val="bottom"/>
            <w:tcBorders>
              <w:bottom w:val="single" w:sz="8" w:color="D2DCE5"/>
            </w:tcBorders>
            <w:gridSpan w:val="2"/>
            <w:vMerge w:val="continue"/>
            <w:shd w:val="clear" w:color="auto" w:fill="D2DCE5"/>
          </w:tcPr>
          <w:p>
            <w:pPr>
              <w:spacing w:after="0"/>
              <w:rPr>
                <w:sz w:val="16"/>
                <w:szCs w:val="16"/>
                <w:color w:val="auto"/>
              </w:rPr>
            </w:pPr>
          </w:p>
        </w:tc>
        <w:tc>
          <w:tcPr>
            <w:tcW w:w="820" w:type="dxa"/>
            <w:vAlign w:val="bottom"/>
            <w:tcBorders>
              <w:bottom w:val="single" w:sz="8" w:color="D2DCE5"/>
            </w:tcBorders>
            <w:vMerge w:val="continue"/>
            <w:shd w:val="clear" w:color="auto" w:fill="D2DCE5"/>
          </w:tcPr>
          <w:p>
            <w:pPr>
              <w:spacing w:after="0"/>
              <w:rPr>
                <w:sz w:val="16"/>
                <w:szCs w:val="16"/>
                <w:color w:val="auto"/>
              </w:rPr>
            </w:pPr>
          </w:p>
        </w:tc>
        <w:tc>
          <w:tcPr>
            <w:tcW w:w="300" w:type="dxa"/>
            <w:vAlign w:val="bottom"/>
            <w:tcBorders>
              <w:bottom w:val="single" w:sz="8" w:color="D2DCE5"/>
            </w:tcBorders>
            <w:gridSpan w:val="2"/>
            <w:vMerge w:val="continue"/>
            <w:shd w:val="clear" w:color="auto" w:fill="D2DCE5"/>
          </w:tcPr>
          <w:p>
            <w:pPr>
              <w:spacing w:after="0"/>
              <w:rPr>
                <w:sz w:val="16"/>
                <w:szCs w:val="16"/>
                <w:color w:val="auto"/>
              </w:rPr>
            </w:pPr>
          </w:p>
        </w:tc>
        <w:tc>
          <w:tcPr>
            <w:tcW w:w="800" w:type="dxa"/>
            <w:vAlign w:val="bottom"/>
            <w:tcBorders>
              <w:bottom w:val="single" w:sz="8" w:color="D2DCE5"/>
            </w:tcBorders>
            <w:vMerge w:val="continue"/>
            <w:shd w:val="clear" w:color="auto" w:fill="D2DCE5"/>
          </w:tcPr>
          <w:p>
            <w:pPr>
              <w:spacing w:after="0"/>
              <w:rPr>
                <w:sz w:val="16"/>
                <w:szCs w:val="16"/>
                <w:color w:val="auto"/>
              </w:rPr>
            </w:pPr>
          </w:p>
        </w:tc>
        <w:tc>
          <w:tcPr>
            <w:tcW w:w="340" w:type="dxa"/>
            <w:vAlign w:val="bottom"/>
            <w:tcBorders>
              <w:bottom w:val="single" w:sz="8" w:color="D2DCE5"/>
            </w:tcBorders>
            <w:gridSpan w:val="2"/>
            <w:vMerge w:val="continue"/>
            <w:shd w:val="clear" w:color="auto" w:fill="D2DCE5"/>
          </w:tcPr>
          <w:p>
            <w:pPr>
              <w:spacing w:after="0"/>
              <w:rPr>
                <w:sz w:val="16"/>
                <w:szCs w:val="16"/>
                <w:color w:val="auto"/>
              </w:rPr>
            </w:pPr>
          </w:p>
        </w:tc>
        <w:tc>
          <w:tcPr>
            <w:tcW w:w="800" w:type="dxa"/>
            <w:vAlign w:val="bottom"/>
            <w:tcBorders>
              <w:bottom w:val="single" w:sz="8" w:color="D2DCE5"/>
            </w:tcBorders>
            <w:vMerge w:val="continue"/>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40" w:type="dxa"/>
            <w:vAlign w:val="bottom"/>
            <w:tcBorders>
              <w:bottom w:val="single" w:sz="8" w:color="D2DCE5"/>
            </w:tcBorders>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40" w:type="dxa"/>
            <w:vAlign w:val="bottom"/>
            <w:gridSpan w:val="2"/>
          </w:tcPr>
          <w:p>
            <w:pPr>
              <w:ind w:left="20"/>
              <w:spacing w:after="0"/>
              <w:rPr>
                <w:sz w:val="20"/>
                <w:szCs w:val="20"/>
                <w:color w:val="auto"/>
              </w:rPr>
            </w:pPr>
            <w:r>
              <w:rPr>
                <w:rFonts w:ascii="Arial" w:cs="Arial" w:eastAsia="Arial" w:hAnsi="Arial"/>
                <w:sz w:val="18"/>
                <w:szCs w:val="18"/>
                <w:color w:val="131E29"/>
              </w:rPr>
              <w:t>Other income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color w:val="131E29"/>
                <w:w w:val="97"/>
              </w:rPr>
              <w:t>1,039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131E29"/>
                <w:w w:val="96"/>
              </w:rPr>
              <w:t>N/M</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2,346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282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2,064</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131E29"/>
              </w:rPr>
              <w:t>N/M</w:t>
            </w:r>
          </w:p>
        </w:tc>
        <w:tc>
          <w:tcPr>
            <w:tcW w:w="0" w:type="dxa"/>
            <w:vAlign w:val="bottom"/>
          </w:tcPr>
          <w:p>
            <w:pPr>
              <w:spacing w:after="0"/>
              <w:rPr>
                <w:sz w:val="1"/>
                <w:szCs w:val="1"/>
                <w:color w:val="auto"/>
              </w:rPr>
            </w:pPr>
          </w:p>
        </w:tc>
      </w:tr>
      <w:tr>
        <w:trPr>
          <w:trHeight w:val="27"/>
        </w:trPr>
        <w:tc>
          <w:tcPr>
            <w:tcW w:w="246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540" w:type="dxa"/>
            <w:vAlign w:val="bottom"/>
            <w:gridSpan w:val="2"/>
            <w:shd w:val="clear" w:color="auto" w:fill="D2DCE5"/>
          </w:tcPr>
          <w:p>
            <w:pPr>
              <w:ind w:left="240"/>
              <w:spacing w:after="0"/>
              <w:rPr>
                <w:sz w:val="20"/>
                <w:szCs w:val="20"/>
                <w:color w:val="auto"/>
              </w:rPr>
            </w:pPr>
            <w:r>
              <w:rPr>
                <w:rFonts w:ascii="Arial" w:cs="Arial" w:eastAsia="Arial" w:hAnsi="Arial"/>
                <w:sz w:val="18"/>
                <w:szCs w:val="18"/>
                <w:color w:val="131E29"/>
              </w:rPr>
              <w:t>Total other expense</w:t>
            </w:r>
          </w:p>
        </w:tc>
        <w:tc>
          <w:tcPr>
            <w:tcW w:w="220" w:type="dxa"/>
            <w:vAlign w:val="bottom"/>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00" w:type="dxa"/>
            <w:vAlign w:val="bottom"/>
            <w:shd w:val="clear" w:color="auto" w:fill="D2DCE5"/>
          </w:tcPr>
          <w:p>
            <w:pPr>
              <w:jc w:val="center"/>
              <w:ind w:left="90"/>
              <w:spacing w:after="0"/>
              <w:rPr>
                <w:sz w:val="20"/>
                <w:szCs w:val="20"/>
                <w:color w:val="auto"/>
              </w:rPr>
            </w:pPr>
            <w:r>
              <w:rPr>
                <w:rFonts w:ascii="Arial" w:cs="Arial" w:eastAsia="Arial" w:hAnsi="Arial"/>
                <w:sz w:val="18"/>
                <w:szCs w:val="18"/>
                <w:color w:val="131E29"/>
              </w:rPr>
              <w:t>(8,019)</w:t>
            </w:r>
          </w:p>
        </w:tc>
        <w:tc>
          <w:tcPr>
            <w:tcW w:w="320" w:type="dxa"/>
            <w:vAlign w:val="bottom"/>
            <w:gridSpan w:val="2"/>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(3,535)</w:t>
            </w: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(4,484)</w:t>
            </w:r>
          </w:p>
        </w:tc>
        <w:tc>
          <w:tcPr>
            <w:tcW w:w="120" w:type="dxa"/>
            <w:vAlign w:val="bottom"/>
            <w:shd w:val="clear" w:color="auto" w:fill="D2DCE5"/>
          </w:tcPr>
          <w:p>
            <w:pPr>
              <w:spacing w:after="0"/>
              <w:rPr>
                <w:sz w:val="24"/>
                <w:szCs w:val="24"/>
                <w:color w:val="auto"/>
              </w:rPr>
            </w:pPr>
          </w:p>
        </w:tc>
        <w:tc>
          <w:tcPr>
            <w:tcW w:w="120" w:type="dxa"/>
            <w:vAlign w:val="bottom"/>
            <w:shd w:val="clear" w:color="auto" w:fill="D2DCE5"/>
          </w:tcPr>
          <w:p>
            <w:pPr>
              <w:spacing w:after="0"/>
              <w:rPr>
                <w:sz w:val="24"/>
                <w:szCs w:val="24"/>
                <w:color w:val="auto"/>
              </w:rPr>
            </w:pPr>
          </w:p>
        </w:tc>
        <w:tc>
          <w:tcPr>
            <w:tcW w:w="800" w:type="dxa"/>
            <w:vAlign w:val="bottom"/>
            <w:shd w:val="clear" w:color="auto" w:fill="D2DCE5"/>
          </w:tcPr>
          <w:p>
            <w:pPr>
              <w:jc w:val="center"/>
              <w:ind w:right="30"/>
              <w:spacing w:after="0"/>
              <w:rPr>
                <w:sz w:val="20"/>
                <w:szCs w:val="20"/>
                <w:color w:val="auto"/>
              </w:rPr>
            </w:pPr>
            <w:r>
              <w:rPr>
                <w:rFonts w:ascii="Arial" w:cs="Arial" w:eastAsia="Arial" w:hAnsi="Arial"/>
                <w:sz w:val="18"/>
                <w:szCs w:val="18"/>
                <w:color w:val="131E29"/>
                <w:w w:val="98"/>
              </w:rPr>
              <w:t>126.8%</w:t>
            </w:r>
          </w:p>
        </w:tc>
        <w:tc>
          <w:tcPr>
            <w:tcW w:w="32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(14,598)</w:t>
            </w:r>
          </w:p>
        </w:tc>
        <w:tc>
          <w:tcPr>
            <w:tcW w:w="30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(5,803)</w:t>
            </w:r>
          </w:p>
        </w:tc>
        <w:tc>
          <w:tcPr>
            <w:tcW w:w="340" w:type="dxa"/>
            <w:vAlign w:val="bottom"/>
            <w:gridSpan w:val="2"/>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(8,795)</w:t>
            </w:r>
          </w:p>
        </w:tc>
        <w:tc>
          <w:tcPr>
            <w:tcW w:w="100" w:type="dxa"/>
            <w:vAlign w:val="bottom"/>
            <w:shd w:val="clear" w:color="auto" w:fill="D2DCE5"/>
          </w:tcPr>
          <w:p>
            <w:pPr>
              <w:spacing w:after="0"/>
              <w:rPr>
                <w:sz w:val="24"/>
                <w:szCs w:val="24"/>
                <w:color w:val="auto"/>
              </w:rPr>
            </w:pPr>
          </w:p>
        </w:tc>
        <w:tc>
          <w:tcPr>
            <w:tcW w:w="940" w:type="dxa"/>
            <w:vAlign w:val="bottom"/>
            <w:shd w:val="clear" w:color="auto" w:fill="D2DCE5"/>
          </w:tcPr>
          <w:p>
            <w:pPr>
              <w:jc w:val="center"/>
              <w:spacing w:after="0"/>
              <w:rPr>
                <w:sz w:val="20"/>
                <w:szCs w:val="20"/>
                <w:color w:val="auto"/>
              </w:rPr>
            </w:pPr>
            <w:r>
              <w:rPr>
                <w:rFonts w:ascii="Arial" w:cs="Arial" w:eastAsia="Arial" w:hAnsi="Arial"/>
                <w:sz w:val="18"/>
                <w:szCs w:val="18"/>
                <w:color w:val="131E29"/>
              </w:rPr>
              <w:t>151.6%</w:t>
            </w:r>
          </w:p>
        </w:tc>
        <w:tc>
          <w:tcPr>
            <w:tcW w:w="0" w:type="dxa"/>
            <w:vAlign w:val="bottom"/>
          </w:tcPr>
          <w:p>
            <w:pPr>
              <w:spacing w:after="0"/>
              <w:rPr>
                <w:sz w:val="1"/>
                <w:szCs w:val="1"/>
                <w:color w:val="auto"/>
              </w:rPr>
            </w:pPr>
          </w:p>
        </w:tc>
      </w:tr>
      <w:tr>
        <w:trPr>
          <w:trHeight w:val="20"/>
        </w:trPr>
        <w:tc>
          <w:tcPr>
            <w:tcW w:w="24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Six Months Ended June 30, 2023 v. 2022</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increases in interest expense, net was primarily driven by increased borrowings and higher interest rates associated with our credit facility, and additional finance leases for new shop builds.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131E29"/>
        </w:rPr>
        <w:t>The increases in other income was primarily driven by the recognition of remeasurement gains related to the TRAs liability.</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Income Tax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131E29"/>
              </w:rPr>
              <w:t>Three Months Ended June 30,</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131E29"/>
                <w:w w:val="99"/>
              </w:rPr>
              <w:t>Six Months Ended June 30,</w:t>
            </w:r>
          </w:p>
        </w:tc>
        <w:tc>
          <w:tcPr>
            <w:tcW w:w="880" w:type="dxa"/>
            <w:vAlign w:val="bottom"/>
            <w:tcBorders>
              <w:bottom w:val="single" w:sz="8" w:color="auto"/>
            </w:tcBorders>
          </w:tcPr>
          <w:p>
            <w:pPr>
              <w:spacing w:after="0"/>
              <w:rPr>
                <w:sz w:val="22"/>
                <w:szCs w:val="22"/>
                <w:color w:val="auto"/>
              </w:rPr>
            </w:pPr>
          </w:p>
        </w:tc>
      </w:tr>
      <w:tr>
        <w:trPr>
          <w:trHeight w:val="264"/>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131E29"/>
              </w:rPr>
              <w:t>2023</w:t>
            </w:r>
          </w:p>
        </w:tc>
        <w:tc>
          <w:tcPr>
            <w:tcW w:w="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131E29"/>
            </w:tcBorders>
          </w:tcPr>
          <w:p>
            <w:pPr>
              <w:spacing w:after="0"/>
              <w:rPr>
                <w:sz w:val="22"/>
                <w:szCs w:val="22"/>
                <w:color w:val="auto"/>
              </w:rPr>
            </w:pPr>
          </w:p>
        </w:tc>
        <w:tc>
          <w:tcPr>
            <w:tcW w:w="900" w:type="dxa"/>
            <w:vAlign w:val="bottom"/>
            <w:tcBorders>
              <w:bottom w:val="single" w:sz="8" w:color="131E29"/>
            </w:tcBorders>
          </w:tcPr>
          <w:p>
            <w:pPr>
              <w:ind w:left="12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760" w:type="dxa"/>
            <w:vAlign w:val="bottom"/>
            <w:tcBorders>
              <w:bottom w:val="single" w:sz="8" w:color="131E29"/>
            </w:tcBorders>
            <w:gridSpan w:val="2"/>
          </w:tcPr>
          <w:p>
            <w:pPr>
              <w:jc w:val="right"/>
              <w:ind w:right="430"/>
              <w:spacing w:after="0"/>
              <w:rPr>
                <w:sz w:val="20"/>
                <w:szCs w:val="20"/>
                <w:color w:val="auto"/>
              </w:rPr>
            </w:pPr>
            <w:r>
              <w:rPr>
                <w:rFonts w:ascii="Arial" w:cs="Arial" w:eastAsia="Arial" w:hAnsi="Arial"/>
                <w:sz w:val="18"/>
                <w:szCs w:val="18"/>
                <w:b w:val="1"/>
                <w:bCs w:val="1"/>
                <w:color w:val="131E29"/>
              </w:rPr>
              <w:t>2022 v. 2021</w:t>
            </w:r>
          </w:p>
        </w:tc>
        <w:tc>
          <w:tcPr>
            <w:tcW w:w="100" w:type="dxa"/>
            <w:vAlign w:val="bottom"/>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760" w:type="dxa"/>
            <w:vAlign w:val="bottom"/>
            <w:tcBorders>
              <w:bottom w:val="single" w:sz="8" w:color="131E29"/>
            </w:tcBorders>
          </w:tcPr>
          <w:p>
            <w:pPr>
              <w:jc w:val="right"/>
              <w:ind w:right="170"/>
              <w:spacing w:after="0"/>
              <w:rPr>
                <w:sz w:val="20"/>
                <w:szCs w:val="20"/>
                <w:color w:val="auto"/>
              </w:rPr>
            </w:pPr>
            <w:r>
              <w:rPr>
                <w:rFonts w:ascii="Arial" w:cs="Arial" w:eastAsia="Arial" w:hAnsi="Arial"/>
                <w:sz w:val="18"/>
                <w:szCs w:val="18"/>
                <w:b w:val="1"/>
                <w:bCs w:val="1"/>
                <w:color w:val="131E29"/>
              </w:rPr>
              <w:t>2023</w:t>
            </w:r>
          </w:p>
        </w:tc>
        <w:tc>
          <w:tcPr>
            <w:tcW w:w="40" w:type="dxa"/>
            <w:vAlign w:val="bottom"/>
            <w:tcBorders>
              <w:bottom w:val="single" w:sz="8" w:color="131E29"/>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800" w:type="dxa"/>
            <w:vAlign w:val="bottom"/>
            <w:tcBorders>
              <w:bottom w:val="single" w:sz="8" w:color="131E29"/>
            </w:tcBorders>
          </w:tcPr>
          <w:p>
            <w:pPr>
              <w:jc w:val="right"/>
              <w:ind w:right="190"/>
              <w:spacing w:after="0"/>
              <w:rPr>
                <w:sz w:val="20"/>
                <w:szCs w:val="20"/>
                <w:color w:val="auto"/>
              </w:rPr>
            </w:pPr>
            <w:r>
              <w:rPr>
                <w:rFonts w:ascii="Arial" w:cs="Arial" w:eastAsia="Arial" w:hAnsi="Arial"/>
                <w:sz w:val="18"/>
                <w:szCs w:val="18"/>
                <w:b w:val="1"/>
                <w:bCs w:val="1"/>
                <w:color w:val="131E29"/>
              </w:rPr>
              <w:t>2022</w:t>
            </w:r>
          </w:p>
        </w:tc>
        <w:tc>
          <w:tcPr>
            <w:tcW w:w="12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1840" w:type="dxa"/>
            <w:vAlign w:val="bottom"/>
            <w:tcBorders>
              <w:bottom w:val="single" w:sz="8" w:color="131E29"/>
            </w:tcBorders>
            <w:gridSpan w:val="2"/>
          </w:tcPr>
          <w:p>
            <w:pPr>
              <w:ind w:left="280"/>
              <w:spacing w:after="0"/>
              <w:rPr>
                <w:sz w:val="20"/>
                <w:szCs w:val="20"/>
                <w:color w:val="auto"/>
              </w:rPr>
            </w:pPr>
            <w:r>
              <w:rPr>
                <w:rFonts w:ascii="Arial" w:cs="Arial" w:eastAsia="Arial" w:hAnsi="Arial"/>
                <w:sz w:val="18"/>
                <w:szCs w:val="18"/>
                <w:b w:val="1"/>
                <w:bCs w:val="1"/>
                <w:color w:val="131E29"/>
              </w:rPr>
              <w:t>2023 v. 2022</w:t>
            </w:r>
          </w:p>
        </w:tc>
      </w:tr>
      <w:tr>
        <w:trPr>
          <w:trHeight w:val="249"/>
        </w:trPr>
        <w:tc>
          <w:tcPr>
            <w:tcW w:w="2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1,851</w:t>
            </w:r>
          </w:p>
        </w:tc>
        <w:tc>
          <w:tcPr>
            <w:tcW w:w="540" w:type="dxa"/>
            <w:vAlign w:val="bottom"/>
            <w:tcBorders>
              <w:bottom w:val="single" w:sz="8" w:color="D2DCE5"/>
            </w:tcBorders>
            <w:gridSpan w:val="3"/>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90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885</w:t>
            </w:r>
          </w:p>
        </w:tc>
        <w:tc>
          <w:tcPr>
            <w:tcW w:w="4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86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rPr>
              <w:t>966</w:t>
            </w:r>
          </w:p>
        </w:tc>
        <w:tc>
          <w:tcPr>
            <w:tcW w:w="1180" w:type="dxa"/>
            <w:vAlign w:val="bottom"/>
            <w:tcBorders>
              <w:bottom w:val="single" w:sz="8" w:color="D2DCE5"/>
            </w:tcBorders>
            <w:gridSpan w:val="3"/>
            <w:shd w:val="clear" w:color="auto" w:fill="D2DCE5"/>
          </w:tcPr>
          <w:p>
            <w:pPr>
              <w:jc w:val="right"/>
              <w:ind w:right="60"/>
              <w:spacing w:after="0"/>
              <w:rPr>
                <w:sz w:val="20"/>
                <w:szCs w:val="20"/>
                <w:color w:val="auto"/>
              </w:rPr>
            </w:pPr>
            <w:r>
              <w:rPr>
                <w:rFonts w:ascii="Arial" w:cs="Arial" w:eastAsia="Arial" w:hAnsi="Arial"/>
                <w:sz w:val="18"/>
                <w:szCs w:val="18"/>
                <w:color w:val="131E29"/>
              </w:rPr>
              <w:t>109.2%   $</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4,431</w:t>
            </w:r>
          </w:p>
        </w:tc>
        <w:tc>
          <w:tcPr>
            <w:tcW w:w="320" w:type="dxa"/>
            <w:vAlign w:val="bottom"/>
            <w:tcBorders>
              <w:bottom w:val="single" w:sz="8" w:color="D2DCE5"/>
            </w:tcBorders>
            <w:gridSpan w:val="3"/>
            <w:shd w:val="clear" w:color="auto" w:fill="D2DCE5"/>
          </w:tcPr>
          <w:p>
            <w:pPr>
              <w:jc w:val="right"/>
              <w:ind w:right="60"/>
              <w:spacing w:after="0"/>
              <w:rPr>
                <w:sz w:val="20"/>
                <w:szCs w:val="20"/>
                <w:color w:val="auto"/>
              </w:rPr>
            </w:pPr>
            <w:r>
              <w:rPr>
                <w:rFonts w:ascii="Arial" w:cs="Arial" w:eastAsia="Arial" w:hAnsi="Arial"/>
                <w:sz w:val="18"/>
                <w:szCs w:val="18"/>
                <w:color w:val="131E2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671</w:t>
            </w:r>
          </w:p>
        </w:tc>
        <w:tc>
          <w:tcPr>
            <w:tcW w:w="340" w:type="dxa"/>
            <w:vAlign w:val="bottom"/>
            <w:tcBorders>
              <w:bottom w:val="single" w:sz="8" w:color="D2DCE5"/>
            </w:tcBorders>
            <w:gridSpan w:val="2"/>
            <w:shd w:val="clear" w:color="auto" w:fill="D2DCE5"/>
          </w:tcPr>
          <w:p>
            <w:pPr>
              <w:jc w:val="right"/>
              <w:ind w:right="120"/>
              <w:spacing w:after="0"/>
              <w:rPr>
                <w:sz w:val="20"/>
                <w:szCs w:val="20"/>
                <w:color w:val="auto"/>
              </w:rPr>
            </w:pPr>
            <w:r>
              <w:rPr>
                <w:rFonts w:ascii="Arial" w:cs="Arial" w:eastAsia="Arial" w:hAnsi="Arial"/>
                <w:sz w:val="18"/>
                <w:szCs w:val="18"/>
                <w:color w:val="131E29"/>
              </w:rPr>
              <w:t>$</w:t>
            </w:r>
          </w:p>
        </w:tc>
        <w:tc>
          <w:tcPr>
            <w:tcW w:w="96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rPr>
              <w:t>3,760</w:t>
            </w:r>
          </w:p>
        </w:tc>
        <w:tc>
          <w:tcPr>
            <w:tcW w:w="88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rPr>
              <w:t>560.4%</w:t>
            </w:r>
          </w:p>
        </w:tc>
      </w:tr>
      <w:tr>
        <w:trPr>
          <w:trHeight w:val="243"/>
        </w:trPr>
        <w:tc>
          <w:tcPr>
            <w:tcW w:w="234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2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131E29"/>
              </w:rPr>
              <w:t>16.0 %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131E29"/>
              </w:rPr>
              <w:t>(102.2)%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131E29"/>
              </w:rPr>
              <w:t>N/A</w:t>
            </w: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131E29"/>
              </w:rPr>
              <w:t>N/M</w:t>
            </w:r>
          </w:p>
        </w:tc>
        <w:tc>
          <w:tcPr>
            <w:tcW w:w="760" w:type="dxa"/>
            <w:vAlign w:val="bottom"/>
          </w:tcPr>
          <w:p>
            <w:pPr>
              <w:jc w:val="right"/>
              <w:ind w:right="110"/>
              <w:spacing w:after="0"/>
              <w:rPr>
                <w:sz w:val="20"/>
                <w:szCs w:val="20"/>
                <w:color w:val="auto"/>
              </w:rPr>
            </w:pPr>
            <w:r>
              <w:rPr>
                <w:rFonts w:ascii="Arial" w:cs="Arial" w:eastAsia="Arial" w:hAnsi="Arial"/>
                <w:sz w:val="18"/>
                <w:szCs w:val="18"/>
                <w:color w:val="131E29"/>
              </w:rPr>
              <w:t>93.3%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131E29"/>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color w:val="131E29"/>
              </w:rPr>
              <w:t>N/A</w:t>
            </w:r>
          </w:p>
        </w:tc>
        <w:tc>
          <w:tcPr>
            <w:tcW w:w="880" w:type="dxa"/>
            <w:vAlign w:val="bottom"/>
          </w:tcPr>
          <w:p>
            <w:pPr>
              <w:jc w:val="center"/>
              <w:ind w:right="10"/>
              <w:spacing w:after="0"/>
              <w:rPr>
                <w:sz w:val="20"/>
                <w:szCs w:val="20"/>
                <w:color w:val="auto"/>
              </w:rPr>
            </w:pPr>
            <w:r>
              <w:rPr>
                <w:rFonts w:ascii="Arial" w:cs="Arial" w:eastAsia="Arial" w:hAnsi="Arial"/>
                <w:sz w:val="18"/>
                <w:szCs w:val="18"/>
                <w:color w:val="131E29"/>
              </w:rPr>
              <w:t>N/M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2023 v.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tax expense was primarily driven by increased current year pre-tax income and changes in state earnings mix.</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2023 v. 2022</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increase in tax expense was primarily driven by increased current year pre-tax income, vested equity-based compensation adjustments, and changes in state earnings mix.</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Overview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131E29"/>
        </w:rPr>
        <w:t>We had cash and cash equivalents of $23.7 million and $20.2 million as of June 30, 2023 and December 31,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For the six months ended June 30, 2023, our principal sources of liquidity were cash flows from our revolving credit facility and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Our principal uses of liquidity for the six months ended June 30, 2023 were to fund our new shop builds and working capital needs.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our cash flows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131E29"/>
              </w:rPr>
              <w:t>Six Months Ended June 30,</w:t>
            </w:r>
          </w:p>
        </w:tc>
        <w:tc>
          <w:tcPr>
            <w:tcW w:w="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6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131E29"/>
              </w:rPr>
              <w:t>2022</w:t>
            </w:r>
          </w:p>
        </w:tc>
        <w:tc>
          <w:tcPr>
            <w:tcW w:w="120" w:type="dxa"/>
            <w:vAlign w:val="bottom"/>
          </w:tcPr>
          <w:p>
            <w:pPr>
              <w:spacing w:after="0"/>
              <w:rPr>
                <w:sz w:val="22"/>
                <w:szCs w:val="22"/>
                <w:color w:val="auto"/>
              </w:rPr>
            </w:pPr>
          </w:p>
        </w:tc>
        <w:tc>
          <w:tcPr>
            <w:tcW w:w="320" w:type="dxa"/>
            <w:vAlign w:val="bottom"/>
            <w:tcBorders>
              <w:bottom w:val="single" w:sz="8" w:color="131E29"/>
            </w:tcBorders>
          </w:tcPr>
          <w:p>
            <w:pPr>
              <w:spacing w:after="0"/>
              <w:rPr>
                <w:sz w:val="22"/>
                <w:szCs w:val="22"/>
                <w:color w:val="auto"/>
              </w:rPr>
            </w:pPr>
          </w:p>
        </w:tc>
        <w:tc>
          <w:tcPr>
            <w:tcW w:w="2200" w:type="dxa"/>
            <w:vAlign w:val="bottom"/>
            <w:tcBorders>
              <w:bottom w:val="single" w:sz="8" w:color="131E29"/>
            </w:tcBorders>
            <w:gridSpan w:val="3"/>
          </w:tcPr>
          <w:p>
            <w:pPr>
              <w:ind w:left="420"/>
              <w:spacing w:after="0"/>
              <w:rPr>
                <w:sz w:val="20"/>
                <w:szCs w:val="20"/>
                <w:color w:val="auto"/>
              </w:rPr>
            </w:pPr>
            <w:r>
              <w:rPr>
                <w:rFonts w:ascii="Arial" w:cs="Arial" w:eastAsia="Arial" w:hAnsi="Arial"/>
                <w:sz w:val="18"/>
                <w:szCs w:val="18"/>
                <w:b w:val="1"/>
                <w:bCs w:val="1"/>
                <w:color w:val="131E29"/>
              </w:rPr>
              <w:t>2023 v. 2022</w:t>
            </w:r>
          </w:p>
        </w:tc>
      </w:tr>
      <w:tr>
        <w:trPr>
          <w:trHeight w:val="250"/>
        </w:trPr>
        <w:tc>
          <w:tcPr>
            <w:tcW w:w="60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operating activities</w:t>
            </w: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45,843</w:t>
            </w:r>
          </w:p>
        </w:tc>
        <w:tc>
          <w:tcPr>
            <w:tcW w:w="360" w:type="dxa"/>
            <w:vAlign w:val="bottom"/>
            <w:tcBorders>
              <w:bottom w:val="single" w:sz="8" w:color="D2DCE5"/>
            </w:tcBorders>
            <w:gridSpan w:val="2"/>
            <w:shd w:val="clear" w:color="auto" w:fill="D2DCE5"/>
          </w:tcPr>
          <w:p>
            <w:pPr>
              <w:jc w:val="right"/>
              <w:ind w:right="50"/>
              <w:spacing w:after="0"/>
              <w:rPr>
                <w:sz w:val="20"/>
                <w:szCs w:val="20"/>
                <w:color w:val="auto"/>
              </w:rPr>
            </w:pPr>
            <w:r>
              <w:rPr>
                <w:rFonts w:ascii="Arial" w:cs="Arial" w:eastAsia="Arial" w:hAnsi="Arial"/>
                <w:sz w:val="18"/>
                <w:szCs w:val="18"/>
                <w:color w:val="131E29"/>
              </w:rPr>
              <w: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16,713</w:t>
            </w:r>
          </w:p>
        </w:tc>
        <w:tc>
          <w:tcPr>
            <w:tcW w:w="440" w:type="dxa"/>
            <w:vAlign w:val="bottom"/>
            <w:tcBorders>
              <w:bottom w:val="single" w:sz="8" w:color="D2DCE5"/>
            </w:tcBorders>
            <w:gridSpan w:val="2"/>
            <w:shd w:val="clear" w:color="auto" w:fill="D2DCE5"/>
          </w:tcPr>
          <w:p>
            <w:pPr>
              <w:jc w:val="right"/>
              <w:ind w:right="200"/>
              <w:spacing w:after="0"/>
              <w:rPr>
                <w:sz w:val="20"/>
                <w:szCs w:val="20"/>
                <w:color w:val="auto"/>
              </w:rPr>
            </w:pPr>
            <w:r>
              <w:rPr>
                <w:rFonts w:ascii="Arial" w:cs="Arial" w:eastAsia="Arial" w:hAnsi="Arial"/>
                <w:sz w:val="18"/>
                <w:szCs w:val="18"/>
                <w:color w:val="131E29"/>
              </w:rPr>
              <w:t>$</w:t>
            </w:r>
          </w:p>
        </w:tc>
        <w:tc>
          <w:tcPr>
            <w:tcW w:w="9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29,130</w:t>
            </w:r>
          </w:p>
        </w:tc>
        <w:tc>
          <w:tcPr>
            <w:tcW w:w="1300" w:type="dxa"/>
            <w:vAlign w:val="bottom"/>
            <w:tcBorders>
              <w:bottom w:val="single" w:sz="8" w:color="D2DCE5"/>
            </w:tcBorders>
            <w:gridSpan w:val="2"/>
            <w:shd w:val="clear" w:color="auto" w:fill="D2DCE5"/>
          </w:tcPr>
          <w:p>
            <w:pPr>
              <w:jc w:val="center"/>
              <w:spacing w:after="0"/>
              <w:rPr>
                <w:sz w:val="20"/>
                <w:szCs w:val="20"/>
                <w:color w:val="auto"/>
              </w:rPr>
            </w:pPr>
            <w:r>
              <w:rPr>
                <w:rFonts w:ascii="Arial" w:cs="Arial" w:eastAsia="Arial" w:hAnsi="Arial"/>
                <w:sz w:val="18"/>
                <w:szCs w:val="18"/>
                <w:color w:val="131E29"/>
              </w:rPr>
              <w:t>174.3%</w:t>
            </w:r>
          </w:p>
        </w:tc>
      </w:tr>
      <w:tr>
        <w:trPr>
          <w:trHeight w:val="243"/>
        </w:trPr>
        <w:tc>
          <w:tcPr>
            <w:tcW w:w="6080" w:type="dxa"/>
            <w:vAlign w:val="bottom"/>
            <w:gridSpan w:val="2"/>
          </w:tcPr>
          <w:p>
            <w:pPr>
              <w:ind w:left="20"/>
              <w:spacing w:after="0"/>
              <w:rPr>
                <w:sz w:val="20"/>
                <w:szCs w:val="20"/>
                <w:color w:val="auto"/>
              </w:rPr>
            </w:pPr>
            <w:r>
              <w:rPr>
                <w:rFonts w:ascii="Arial" w:cs="Arial" w:eastAsia="Arial" w:hAnsi="Arial"/>
                <w:sz w:val="18"/>
                <w:szCs w:val="18"/>
                <w:color w:val="131E29"/>
              </w:rPr>
              <w:t>Net cash used in investing activities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(102,058)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31E29"/>
              </w:rPr>
              <w:t>(88,633)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131E29"/>
              </w:rPr>
              <w:t>(13,425)</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131E29"/>
              </w:rPr>
              <w:t>15.1</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60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financing activities</w:t>
            </w:r>
          </w:p>
        </w:tc>
        <w:tc>
          <w:tcPr>
            <w:tcW w:w="260" w:type="dxa"/>
            <w:vAlign w:val="bottom"/>
            <w:tcBorders>
              <w:bottom w:val="single" w:sz="8" w:color="auto"/>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59,754</w:t>
            </w: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74,707</w:t>
            </w:r>
          </w:p>
        </w:tc>
        <w:tc>
          <w:tcPr>
            <w:tcW w:w="120" w:type="dxa"/>
            <w:vAlign w:val="bottom"/>
            <w:tcBorders>
              <w:bottom w:val="single" w:sz="8" w:color="D2DCE5"/>
            </w:tcBorders>
            <w:shd w:val="clear" w:color="auto" w:fill="D2DCE5"/>
          </w:tcPr>
          <w:p>
            <w:pPr>
              <w:spacing w:after="0"/>
              <w:rPr>
                <w:sz w:val="22"/>
                <w:szCs w:val="22"/>
                <w:color w:val="auto"/>
              </w:rPr>
            </w:pPr>
          </w:p>
        </w:tc>
        <w:tc>
          <w:tcPr>
            <w:tcW w:w="320" w:type="dxa"/>
            <w:vAlign w:val="bottom"/>
            <w:tcBorders>
              <w:bottom w:val="single" w:sz="8" w:color="auto"/>
            </w:tcBorders>
            <w:shd w:val="clear" w:color="auto" w:fill="D2DCE5"/>
          </w:tcPr>
          <w:p>
            <w:pPr>
              <w:spacing w:after="0"/>
              <w:rPr>
                <w:sz w:val="22"/>
                <w:szCs w:val="22"/>
                <w:color w:val="auto"/>
              </w:rPr>
            </w:pPr>
          </w:p>
        </w:tc>
        <w:tc>
          <w:tcPr>
            <w:tcW w:w="9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(14,953)</w:t>
            </w:r>
          </w:p>
        </w:tc>
        <w:tc>
          <w:tcPr>
            <w:tcW w:w="80" w:type="dxa"/>
            <w:vAlign w:val="bottom"/>
            <w:tcBorders>
              <w:bottom w:val="single" w:sz="8" w:color="D2DCE5"/>
            </w:tcBorders>
            <w:shd w:val="clear" w:color="auto" w:fill="D2DCE5"/>
          </w:tcPr>
          <w:p>
            <w:pPr>
              <w:spacing w:after="0"/>
              <w:rPr>
                <w:sz w:val="22"/>
                <w:szCs w:val="22"/>
                <w:color w:val="auto"/>
              </w:rPr>
            </w:pPr>
          </w:p>
        </w:tc>
        <w:tc>
          <w:tcPr>
            <w:tcW w:w="122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8"/>
                <w:szCs w:val="18"/>
                <w:color w:val="131E29"/>
              </w:rPr>
              <w:t>(20.0)%</w:t>
            </w:r>
          </w:p>
        </w:tc>
      </w:tr>
      <w:tr>
        <w:trPr>
          <w:trHeight w:val="243"/>
        </w:trPr>
        <w:tc>
          <w:tcPr>
            <w:tcW w:w="6080" w:type="dxa"/>
            <w:vAlign w:val="bottom"/>
            <w:gridSpan w:val="2"/>
          </w:tcPr>
          <w:p>
            <w:pPr>
              <w:ind w:left="20"/>
              <w:spacing w:after="0"/>
              <w:rPr>
                <w:sz w:val="20"/>
                <w:szCs w:val="20"/>
                <w:color w:val="auto"/>
              </w:rPr>
            </w:pPr>
            <w:r>
              <w:rPr>
                <w:rFonts w:ascii="Arial" w:cs="Arial" w:eastAsia="Arial" w:hAnsi="Arial"/>
                <w:sz w:val="18"/>
                <w:szCs w:val="18"/>
                <w:color w:val="131E29"/>
              </w:rPr>
              <w:t>Net increase in 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3,539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131E29"/>
              </w:rPr>
              <w:t>$</w:t>
            </w:r>
          </w:p>
        </w:tc>
        <w:tc>
          <w:tcPr>
            <w:tcW w:w="940" w:type="dxa"/>
            <w:vAlign w:val="bottom"/>
          </w:tcPr>
          <w:p>
            <w:pPr>
              <w:jc w:val="right"/>
              <w:spacing w:after="0"/>
              <w:rPr>
                <w:sz w:val="20"/>
                <w:szCs w:val="20"/>
                <w:color w:val="auto"/>
              </w:rPr>
            </w:pPr>
            <w:r>
              <w:rPr>
                <w:rFonts w:ascii="Arial" w:cs="Arial" w:eastAsia="Arial" w:hAnsi="Arial"/>
                <w:sz w:val="18"/>
                <w:szCs w:val="18"/>
                <w:color w:val="131E29"/>
              </w:rPr>
              <w:t>2,787</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131E29"/>
              </w:rPr>
              <w:t>$</w:t>
            </w:r>
          </w:p>
        </w:tc>
        <w:tc>
          <w:tcPr>
            <w:tcW w:w="900" w:type="dxa"/>
            <w:vAlign w:val="bottom"/>
          </w:tcPr>
          <w:p>
            <w:pPr>
              <w:jc w:val="right"/>
              <w:spacing w:after="0"/>
              <w:rPr>
                <w:sz w:val="20"/>
                <w:szCs w:val="20"/>
                <w:color w:val="auto"/>
              </w:rPr>
            </w:pPr>
            <w:r>
              <w:rPr>
                <w:rFonts w:ascii="Arial" w:cs="Arial" w:eastAsia="Arial" w:hAnsi="Arial"/>
                <w:sz w:val="18"/>
                <w:szCs w:val="18"/>
                <w:color w:val="131E29"/>
              </w:rPr>
              <w:t>752</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131E29"/>
              </w:rPr>
              <w:t>27.0%</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60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Cash and cash equivalents at beginning of period</w:t>
            </w:r>
          </w:p>
        </w:tc>
        <w:tc>
          <w:tcPr>
            <w:tcW w:w="260" w:type="dxa"/>
            <w:vAlign w:val="bottom"/>
            <w:tcBorders>
              <w:bottom w:val="single" w:sz="8" w:color="auto"/>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20,178</w:t>
            </w: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18,506</w:t>
            </w:r>
          </w:p>
        </w:tc>
        <w:tc>
          <w:tcPr>
            <w:tcW w:w="120" w:type="dxa"/>
            <w:vAlign w:val="bottom"/>
            <w:tcBorders>
              <w:bottom w:val="single" w:sz="8" w:color="D2DCE5"/>
            </w:tcBorders>
            <w:shd w:val="clear" w:color="auto" w:fill="D2DCE5"/>
          </w:tcPr>
          <w:p>
            <w:pPr>
              <w:spacing w:after="0"/>
              <w:rPr>
                <w:sz w:val="22"/>
                <w:szCs w:val="22"/>
                <w:color w:val="auto"/>
              </w:rPr>
            </w:pPr>
          </w:p>
        </w:tc>
        <w:tc>
          <w:tcPr>
            <w:tcW w:w="320" w:type="dxa"/>
            <w:vAlign w:val="bottom"/>
            <w:tcBorders>
              <w:bottom w:val="single" w:sz="8" w:color="auto"/>
            </w:tcBorders>
            <w:shd w:val="clear" w:color="auto" w:fill="D2DCE5"/>
          </w:tcPr>
          <w:p>
            <w:pPr>
              <w:spacing w:after="0"/>
              <w:rPr>
                <w:sz w:val="22"/>
                <w:szCs w:val="22"/>
                <w:color w:val="auto"/>
              </w:rPr>
            </w:pPr>
          </w:p>
        </w:tc>
        <w:tc>
          <w:tcPr>
            <w:tcW w:w="9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1,672</w:t>
            </w:r>
          </w:p>
        </w:tc>
        <w:tc>
          <w:tcPr>
            <w:tcW w:w="80" w:type="dxa"/>
            <w:vAlign w:val="bottom"/>
            <w:tcBorders>
              <w:bottom w:val="single" w:sz="8" w:color="D2DCE5"/>
            </w:tcBorders>
            <w:shd w:val="clear" w:color="auto" w:fill="D2DCE5"/>
          </w:tcPr>
          <w:p>
            <w:pPr>
              <w:spacing w:after="0"/>
              <w:rPr>
                <w:sz w:val="22"/>
                <w:szCs w:val="22"/>
                <w:color w:val="auto"/>
              </w:rPr>
            </w:pPr>
          </w:p>
        </w:tc>
        <w:tc>
          <w:tcPr>
            <w:tcW w:w="122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8"/>
                <w:szCs w:val="18"/>
                <w:color w:val="131E29"/>
              </w:rPr>
              <w:t>9.0</w:t>
            </w:r>
          </w:p>
        </w:tc>
      </w:tr>
      <w:tr>
        <w:trPr>
          <w:trHeight w:val="270"/>
        </w:trPr>
        <w:tc>
          <w:tcPr>
            <w:tcW w:w="6080" w:type="dxa"/>
            <w:vAlign w:val="bottom"/>
            <w:gridSpan w:val="2"/>
          </w:tcPr>
          <w:p>
            <w:pPr>
              <w:ind w:left="20"/>
              <w:spacing w:after="0"/>
              <w:rPr>
                <w:sz w:val="20"/>
                <w:szCs w:val="20"/>
                <w:color w:val="auto"/>
              </w:rPr>
            </w:pPr>
            <w:r>
              <w:rPr>
                <w:rFonts w:ascii="Arial" w:cs="Arial" w:eastAsia="Arial" w:hAnsi="Arial"/>
                <w:sz w:val="18"/>
                <w:szCs w:val="18"/>
                <w:color w:val="131E29"/>
              </w:rPr>
              <w:t>Cash and cash equivalents at end of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23,717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131E29"/>
              </w:rPr>
              <w:t>$</w:t>
            </w:r>
          </w:p>
        </w:tc>
        <w:tc>
          <w:tcPr>
            <w:tcW w:w="940" w:type="dxa"/>
            <w:vAlign w:val="bottom"/>
          </w:tcPr>
          <w:p>
            <w:pPr>
              <w:jc w:val="right"/>
              <w:spacing w:after="0"/>
              <w:rPr>
                <w:sz w:val="20"/>
                <w:szCs w:val="20"/>
                <w:color w:val="auto"/>
              </w:rPr>
            </w:pPr>
            <w:r>
              <w:rPr>
                <w:rFonts w:ascii="Arial" w:cs="Arial" w:eastAsia="Arial" w:hAnsi="Arial"/>
                <w:sz w:val="18"/>
                <w:szCs w:val="18"/>
                <w:color w:val="131E29"/>
              </w:rPr>
              <w:t>21,293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131E29"/>
              </w:rPr>
              <w:t>$</w:t>
            </w:r>
          </w:p>
        </w:tc>
        <w:tc>
          <w:tcPr>
            <w:tcW w:w="900" w:type="dxa"/>
            <w:vAlign w:val="bottom"/>
          </w:tcPr>
          <w:p>
            <w:pPr>
              <w:jc w:val="right"/>
              <w:spacing w:after="0"/>
              <w:rPr>
                <w:sz w:val="20"/>
                <w:szCs w:val="20"/>
                <w:color w:val="auto"/>
              </w:rPr>
            </w:pPr>
            <w:r>
              <w:rPr>
                <w:rFonts w:ascii="Arial" w:cs="Arial" w:eastAsia="Arial" w:hAnsi="Arial"/>
                <w:sz w:val="18"/>
                <w:szCs w:val="18"/>
                <w:color w:val="131E29"/>
              </w:rPr>
              <w:t>2,424</w:t>
            </w:r>
          </w:p>
        </w:tc>
        <w:tc>
          <w:tcPr>
            <w:tcW w:w="1300" w:type="dxa"/>
            <w:vAlign w:val="bottom"/>
            <w:gridSpan w:val="2"/>
          </w:tcPr>
          <w:p>
            <w:pPr>
              <w:jc w:val="center"/>
              <w:spacing w:after="0"/>
              <w:rPr>
                <w:sz w:val="20"/>
                <w:szCs w:val="20"/>
                <w:color w:val="auto"/>
              </w:rPr>
            </w:pPr>
            <w:r>
              <w:rPr>
                <w:rFonts w:ascii="Arial" w:cs="Arial" w:eastAsia="Arial" w:hAnsi="Arial"/>
                <w:sz w:val="18"/>
                <w:szCs w:val="18"/>
                <w:color w:val="131E29"/>
                <w:w w:val="97"/>
              </w:rPr>
              <w:t>11.4%</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Operating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operating activities cash flows was primarily driven by:</w:t>
      </w:r>
    </w:p>
    <w:p>
      <w:pPr>
        <w:spacing w:after="0" w:line="175"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22"/>
          <w:szCs w:val="22"/>
          <w:b w:val="1"/>
          <w:bCs w:val="1"/>
          <w:color w:val="006098"/>
        </w:rPr>
      </w:pPr>
      <w:r>
        <w:rPr>
          <w:rFonts w:ascii="Arial" w:cs="Arial" w:eastAsia="Arial" w:hAnsi="Arial"/>
          <w:sz w:val="18"/>
          <w:szCs w:val="18"/>
          <w:color w:val="131E29"/>
        </w:rPr>
        <w:t>Working capital management and efficiencies with new shop openings.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Investing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investing activities cash outflows was primarily driven by:</w:t>
      </w:r>
    </w:p>
    <w:p>
      <w:pPr>
        <w:spacing w:after="0" w:line="175"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22"/>
          <w:szCs w:val="22"/>
          <w:b w:val="1"/>
          <w:bCs w:val="1"/>
          <w:color w:val="006098"/>
        </w:rPr>
      </w:pPr>
      <w:r>
        <w:rPr>
          <w:rFonts w:ascii="Arial" w:cs="Arial" w:eastAsia="Arial" w:hAnsi="Arial"/>
          <w:sz w:val="18"/>
          <w:szCs w:val="18"/>
          <w:color w:val="auto"/>
        </w:rPr>
        <w:t>Investment in capital expenditures as a result of new company-operated shop openings.</w:t>
      </w:r>
    </w:p>
    <w:p>
      <w:pPr>
        <w:spacing w:after="0" w:line="166"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2"/>
          <w:szCs w:val="22"/>
          <w:b w:val="1"/>
          <w:bCs w:val="1"/>
          <w:color w:val="D7282F"/>
        </w:rPr>
      </w:pPr>
      <w:r>
        <w:rPr>
          <w:rFonts w:ascii="Arial" w:cs="Arial" w:eastAsia="Arial" w:hAnsi="Arial"/>
          <w:sz w:val="18"/>
          <w:szCs w:val="18"/>
          <w:color w:val="auto"/>
        </w:rPr>
        <w:t>Shop acquisitions in the prior year compared to n</w:t>
      </w:r>
      <w:r>
        <w:rPr>
          <w:rFonts w:ascii="Arial" w:cs="Arial" w:eastAsia="Arial" w:hAnsi="Arial"/>
          <w:sz w:val="18"/>
          <w:szCs w:val="18"/>
          <w:color w:val="242424"/>
        </w:rPr>
        <w:t>o acquisitions in the current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Financing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The decrease in financing activities cash flows was primarily driven by:</w:t>
      </w:r>
    </w:p>
    <w:p>
      <w:pPr>
        <w:spacing w:after="0" w:line="175"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2"/>
          <w:szCs w:val="22"/>
          <w:b w:val="1"/>
          <w:bCs w:val="1"/>
          <w:color w:val="D7282F"/>
        </w:rPr>
      </w:pPr>
      <w:r>
        <w:rPr>
          <w:rFonts w:ascii="Arial" w:cs="Arial" w:eastAsia="Arial" w:hAnsi="Arial"/>
          <w:sz w:val="18"/>
          <w:szCs w:val="18"/>
          <w:color w:val="242424"/>
        </w:rPr>
        <w:t>N</w:t>
      </w:r>
      <w:r>
        <w:rPr>
          <w:rFonts w:ascii="Arial" w:cs="Arial" w:eastAsia="Arial" w:hAnsi="Arial"/>
          <w:sz w:val="18"/>
          <w:szCs w:val="18"/>
          <w:color w:val="000000"/>
        </w:rPr>
        <w:t>et proceeds from our credit facilities.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Requirements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8"/>
          <w:szCs w:val="18"/>
          <w:color w:val="131E29"/>
        </w:rPr>
        <w:t>We believe that cash provided by operating activities, cash and cash equivalents, and proceeds from our 2022 Credit Facility are adequate to fund our debt service requirements, lease obligations, and working capital obligations for at least the next 12 months.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Our future capital requirements may vary materially from period to period and will depend on many factors, primarily our expansion and growth by opening additional company-operated shops and/or reacquiring existing franchised shops. We currently expect to fund our material capital requirements in the long term with additional proceeds from our 2022 Credit Facility, but we may also seek additional debt or equity financing.</w:t>
      </w:r>
    </w:p>
    <w:p>
      <w:pPr>
        <w:spacing w:after="0" w:line="13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131E29"/>
        </w:rPr>
        <w:t>As of June 30, 2023, cash requirements for the following items have materially changed from our Annual Report on Form 10-K for the year ended December 31, 2022:</w:t>
      </w:r>
    </w:p>
    <w:p>
      <w:pPr>
        <w:spacing w:after="0" w:line="12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131E29"/>
        </w:rPr>
      </w:pPr>
      <w:r>
        <w:rPr>
          <w:rFonts w:ascii="Arial" w:cs="Arial" w:eastAsia="Arial" w:hAnsi="Arial"/>
          <w:sz w:val="18"/>
          <w:szCs w:val="18"/>
          <w:color w:val="006098"/>
        </w:rPr>
        <w:t xml:space="preserve">Operating lease liabilities </w:t>
      </w:r>
      <w:r>
        <w:rPr>
          <w:rFonts w:ascii="Arial" w:cs="Arial" w:eastAsia="Arial" w:hAnsi="Arial"/>
          <w:sz w:val="18"/>
          <w:szCs w:val="18"/>
          <w:color w:val="131E29"/>
        </w:rPr>
        <w:t>— increased approximately $14 million from newly commenced leases.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34"/>
        </w:numPr>
        <w:rPr>
          <w:rFonts w:ascii="Arial" w:cs="Arial" w:eastAsia="Arial" w:hAnsi="Arial"/>
          <w:sz w:val="18"/>
          <w:szCs w:val="18"/>
          <w:color w:val="131E29"/>
        </w:rPr>
      </w:pPr>
      <w:r>
        <w:rPr>
          <w:rFonts w:ascii="Arial" w:cs="Arial" w:eastAsia="Arial" w:hAnsi="Arial"/>
          <w:sz w:val="18"/>
          <w:szCs w:val="18"/>
          <w:color w:val="006098"/>
        </w:rPr>
        <w:t xml:space="preserve">Finance lease liabilities </w:t>
      </w:r>
      <w:r>
        <w:rPr>
          <w:rFonts w:ascii="Arial" w:cs="Arial" w:eastAsia="Arial" w:hAnsi="Arial"/>
          <w:sz w:val="18"/>
          <w:szCs w:val="18"/>
          <w:color w:val="131E29"/>
        </w:rPr>
        <w:t>— increased approximately $131 million from newly commenced leases.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34"/>
        </w:numPr>
        <w:rPr>
          <w:rFonts w:ascii="Arial" w:cs="Arial" w:eastAsia="Arial" w:hAnsi="Arial"/>
          <w:sz w:val="18"/>
          <w:szCs w:val="18"/>
          <w:color w:val="131E29"/>
        </w:rPr>
      </w:pPr>
      <w:r>
        <w:rPr>
          <w:rFonts w:ascii="Arial" w:cs="Arial" w:eastAsia="Arial" w:hAnsi="Arial"/>
          <w:sz w:val="18"/>
          <w:szCs w:val="18"/>
          <w:color w:val="006098"/>
        </w:rPr>
        <w:t xml:space="preserve">Debt obligations </w:t>
      </w:r>
      <w:r>
        <w:rPr>
          <w:rFonts w:ascii="Arial" w:cs="Arial" w:eastAsia="Arial" w:hAnsi="Arial"/>
          <w:sz w:val="18"/>
          <w:szCs w:val="18"/>
          <w:color w:val="131E29"/>
        </w:rPr>
        <w:t>— increased approximately $69 million on a net basis primarily due to borrowings on our 2022 Credit Facility.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Senior Secured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JP Morgan Credit Facility</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On February 28, 2022, we amended our senior secured credit facility with JPMorgan Chase, N.A. The 2022 Credit Facility had a total capacity of $500 million, consisting of a $250 million revolving credit facility, a term loan facility of up to $100 million, and a delayed draw term loan facility of up to $150 million. It also contained an option allowing Dutch Bros Inc. to increase the size of the 2022 Credit Facility by up to an additional $150 million, with the agreement of the committing lenders. Upon entering into the 2022 Credit Facility, we drew a $100 million term loan and approximately $28 million in revolving loans, and the existing credit facility was repaid and terminated.</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On August 4, 2023 (the Effective Date) we amended the 2022 Credit Facility to increase borrowing capacity by a total of $150 million (the Amended 2022 Credit Facility). The Amended 2022 Credit Facility has a total capacity of $650 million, consisting of a $350 million revolving credit facility (increased from $250 million), a term loan facility of up to $100 million (no change), and a delayed draw term loan facility of up to $200 million (increased from $150 million). The Amended 2022 Credit Facility also includes sublimits for letters of credit and swingline loans of up to $50 million and $15 million, respectively. The Amended 2022 Credit Facility expires on February 28, 2027 (the Maturity Date), and portions of the delayed draw term loan facility expire if they remain undrawn on certain dates prior to the Maturity Date.</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Interest on borrowings under the Amended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Obligations under the Amended 2022 Credit Facility are guaranteed by each of Dutch Bros Inc.’s subsidiaries, and secured by a first priority perfected security interest in substantially all of the assets of the guarantors.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Interest Rate Swap Contract</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On April 1, 2022, Dutch Bros Inc. entered into an interest rate swap transaction with JPMorgan Chase Bank, N.A. with respect to $70 million of the term loan under the 2022 Credit Facility. The purpose of the floating-to-fixed interest rate swap was to fix the interest base rate charged on the term loan at 2.67% for the $70 million notional amount. The interest rate swap matures on February 28, 2027.</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Seasonality</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Our business is subject to seasonal fluctuations that impact our revenue and company-operated shop gross profit margins. We typically experience higher nominal system sales in the summer months,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131E29"/>
        </w:rPr>
        <w:t>impacts revenue and company-operated shop gross profit margins in our second and third quarters of our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Critical Accounting Estimates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condensed consolidated financial statements. While we believe that our estimates, assumptions, and judgments are reasonable, they are based on information available when the estimate was made.</w:t>
      </w:r>
    </w:p>
    <w:p>
      <w:pPr>
        <w:spacing w:after="0" w:line="138"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131E29"/>
        </w:rPr>
        <w:t>There have been no material changes to our critical accounting estimates from those disclosed in Part II, Item 7 of our Annual Report on Form 10-K for the year ended December 31, 2022, as filed with the SEC on February 27, 2023.</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Non-GAAP Financial Measures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Our non-GAAP financial measures reflect adjustments based on one or more of the following items.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contribution (in dollars and as a percentage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Company-operated segment gross profit, before company-operated shop depreciation and amortization. Company-operated shop contribution in dollars (as defined), taken as a percentage of company-operated shop revenue.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This non-GAAP measure is used by our management in making performance decisions without the impact of non-cash depreciation and amortization charges. This is a standard metric used across our industry by investors.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EBITDA, Adjusted EBITDA (in dollars and as a percentage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EBITDA — definition and/or calculation</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Net income (loss) before interest expense (net of interest income), income taxes expense (benefit), and depreciation and amortization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Adjusted EBITDA — definition and/or calculation</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Defined as EBITDA (as defined above), excluding equity-based compensation, COVID-19: “Thank You” pay and catastrophic leave expenses, COVID-19: prepaid costs not utilized, costs incurred for company-wide milestone events, executives transitions costs, (gain) loss on the remeasurement of the liability related to the TRAs, and estimated expense related to certain legal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Adjusted selling, general, and administrative (in dollars and as a percentage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Selling, general, and administrative expenses, excluding equity-based compensation expense, COVID-19: prepaid costs not utilized, costs incurred for company-wide milestone events, executives transitions costs, and estimated expense related to certain legal disputes.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Non-GAAP adjustments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131E29"/>
        </w:rPr>
        <w:t>Below are the definitions of the non-GAAP adjustments that are used in the calculation of our non-GAAP measures,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Equity-based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Non-cash expenses related to the grant and vesting of stock awards, restricted stock awards and restricted stock units in Dutch Bros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and/or Profit Interest Units in Dutch Bros OpCo to certain eligible employees.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COVID-19: “Thank You” pay and catastrophic leave</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Costs related to two separate programs established to support employees during the COVID-19 pandemic. We implemented an hourly wage supplement program for shop employees who continued to work while their state or county was under a stay at home order or similar lockdown requirement. This program lasted in various markets until April 2021. We also established a catastrophic leave policy that provided paid leave to employees who were required to quarantine due to in-shop exposures and could not work their regular hours.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COVID-19: Prepaid costs not utilized</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Costs related to the write-off of previously prepaid expenses for the development of a virtual corporate engagement platform built in response to the health restrictions of the COVID-19 pandemic. The platform was developed as a substitute for in person engagement practices used pre-pandemic. The platform has been determined ineffective, particularly as we shift back to in-person events with the easing of restrictions related to the COVID-19 pandemic.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Milestone events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Costs incurred for company-wide events to celebrate 30 years of serving high QUALITY, hand-crafted beverages with unparalleled SPEED and superior SERVICE to our customers.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Executives transition costs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Employee severance and related benefit costs, as well as sign-on bonus(es) for several executive-level transitions occurring in 2022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TRAs remeasurements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(Gain) loss impacts on condensed consolidated statements of operations related to adjustments of our TRAs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Legal proceedings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31E29"/>
        </w:rPr>
        <w:t>Estimated loss accrual related to certain legal disputes.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131E29"/>
        </w:rPr>
        <w:t>Following are the reconciliations of the most comparable GAAP metric to non-GAAP metrics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131E29"/>
              </w:rPr>
              <w:t>Three Months Ended June 30,</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1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b w:val="1"/>
                <w:bCs w:val="1"/>
                <w:color w:val="131E29"/>
              </w:rPr>
              <w:t>Six Months Ended June 30,</w:t>
            </w:r>
          </w:p>
        </w:tc>
        <w:tc>
          <w:tcPr>
            <w:tcW w:w="540" w:type="dxa"/>
            <w:vAlign w:val="bottom"/>
            <w:tcBorders>
              <w:bottom w:val="single" w:sz="8" w:color="auto"/>
            </w:tcBorders>
          </w:tcPr>
          <w:p>
            <w:pPr>
              <w:spacing w:after="0"/>
              <w:rPr>
                <w:sz w:val="22"/>
                <w:szCs w:val="22"/>
                <w:color w:val="auto"/>
              </w:rPr>
            </w:pPr>
          </w:p>
        </w:tc>
      </w:tr>
      <w:tr>
        <w:trPr>
          <w:trHeight w:val="263"/>
        </w:trPr>
        <w:tc>
          <w:tcPr>
            <w:tcW w:w="3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131E29"/>
              </w:rPr>
              <w:t>2023</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131E29"/>
              </w:rPr>
              <w:t>2022</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131E29"/>
              </w:rPr>
              <w:t>2023</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131E29"/>
              </w:rPr>
              <w:t>2022</w:t>
            </w:r>
          </w:p>
        </w:tc>
        <w:tc>
          <w:tcPr>
            <w:tcW w:w="540" w:type="dxa"/>
            <w:vAlign w:val="bottom"/>
            <w:tcBorders>
              <w:bottom w:val="single" w:sz="8" w:color="auto"/>
            </w:tcBorders>
          </w:tcPr>
          <w:p>
            <w:pPr>
              <w:spacing w:after="0"/>
              <w:rPr>
                <w:sz w:val="22"/>
                <w:szCs w:val="22"/>
                <w:color w:val="auto"/>
              </w:rPr>
            </w:pPr>
          </w:p>
        </w:tc>
      </w:tr>
      <w:tr>
        <w:trPr>
          <w:trHeight w:val="26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r>
      <w:tr>
        <w:trPr>
          <w:trHeight w:val="270"/>
        </w:trPr>
        <w:tc>
          <w:tcPr>
            <w:tcW w:w="39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 gross profit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52,079</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23.6</w:t>
            </w:r>
          </w:p>
        </w:tc>
        <w:tc>
          <w:tcPr>
            <w:tcW w:w="102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31,218</w:t>
            </w:r>
          </w:p>
        </w:tc>
        <w:tc>
          <w:tcPr>
            <w:tcW w:w="80" w:type="dxa"/>
            <w:vAlign w:val="bottom"/>
            <w:shd w:val="clear" w:color="auto" w:fill="D2DCE5"/>
          </w:tcPr>
          <w:p>
            <w:pPr>
              <w:spacing w:after="0"/>
              <w:rPr>
                <w:sz w:val="23"/>
                <w:szCs w:val="23"/>
                <w:color w:val="auto"/>
              </w:rPr>
            </w:pPr>
          </w:p>
        </w:tc>
        <w:tc>
          <w:tcPr>
            <w:tcW w:w="240" w:type="dxa"/>
            <w:vAlign w:val="bottom"/>
            <w:shd w:val="clear" w:color="auto" w:fill="D2DCE5"/>
          </w:tcPr>
          <w:p>
            <w:pPr>
              <w:spacing w:after="0"/>
              <w:rPr>
                <w:sz w:val="23"/>
                <w:szCs w:val="23"/>
                <w:color w:val="auto"/>
              </w:rPr>
            </w:pPr>
          </w:p>
        </w:tc>
        <w:tc>
          <w:tcPr>
            <w:tcW w:w="4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19.4</w:t>
            </w:r>
          </w:p>
        </w:tc>
        <w:tc>
          <w:tcPr>
            <w:tcW w:w="106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80,951</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20.5</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47,857</w:t>
            </w:r>
          </w:p>
        </w:tc>
        <w:tc>
          <w:tcPr>
            <w:tcW w:w="100" w:type="dxa"/>
            <w:vAlign w:val="bottom"/>
            <w:shd w:val="clear" w:color="auto" w:fill="D2DCE5"/>
          </w:tcPr>
          <w:p>
            <w:pPr>
              <w:spacing w:after="0"/>
              <w:rPr>
                <w:sz w:val="23"/>
                <w:szCs w:val="23"/>
                <w:color w:val="auto"/>
              </w:rPr>
            </w:pPr>
          </w:p>
        </w:tc>
        <w:tc>
          <w:tcPr>
            <w:tcW w:w="180" w:type="dxa"/>
            <w:vAlign w:val="bottom"/>
            <w:shd w:val="clear" w:color="auto" w:fill="D2DCE5"/>
          </w:tcPr>
          <w:p>
            <w:pPr>
              <w:spacing w:after="0"/>
              <w:rPr>
                <w:sz w:val="23"/>
                <w:szCs w:val="23"/>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16.5</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14,799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6.7</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8,307</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5.2</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27,800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7.1</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15,447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5.3</w:t>
            </w:r>
          </w:p>
        </w:tc>
      </w:tr>
      <w:tr>
        <w:trPr>
          <w:trHeight w:val="290"/>
        </w:trPr>
        <w:tc>
          <w:tcPr>
            <w:tcW w:w="39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 contribution</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66,878</w:t>
            </w:r>
          </w:p>
        </w:tc>
        <w:tc>
          <w:tcPr>
            <w:tcW w:w="10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30.3</w:t>
            </w:r>
          </w:p>
        </w:tc>
        <w:tc>
          <w:tcPr>
            <w:tcW w:w="102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39,525</w:t>
            </w:r>
          </w:p>
        </w:tc>
        <w:tc>
          <w:tcPr>
            <w:tcW w:w="8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4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24.6</w:t>
            </w:r>
          </w:p>
        </w:tc>
        <w:tc>
          <w:tcPr>
            <w:tcW w:w="106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108,751</w:t>
            </w:r>
          </w:p>
        </w:tc>
        <w:tc>
          <w:tcPr>
            <w:tcW w:w="10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27.6</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63,304</w:t>
            </w:r>
          </w:p>
        </w:tc>
        <w:tc>
          <w:tcPr>
            <w:tcW w:w="100" w:type="dxa"/>
            <w:vAlign w:val="bottom"/>
            <w:shd w:val="clear" w:color="auto" w:fill="D2DCE5"/>
          </w:tcPr>
          <w:p>
            <w:pPr>
              <w:spacing w:after="0"/>
              <w:rPr>
                <w:sz w:val="24"/>
                <w:szCs w:val="24"/>
                <w:color w:val="auto"/>
              </w:rPr>
            </w:pPr>
          </w:p>
        </w:tc>
        <w:tc>
          <w:tcPr>
            <w:tcW w:w="180" w:type="dxa"/>
            <w:vAlign w:val="bottom"/>
            <w:shd w:val="clear" w:color="auto" w:fill="D2DCE5"/>
          </w:tcPr>
          <w:p>
            <w:pPr>
              <w:spacing w:after="0"/>
              <w:rPr>
                <w:sz w:val="24"/>
                <w:szCs w:val="24"/>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21.8</w:t>
            </w:r>
          </w:p>
        </w:tc>
      </w:tr>
      <w:tr>
        <w:trPr>
          <w:trHeight w:val="20"/>
        </w:trPr>
        <w:tc>
          <w:tcPr>
            <w:tcW w:w="38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131E29"/>
              </w:rPr>
              <w:t>Three Months Ended June 30,</w:t>
            </w:r>
          </w:p>
        </w:tc>
        <w:tc>
          <w:tcPr>
            <w:tcW w:w="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1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131E29"/>
              </w:rPr>
              <w:t>Six Months Ended June 30,</w:t>
            </w:r>
          </w:p>
        </w:tc>
        <w:tc>
          <w:tcPr>
            <w:tcW w:w="540" w:type="dxa"/>
            <w:vAlign w:val="bottom"/>
            <w:tcBorders>
              <w:bottom w:val="single" w:sz="8" w:color="auto"/>
            </w:tcBorders>
          </w:tcPr>
          <w:p>
            <w:pPr>
              <w:spacing w:after="0"/>
              <w:rPr>
                <w:sz w:val="22"/>
                <w:szCs w:val="22"/>
                <w:color w:val="auto"/>
              </w:rPr>
            </w:pPr>
          </w:p>
        </w:tc>
      </w:tr>
      <w:tr>
        <w:trPr>
          <w:trHeight w:val="263"/>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131E29"/>
              </w:rPr>
              <w:t>2023</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131E29"/>
              </w:rPr>
              <w:t>2022</w:t>
            </w:r>
          </w:p>
        </w:tc>
        <w:tc>
          <w:tcPr>
            <w:tcW w:w="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131E29"/>
              </w:rPr>
              <w:t>2023</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131E29"/>
              </w:rPr>
              <w:t>2022</w:t>
            </w:r>
          </w:p>
        </w:tc>
        <w:tc>
          <w:tcPr>
            <w:tcW w:w="540" w:type="dxa"/>
            <w:vAlign w:val="bottom"/>
            <w:tcBorders>
              <w:bottom w:val="single" w:sz="8" w:color="auto"/>
            </w:tcBorders>
          </w:tcPr>
          <w:p>
            <w:pPr>
              <w:spacing w:after="0"/>
              <w:rPr>
                <w:sz w:val="22"/>
                <w:szCs w:val="22"/>
                <w:color w:val="auto"/>
              </w:rPr>
            </w:pPr>
          </w:p>
        </w:tc>
      </w:tr>
      <w:tr>
        <w:trPr>
          <w:trHeight w:val="25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20" w:type="dxa"/>
            <w:vAlign w:val="bottom"/>
          </w:tcPr>
          <w:p>
            <w:pPr>
              <w:spacing w:after="0"/>
              <w:rPr>
                <w:sz w:val="22"/>
                <w:szCs w:val="22"/>
                <w:color w:val="auto"/>
              </w:rPr>
            </w:pPr>
          </w:p>
        </w:tc>
        <w:tc>
          <w:tcPr>
            <w:tcW w:w="940" w:type="dxa"/>
            <w:vAlign w:val="bottom"/>
            <w:tcBorders>
              <w:bottom w:val="single" w:sz="8" w:color="131E29"/>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60" w:type="dxa"/>
            <w:vAlign w:val="bottom"/>
            <w:tcBorders>
              <w:bottom w:val="single" w:sz="8" w:color="131E29"/>
            </w:tcBorders>
          </w:tcPr>
          <w:p>
            <w:pPr>
              <w:spacing w:after="0"/>
              <w:rPr>
                <w:sz w:val="22"/>
                <w:szCs w:val="22"/>
                <w:color w:val="auto"/>
              </w:rPr>
            </w:pPr>
          </w:p>
        </w:tc>
        <w:tc>
          <w:tcPr>
            <w:tcW w:w="560" w:type="dxa"/>
            <w:vAlign w:val="bottom"/>
            <w:tcBorders>
              <w:bottom w:val="single" w:sz="8" w:color="131E29"/>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940" w:type="dxa"/>
            <w:vAlign w:val="bottom"/>
            <w:tcBorders>
              <w:bottom w:val="single" w:sz="8" w:color="131E29"/>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500" w:type="dxa"/>
            <w:vAlign w:val="bottom"/>
            <w:tcBorders>
              <w:bottom w:val="single" w:sz="8" w:color="131E29"/>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2"/>
                <w:szCs w:val="22"/>
                <w:color w:val="auto"/>
              </w:rPr>
            </w:pPr>
          </w:p>
        </w:tc>
        <w:tc>
          <w:tcPr>
            <w:tcW w:w="960" w:type="dxa"/>
            <w:vAlign w:val="bottom"/>
            <w:tcBorders>
              <w:bottom w:val="single" w:sz="8" w:color="131E29"/>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60" w:type="dxa"/>
            <w:vAlign w:val="bottom"/>
            <w:tcBorders>
              <w:bottom w:val="single" w:sz="8" w:color="131E29"/>
            </w:tcBorders>
          </w:tcPr>
          <w:p>
            <w:pPr>
              <w:spacing w:after="0"/>
              <w:rPr>
                <w:sz w:val="22"/>
                <w:szCs w:val="22"/>
                <w:color w:val="auto"/>
              </w:rPr>
            </w:pPr>
          </w:p>
        </w:tc>
        <w:tc>
          <w:tcPr>
            <w:tcW w:w="560" w:type="dxa"/>
            <w:vAlign w:val="bottom"/>
            <w:tcBorders>
              <w:bottom w:val="single" w:sz="8" w:color="131E29"/>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960" w:type="dxa"/>
            <w:vAlign w:val="bottom"/>
            <w:tcBorders>
              <w:bottom w:val="single" w:sz="8" w:color="131E29"/>
            </w:tcBorders>
          </w:tcPr>
          <w:p>
            <w:pPr>
              <w:jc w:val="right"/>
              <w:ind w:right="35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540" w:type="dxa"/>
            <w:vAlign w:val="bottom"/>
            <w:tcBorders>
              <w:bottom w:val="single" w:sz="8" w:color="131E29"/>
            </w:tcBorders>
          </w:tcPr>
          <w:p>
            <w:pPr>
              <w:jc w:val="right"/>
              <w:ind w:right="190"/>
              <w:spacing w:after="0"/>
              <w:rPr>
                <w:sz w:val="20"/>
                <w:szCs w:val="20"/>
                <w:color w:val="auto"/>
              </w:rPr>
            </w:pPr>
            <w:r>
              <w:rPr>
                <w:rFonts w:ascii="Arial" w:cs="Arial" w:eastAsia="Arial" w:hAnsi="Arial"/>
                <w:sz w:val="18"/>
                <w:szCs w:val="18"/>
                <w:b w:val="1"/>
                <w:bCs w:val="1"/>
                <w:color w:val="131E29"/>
              </w:rPr>
              <w:t>%</w:t>
            </w:r>
          </w:p>
        </w:tc>
      </w:tr>
      <w:tr>
        <w:trPr>
          <w:trHeight w:val="264"/>
        </w:trPr>
        <w:tc>
          <w:tcPr>
            <w:tcW w:w="39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 (loss)</w:t>
            </w:r>
          </w:p>
        </w:tc>
        <w:tc>
          <w:tcPr>
            <w:tcW w:w="9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9,711</w:t>
            </w: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3.9</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(1,751)</w:t>
            </w: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(0.9)</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320</w:t>
            </w: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0.1</w:t>
            </w:r>
          </w:p>
        </w:tc>
        <w:tc>
          <w:tcPr>
            <w:tcW w:w="106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(18,030)</w:t>
            </w:r>
          </w:p>
        </w:tc>
        <w:tc>
          <w:tcPr>
            <w:tcW w:w="80" w:type="dxa"/>
            <w:vAlign w:val="bottom"/>
            <w:shd w:val="clear" w:color="auto" w:fill="D2DCE5"/>
          </w:tcPr>
          <w:p>
            <w:pPr>
              <w:spacing w:after="0"/>
              <w:rPr>
                <w:sz w:val="22"/>
                <w:szCs w:val="22"/>
                <w:color w:val="auto"/>
              </w:rPr>
            </w:pPr>
          </w:p>
        </w:tc>
        <w:tc>
          <w:tcPr>
            <w:tcW w:w="180" w:type="dxa"/>
            <w:vAlign w:val="bottom"/>
            <w:shd w:val="clear" w:color="auto" w:fill="D2DCE5"/>
          </w:tcPr>
          <w:p>
            <w:pPr>
              <w:spacing w:after="0"/>
              <w:rPr>
                <w:sz w:val="22"/>
                <w:szCs w:val="22"/>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(5.3)</w:t>
            </w:r>
          </w:p>
        </w:tc>
      </w:tr>
      <w:tr>
        <w:trPr>
          <w:trHeight w:val="243"/>
        </w:trPr>
        <w:tc>
          <w:tcPr>
            <w:tcW w:w="390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940" w:type="dxa"/>
            <w:vAlign w:val="bottom"/>
          </w:tcPr>
          <w:p>
            <w:pPr>
              <w:jc w:val="right"/>
              <w:spacing w:after="0"/>
              <w:rPr>
                <w:sz w:val="20"/>
                <w:szCs w:val="20"/>
                <w:color w:val="auto"/>
              </w:rPr>
            </w:pPr>
            <w:r>
              <w:rPr>
                <w:rFonts w:ascii="Arial" w:cs="Arial" w:eastAsia="Arial" w:hAnsi="Arial"/>
                <w:sz w:val="18"/>
                <w:szCs w:val="18"/>
                <w:color w:val="131E29"/>
              </w:rPr>
              <w:t>16,516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10,539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131E29"/>
              </w:rPr>
              <w:t>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31,295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7.0</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131E29"/>
              </w:rPr>
              <w:t>19,721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131E29"/>
              </w:rPr>
              <w:t>5.8</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9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Interest expense, net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9,058</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w:t>
            </w:r>
          </w:p>
        </w:tc>
        <w:tc>
          <w:tcPr>
            <w:tcW w:w="10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3,596</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5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w:t>
            </w:r>
          </w:p>
        </w:tc>
        <w:tc>
          <w:tcPr>
            <w:tcW w:w="10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16,944</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w:t>
            </w:r>
          </w:p>
        </w:tc>
        <w:tc>
          <w:tcPr>
            <w:tcW w:w="1060" w:type="dxa"/>
            <w:vAlign w:val="bottom"/>
            <w:tcBorders>
              <w:bottom w:val="single" w:sz="8" w:color="D2DCE5"/>
            </w:tcBorders>
            <w:gridSpan w:val="2"/>
            <w:shd w:val="clear" w:color="auto" w:fill="D2DCE5"/>
          </w:tcPr>
          <w:p>
            <w:pPr>
              <w:jc w:val="right"/>
              <w:ind w:right="10"/>
              <w:spacing w:after="0"/>
              <w:rPr>
                <w:sz w:val="20"/>
                <w:szCs w:val="20"/>
                <w:color w:val="auto"/>
              </w:rPr>
            </w:pPr>
            <w:r>
              <w:rPr>
                <w:rFonts w:ascii="Arial" w:cs="Arial" w:eastAsia="Arial" w:hAnsi="Arial"/>
                <w:sz w:val="18"/>
                <w:szCs w:val="18"/>
                <w:color w:val="131E29"/>
              </w:rPr>
              <w:t>6,085</w:t>
            </w:r>
          </w:p>
        </w:tc>
        <w:tc>
          <w:tcPr>
            <w:tcW w:w="8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w:t>
            </w:r>
          </w:p>
        </w:tc>
      </w:tr>
      <w:tr>
        <w:trPr>
          <w:trHeight w:val="263"/>
        </w:trPr>
        <w:tc>
          <w:tcPr>
            <w:tcW w:w="3900" w:type="dxa"/>
            <w:vAlign w:val="bottom"/>
            <w:gridSpan w:val="2"/>
          </w:tcPr>
          <w:p>
            <w:pPr>
              <w:ind w:left="180"/>
              <w:spacing w:after="0"/>
              <w:rPr>
                <w:sz w:val="20"/>
                <w:szCs w:val="20"/>
                <w:color w:val="auto"/>
              </w:rPr>
            </w:pPr>
            <w:r>
              <w:rPr>
                <w:rFonts w:ascii="Arial" w:cs="Arial" w:eastAsia="Arial" w:hAnsi="Arial"/>
                <w:sz w:val="18"/>
                <w:szCs w:val="18"/>
                <w:color w:val="131E29"/>
              </w:rPr>
              <w:t>Income tax expense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1,851</w:t>
            </w:r>
          </w:p>
        </w:tc>
        <w:tc>
          <w:tcPr>
            <w:tcW w:w="100" w:type="dxa"/>
            <w:vAlign w:val="bottom"/>
          </w:tcPr>
          <w:p>
            <w:pPr>
              <w:spacing w:after="0"/>
              <w:rPr>
                <w:sz w:val="22"/>
                <w:szCs w:val="22"/>
                <w:color w:val="auto"/>
              </w:rPr>
            </w:pPr>
          </w:p>
        </w:tc>
        <w:tc>
          <w:tcPr>
            <w:tcW w:w="160" w:type="dxa"/>
            <w:vAlign w:val="bottom"/>
            <w:tcBorders>
              <w:bottom w:val="single" w:sz="8" w:color="131E29"/>
            </w:tcBorders>
          </w:tcPr>
          <w:p>
            <w:pPr>
              <w:spacing w:after="0"/>
              <w:rPr>
                <w:sz w:val="22"/>
                <w:szCs w:val="22"/>
                <w:color w:val="auto"/>
              </w:rPr>
            </w:pPr>
          </w:p>
        </w:tc>
        <w:tc>
          <w:tcPr>
            <w:tcW w:w="560" w:type="dxa"/>
            <w:vAlign w:val="bottom"/>
            <w:tcBorders>
              <w:bottom w:val="single" w:sz="8" w:color="131E29"/>
            </w:tcBorders>
          </w:tcPr>
          <w:p>
            <w:pPr>
              <w:jc w:val="right"/>
              <w:spacing w:after="0"/>
              <w:rPr>
                <w:sz w:val="20"/>
                <w:szCs w:val="20"/>
                <w:color w:val="auto"/>
              </w:rPr>
            </w:pPr>
            <w:r>
              <w:rPr>
                <w:rFonts w:ascii="Arial" w:cs="Arial" w:eastAsia="Arial" w:hAnsi="Arial"/>
                <w:sz w:val="18"/>
                <w:szCs w:val="18"/>
                <w:color w:val="131E29"/>
              </w:rPr>
              <w:t>0.7</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885</w:t>
            </w:r>
          </w:p>
        </w:tc>
        <w:tc>
          <w:tcPr>
            <w:tcW w:w="100" w:type="dxa"/>
            <w:vAlign w:val="bottom"/>
          </w:tcPr>
          <w:p>
            <w:pPr>
              <w:spacing w:after="0"/>
              <w:rPr>
                <w:sz w:val="22"/>
                <w:szCs w:val="22"/>
                <w:color w:val="auto"/>
              </w:rPr>
            </w:pPr>
          </w:p>
        </w:tc>
        <w:tc>
          <w:tcPr>
            <w:tcW w:w="220" w:type="dxa"/>
            <w:vAlign w:val="bottom"/>
            <w:tcBorders>
              <w:bottom w:val="single" w:sz="8" w:color="131E29"/>
            </w:tcBorders>
          </w:tcPr>
          <w:p>
            <w:pPr>
              <w:spacing w:after="0"/>
              <w:rPr>
                <w:sz w:val="22"/>
                <w:szCs w:val="22"/>
                <w:color w:val="auto"/>
              </w:rPr>
            </w:pPr>
          </w:p>
        </w:tc>
        <w:tc>
          <w:tcPr>
            <w:tcW w:w="500" w:type="dxa"/>
            <w:vAlign w:val="bottom"/>
            <w:tcBorders>
              <w:bottom w:val="single" w:sz="8" w:color="131E29"/>
            </w:tcBorders>
          </w:tcPr>
          <w:p>
            <w:pPr>
              <w:jc w:val="right"/>
              <w:spacing w:after="0"/>
              <w:rPr>
                <w:sz w:val="20"/>
                <w:szCs w:val="20"/>
                <w:color w:val="auto"/>
              </w:rPr>
            </w:pPr>
            <w:r>
              <w:rPr>
                <w:rFonts w:ascii="Arial" w:cs="Arial" w:eastAsia="Arial" w:hAnsi="Arial"/>
                <w:sz w:val="18"/>
                <w:szCs w:val="18"/>
                <w:color w:val="131E29"/>
              </w:rPr>
              <w:t>0.5</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4,431</w:t>
            </w:r>
          </w:p>
        </w:tc>
        <w:tc>
          <w:tcPr>
            <w:tcW w:w="100" w:type="dxa"/>
            <w:vAlign w:val="bottom"/>
          </w:tcPr>
          <w:p>
            <w:pPr>
              <w:spacing w:after="0"/>
              <w:rPr>
                <w:sz w:val="22"/>
                <w:szCs w:val="22"/>
                <w:color w:val="auto"/>
              </w:rPr>
            </w:pPr>
          </w:p>
        </w:tc>
        <w:tc>
          <w:tcPr>
            <w:tcW w:w="160" w:type="dxa"/>
            <w:vAlign w:val="bottom"/>
            <w:tcBorders>
              <w:bottom w:val="single" w:sz="8" w:color="131E29"/>
            </w:tcBorders>
          </w:tcPr>
          <w:p>
            <w:pPr>
              <w:spacing w:after="0"/>
              <w:rPr>
                <w:sz w:val="22"/>
                <w:szCs w:val="22"/>
                <w:color w:val="auto"/>
              </w:rPr>
            </w:pPr>
          </w:p>
        </w:tc>
        <w:tc>
          <w:tcPr>
            <w:tcW w:w="560" w:type="dxa"/>
            <w:vAlign w:val="bottom"/>
            <w:tcBorders>
              <w:bottom w:val="single" w:sz="8" w:color="131E29"/>
            </w:tcBorders>
          </w:tcPr>
          <w:p>
            <w:pPr>
              <w:jc w:val="right"/>
              <w:spacing w:after="0"/>
              <w:rPr>
                <w:sz w:val="20"/>
                <w:szCs w:val="20"/>
                <w:color w:val="auto"/>
              </w:rPr>
            </w:pPr>
            <w:r>
              <w:rPr>
                <w:rFonts w:ascii="Arial" w:cs="Arial" w:eastAsia="Arial" w:hAnsi="Arial"/>
                <w:sz w:val="18"/>
                <w:szCs w:val="18"/>
                <w:color w:val="131E29"/>
              </w:rPr>
              <w:t>1.0</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31E29"/>
              </w:rPr>
              <w:t>671</w:t>
            </w:r>
          </w:p>
        </w:tc>
        <w:tc>
          <w:tcPr>
            <w:tcW w:w="80" w:type="dxa"/>
            <w:vAlign w:val="bottom"/>
          </w:tcPr>
          <w:p>
            <w:pPr>
              <w:spacing w:after="0"/>
              <w:rPr>
                <w:sz w:val="22"/>
                <w:szCs w:val="22"/>
                <w:color w:val="auto"/>
              </w:rPr>
            </w:pPr>
          </w:p>
        </w:tc>
        <w:tc>
          <w:tcPr>
            <w:tcW w:w="180" w:type="dxa"/>
            <w:vAlign w:val="bottom"/>
            <w:tcBorders>
              <w:bottom w:val="single" w:sz="8" w:color="131E29"/>
            </w:tcBorders>
          </w:tcPr>
          <w:p>
            <w:pPr>
              <w:spacing w:after="0"/>
              <w:rPr>
                <w:sz w:val="22"/>
                <w:szCs w:val="22"/>
                <w:color w:val="auto"/>
              </w:rPr>
            </w:pPr>
          </w:p>
        </w:tc>
        <w:tc>
          <w:tcPr>
            <w:tcW w:w="540" w:type="dxa"/>
            <w:vAlign w:val="bottom"/>
            <w:tcBorders>
              <w:bottom w:val="single" w:sz="8" w:color="131E29"/>
            </w:tcBorders>
          </w:tcPr>
          <w:p>
            <w:pPr>
              <w:jc w:val="right"/>
              <w:spacing w:after="0"/>
              <w:rPr>
                <w:sz w:val="20"/>
                <w:szCs w:val="20"/>
                <w:color w:val="auto"/>
              </w:rPr>
            </w:pPr>
            <w:r>
              <w:rPr>
                <w:rFonts w:ascii="Arial" w:cs="Arial" w:eastAsia="Arial" w:hAnsi="Arial"/>
                <w:sz w:val="18"/>
                <w:szCs w:val="18"/>
                <w:color w:val="131E29"/>
              </w:rPr>
              <w:t>0.2</w:t>
            </w:r>
          </w:p>
        </w:tc>
      </w:tr>
      <w:tr>
        <w:trPr>
          <w:trHeight w:val="269"/>
        </w:trPr>
        <w:tc>
          <w:tcPr>
            <w:tcW w:w="390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EBITDA</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37,136</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131E29"/>
            </w:tcBorders>
            <w:shd w:val="clear" w:color="auto" w:fill="D2DCE5"/>
          </w:tcPr>
          <w:p>
            <w:pPr>
              <w:spacing w:after="0"/>
              <w:rPr>
                <w:sz w:val="23"/>
                <w:szCs w:val="23"/>
                <w:color w:val="auto"/>
              </w:rPr>
            </w:pPr>
          </w:p>
        </w:tc>
        <w:tc>
          <w:tcPr>
            <w:tcW w:w="5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14.9</w:t>
            </w:r>
          </w:p>
        </w:tc>
        <w:tc>
          <w:tcPr>
            <w:tcW w:w="100" w:type="dxa"/>
            <w:vAlign w:val="bottom"/>
            <w:tcBorders>
              <w:bottom w:val="single" w:sz="8" w:color="D2DCE5"/>
            </w:tcBorders>
            <w:shd w:val="clear" w:color="auto" w:fill="D2DCE5"/>
          </w:tcPr>
          <w:p>
            <w:pPr>
              <w:spacing w:after="0"/>
              <w:rPr>
                <w:sz w:val="23"/>
                <w:szCs w:val="23"/>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13,269</w:t>
            </w:r>
          </w:p>
        </w:tc>
        <w:tc>
          <w:tcPr>
            <w:tcW w:w="100" w:type="dxa"/>
            <w:vAlign w:val="bottom"/>
            <w:tcBorders>
              <w:bottom w:val="single" w:sz="8" w:color="D2DCE5"/>
            </w:tcBorders>
            <w:shd w:val="clear" w:color="auto" w:fill="D2DCE5"/>
          </w:tcPr>
          <w:p>
            <w:pPr>
              <w:spacing w:after="0"/>
              <w:rPr>
                <w:sz w:val="23"/>
                <w:szCs w:val="23"/>
                <w:color w:val="auto"/>
              </w:rPr>
            </w:pPr>
          </w:p>
        </w:tc>
        <w:tc>
          <w:tcPr>
            <w:tcW w:w="220" w:type="dxa"/>
            <w:vAlign w:val="bottom"/>
            <w:tcBorders>
              <w:bottom w:val="single" w:sz="8" w:color="131E29"/>
            </w:tcBorders>
            <w:shd w:val="clear" w:color="auto" w:fill="D2DCE5"/>
          </w:tcPr>
          <w:p>
            <w:pPr>
              <w:spacing w:after="0"/>
              <w:rPr>
                <w:sz w:val="23"/>
                <w:szCs w:val="23"/>
                <w:color w:val="auto"/>
              </w:rPr>
            </w:pPr>
          </w:p>
        </w:tc>
        <w:tc>
          <w:tcPr>
            <w:tcW w:w="5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7.1</w:t>
            </w:r>
          </w:p>
        </w:tc>
        <w:tc>
          <w:tcPr>
            <w:tcW w:w="8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52,990</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131E29"/>
            </w:tcBorders>
            <w:shd w:val="clear" w:color="auto" w:fill="D2DCE5"/>
          </w:tcPr>
          <w:p>
            <w:pPr>
              <w:spacing w:after="0"/>
              <w:rPr>
                <w:sz w:val="23"/>
                <w:szCs w:val="23"/>
                <w:color w:val="auto"/>
              </w:rPr>
            </w:pPr>
          </w:p>
        </w:tc>
        <w:tc>
          <w:tcPr>
            <w:tcW w:w="5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11.9</w:t>
            </w:r>
          </w:p>
        </w:tc>
        <w:tc>
          <w:tcPr>
            <w:tcW w:w="10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ind w:right="10"/>
              <w:spacing w:after="0"/>
              <w:rPr>
                <w:sz w:val="20"/>
                <w:szCs w:val="20"/>
                <w:color w:val="auto"/>
              </w:rPr>
            </w:pPr>
            <w:r>
              <w:rPr>
                <w:rFonts w:ascii="Arial" w:cs="Arial" w:eastAsia="Arial" w:hAnsi="Arial"/>
                <w:sz w:val="18"/>
                <w:szCs w:val="18"/>
                <w:color w:val="131E29"/>
              </w:rPr>
              <w:t>8,447</w:t>
            </w:r>
          </w:p>
        </w:tc>
        <w:tc>
          <w:tcPr>
            <w:tcW w:w="80" w:type="dxa"/>
            <w:vAlign w:val="bottom"/>
            <w:tcBorders>
              <w:bottom w:val="single" w:sz="8" w:color="D2DCE5"/>
            </w:tcBorders>
            <w:shd w:val="clear" w:color="auto" w:fill="D2DCE5"/>
          </w:tcPr>
          <w:p>
            <w:pPr>
              <w:spacing w:after="0"/>
              <w:rPr>
                <w:sz w:val="23"/>
                <w:szCs w:val="23"/>
                <w:color w:val="auto"/>
              </w:rPr>
            </w:pPr>
          </w:p>
        </w:tc>
        <w:tc>
          <w:tcPr>
            <w:tcW w:w="180" w:type="dxa"/>
            <w:vAlign w:val="bottom"/>
            <w:tcBorders>
              <w:bottom w:val="single" w:sz="8" w:color="131E29"/>
            </w:tcBorders>
            <w:shd w:val="clear" w:color="auto" w:fill="D2DCE5"/>
          </w:tcPr>
          <w:p>
            <w:pPr>
              <w:spacing w:after="0"/>
              <w:rPr>
                <w:sz w:val="23"/>
                <w:szCs w:val="23"/>
                <w:color w:val="auto"/>
              </w:rPr>
            </w:pPr>
          </w:p>
        </w:tc>
        <w:tc>
          <w:tcPr>
            <w:tcW w:w="5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2.5</w:t>
            </w:r>
          </w:p>
        </w:tc>
      </w:tr>
      <w:tr>
        <w:trPr>
          <w:trHeight w:val="237"/>
        </w:trPr>
        <w:tc>
          <w:tcPr>
            <w:tcW w:w="3900" w:type="dxa"/>
            <w:vAlign w:val="bottom"/>
            <w:gridSpan w:val="2"/>
          </w:tcPr>
          <w:p>
            <w:pPr>
              <w:ind w:left="180"/>
              <w:spacing w:after="0"/>
              <w:rPr>
                <w:sz w:val="20"/>
                <w:szCs w:val="20"/>
                <w:color w:val="auto"/>
              </w:rPr>
            </w:pPr>
            <w:r>
              <w:rPr>
                <w:rFonts w:ascii="Arial" w:cs="Arial" w:eastAsia="Arial" w:hAnsi="Arial"/>
                <w:sz w:val="18"/>
                <w:szCs w:val="18"/>
                <w:color w:val="131E29"/>
              </w:rPr>
              <w:t>Equity-based compensation</w:t>
            </w:r>
          </w:p>
        </w:tc>
        <w:tc>
          <w:tcPr>
            <w:tcW w:w="940" w:type="dxa"/>
            <w:vAlign w:val="bottom"/>
          </w:tcPr>
          <w:p>
            <w:pPr>
              <w:jc w:val="right"/>
              <w:spacing w:after="0"/>
              <w:rPr>
                <w:sz w:val="20"/>
                <w:szCs w:val="20"/>
                <w:color w:val="auto"/>
              </w:rPr>
            </w:pPr>
            <w:r>
              <w:rPr>
                <w:rFonts w:ascii="Arial" w:cs="Arial" w:eastAsia="Arial" w:hAnsi="Arial"/>
                <w:sz w:val="18"/>
                <w:szCs w:val="18"/>
                <w:color w:val="131E29"/>
              </w:rPr>
              <w:t>10,149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10,446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131E29"/>
              </w:rPr>
              <w:t>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19,319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4.3</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131E29"/>
              </w:rPr>
              <w:t>20,346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131E29"/>
              </w:rPr>
              <w:t>6.0</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0"/>
        </w:trPr>
        <w:tc>
          <w:tcPr>
            <w:tcW w:w="390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COVID-19: Thank You pay and catastrophic</w:t>
            </w:r>
          </w:p>
        </w:tc>
        <w:tc>
          <w:tcPr>
            <w:tcW w:w="9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50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9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96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540" w:type="dxa"/>
            <w:vAlign w:val="bottom"/>
            <w:shd w:val="clear" w:color="auto" w:fill="D2DCE5"/>
          </w:tcPr>
          <w:p>
            <w:pPr>
              <w:spacing w:after="0"/>
              <w:rPr>
                <w:sz w:val="20"/>
                <w:szCs w:val="20"/>
                <w:color w:val="auto"/>
              </w:rPr>
            </w:pPr>
          </w:p>
        </w:tc>
      </w:tr>
      <w:tr>
        <w:trPr>
          <w:trHeight w:val="236"/>
        </w:trPr>
        <w:tc>
          <w:tcPr>
            <w:tcW w:w="39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leave</w:t>
            </w:r>
          </w:p>
        </w:tc>
        <w:tc>
          <w:tcPr>
            <w:tcW w:w="1200" w:type="dxa"/>
            <w:vAlign w:val="bottom"/>
            <w:tcBorders>
              <w:bottom w:val="single" w:sz="8" w:color="D2DCE5"/>
            </w:tcBorders>
            <w:gridSpan w:val="3"/>
            <w:shd w:val="clear" w:color="auto" w:fill="D2DCE5"/>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224</w:t>
            </w:r>
          </w:p>
        </w:tc>
        <w:tc>
          <w:tcPr>
            <w:tcW w:w="100" w:type="dxa"/>
            <w:vAlign w:val="bottom"/>
            <w:tcBorders>
              <w:bottom w:val="single" w:sz="8" w:color="D2DCE5"/>
            </w:tcBorders>
            <w:shd w:val="clear" w:color="auto" w:fill="D2DCE5"/>
          </w:tcPr>
          <w:p>
            <w:pPr>
              <w:spacing w:after="0"/>
              <w:rPr>
                <w:sz w:val="20"/>
                <w:szCs w:val="20"/>
                <w:color w:val="auto"/>
              </w:rPr>
            </w:pPr>
          </w:p>
        </w:tc>
        <w:tc>
          <w:tcPr>
            <w:tcW w:w="220" w:type="dxa"/>
            <w:vAlign w:val="bottom"/>
            <w:tcBorders>
              <w:bottom w:val="single" w:sz="8" w:color="D2DCE5"/>
            </w:tcBorders>
            <w:shd w:val="clear" w:color="auto" w:fill="D2DCE5"/>
          </w:tcPr>
          <w:p>
            <w:pPr>
              <w:spacing w:after="0"/>
              <w:rPr>
                <w:sz w:val="20"/>
                <w:szCs w:val="20"/>
                <w:color w:val="auto"/>
              </w:rPr>
            </w:pPr>
          </w:p>
        </w:tc>
        <w:tc>
          <w:tcPr>
            <w:tcW w:w="5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0.1</w:t>
            </w:r>
          </w:p>
        </w:tc>
        <w:tc>
          <w:tcPr>
            <w:tcW w:w="80" w:type="dxa"/>
            <w:vAlign w:val="bottom"/>
            <w:tcBorders>
              <w:bottom w:val="single" w:sz="8" w:color="D2DCE5"/>
            </w:tcBorders>
            <w:shd w:val="clear" w:color="auto" w:fill="D2DCE5"/>
          </w:tcPr>
          <w:p>
            <w:pPr>
              <w:spacing w:after="0"/>
              <w:rPr>
                <w:sz w:val="20"/>
                <w:szCs w:val="20"/>
                <w:color w:val="auto"/>
              </w:rPr>
            </w:pPr>
          </w:p>
        </w:tc>
        <w:tc>
          <w:tcPr>
            <w:tcW w:w="1220" w:type="dxa"/>
            <w:vAlign w:val="bottom"/>
            <w:tcBorders>
              <w:bottom w:val="single" w:sz="8" w:color="D2DCE5"/>
            </w:tcBorders>
            <w:gridSpan w:val="3"/>
            <w:shd w:val="clear" w:color="auto" w:fill="D2DCE5"/>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60" w:type="dxa"/>
            <w:vAlign w:val="bottom"/>
            <w:tcBorders>
              <w:bottom w:val="single" w:sz="8" w:color="D2DCE5"/>
            </w:tcBorders>
            <w:gridSpan w:val="2"/>
            <w:shd w:val="clear" w:color="auto" w:fill="D2DCE5"/>
          </w:tcPr>
          <w:p>
            <w:pPr>
              <w:jc w:val="right"/>
              <w:ind w:right="10"/>
              <w:spacing w:after="0"/>
              <w:rPr>
                <w:sz w:val="20"/>
                <w:szCs w:val="20"/>
                <w:color w:val="auto"/>
              </w:rPr>
            </w:pPr>
            <w:r>
              <w:rPr>
                <w:rFonts w:ascii="Arial" w:cs="Arial" w:eastAsia="Arial" w:hAnsi="Arial"/>
                <w:sz w:val="18"/>
                <w:szCs w:val="18"/>
                <w:color w:val="131E29"/>
              </w:rPr>
              <w:t>1,174</w:t>
            </w:r>
          </w:p>
        </w:tc>
        <w:tc>
          <w:tcPr>
            <w:tcW w:w="80" w:type="dxa"/>
            <w:vAlign w:val="bottom"/>
            <w:tcBorders>
              <w:bottom w:val="single" w:sz="8" w:color="D2DCE5"/>
            </w:tcBorders>
            <w:shd w:val="clear" w:color="auto" w:fill="D2DCE5"/>
          </w:tcPr>
          <w:p>
            <w:pPr>
              <w:spacing w:after="0"/>
              <w:rPr>
                <w:sz w:val="20"/>
                <w:szCs w:val="20"/>
                <w:color w:val="auto"/>
              </w:rPr>
            </w:pPr>
          </w:p>
        </w:tc>
        <w:tc>
          <w:tcPr>
            <w:tcW w:w="180" w:type="dxa"/>
            <w:vAlign w:val="bottom"/>
            <w:tcBorders>
              <w:bottom w:val="single" w:sz="8" w:color="D2DCE5"/>
            </w:tcBorders>
            <w:shd w:val="clear" w:color="auto" w:fill="D2DCE5"/>
          </w:tcPr>
          <w:p>
            <w:pPr>
              <w:spacing w:after="0"/>
              <w:rPr>
                <w:sz w:val="20"/>
                <w:szCs w:val="20"/>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0.3</w:t>
            </w:r>
          </w:p>
        </w:tc>
      </w:tr>
      <w:tr>
        <w:trPr>
          <w:trHeight w:val="243"/>
        </w:trPr>
        <w:tc>
          <w:tcPr>
            <w:tcW w:w="3900" w:type="dxa"/>
            <w:vAlign w:val="bottom"/>
            <w:gridSpan w:val="2"/>
          </w:tcPr>
          <w:p>
            <w:pPr>
              <w:ind w:left="180"/>
              <w:spacing w:after="0"/>
              <w:rPr>
                <w:sz w:val="20"/>
                <w:szCs w:val="20"/>
                <w:color w:val="auto"/>
              </w:rPr>
            </w:pPr>
            <w:r>
              <w:rPr>
                <w:rFonts w:ascii="Arial" w:cs="Arial" w:eastAsia="Arial" w:hAnsi="Arial"/>
                <w:sz w:val="18"/>
                <w:szCs w:val="18"/>
                <w:color w:val="131E29"/>
              </w:rPr>
              <w:t>COVID-19: prepaid costs not utilized</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tcPr>
          <w:p>
            <w:pPr>
              <w:jc w:val="right"/>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1"/>
                <w:szCs w:val="21"/>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131E29"/>
              </w:rPr>
              <w:t>—</w:t>
            </w:r>
          </w:p>
        </w:tc>
        <w:tc>
          <w:tcPr>
            <w:tcW w:w="500" w:type="dxa"/>
            <w:vAlign w:val="bottom"/>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tcPr>
          <w:p>
            <w:pPr>
              <w:jc w:val="right"/>
              <w:spacing w:after="0"/>
              <w:rPr>
                <w:sz w:val="20"/>
                <w:szCs w:val="20"/>
                <w:color w:val="auto"/>
              </w:rPr>
            </w:pPr>
            <w:r>
              <w:rPr>
                <w:rFonts w:ascii="Arial" w:cs="Arial" w:eastAsia="Arial" w:hAnsi="Arial"/>
                <w:sz w:val="18"/>
                <w:szCs w:val="18"/>
                <w:color w:val="131E29"/>
              </w:rPr>
              <w:t>—</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131E29"/>
              </w:rPr>
              <w:t>1,200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131E29"/>
              </w:rPr>
              <w:t>0.4</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9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Milestone events</w:t>
            </w:r>
          </w:p>
        </w:tc>
        <w:tc>
          <w:tcPr>
            <w:tcW w:w="1200" w:type="dxa"/>
            <w:vAlign w:val="bottom"/>
            <w:tcBorders>
              <w:bottom w:val="single" w:sz="8" w:color="D2DCE5"/>
            </w:tcBorders>
            <w:gridSpan w:val="3"/>
            <w:shd w:val="clear" w:color="auto" w:fill="D2DCE5"/>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0" w:type="dxa"/>
            <w:vAlign w:val="bottom"/>
            <w:tcBorders>
              <w:bottom w:val="single" w:sz="8" w:color="D2DCE5"/>
            </w:tcBorders>
            <w:shd w:val="clear" w:color="auto" w:fill="D2DCE5"/>
          </w:tcPr>
          <w:p>
            <w:pPr>
              <w:spacing w:after="0"/>
              <w:rPr>
                <w:sz w:val="21"/>
                <w:szCs w:val="21"/>
                <w:color w:val="auto"/>
              </w:rPr>
            </w:pPr>
          </w:p>
        </w:tc>
        <w:tc>
          <w:tcPr>
            <w:tcW w:w="1260" w:type="dxa"/>
            <w:vAlign w:val="bottom"/>
            <w:tcBorders>
              <w:bottom w:val="single" w:sz="8" w:color="D2DCE5"/>
            </w:tcBorders>
            <w:gridSpan w:val="3"/>
            <w:shd w:val="clear" w:color="auto" w:fill="D2DCE5"/>
          </w:tcPr>
          <w:p>
            <w:pPr>
              <w:jc w:val="right"/>
              <w:ind w:right="400"/>
              <w:spacing w:after="0"/>
              <w:rPr>
                <w:sz w:val="20"/>
                <w:szCs w:val="20"/>
                <w:color w:val="auto"/>
              </w:rPr>
            </w:pPr>
            <w:r>
              <w:rPr>
                <w:rFonts w:ascii="Arial" w:cs="Arial" w:eastAsia="Arial" w:hAnsi="Arial"/>
                <w:sz w:val="18"/>
                <w:szCs w:val="18"/>
                <w:color w:val="131E29"/>
              </w:rPr>
              <w:t>—</w:t>
            </w:r>
          </w:p>
        </w:tc>
        <w:tc>
          <w:tcPr>
            <w:tcW w:w="5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gridSpan w:val="3"/>
            <w:shd w:val="clear" w:color="auto" w:fill="D2DCE5"/>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60" w:type="dxa"/>
            <w:vAlign w:val="bottom"/>
            <w:tcBorders>
              <w:bottom w:val="single" w:sz="8" w:color="D2DCE5"/>
            </w:tcBorders>
            <w:gridSpan w:val="2"/>
            <w:shd w:val="clear" w:color="auto" w:fill="D2DCE5"/>
          </w:tcPr>
          <w:p>
            <w:pPr>
              <w:jc w:val="right"/>
              <w:ind w:right="10"/>
              <w:spacing w:after="0"/>
              <w:rPr>
                <w:sz w:val="20"/>
                <w:szCs w:val="20"/>
                <w:color w:val="auto"/>
              </w:rPr>
            </w:pPr>
            <w:r>
              <w:rPr>
                <w:rFonts w:ascii="Arial" w:cs="Arial" w:eastAsia="Arial" w:hAnsi="Arial"/>
                <w:sz w:val="18"/>
                <w:szCs w:val="18"/>
                <w:color w:val="131E29"/>
              </w:rPr>
              <w:t>2,434</w:t>
            </w:r>
          </w:p>
        </w:tc>
        <w:tc>
          <w:tcPr>
            <w:tcW w:w="8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0.7</w:t>
            </w:r>
          </w:p>
        </w:tc>
      </w:tr>
      <w:tr>
        <w:trPr>
          <w:trHeight w:val="243"/>
        </w:trPr>
        <w:tc>
          <w:tcPr>
            <w:tcW w:w="3900" w:type="dxa"/>
            <w:vAlign w:val="bottom"/>
            <w:gridSpan w:val="2"/>
          </w:tcPr>
          <w:p>
            <w:pPr>
              <w:ind w:left="180"/>
              <w:spacing w:after="0"/>
              <w:rPr>
                <w:sz w:val="20"/>
                <w:szCs w:val="20"/>
                <w:color w:val="auto"/>
              </w:rPr>
            </w:pPr>
            <w:r>
              <w:rPr>
                <w:rFonts w:ascii="Arial" w:cs="Arial" w:eastAsia="Arial" w:hAnsi="Arial"/>
                <w:sz w:val="18"/>
                <w:szCs w:val="18"/>
                <w:color w:val="131E29"/>
              </w:rPr>
              <w:t>Executives transition costs</w:t>
            </w:r>
          </w:p>
        </w:tc>
        <w:tc>
          <w:tcPr>
            <w:tcW w:w="940" w:type="dxa"/>
            <w:vAlign w:val="bottom"/>
          </w:tcPr>
          <w:p>
            <w:pPr>
              <w:jc w:val="right"/>
              <w:spacing w:after="0"/>
              <w:rPr>
                <w:sz w:val="20"/>
                <w:szCs w:val="20"/>
                <w:color w:val="auto"/>
              </w:rPr>
            </w:pPr>
            <w:r>
              <w:rPr>
                <w:rFonts w:ascii="Arial" w:cs="Arial" w:eastAsia="Arial" w:hAnsi="Arial"/>
                <w:sz w:val="18"/>
                <w:szCs w:val="18"/>
                <w:color w:val="131E29"/>
              </w:rPr>
              <w:t>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0.1</w:t>
            </w:r>
          </w:p>
        </w:tc>
        <w:tc>
          <w:tcPr>
            <w:tcW w:w="100" w:type="dxa"/>
            <w:vAlign w:val="bottom"/>
          </w:tcPr>
          <w:p>
            <w:pPr>
              <w:spacing w:after="0"/>
              <w:rPr>
                <w:sz w:val="21"/>
                <w:szCs w:val="21"/>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131E29"/>
              </w:rPr>
              <w:t>—</w:t>
            </w:r>
          </w:p>
        </w:tc>
        <w:tc>
          <w:tcPr>
            <w:tcW w:w="500" w:type="dxa"/>
            <w:vAlign w:val="bottom"/>
          </w:tcPr>
          <w:p>
            <w:pPr>
              <w:jc w:val="right"/>
              <w:spacing w:after="0"/>
              <w:rPr>
                <w:sz w:val="20"/>
                <w:szCs w:val="20"/>
                <w:color w:val="auto"/>
              </w:rPr>
            </w:pPr>
            <w:r>
              <w:rPr>
                <w:rFonts w:ascii="Arial" w:cs="Arial" w:eastAsia="Arial" w:hAnsi="Arial"/>
                <w:sz w:val="18"/>
                <w:szCs w:val="18"/>
                <w:color w:val="131E2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0.1</w:t>
            </w:r>
          </w:p>
        </w:tc>
        <w:tc>
          <w:tcPr>
            <w:tcW w:w="100" w:type="dxa"/>
            <w:vAlign w:val="bottom"/>
          </w:tcPr>
          <w:p>
            <w:pPr>
              <w:spacing w:after="0"/>
              <w:rPr>
                <w:sz w:val="21"/>
                <w:szCs w:val="21"/>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131E29"/>
              </w:rPr>
              <w:t>—</w:t>
            </w:r>
          </w:p>
        </w:tc>
        <w:tc>
          <w:tcPr>
            <w:tcW w:w="54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9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TRAs remeasurement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(861)</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(0.5)</w:t>
            </w:r>
          </w:p>
        </w:tc>
        <w:tc>
          <w:tcPr>
            <w:tcW w:w="100" w:type="dxa"/>
            <w:vAlign w:val="bottom"/>
            <w:tcBorders>
              <w:bottom w:val="single" w:sz="8" w:color="D2DCE5"/>
            </w:tcBorders>
            <w:shd w:val="clear" w:color="auto" w:fill="D2DCE5"/>
          </w:tcPr>
          <w:p>
            <w:pPr>
              <w:spacing w:after="0"/>
              <w:rPr>
                <w:sz w:val="21"/>
                <w:szCs w:val="21"/>
                <w:color w:val="auto"/>
              </w:rPr>
            </w:pPr>
          </w:p>
        </w:tc>
        <w:tc>
          <w:tcPr>
            <w:tcW w:w="1260" w:type="dxa"/>
            <w:vAlign w:val="bottom"/>
            <w:tcBorders>
              <w:bottom w:val="single" w:sz="8" w:color="D2DCE5"/>
            </w:tcBorders>
            <w:gridSpan w:val="3"/>
            <w:shd w:val="clear" w:color="auto" w:fill="D2DCE5"/>
          </w:tcPr>
          <w:p>
            <w:pPr>
              <w:jc w:val="right"/>
              <w:ind w:right="400"/>
              <w:spacing w:after="0"/>
              <w:rPr>
                <w:sz w:val="20"/>
                <w:szCs w:val="20"/>
                <w:color w:val="auto"/>
              </w:rPr>
            </w:pPr>
            <w:r>
              <w:rPr>
                <w:rFonts w:ascii="Arial" w:cs="Arial" w:eastAsia="Arial" w:hAnsi="Arial"/>
                <w:sz w:val="18"/>
                <w:szCs w:val="18"/>
                <w:color w:val="131E29"/>
              </w:rPr>
              <w:t>—</w:t>
            </w:r>
          </w:p>
        </w:tc>
        <w:tc>
          <w:tcPr>
            <w:tcW w:w="5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(2,155)</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(0.5)</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gridSpan w:val="3"/>
            <w:shd w:val="clear" w:color="auto" w:fill="D2DCE5"/>
          </w:tcPr>
          <w:p>
            <w:pPr>
              <w:jc w:val="right"/>
              <w:ind w:right="360"/>
              <w:spacing w:after="0"/>
              <w:rPr>
                <w:sz w:val="20"/>
                <w:szCs w:val="20"/>
                <w:color w:val="auto"/>
              </w:rPr>
            </w:pPr>
            <w:r>
              <w:rPr>
                <w:rFonts w:ascii="Arial" w:cs="Arial" w:eastAsia="Arial" w:hAnsi="Arial"/>
                <w:sz w:val="18"/>
                <w:szCs w:val="18"/>
                <w:color w:val="131E29"/>
              </w:rPr>
              <w:t>—</w:t>
            </w: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63"/>
        </w:trPr>
        <w:tc>
          <w:tcPr>
            <w:tcW w:w="3900" w:type="dxa"/>
            <w:vAlign w:val="bottom"/>
            <w:gridSpan w:val="2"/>
          </w:tcPr>
          <w:p>
            <w:pPr>
              <w:ind w:left="180"/>
              <w:spacing w:after="0"/>
              <w:rPr>
                <w:sz w:val="20"/>
                <w:szCs w:val="20"/>
                <w:color w:val="auto"/>
              </w:rPr>
            </w:pPr>
            <w:r>
              <w:rPr>
                <w:rFonts w:ascii="Arial" w:cs="Arial" w:eastAsia="Arial" w:hAnsi="Arial"/>
                <w:sz w:val="18"/>
                <w:szCs w:val="18"/>
                <w:color w:val="131E29"/>
              </w:rPr>
              <w:t>Legal proceedings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1,950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0.8</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1,950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0.4</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w:t>
            </w:r>
          </w:p>
        </w:tc>
      </w:tr>
      <w:tr>
        <w:trPr>
          <w:trHeight w:val="290"/>
        </w:trPr>
        <w:tc>
          <w:tcPr>
            <w:tcW w:w="3900" w:type="dxa"/>
            <w:vAlign w:val="bottom"/>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Adjusted EBITDA</w:t>
            </w:r>
          </w:p>
        </w:tc>
        <w:tc>
          <w:tcPr>
            <w:tcW w:w="9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48,599</w:t>
            </w:r>
          </w:p>
        </w:tc>
        <w:tc>
          <w:tcPr>
            <w:tcW w:w="10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19.4</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23,939</w:t>
            </w:r>
          </w:p>
        </w:tc>
        <w:tc>
          <w:tcPr>
            <w:tcW w:w="10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12.8</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72,479</w:t>
            </w:r>
          </w:p>
        </w:tc>
        <w:tc>
          <w:tcPr>
            <w:tcW w:w="10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16.2</w:t>
            </w:r>
          </w:p>
        </w:tc>
        <w:tc>
          <w:tcPr>
            <w:tcW w:w="1060" w:type="dxa"/>
            <w:vAlign w:val="bottom"/>
            <w:gridSpan w:val="2"/>
            <w:shd w:val="clear" w:color="auto" w:fill="D2DCE5"/>
          </w:tcPr>
          <w:p>
            <w:pPr>
              <w:jc w:val="right"/>
              <w:ind w:right="10"/>
              <w:spacing w:after="0"/>
              <w:rPr>
                <w:sz w:val="20"/>
                <w:szCs w:val="20"/>
                <w:color w:val="auto"/>
              </w:rPr>
            </w:pPr>
            <w:r>
              <w:rPr>
                <w:rFonts w:ascii="Arial" w:cs="Arial" w:eastAsia="Arial" w:hAnsi="Arial"/>
                <w:sz w:val="18"/>
                <w:szCs w:val="18"/>
                <w:color w:val="131E29"/>
              </w:rPr>
              <w:t>33,601</w:t>
            </w:r>
          </w:p>
        </w:tc>
        <w:tc>
          <w:tcPr>
            <w:tcW w:w="80" w:type="dxa"/>
            <w:vAlign w:val="bottom"/>
            <w:shd w:val="clear" w:color="auto" w:fill="D2DCE5"/>
          </w:tcPr>
          <w:p>
            <w:pPr>
              <w:spacing w:after="0"/>
              <w:rPr>
                <w:sz w:val="24"/>
                <w:szCs w:val="24"/>
                <w:color w:val="auto"/>
              </w:rPr>
            </w:pPr>
          </w:p>
        </w:tc>
        <w:tc>
          <w:tcPr>
            <w:tcW w:w="180" w:type="dxa"/>
            <w:vAlign w:val="bottom"/>
            <w:shd w:val="clear" w:color="auto" w:fill="D2DCE5"/>
          </w:tcPr>
          <w:p>
            <w:pPr>
              <w:spacing w:after="0"/>
              <w:rPr>
                <w:sz w:val="24"/>
                <w:szCs w:val="24"/>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9.9</w:t>
            </w:r>
          </w:p>
        </w:tc>
      </w:tr>
      <w:tr>
        <w:trPr>
          <w:trHeight w:val="20"/>
        </w:trPr>
        <w:tc>
          <w:tcPr>
            <w:tcW w:w="37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131E29"/>
              <w:bottom w:val="single" w:sz="8" w:color="131E29"/>
            </w:tcBorders>
          </w:tcPr>
          <w:p>
            <w:pPr>
              <w:spacing w:after="0" w:line="20" w:lineRule="exact"/>
              <w:rPr>
                <w:sz w:val="1"/>
                <w:szCs w:val="1"/>
                <w:color w:val="auto"/>
              </w:rPr>
            </w:pPr>
          </w:p>
        </w:tc>
        <w:tc>
          <w:tcPr>
            <w:tcW w:w="560" w:type="dxa"/>
            <w:vAlign w:val="bottom"/>
            <w:tcBorders>
              <w:top w:val="single" w:sz="8" w:color="131E29"/>
              <w:bottom w:val="single" w:sz="8" w:color="131E29"/>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131E29"/>
              <w:bottom w:val="single" w:sz="8" w:color="131E29"/>
            </w:tcBorders>
          </w:tcPr>
          <w:p>
            <w:pPr>
              <w:spacing w:after="0" w:line="20" w:lineRule="exact"/>
              <w:rPr>
                <w:sz w:val="1"/>
                <w:szCs w:val="1"/>
                <w:color w:val="auto"/>
              </w:rPr>
            </w:pPr>
          </w:p>
        </w:tc>
        <w:tc>
          <w:tcPr>
            <w:tcW w:w="500" w:type="dxa"/>
            <w:vAlign w:val="bottom"/>
            <w:tcBorders>
              <w:top w:val="single" w:sz="8" w:color="131E29"/>
              <w:bottom w:val="single" w:sz="8" w:color="131E29"/>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131E29"/>
              <w:bottom w:val="single" w:sz="8" w:color="131E29"/>
            </w:tcBorders>
          </w:tcPr>
          <w:p>
            <w:pPr>
              <w:spacing w:after="0" w:line="20" w:lineRule="exact"/>
              <w:rPr>
                <w:sz w:val="1"/>
                <w:szCs w:val="1"/>
                <w:color w:val="auto"/>
              </w:rPr>
            </w:pPr>
          </w:p>
        </w:tc>
        <w:tc>
          <w:tcPr>
            <w:tcW w:w="560" w:type="dxa"/>
            <w:vAlign w:val="bottom"/>
            <w:tcBorders>
              <w:top w:val="single" w:sz="8" w:color="131E29"/>
              <w:bottom w:val="single" w:sz="8" w:color="131E29"/>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131E29"/>
              <w:bottom w:val="single" w:sz="8" w:color="131E29"/>
            </w:tcBorders>
          </w:tcPr>
          <w:p>
            <w:pPr>
              <w:spacing w:after="0" w:line="20" w:lineRule="exact"/>
              <w:rPr>
                <w:sz w:val="1"/>
                <w:szCs w:val="1"/>
                <w:color w:val="auto"/>
              </w:rPr>
            </w:pPr>
          </w:p>
        </w:tc>
        <w:tc>
          <w:tcPr>
            <w:tcW w:w="540" w:type="dxa"/>
            <w:vAlign w:val="bottom"/>
            <w:tcBorders>
              <w:top w:val="single" w:sz="8" w:color="131E29"/>
              <w:bottom w:val="single" w:sz="8" w:color="131E29"/>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131E29"/>
              </w:rPr>
              <w:t>Three Months Ended June 30,</w:t>
            </w:r>
          </w:p>
        </w:tc>
        <w:tc>
          <w:tcPr>
            <w:tcW w:w="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1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131E29"/>
              </w:rPr>
              <w:t>Six Months Ended June 30,</w:t>
            </w: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131E29"/>
              </w:rPr>
              <w:t>2023</w:t>
            </w:r>
          </w:p>
        </w:tc>
        <w:tc>
          <w:tcPr>
            <w:tcW w:w="5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131E29"/>
              </w:rPr>
              <w:t>2022</w:t>
            </w:r>
          </w:p>
        </w:tc>
        <w:tc>
          <w:tcPr>
            <w:tcW w:w="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131E29"/>
              </w:rPr>
              <w:t>2023</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131E29"/>
              </w:rPr>
              <w:t>2022</w:t>
            </w: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322"/>
        </w:trPr>
        <w:tc>
          <w:tcPr>
            <w:tcW w:w="39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 xml:space="preserve">Selling, general, and administrative </w:t>
            </w:r>
            <w:r>
              <w:rPr>
                <w:rFonts w:ascii="Arial" w:cs="Arial" w:eastAsia="Arial" w:hAnsi="Arial"/>
                <w:sz w:val="23"/>
                <w:szCs w:val="23"/>
                <w:b w:val="1"/>
                <w:bCs w:val="1"/>
                <w:color w:val="131E29"/>
                <w:vertAlign w:val="superscript"/>
              </w:rPr>
              <w:t>1</w:t>
            </w: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51,662</w:t>
            </w:r>
          </w:p>
        </w:tc>
        <w:tc>
          <w:tcPr>
            <w:tcW w:w="10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20.7</w:t>
            </w:r>
          </w:p>
        </w:tc>
        <w:tc>
          <w:tcPr>
            <w:tcW w:w="104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42,342</w:t>
            </w:r>
          </w:p>
        </w:tc>
        <w:tc>
          <w:tcPr>
            <w:tcW w:w="10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5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22.7</w:t>
            </w:r>
          </w:p>
        </w:tc>
        <w:tc>
          <w:tcPr>
            <w:tcW w:w="104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97,638</w:t>
            </w:r>
          </w:p>
        </w:tc>
        <w:tc>
          <w:tcPr>
            <w:tcW w:w="10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21.8</w:t>
            </w:r>
          </w:p>
        </w:tc>
        <w:tc>
          <w:tcPr>
            <w:tcW w:w="1060" w:type="dxa"/>
            <w:vAlign w:val="bottom"/>
            <w:gridSpan w:val="2"/>
            <w:vMerge w:val="restart"/>
            <w:shd w:val="clear" w:color="auto" w:fill="D2DCE5"/>
          </w:tcPr>
          <w:p>
            <w:pPr>
              <w:jc w:val="right"/>
              <w:ind w:right="10"/>
              <w:spacing w:after="0"/>
              <w:rPr>
                <w:sz w:val="20"/>
                <w:szCs w:val="20"/>
                <w:color w:val="auto"/>
              </w:rPr>
            </w:pPr>
            <w:r>
              <w:rPr>
                <w:rFonts w:ascii="Arial" w:cs="Arial" w:eastAsia="Arial" w:hAnsi="Arial"/>
                <w:sz w:val="18"/>
                <w:szCs w:val="18"/>
                <w:color w:val="131E29"/>
              </w:rPr>
              <w:t>87,556</w:t>
            </w:r>
          </w:p>
        </w:tc>
        <w:tc>
          <w:tcPr>
            <w:tcW w:w="80" w:type="dxa"/>
            <w:vAlign w:val="bottom"/>
            <w:shd w:val="clear" w:color="auto" w:fill="D2DCE5"/>
          </w:tcPr>
          <w:p>
            <w:pPr>
              <w:spacing w:after="0"/>
              <w:rPr>
                <w:sz w:val="24"/>
                <w:szCs w:val="24"/>
                <w:color w:val="auto"/>
              </w:rPr>
            </w:pPr>
          </w:p>
        </w:tc>
        <w:tc>
          <w:tcPr>
            <w:tcW w:w="180" w:type="dxa"/>
            <w:vAlign w:val="bottom"/>
            <w:shd w:val="clear" w:color="auto" w:fill="D2DCE5"/>
          </w:tcPr>
          <w:p>
            <w:pPr>
              <w:spacing w:after="0"/>
              <w:rPr>
                <w:sz w:val="24"/>
                <w:szCs w:val="24"/>
                <w:color w:val="auto"/>
              </w:rPr>
            </w:pP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25.9</w:t>
            </w:r>
          </w:p>
        </w:tc>
        <w:tc>
          <w:tcPr>
            <w:tcW w:w="0" w:type="dxa"/>
            <w:vAlign w:val="bottom"/>
          </w:tcPr>
          <w:p>
            <w:pPr>
              <w:spacing w:after="0"/>
              <w:rPr>
                <w:sz w:val="1"/>
                <w:szCs w:val="1"/>
                <w:color w:val="auto"/>
              </w:rPr>
            </w:pPr>
          </w:p>
        </w:tc>
      </w:tr>
      <w:tr>
        <w:trPr>
          <w:trHeight w:val="90"/>
        </w:trPr>
        <w:tc>
          <w:tcPr>
            <w:tcW w:w="3780" w:type="dxa"/>
            <w:vAlign w:val="bottom"/>
            <w:tcBorders>
              <w:bottom w:val="single" w:sz="8" w:color="D2DCE5"/>
            </w:tcBorders>
            <w:shd w:val="clear" w:color="auto" w:fill="D2DCE5"/>
          </w:tcPr>
          <w:p>
            <w:pPr>
              <w:spacing w:after="0"/>
              <w:rPr>
                <w:sz w:val="7"/>
                <w:szCs w:val="7"/>
                <w:color w:val="auto"/>
              </w:rPr>
            </w:pPr>
          </w:p>
        </w:tc>
        <w:tc>
          <w:tcPr>
            <w:tcW w:w="120" w:type="dxa"/>
            <w:vAlign w:val="bottom"/>
            <w:tcBorders>
              <w:bottom w:val="single" w:sz="8" w:color="D2DCE5"/>
            </w:tcBorders>
            <w:shd w:val="clear" w:color="auto" w:fill="D2DCE5"/>
          </w:tcPr>
          <w:p>
            <w:pPr>
              <w:spacing w:after="0"/>
              <w:rPr>
                <w:sz w:val="7"/>
                <w:szCs w:val="7"/>
                <w:color w:val="auto"/>
              </w:rPr>
            </w:pPr>
          </w:p>
        </w:tc>
        <w:tc>
          <w:tcPr>
            <w:tcW w:w="94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60" w:type="dxa"/>
            <w:vAlign w:val="bottom"/>
            <w:tcBorders>
              <w:bottom w:val="single" w:sz="8" w:color="D2DCE5"/>
            </w:tcBorders>
            <w:shd w:val="clear" w:color="auto" w:fill="D2DCE5"/>
          </w:tcPr>
          <w:p>
            <w:pPr>
              <w:spacing w:after="0"/>
              <w:rPr>
                <w:sz w:val="7"/>
                <w:szCs w:val="7"/>
                <w:color w:val="auto"/>
              </w:rPr>
            </w:pPr>
          </w:p>
        </w:tc>
        <w:tc>
          <w:tcPr>
            <w:tcW w:w="560" w:type="dxa"/>
            <w:vAlign w:val="bottom"/>
            <w:tcBorders>
              <w:bottom w:val="single" w:sz="8" w:color="D2DCE5"/>
            </w:tcBorders>
            <w:vMerge w:val="continue"/>
            <w:shd w:val="clear" w:color="auto" w:fill="D2DCE5"/>
          </w:tcPr>
          <w:p>
            <w:pPr>
              <w:spacing w:after="0"/>
              <w:rPr>
                <w:sz w:val="7"/>
                <w:szCs w:val="7"/>
                <w:color w:val="auto"/>
              </w:rPr>
            </w:pPr>
          </w:p>
        </w:tc>
        <w:tc>
          <w:tcPr>
            <w:tcW w:w="1040" w:type="dxa"/>
            <w:vAlign w:val="bottom"/>
            <w:tcBorders>
              <w:bottom w:val="single" w:sz="8" w:color="D2DCE5"/>
            </w:tcBorders>
            <w:gridSpan w:val="2"/>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220" w:type="dxa"/>
            <w:vAlign w:val="bottom"/>
            <w:tcBorders>
              <w:bottom w:val="single" w:sz="8" w:color="D2DCE5"/>
            </w:tcBorders>
            <w:shd w:val="clear" w:color="auto" w:fill="D2DCE5"/>
          </w:tcPr>
          <w:p>
            <w:pPr>
              <w:spacing w:after="0"/>
              <w:rPr>
                <w:sz w:val="7"/>
                <w:szCs w:val="7"/>
                <w:color w:val="auto"/>
              </w:rPr>
            </w:pPr>
          </w:p>
        </w:tc>
        <w:tc>
          <w:tcPr>
            <w:tcW w:w="500" w:type="dxa"/>
            <w:vAlign w:val="bottom"/>
            <w:tcBorders>
              <w:bottom w:val="single" w:sz="8" w:color="D2DCE5"/>
            </w:tcBorders>
            <w:vMerge w:val="continue"/>
            <w:shd w:val="clear" w:color="auto" w:fill="D2DCE5"/>
          </w:tcPr>
          <w:p>
            <w:pPr>
              <w:spacing w:after="0"/>
              <w:rPr>
                <w:sz w:val="7"/>
                <w:szCs w:val="7"/>
                <w:color w:val="auto"/>
              </w:rPr>
            </w:pPr>
          </w:p>
        </w:tc>
        <w:tc>
          <w:tcPr>
            <w:tcW w:w="1040" w:type="dxa"/>
            <w:vAlign w:val="bottom"/>
            <w:tcBorders>
              <w:bottom w:val="single" w:sz="8" w:color="D2DCE5"/>
            </w:tcBorders>
            <w:gridSpan w:val="2"/>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60" w:type="dxa"/>
            <w:vAlign w:val="bottom"/>
            <w:tcBorders>
              <w:bottom w:val="single" w:sz="8" w:color="D2DCE5"/>
            </w:tcBorders>
            <w:shd w:val="clear" w:color="auto" w:fill="D2DCE5"/>
          </w:tcPr>
          <w:p>
            <w:pPr>
              <w:spacing w:after="0"/>
              <w:rPr>
                <w:sz w:val="7"/>
                <w:szCs w:val="7"/>
                <w:color w:val="auto"/>
              </w:rPr>
            </w:pPr>
          </w:p>
        </w:tc>
        <w:tc>
          <w:tcPr>
            <w:tcW w:w="560" w:type="dxa"/>
            <w:vAlign w:val="bottom"/>
            <w:tcBorders>
              <w:bottom w:val="single" w:sz="8" w:color="D2DCE5"/>
            </w:tcBorders>
            <w:vMerge w:val="continue"/>
            <w:shd w:val="clear" w:color="auto" w:fill="D2DCE5"/>
          </w:tcPr>
          <w:p>
            <w:pPr>
              <w:spacing w:after="0"/>
              <w:rPr>
                <w:sz w:val="7"/>
                <w:szCs w:val="7"/>
                <w:color w:val="auto"/>
              </w:rPr>
            </w:pPr>
          </w:p>
        </w:tc>
        <w:tc>
          <w:tcPr>
            <w:tcW w:w="1060" w:type="dxa"/>
            <w:vAlign w:val="bottom"/>
            <w:tcBorders>
              <w:bottom w:val="single" w:sz="8" w:color="D2DCE5"/>
            </w:tcBorders>
            <w:gridSpan w:val="2"/>
            <w:vMerge w:val="continue"/>
            <w:shd w:val="clear" w:color="auto" w:fill="D2DCE5"/>
          </w:tcPr>
          <w:p>
            <w:pPr>
              <w:spacing w:after="0"/>
              <w:rPr>
                <w:sz w:val="7"/>
                <w:szCs w:val="7"/>
                <w:color w:val="auto"/>
              </w:rPr>
            </w:pPr>
          </w:p>
        </w:tc>
        <w:tc>
          <w:tcPr>
            <w:tcW w:w="80" w:type="dxa"/>
            <w:vAlign w:val="bottom"/>
            <w:tcBorders>
              <w:bottom w:val="single" w:sz="8" w:color="D2DCE5"/>
            </w:tcBorders>
            <w:shd w:val="clear" w:color="auto" w:fill="D2DCE5"/>
          </w:tcPr>
          <w:p>
            <w:pPr>
              <w:spacing w:after="0"/>
              <w:rPr>
                <w:sz w:val="7"/>
                <w:szCs w:val="7"/>
                <w:color w:val="auto"/>
              </w:rPr>
            </w:pPr>
          </w:p>
        </w:tc>
        <w:tc>
          <w:tcPr>
            <w:tcW w:w="180" w:type="dxa"/>
            <w:vAlign w:val="bottom"/>
            <w:tcBorders>
              <w:bottom w:val="single" w:sz="8" w:color="D2DCE5"/>
            </w:tcBorders>
            <w:shd w:val="clear" w:color="auto" w:fill="D2DCE5"/>
          </w:tcPr>
          <w:p>
            <w:pPr>
              <w:spacing w:after="0"/>
              <w:rPr>
                <w:sz w:val="7"/>
                <w:szCs w:val="7"/>
                <w:color w:val="auto"/>
              </w:rPr>
            </w:pPr>
          </w:p>
        </w:tc>
        <w:tc>
          <w:tcPr>
            <w:tcW w:w="54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180"/>
              <w:spacing w:after="0"/>
              <w:rPr>
                <w:sz w:val="20"/>
                <w:szCs w:val="20"/>
                <w:color w:val="auto"/>
              </w:rPr>
            </w:pPr>
            <w:r>
              <w:rPr>
                <w:rFonts w:ascii="Arial" w:cs="Arial" w:eastAsia="Arial" w:hAnsi="Arial"/>
                <w:sz w:val="18"/>
                <w:szCs w:val="18"/>
                <w:color w:val="131E29"/>
              </w:rPr>
              <w:t>Equity-based compensation</w:t>
            </w:r>
          </w:p>
        </w:tc>
        <w:tc>
          <w:tcPr>
            <w:tcW w:w="940" w:type="dxa"/>
            <w:vAlign w:val="bottom"/>
          </w:tcPr>
          <w:p>
            <w:pPr>
              <w:jc w:val="right"/>
              <w:spacing w:after="0"/>
              <w:rPr>
                <w:sz w:val="20"/>
                <w:szCs w:val="20"/>
                <w:color w:val="auto"/>
              </w:rPr>
            </w:pPr>
            <w:r>
              <w:rPr>
                <w:rFonts w:ascii="Arial" w:cs="Arial" w:eastAsia="Arial" w:hAnsi="Arial"/>
                <w:sz w:val="18"/>
                <w:szCs w:val="18"/>
                <w:color w:val="131E29"/>
              </w:rPr>
              <w:t>(10,149)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(10,446)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131E29"/>
              </w:rPr>
              <w:t>(5.6)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(19,319)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131E29"/>
              </w:rPr>
              <w:t>(20,346)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131E29"/>
              </w:rPr>
              <w:t>(6.0)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COVID-19: prepaid costs not utilized</w:t>
            </w:r>
          </w:p>
        </w:tc>
        <w:tc>
          <w:tcPr>
            <w:tcW w:w="1200" w:type="dxa"/>
            <w:vAlign w:val="bottom"/>
            <w:tcBorders>
              <w:bottom w:val="single" w:sz="8" w:color="D2DCE5"/>
            </w:tcBorders>
            <w:gridSpan w:val="3"/>
            <w:shd w:val="clear" w:color="auto" w:fill="D2DCE5"/>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1280" w:type="dxa"/>
            <w:vAlign w:val="bottom"/>
            <w:tcBorders>
              <w:bottom w:val="single" w:sz="8" w:color="D2DCE5"/>
            </w:tcBorders>
            <w:gridSpan w:val="3"/>
            <w:shd w:val="clear" w:color="auto" w:fill="D2DCE5"/>
          </w:tcPr>
          <w:p>
            <w:pPr>
              <w:jc w:val="right"/>
              <w:ind w:right="400"/>
              <w:spacing w:after="0"/>
              <w:rPr>
                <w:sz w:val="20"/>
                <w:szCs w:val="20"/>
                <w:color w:val="auto"/>
              </w:rPr>
            </w:pPr>
            <w:r>
              <w:rPr>
                <w:rFonts w:ascii="Arial" w:cs="Arial" w:eastAsia="Arial" w:hAnsi="Arial"/>
                <w:sz w:val="18"/>
                <w:szCs w:val="18"/>
                <w:color w:val="131E29"/>
              </w:rPr>
              <w:t>—</w:t>
            </w:r>
          </w:p>
        </w:tc>
        <w:tc>
          <w:tcPr>
            <w:tcW w:w="5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gridSpan w:val="3"/>
            <w:shd w:val="clear" w:color="auto" w:fill="D2DCE5"/>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(1,200)</w:t>
            </w:r>
          </w:p>
        </w:tc>
        <w:tc>
          <w:tcPr>
            <w:tcW w:w="8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180"/>
              <w:spacing w:after="0"/>
              <w:rPr>
                <w:sz w:val="20"/>
                <w:szCs w:val="20"/>
                <w:color w:val="auto"/>
              </w:rPr>
            </w:pPr>
            <w:r>
              <w:rPr>
                <w:rFonts w:ascii="Arial" w:cs="Arial" w:eastAsia="Arial" w:hAnsi="Arial"/>
                <w:sz w:val="18"/>
                <w:szCs w:val="18"/>
                <w:color w:val="131E29"/>
              </w:rPr>
              <w:t>Milestone events</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1"/>
                <w:szCs w:val="21"/>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131E29"/>
              </w:rPr>
              <w:t>—</w:t>
            </w:r>
          </w:p>
        </w:tc>
        <w:tc>
          <w:tcPr>
            <w:tcW w:w="500" w:type="dxa"/>
            <w:vAlign w:val="bottom"/>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tcPr>
          <w:p>
            <w:pPr>
              <w:jc w:val="right"/>
              <w:spacing w:after="0"/>
              <w:rPr>
                <w:sz w:val="20"/>
                <w:szCs w:val="20"/>
                <w:color w:val="auto"/>
              </w:rPr>
            </w:pPr>
            <w:r>
              <w:rPr>
                <w:rFonts w:ascii="Arial" w:cs="Arial" w:eastAsia="Arial" w:hAnsi="Arial"/>
                <w:sz w:val="18"/>
                <w:szCs w:val="18"/>
                <w:color w:val="131E2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131E29"/>
              </w:rPr>
              <w:t>(2,434)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131E29"/>
              </w:rPr>
              <w:t>(0.7)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Executives transition costs</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(225)</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(0.1)</w:t>
            </w:r>
          </w:p>
        </w:tc>
        <w:tc>
          <w:tcPr>
            <w:tcW w:w="80" w:type="dxa"/>
            <w:vAlign w:val="bottom"/>
            <w:tcBorders>
              <w:bottom w:val="single" w:sz="8" w:color="D2DCE5"/>
            </w:tcBorders>
            <w:shd w:val="clear" w:color="auto" w:fill="D2DCE5"/>
          </w:tcPr>
          <w:p>
            <w:pPr>
              <w:spacing w:after="0"/>
              <w:rPr>
                <w:sz w:val="21"/>
                <w:szCs w:val="21"/>
                <w:color w:val="auto"/>
              </w:rPr>
            </w:pPr>
          </w:p>
        </w:tc>
        <w:tc>
          <w:tcPr>
            <w:tcW w:w="1280" w:type="dxa"/>
            <w:vAlign w:val="bottom"/>
            <w:tcBorders>
              <w:bottom w:val="single" w:sz="8" w:color="D2DCE5"/>
            </w:tcBorders>
            <w:gridSpan w:val="3"/>
            <w:shd w:val="clear" w:color="auto" w:fill="D2DCE5"/>
          </w:tcPr>
          <w:p>
            <w:pPr>
              <w:jc w:val="right"/>
              <w:ind w:right="400"/>
              <w:spacing w:after="0"/>
              <w:rPr>
                <w:sz w:val="20"/>
                <w:szCs w:val="20"/>
                <w:color w:val="auto"/>
              </w:rPr>
            </w:pPr>
            <w:r>
              <w:rPr>
                <w:rFonts w:ascii="Arial" w:cs="Arial" w:eastAsia="Arial" w:hAnsi="Arial"/>
                <w:sz w:val="18"/>
                <w:szCs w:val="18"/>
                <w:color w:val="131E29"/>
              </w:rPr>
              <w:t>—</w:t>
            </w:r>
          </w:p>
        </w:tc>
        <w:tc>
          <w:tcPr>
            <w:tcW w:w="5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(375)</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(0.1)</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gridSpan w:val="3"/>
            <w:shd w:val="clear" w:color="auto" w:fill="D2DCE5"/>
          </w:tcPr>
          <w:p>
            <w:pPr>
              <w:jc w:val="right"/>
              <w:ind w:right="360"/>
              <w:spacing w:after="0"/>
              <w:rPr>
                <w:sz w:val="20"/>
                <w:szCs w:val="20"/>
                <w:color w:val="auto"/>
              </w:rPr>
            </w:pPr>
            <w:r>
              <w:rPr>
                <w:rFonts w:ascii="Arial" w:cs="Arial" w:eastAsia="Arial" w:hAnsi="Arial"/>
                <w:sz w:val="18"/>
                <w:szCs w:val="18"/>
                <w:color w:val="131E29"/>
              </w:rPr>
              <w:t>—</w:t>
            </w: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63"/>
        </w:trPr>
        <w:tc>
          <w:tcPr>
            <w:tcW w:w="3900" w:type="dxa"/>
            <w:vAlign w:val="bottom"/>
            <w:gridSpan w:val="2"/>
          </w:tcPr>
          <w:p>
            <w:pPr>
              <w:ind w:left="180"/>
              <w:spacing w:after="0"/>
              <w:rPr>
                <w:sz w:val="20"/>
                <w:szCs w:val="20"/>
                <w:color w:val="auto"/>
              </w:rPr>
            </w:pPr>
            <w:r>
              <w:rPr>
                <w:rFonts w:ascii="Arial" w:cs="Arial" w:eastAsia="Arial" w:hAnsi="Arial"/>
                <w:sz w:val="18"/>
                <w:szCs w:val="18"/>
                <w:color w:val="131E29"/>
              </w:rPr>
              <w:t>Legal proceedings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(1,950)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(0.8)</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(1,950)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(0.4)</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20"/>
        </w:trPr>
        <w:tc>
          <w:tcPr>
            <w:tcW w:w="3900" w:type="dxa"/>
            <w:vAlign w:val="bottom"/>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Adjusted selling, general, and</w:t>
            </w: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39,338</w:t>
            </w: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15.7</w:t>
            </w:r>
          </w:p>
        </w:tc>
        <w:tc>
          <w:tcPr>
            <w:tcW w:w="104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31,896</w:t>
            </w:r>
          </w:p>
        </w:tc>
        <w:tc>
          <w:tcPr>
            <w:tcW w:w="10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5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17.1</w:t>
            </w:r>
          </w:p>
        </w:tc>
        <w:tc>
          <w:tcPr>
            <w:tcW w:w="104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75,994</w:t>
            </w: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17.0</w:t>
            </w:r>
          </w:p>
        </w:tc>
        <w:tc>
          <w:tcPr>
            <w:tcW w:w="1060" w:type="dxa"/>
            <w:vAlign w:val="bottom"/>
            <w:gridSpan w:val="2"/>
            <w:vMerge w:val="restart"/>
            <w:shd w:val="clear" w:color="auto" w:fill="D2DCE5"/>
          </w:tcPr>
          <w:p>
            <w:pPr>
              <w:jc w:val="right"/>
              <w:ind w:right="10"/>
              <w:spacing w:after="0"/>
              <w:rPr>
                <w:sz w:val="20"/>
                <w:szCs w:val="20"/>
                <w:color w:val="auto"/>
              </w:rPr>
            </w:pPr>
            <w:r>
              <w:rPr>
                <w:rFonts w:ascii="Arial" w:cs="Arial" w:eastAsia="Arial" w:hAnsi="Arial"/>
                <w:sz w:val="18"/>
                <w:szCs w:val="18"/>
                <w:color w:val="131E29"/>
              </w:rPr>
              <w:t>63,576</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18.8</w:t>
            </w:r>
          </w:p>
        </w:tc>
        <w:tc>
          <w:tcPr>
            <w:tcW w:w="0" w:type="dxa"/>
            <w:vAlign w:val="bottom"/>
          </w:tcPr>
          <w:p>
            <w:pPr>
              <w:spacing w:after="0"/>
              <w:rPr>
                <w:sz w:val="1"/>
                <w:szCs w:val="1"/>
                <w:color w:val="auto"/>
              </w:rPr>
            </w:pPr>
          </w:p>
        </w:tc>
      </w:tr>
      <w:tr>
        <w:trPr>
          <w:trHeight w:val="259"/>
        </w:trPr>
        <w:tc>
          <w:tcPr>
            <w:tcW w:w="3900" w:type="dxa"/>
            <w:vAlign w:val="bottom"/>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administrative</w:t>
            </w:r>
          </w:p>
        </w:tc>
        <w:tc>
          <w:tcPr>
            <w:tcW w:w="940" w:type="dxa"/>
            <w:vAlign w:val="bottom"/>
            <w:vMerge w:val="continue"/>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560" w:type="dxa"/>
            <w:vAlign w:val="bottom"/>
            <w:vMerge w:val="continue"/>
            <w:shd w:val="clear" w:color="auto" w:fill="D2DCE5"/>
          </w:tcPr>
          <w:p>
            <w:pPr>
              <w:spacing w:after="0"/>
              <w:rPr>
                <w:sz w:val="22"/>
                <w:szCs w:val="22"/>
                <w:color w:val="auto"/>
              </w:rPr>
            </w:pPr>
          </w:p>
        </w:tc>
        <w:tc>
          <w:tcPr>
            <w:tcW w:w="1040" w:type="dxa"/>
            <w:vAlign w:val="bottom"/>
            <w:gridSpan w:val="2"/>
            <w:vMerge w:val="continue"/>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500" w:type="dxa"/>
            <w:vAlign w:val="bottom"/>
            <w:vMerge w:val="continue"/>
            <w:shd w:val="clear" w:color="auto" w:fill="D2DCE5"/>
          </w:tcPr>
          <w:p>
            <w:pPr>
              <w:spacing w:after="0"/>
              <w:rPr>
                <w:sz w:val="22"/>
                <w:szCs w:val="22"/>
                <w:color w:val="auto"/>
              </w:rPr>
            </w:pPr>
          </w:p>
        </w:tc>
        <w:tc>
          <w:tcPr>
            <w:tcW w:w="1040" w:type="dxa"/>
            <w:vAlign w:val="bottom"/>
            <w:gridSpan w:val="2"/>
            <w:vMerge w:val="continue"/>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560" w:type="dxa"/>
            <w:vAlign w:val="bottom"/>
            <w:vMerge w:val="continue"/>
            <w:shd w:val="clear" w:color="auto" w:fill="D2DCE5"/>
          </w:tcPr>
          <w:p>
            <w:pPr>
              <w:spacing w:after="0"/>
              <w:rPr>
                <w:sz w:val="22"/>
                <w:szCs w:val="22"/>
                <w:color w:val="auto"/>
              </w:rPr>
            </w:pPr>
          </w:p>
        </w:tc>
        <w:tc>
          <w:tcPr>
            <w:tcW w:w="1060" w:type="dxa"/>
            <w:vAlign w:val="bottom"/>
            <w:gridSpan w:val="2"/>
            <w:vMerge w:val="continue"/>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80" w:type="dxa"/>
            <w:vAlign w:val="bottom"/>
            <w:shd w:val="clear" w:color="auto" w:fill="D2DCE5"/>
          </w:tcPr>
          <w:p>
            <w:pPr>
              <w:spacing w:after="0"/>
              <w:rPr>
                <w:sz w:val="22"/>
                <w:szCs w:val="22"/>
                <w:color w:val="auto"/>
              </w:rPr>
            </w:pPr>
          </w:p>
        </w:tc>
        <w:tc>
          <w:tcPr>
            <w:tcW w:w="540" w:type="dxa"/>
            <w:vAlign w:val="bottom"/>
            <w:vMerge w:val="continue"/>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42"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Selling, general, and administrative expenses include depreciation and amortization.</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QUANTITATIVE AND QUALITATIVE DISCLOSURES ABOUT MARKET RISK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Commodity Risks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adjusting our Dutch Rewards loyalty program, and making operational adjustments that increase productivity. However, sustained inflation of or substantial increases in costs and expenses, including dairy, coffee, fuel, and packaging commodities pricing, as we experienced during the six months ended June 30, 2023,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Labor Costs</w:t>
      </w:r>
    </w:p>
    <w:p>
      <w:pPr>
        <w:spacing w:after="0" w:line="17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131E29"/>
        </w:rPr>
        <w:t>We have experienced minimum wage increases, which increases directly affect our labor costs, and other upward pressure on wage rates in several states. In the future, we may or may not be able to offset these cost increases with operational efficiencies, menu price increases, or other adjustments. As of June 30, 2023, we employed approximately 16,000 hourly workers in our company-operated shops.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Interest Rate Risk</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June 30, 2023, $96.9 million and $182.7 million were outstanding on our term loan and revolving loans, respectively. A hypothetical increase of interest rates up to 1% on our outstanding term and revolving loans as of June 30, 2023 would result in an increase in our annual interest expense of approximately $2.8 million, excluding any potential impacts of interest rate swaps.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Inflation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primary inflation factors affecting our operations are commodity and supplies,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of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Evaluation of Disclosure Controls and Procedures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As of the end of the period covered by this Form 10-Q, our Chief Executive Officer (principal executive officer) and Chief Financial Officer (principal financial officer), have conducted an evaluation of the effectiveness of the design and operation of our disclosure controls and procedures (as defined in Rules 13a-15(e) and 15d-15(e) under the Securities Exchange Act of 1934, as amended (the Exchange Act)). Our certifying officers concluded that, as a result of the material weaknesses in internal control over financial reporting as described below, our disclosure controls and procedures were not effective at the reasonable assurance level as of June 30, 2023. 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and principal financial officer, or persons performing similar functions, as appropriate to allow timely decisions regarding required disclosure. Our management, including our Chief Executive Officer and Chief Financial Officer,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previously identified and disclosed in Part II, Item 9A of our Annual Report on Form 10-K for the year ended December 31, 2022, material weaknesses in our internal control over financial reporting related to: (1) IT system change management issues, including lack of approvals for system configurations within IT environments; and (2) our Dutch Rewards breakage estimates, including the completeness and accuracy of the accounting for breakage.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Notwithstanding the previously identified material weaknesses, management believes the condensed consolidated financial statements included in this Quarterly Report on Form 10-Q fairly present, in all material respects, our financial condition, results of operations and cash flows as of and for the periods presented in accordance with GAAP.</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Remediation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remedial actions have been taken as of June 30, 2023:</w:t>
      </w:r>
    </w:p>
    <w:p>
      <w:pPr>
        <w:spacing w:after="0" w:line="17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Purchased and implemented a software tool designed to facilitate the logging of system changes.</w:t>
      </w:r>
    </w:p>
    <w:p>
      <w:pPr>
        <w:spacing w:after="0" w:line="171" w:lineRule="exact"/>
        <w:rPr>
          <w:rFonts w:ascii="Arial" w:cs="Arial" w:eastAsia="Arial" w:hAnsi="Arial"/>
          <w:sz w:val="18"/>
          <w:szCs w:val="18"/>
          <w:color w:val="131E29"/>
        </w:rPr>
      </w:pPr>
    </w:p>
    <w:p>
      <w:pPr>
        <w:jc w:val="both"/>
        <w:ind w:left="340" w:hanging="332"/>
        <w:spacing w:after="0" w:line="263" w:lineRule="auto"/>
        <w:tabs>
          <w:tab w:leader="none" w:pos="362"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Reviewed the organizational structure supporting systems administration and began implementing recommendations arising from this review to help ensure that we have the necessary expertise and experience to oversee system change management protocols and controls.</w:t>
      </w:r>
    </w:p>
    <w:p>
      <w:pPr>
        <w:spacing w:after="0" w:line="129" w:lineRule="exact"/>
        <w:rPr>
          <w:rFonts w:ascii="Arial" w:cs="Arial" w:eastAsia="Arial" w:hAnsi="Arial"/>
          <w:sz w:val="18"/>
          <w:szCs w:val="18"/>
          <w:color w:val="131E29"/>
        </w:rPr>
      </w:pPr>
    </w:p>
    <w:p>
      <w:pPr>
        <w:ind w:left="340" w:hanging="332"/>
        <w:spacing w:after="0" w:line="275" w:lineRule="auto"/>
        <w:tabs>
          <w:tab w:leader="none" w:pos="354"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Launched a review of system change control design with the assistance of third-party consultants. Recommendations arising from this review will help ensure that all system changes to configurations within the IT environments are logged and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Designed and implemented reconciliation and review controls to ensure that the accounting for breakage is complete and accurate.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While significant progress has been made to enhance our internal control over financial reporting, we are still in the process of implementing and testing these remediated processes, procedures and controls. Additional time is required to complete our assessment. 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weaknesses have been remediated as of June 30, 2023, and therefore have concluded that our disclosure controls and procedures were not effective as of June 30, 2023.</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Changes in Internal Control over Financial Reporting</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Other than as disclosed, there have been no changes during the three months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02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LEGAL PROCEEDINGS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131E29"/>
        </w:rPr>
        <w:t>Please refer to NOTE 16 — Commitments and Contingencies under the heading “Legal Proceedings” for further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Summary of Risk Factors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131E29"/>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10-Q and our other filings with the SEC before making investment decisions regarding our Class A common stock.</w:t>
      </w:r>
    </w:p>
    <w:p>
      <w:pPr>
        <w:spacing w:after="0" w:line="21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Evolving consumer preferences and tastes or changes in consumer spending may adversely affect our business.</w:t>
      </w:r>
    </w:p>
    <w:p>
      <w:pPr>
        <w:spacing w:after="0" w:line="171" w:lineRule="exact"/>
        <w:rPr>
          <w:rFonts w:ascii="Arial" w:cs="Arial" w:eastAsia="Arial" w:hAnsi="Arial"/>
          <w:sz w:val="18"/>
          <w:szCs w:val="18"/>
          <w:color w:val="131E29"/>
        </w:rPr>
      </w:pPr>
    </w:p>
    <w:p>
      <w:pPr>
        <w:jc w:val="both"/>
        <w:ind w:left="340" w:hanging="332"/>
        <w:spacing w:after="0" w:line="263" w:lineRule="auto"/>
        <w:tabs>
          <w:tab w:leader="none" w:pos="34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spacing w:after="0" w:line="129" w:lineRule="exact"/>
        <w:rPr>
          <w:rFonts w:ascii="Arial" w:cs="Arial" w:eastAsia="Arial" w:hAnsi="Arial"/>
          <w:sz w:val="18"/>
          <w:szCs w:val="18"/>
          <w:color w:val="131E29"/>
        </w:rPr>
      </w:pPr>
    </w:p>
    <w:p>
      <w:pPr>
        <w:jc w:val="both"/>
        <w:ind w:left="340" w:hanging="332"/>
        <w:spacing w:after="0" w:line="263" w:lineRule="auto"/>
        <w:tabs>
          <w:tab w:leader="none" w:pos="34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129" w:lineRule="exact"/>
        <w:rPr>
          <w:rFonts w:ascii="Arial" w:cs="Arial" w:eastAsia="Arial" w:hAnsi="Arial"/>
          <w:sz w:val="18"/>
          <w:szCs w:val="18"/>
          <w:color w:val="131E29"/>
        </w:rPr>
      </w:pPr>
    </w:p>
    <w:p>
      <w:pPr>
        <w:ind w:left="340" w:hanging="332"/>
        <w:spacing w:after="0"/>
        <w:tabs>
          <w:tab w:leader="none" w:pos="34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Our failure to manage our growth effectively could harm our business and operating results.</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Our inability to identify, recruit and retain qualified individuals for our shops could slow our growth and adversely impact our ability to operate.</w:t>
      </w:r>
    </w:p>
    <w:p>
      <w:pPr>
        <w:spacing w:after="0" w:line="11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Our shops are geographically concentrated in the Western United States, and we could be negatively affected by conditions specific to that region.</w:t>
      </w:r>
    </w:p>
    <w:p>
      <w:pPr>
        <w:spacing w:after="0" w:line="11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119" w:lineRule="exact"/>
        <w:rPr>
          <w:rFonts w:ascii="Arial" w:cs="Arial" w:eastAsia="Arial" w:hAnsi="Arial"/>
          <w:sz w:val="18"/>
          <w:szCs w:val="18"/>
          <w:color w:val="131E29"/>
        </w:rPr>
      </w:pPr>
    </w:p>
    <w:p>
      <w:pPr>
        <w:jc w:val="both"/>
        <w:ind w:left="340" w:hanging="332"/>
        <w:spacing w:after="0" w:line="263" w:lineRule="auto"/>
        <w:tabs>
          <w:tab w:leader="none" w:pos="34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Pandemics or disease outbreaks have had, and may continue to have, an effect on our business and results of operations.</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Our success depends substantially on the value of our brand and failure to preserve its value could have a negative impact on our financial results.</w:t>
      </w:r>
    </w:p>
    <w:p>
      <w:pPr>
        <w:spacing w:after="0" w:line="119" w:lineRule="exact"/>
        <w:rPr>
          <w:rFonts w:ascii="Arial" w:cs="Arial" w:eastAsia="Arial" w:hAnsi="Arial"/>
          <w:sz w:val="18"/>
          <w:szCs w:val="18"/>
          <w:color w:val="131E29"/>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129" w:lineRule="exact"/>
        <w:rPr>
          <w:rFonts w:ascii="Arial" w:cs="Arial" w:eastAsia="Arial" w:hAnsi="Arial"/>
          <w:sz w:val="18"/>
          <w:szCs w:val="18"/>
          <w:color w:val="131E29"/>
        </w:rPr>
      </w:pPr>
    </w:p>
    <w:p>
      <w:pPr>
        <w:ind w:left="340" w:hanging="332"/>
        <w:spacing w:after="0"/>
        <w:tabs>
          <w:tab w:leader="none" w:pos="34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Changes in the availability of and the cost of labor could harm our business.</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Our culture has contributed to our success, and if we cannot maintain this culture as we grow, we could lose the high employee engagement fostered by our culture, which could harm our business.</w:t>
      </w:r>
    </w:p>
    <w:p>
      <w:pPr>
        <w:spacing w:after="0" w:line="11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Our Co-Founder and Sponsor continue to have significant influence over us, which could limit your ability to influence the outcome of matters submitted to stockholders for a vote.</w:t>
      </w:r>
    </w:p>
    <w:p>
      <w:pPr>
        <w:spacing w:after="0" w:line="119" w:lineRule="exact"/>
        <w:rPr>
          <w:rFonts w:ascii="Arial" w:cs="Arial" w:eastAsia="Arial" w:hAnsi="Arial"/>
          <w:sz w:val="18"/>
          <w:szCs w:val="18"/>
          <w:color w:val="131E29"/>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spacing w:after="0" w:line="12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Our growth strategy depends in part on opening new shops in existing and new markets. We may be unsuccessful in opening new shops or establishing new markets, which could adversely affect our growth.</w:t>
      </w:r>
    </w:p>
    <w:p>
      <w:pPr>
        <w:spacing w:after="0" w:line="119" w:lineRule="exact"/>
        <w:rPr>
          <w:rFonts w:ascii="Arial" w:cs="Arial" w:eastAsia="Arial" w:hAnsi="Arial"/>
          <w:sz w:val="18"/>
          <w:szCs w:val="18"/>
          <w:color w:val="131E29"/>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29" w:lineRule="exact"/>
        <w:rPr>
          <w:rFonts w:ascii="Arial" w:cs="Arial" w:eastAsia="Arial" w:hAnsi="Arial"/>
          <w:sz w:val="18"/>
          <w:szCs w:val="18"/>
          <w:color w:val="131E29"/>
        </w:rPr>
      </w:pPr>
    </w:p>
    <w:p>
      <w:pPr>
        <w:jc w:val="both"/>
        <w:ind w:left="340" w:hanging="332"/>
        <w:spacing w:after="0" w:line="258" w:lineRule="auto"/>
        <w:tabs>
          <w:tab w:leader="none" w:pos="34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 Factors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131E29"/>
        </w:rPr>
        <w:t>You should carefully consider the risks described below in addition to the other information set forth in this Form 10-Q, including “Management’s Discussion and Analysis of Financial Condition and Results of Operations,” “Quantitative and Qualitative Disclosures about Market Risk,” our consolidated financial statements and related notes in this Form 10-Q,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 The risks relating to our business set forth in our Annual Report on Form 10-K for the year ended December 31, 2022, filed with the SEC on February 27, 2023, are set forth below and are unchanged substantively as of the date of this filing, except for those risks designated by an asterisk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Evolving consumer preferences and tastes or changes in consumer spending may adversely affect our business.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car ownership, which in turn may reduce the usefulness and convenience of our drive-thru shops, or customers reducing their demand for our current offerings as new beverages are introduced. 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attributed to the consumption of various food and beverage products. While we offer alternatives, including reduced sugar and sugar-free items, negative publicity or an unfavorable perception of the health effects of sugar, caffeine, or other ingredients in our products could significantly reduce the demand for our beverages and could harm our business.</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Our financial condition and results of operations are subject to, and may be adversely affected by, a number of factors, many of which are also largely outside our control.</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spacing w:after="0" w:line="13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increases in real estate or labor costs in certain markets;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changes in consumer preferences;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disruptions in our supply chain;</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the impact of shortages or inflation on our cost of goods or labor, including construction labor, which we have recently seen;</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changes in governmental laws and rules, including those regarding minimum wage, and approaches to taxation;</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severe weather or other natural or man-made disasters affecting a large market or several closely located markets that may temporarily but significantly affect our business in such markets, including the price or availability of goods;</w:t>
      </w:r>
    </w:p>
    <w:p>
      <w:pPr>
        <w:spacing w:after="0" w:line="11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labor discord or disruption, geopolitical events, social unrest, war, including repercussions of the war between Russia and Ukraine, terrorism, political instability, acts of public violence, boycotts, hostilities and social unrest, COVID-19 variants and other epidemics; and</w:t>
      </w:r>
    </w:p>
    <w:p>
      <w:pPr>
        <w:spacing w:after="0" w:line="119" w:lineRule="exact"/>
        <w:rPr>
          <w:rFonts w:ascii="Arial" w:cs="Arial" w:eastAsia="Arial" w:hAnsi="Arial"/>
          <w:sz w:val="18"/>
          <w:szCs w:val="18"/>
          <w:color w:val="131E29"/>
        </w:rPr>
      </w:pPr>
    </w:p>
    <w:p>
      <w:pPr>
        <w:ind w:left="340" w:hanging="332"/>
        <w:spacing w:after="0"/>
        <w:tabs>
          <w:tab w:leader="none" w:pos="34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adverse outcomes of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Our marketing programs may not be successful, and our new menu items and advertising campaigns may not generate increased revenues or profits.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incur costs and expend resources in our marketing efforts on new menu items and advertising campaigns to raise brand awareness and attract and retain customers. These initiatives may not be successful, resulting in expenses incurred without the benefit of higher revenue. Additionally, some of our competitors have substantially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for example if our marketing efforts do not continue to appeal to our current customers or are perceived negatively, there could be an adverse effect on our revenues and profits could decrease.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substantially greater financial and other resources,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Any of these competitive factors may harm our business.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Additionally, if our competitors begin to evolve their business strategies and adopt aspects of the Dutch Bros business model, such as our drive-thru convenience, digital ordering, and similar product offerings or branding, our customers may be drawn to those competitors for their beverage needs and our business could be harmed.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strategic initiatives and growth strategy may be unsuccessful which could adversely affect our business and financial results.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As of June 30, 2023, Dutch Bros had 754 shops across 14 states, of which 473 were company-operated and 281 were franchised. One of the key means to achieving our growth strategy will be through opening new shops and operating those shops on a profitable basis. During the six months ended June 30, 2023, we opened 77 new company-operated shops, across 9 states. Our ability to open new shops is dependent upon a number of factors, many of which are beyond our control, including our and our franchise partners’ ability to:</w:t>
      </w:r>
    </w:p>
    <w:p>
      <w:pPr>
        <w:spacing w:after="0" w:line="13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identify available and suitable sites, specifically for drive-thru locations;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compete for such sites;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reach acceptable agreements regarding the lease of locations;</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obtain or have available the financing required to acquire and operate a shop, including construction and opening costs, which includes access to build-to-suit leases and ground lease construction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respond to unforeseen engineering or environmental problems with leased premises;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avoid the impact of inclement weather, natural disasters, and other calamities;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hire, train and retain the skilled management and other employees necessary to meet staffing needs;</w:t>
      </w:r>
    </w:p>
    <w:p>
      <w:pPr>
        <w:spacing w:after="0" w:line="171" w:lineRule="exact"/>
        <w:rPr>
          <w:rFonts w:ascii="Arial" w:cs="Arial" w:eastAsia="Arial" w:hAnsi="Arial"/>
          <w:sz w:val="18"/>
          <w:szCs w:val="18"/>
          <w:color w:val="131E29"/>
        </w:rPr>
      </w:pPr>
    </w:p>
    <w:p>
      <w:pPr>
        <w:jc w:val="both"/>
        <w:ind w:left="340" w:hanging="332"/>
        <w:spacing w:after="0" w:line="263" w:lineRule="auto"/>
        <w:tabs>
          <w:tab w:leader="none" w:pos="34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obtain, in a timely manner and for an acceptable cost, required licenses, permits, and regulatory approvals and respond effectively to any changes in local, state, or federal law and regulations, such as regulatory bans on new drive-thru businesses, that adversely affect our and our franchise partners’ costs or ability to open new shops; and</w:t>
      </w:r>
    </w:p>
    <w:p>
      <w:pPr>
        <w:spacing w:after="0" w:line="12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control construction and equipment cost increases for new shops and secure the services of qualified contractors and subcontractors in an increasingly competitive environment.</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As part of our longer-term growth strategy, we expect to enter into geographic markets in which we have little or no prior operating experience. The challenges of entering new markets include: adapting to local regulations or restrictions that may limit our ability to open new shops, restrictions on the use of certain branding, or increases in the cost of development; difficulties in hiring qualified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w:t>
      </w:r>
    </w:p>
    <w:p>
      <w:pPr>
        <w:spacing w:after="0" w:line="13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*New shops, once opened, may not be profitable or may close, and the increases in average per shop revenue and comparable sales that we have experienced in the past may not be indicative of future results.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plan to continue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delays due to scarcity of construction labor,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Due to the impact of inflation and other factors, we are experiencing increased costs in connection with new shops.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Some of Dutch Bros’ shops open with an initial start-up period of higher-than-normal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we do not expect our AUV and comparable sales to continue to increase at the rates achieved over the past several years. Our ability to operate new shops profitably and increase average shop revenue and comparable shop sales will depend on many factors, some of which are beyond our control, including:</w:t>
      </w:r>
    </w:p>
    <w:p>
      <w:pPr>
        <w:spacing w:after="0" w:line="138"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consumer awareness and understanding of the Dutch Bros brand;</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general economic conditions, such as inflation, which can affect shop traffic, local labor costs, and prices we pay for the beverage and other supplies we use;</w:t>
      </w:r>
    </w:p>
    <w:p>
      <w:pPr>
        <w:spacing w:after="0" w:line="119" w:lineRule="exact"/>
        <w:rPr>
          <w:rFonts w:ascii="Arial" w:cs="Arial" w:eastAsia="Arial" w:hAnsi="Arial"/>
          <w:sz w:val="18"/>
          <w:szCs w:val="18"/>
          <w:color w:val="131E29"/>
        </w:rPr>
      </w:pPr>
    </w:p>
    <w:p>
      <w:pPr>
        <w:ind w:left="340" w:hanging="332"/>
        <w:spacing w:after="0"/>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consumption patterns and beverage preferences that differ from region to region;</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changes in consumer preferences and discretionary spending, which we have seen impacted recently by factors such as inflation;</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difficulties obtaining or maintaining adequate relationships with distributors or suppliers in new markets;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increases in prices for commodities, including coffee, milk and flavored syrups;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inefficiency in our labor costs as the staff gains experience;</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competition, either from our competitors in the food service and restaurant industry or our own shops;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temporary and permanent site characteristics of new shops;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changes in government regulation;</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our ability to hire, motivate, and retain qualified employees who share our values; and</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other unanticipated increases in costs, including costs of construction materials and trade labor, any of which could give rise to delays or cost overruns.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If our new shops do not perform as planned or close, our business and future prospects could be harmed. In addition, an inability to achieve our expected average shop revenue could harm our business.</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Additionally, opening new shops in existing markets may negatively impact sales at our, and our franchise partners’, existing shops, even if it increases overall AUV in a region. The consumer target area of our shops varies by location, depending on a number of factors, including population density, other local retail and business attractions, area demographics, and geography.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become significant in the future as we continue to expand our operations, and we expect it will have an impact on our sales growth, which could, in turn, harm our business.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failure to manage our growth effectively could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could be harmed, including by a decline in financial performance. If we experience a decline in financial performance, we may decrease the number of or discontinue new Dutch Bros shop openings, or we may decide to close shops that we are unable to operate in a profitable manner.</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customer demand. Additionally, we may face challenges of integrating, developing, training, and motivating a rapidly growing employee base in our various shops and maintaining our company culture across multiple offices and shops. Our ability to manage our growth effectively will require us to continue to enhance our systems, procedures and controls and to locate, hire, train and retain management and broistas, particularly in new markets which may require significant capital expenditures.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Damage to our brand or reputation or negative publicity could negatively impact our business.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may, from time to time, be faced with negative publicity, regardless of its accuracy, relating to: beverage quality; pricing; the safety, sanitation and welfare of our shops; customer complaints or litigation alleging illness or injury; health inspection scores; integrity of our or our suppliers’ or franchise partners’ food processing, employment practices, and other policies, practices and procedures; or employee relationships and welfare; the appearance of our shops on third-party delivery platforms that may contain inaccurate menu pricing and extended delivery times; or other matters. Negative publicity may adversely affect us, regardless of whether the allegations are substantiated or whether we are determined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also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Additionally, there has been a marked increase in the use of social media platforms and similar devices, including blogs, social media websites and other forms of internet-based communications that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Information posted may be adverse to our interests or may be inaccurate, each of which may harm our performance, prospects, or business. The harm may be immediate without affording us an opportunity for redress or correction.</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Ultimately, the risks associated with any such negative publicity or incorrect information cannot be completely eliminated or mitigated and may harm our business.</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Our inability to identify, recruit and retain qualified individuals for our shops could slow our growth and adversely impact our ability to operate.</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especially if there is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We are subject to the risks associated with leasing space subject to long-term non-cancelable leases and, with respect to the real property that we own, owning real estate.</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 are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As of June 30, 2023, approximately 37%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While we are responsible for ensuring the success of our entire system of shops and for taking a longer 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*Our shops are geographically concentrated in the Western United States, and we could be negatively affected by conditions specific to that region.</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As of June 30, 2023, our company-operated and franchised shops in the Western United States represent approximately 80%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national footprint. For example, in recent years, wildfires spread across most western states causing poor air quality which reduced consumers’ willingness to venture outside their homes and reduced our AUVs, and any future wildfires may have a similar impact. If we experience wildfires, such wildfires may also damage shops and the communities in which they operate which could decrease demand for our products. For example, in 2018 a wildfire partially destroyed a town in northern California and damaged one of our shops. In addition to rebuilding costs, prolonged economic recovery within affected communities may have a negative impact on our results of operations. In addition, until our roasting facility in Texas is operational, our roasting operations are concentrated in this region and may experience closures or be subject to damage due to adverse weather conditions occurring in the Western United States. For example, in 2022 our roasting facility was temporarily under a “Level 1 - Be Ready” evacuation alert due to the Rum Creek Fire. Future wildfires may result in actual evacuations and closures, which would disrupt our operations and may harm our business.</w:t>
      </w:r>
    </w:p>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Any material interruption in our supply chain, such as material interruption of the supply of coffee, flavored syrups, dairy, coffee machines, cans for our Dutch Bros. Blue Rebel energy drink, and other restaurant equipment or packaging, including any packaging for our for our proprietary products, for any reason, including: the casualty loss of our roasting facility; interruptions in service by our third-party logistic service providers or common carriers that ship goods within our distribution channels; trade restrictions, such as increased tariffs or quotas, embargoes or customs restrictions; pandemics; social or labor unrest; acts of terrorism; natural disasters; or political disputes and military conflicts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Additionally, most of our beverage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relationships with our co-packers, Portland Bottling Co. and Lieb Foods, LLC to blend, package, label, and warehouse these drinks. Sales of Dutch Bros. Blue Rebel accounted for approximately 27% of our systemwide net sales in the six months ended June 30, 2023. Failures by our co-packers or any of our other suppliers or distributors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proprietary supplies, it will negatively affect or business and profitability. If we are unable to locate sufficient building or construction materials, we may not be able to achieve our stated growth objectives.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continued to increase significantly during the six months ended June 30, 2023.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also purchase significant amounts of dairy products, particularly milk, to support the needs of our shops. For example, the cost of dairy products remained elevated during the six months ended June 30, 2023. If these increased dairy costs are sustained or further increased, this could harm our business. Additionally, and although less significant to our operations than coffee or dairy, other commodities, including but not limited to plant-based “milks,” tea, sugar, syrups, energy and packaging material, such as plastics, corrugate, and canning materials, are important to our operations, and may be subject to increased costs, which could negatively impact our margins.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Increases in the cost of other commodities, such as petroleum, may increase the cost of our packing materials, or lack of availability, whether due to supply shortages, delays or interruptions in processing, may impact consumer spending, or could otherwise harm our business. For example, during the year ended December 31, 2022, we believe fluctuating increases in gas prices negatively impacted consumer discretionary spending, particularly in the Western United States where such increases were relatively higher and where our shops are geographically concentrated.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If we fail to offer high-quality customer experience, our business and reputation will suffer.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If we fail to maintain adequate operational and financial resources, particularly if we continue to grow rapidly, we may be unable to execute our business plan or maintain high levels of service and customer satisfaction.</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continuous growth and expansion have placed, and may continue to place, significant demands on our management and our operational and financial resources and in connection therewith.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and within our hybrid remote and remote workforce.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We have a limited history of operating with a substantial remote workforce and the long-term impact on our financial results and business operations are uncertain.</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have an increasing number of employees who work fully remote or hybrid remote. Remote work has become the primary experience for a large number of our employees, and our intention is for our workforce to continue to have remote work opportunities into the future. However, we have a limited history of operating with a large remote workforce and the impact on our financial results and business operations remains uncertain, particularly in the near term. Additionally, there is no guarantee that we will realize any anticipated benefits to our business from our remote and hybrid remote workforce, such as any cost savings or operational efficiencies.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131E29"/>
        </w:rPr>
        <w:t>Our continuing support of a growing remote and hybrid workforce may make it increasingly difficult to manage our business and adequately oversee our employees and business functions, potentially resulting in harm to our company culture, increased employee attrition, the loss of key personnel, difficulty in properly classifying employees, and harm to the growth of our business. We may also experience an increased risk of privacy and data security breaches and incidents involving our information technology networks and systems and data processing. 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 Any of these factors could adversely affect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6098"/>
        </w:rPr>
        <w:t>*We are increasingly dependent on information technology and our ability to process data in order to operate and sell our products, and if we (or our vendors) are unable to protect against software and hardware vulnerabilities, service interruptions, data corruption, cyber-based attacks, ransomware, fraud,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Sensitive Information); to manage a variety of business processes and activities; for financial reporting purposes; to operate our business; to process orders; to accept payments using credit cards and debit cards; to accept payments using the Dutch Rewards mobile app; for legal purposes; and to comply with regulatory, legal and tax requirements.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(and those of the third parties upon which we rely) information technology networks and systems, and the Processing of Sensitive Information they perform, may be vulnerable to data security and privacy threats, cyber and otherwise. These threats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market, produce, sell, and distribute our products.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risk of unauthorized circumvention of our security measures or those of our third parties on whom we rely has been heightened by advances in computer and software capabilities and the increasing sophistication of actors who employ complex techniques, including, without limitation, “phishing” or social engineering incidents (including deep fakes, which are becoming increasingly difficult to detect), ransomware, extortion, account takeover attacks, personnel misconduct or error, denial or degradation of service attacks, malicious code (such as viruses or worms), supply-chain attacks, software bugs, adware, or malware. In particular, severe ransomware attacks are becoming increasingly prevalent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We may also experience server malfunctions, software or hardware failures, telecommunications failures, 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Additionally, our remote workforce poses increased risks to our information technology network and systems and data, as more of our employees work remotely, utilizing network connections outside our premises or network, including working at home, while in transit, and in public locations.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rely upon third-party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Dutch Rewards mobile app, and other functions. Our ability to monitor these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Any of the previously identified or similar threats could cause a security incident or other interruption that could result in unauthorized, unlawful, or accidental acquisition, modification, destruction, loss, alteration, encryption, disclosure of, or access to Sensitive Information or our information technology networks and systems (or those of the third parties upon which we rely).</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may expend significant resources or modify our business activities to try to protect against such security incidents and/or fraud.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and our Processing of Sensitive Information, no security solution, strategy, or measures can address all possible security threats and/or fraud. While we take steps to detect and remediate vulnerabilities, our security measures (and those of the third parties upon which we rely) may not be adequate to prevent or detect service interruption, system failure data loss, fraud or theft, or other material adverse consequences because the threats and techniques used to exploit vulnerabilities change frequently and are often sophisticated in nature. Therefore, such vulnerabilities could be exploited but may not be detected until after a security incident has occurred and we may not be able to anticipate or to implement effective preventative and remedial measures against all vulnerabilities. These vulnerabilities pose material risks to our business. Furthermore, there may be delays in developing and deploying patches and other remedial measures to adequately address vulnerabilities, and taking such remedial steps could adversely impact or disrupt our operations. We expect similar issues to arise in the future as the Dutch Rewards mobile app is more widely adopted, and as we continue to expand the features and functionality of the Dutch Rewards mobile app.</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Applicable data privacy and security obligations may require us to notify relevant stakeholders of security incidents including affected individuals, customers, and regulators.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upon whom we rely) to process payments, regulatory scrutiny, actions or investigations, a loss of confidence in our business, systems and Processing of Sensitive Information, a diversion of management’s time and attention, and significant fines, penalties, assessments, fees and expenses.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may not have adequate insurance coverage for handling security incidents or breaches, including fines, judgments, settlements, penalties, costs, attorney fees and other impacts that arise out of incidents or breaches.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privacy risks are likely to increase as we continue to expand, grow our customer base, and process, store, and transmit increasingly large amounts of personal and/or Sensitive Information.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*Pandemics or disease outbreaks have had, and may continue to have, an effect on our business and results of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Pandemics or disease outbreaks such as the COVID-19 pandemic have impacted and are likely to continue to impact customer traffic at our Dutch Bros shops and may make it more difficult to staff our shops and, in more severe cases, may cause a temporary inability to obtain supplies and may increase commodity costs. The extent of the impact of pandemics or disease outbreaks, including the COVID-19 pandemic, on our business, operations, and development timelines and plans remains uncertain and will depend on future developments that cannot be predicted at this time. Such developments include the potential emergence of variants that may prove especially contagious, virulent, or vaccine-resistant.</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operations have been, and we expect will continue to be, disrupted when employees or employees of our franchise partners are suspected of having COVID-19 or other illnesses since this requires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131E29"/>
        </w:rPr>
        <w:t>Our success is heavily reliant on our franchise partners and the COVID-19 pandemic has caused and may continue to cause financial distress for certain franchise partners that have been or will be impacted. As a result of this distress, our franchise partners may not be able to meet their financial obligations as they come due, including the payment of royalties, rent, or other amounts due to us. For example, in the past, this has led to write-offs of amounts we had due from our franchise partners beyond amounts we have reserved, as well as decreased future collections from franchise partners. Franchise partners’ financial distress has also led to, and may continue to lead to, permanent shop closures and delayed or reduced new franchise partner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 ultimate impact of the COVID-19 pandemic or a similar health epidemic on our business, operations, or the global economy as a whole remains highly uncertain. While we have developed and continue to develop plans to help mitigate the potential negative impact of the COVID-19 pandemic, these efforts may not be effective, and any protracted economic downturn will likely limit the effectiveness of our efforts. Accordingly, it is not possible for us to predict the duration and extent to which this will affect our business at this time. There is no guarantee that a future outbreak of this or any other widespread epidemics will not occur, or that the global economy will recover, either of which could seriously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*Unstable market and economic conditions may have serious adverse consequences on our business and financial condition.</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global credit and financial markets have experienced extreme volatility and disruptions (including as a result of the ongoing COVID-19 pandemic and actual or perceived changes in interest rates, continued economic inflation, and failures of financial institutions),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war between Russia and Ukraine, terrorism, or other geopolitical events. Sanctions imposed by the United States and other countries in response to such conflicts, including the war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Brand</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Our success depends substantially on the value of our brand and failure to preserve its value could have a negative impact on our financial results.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such as COVID-19,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or a real or perceived failure of corporate governance or misconduct by any officer or any employee or representative of us or a franchise partner.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There has been an increased public focus, including from the United States federal and state governments, on environmental sustainability matters, including with respect to climate change, greenhouse gases, water resources, packaging and waste, animal health and welfare, deforestation, and land use. We endeavor to conduct our business in a manner which reflects our priority of sustainable stewardship, including with respect to environmental sustainability matters, and we are working to manage the risks and costs to us, our franchise partners and our supply chain associated with these types of environmental sustainability matters. In addition, as the result of such heightened public focus on environmental sustainability matters, we may face increased pressure to provide expanded disclosure, make or expand commitments, set targets, or establish additional goals and take actions to meet such goals, in connection with such environmental sustainability matters. These matters and our efforts to address them could expose us to market, operational, reputational and execution costs or risks.</w:t>
      </w:r>
    </w:p>
    <w:p>
      <w:pPr>
        <w:spacing w:after="0" w:line="13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We may not be able to adequately protect our intellectual property, including trademarks, trade names, and service marks, which, in turn, could harm the value of our brand and adversely affect our business.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and foreign trademark, copyright, and trade secret laws, as well as license agreements, nondisclosure agreements, and confidentiality and other contractual provisions to protect our intellectual property. Nevertheless, our competitors may develop similar marks, menu items, and concepts, and adequate remedies may not be available in the event of an unauthorized use or disclosure of our trade secrets and other intellectual property.</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and in foreign jurisdictions.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trademark applications will be approved in a timely manner or at all, or that such registrations will effectively protect our brand names and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Additionally, the steps we have taken to protect our intellectual property in the United States and internationally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We may also from time to time be required to institute enforcement action, including litigation, to enforce and preserve the value of our trademarks, service marks and other intellectual property. Such litigation could result in substantial costs and diversion of resources and could negatively affect our sales, business, profitability, and prospects regardless of whether we can successfully enforce our rights.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Third parties may oppose our trademark and service mark applications, or otherwise challenge our use of the trademarks and service marks. This risk may increase as we enter new markets with localized competitors. In the event that these or other intellectual property rights are successfully challenged, we could experience brand dilution or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third-party intellectual property that we use or wish to use in our business (whether or not asserted against us in litigation), we may not be able to enter into licensing or other arrangements with the owner of such intellectual property at a reasonable cost or on reasonable terms.</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006098"/>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negatively affect our brand and reduce our sales.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*If we, our franchise partners, or our vendors are unable to protect our customers’ credit and debit card data or confidential information in connection with processing the same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employee information, we could be exposed to data loss, litigation, liability, and reputational damage.</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are subject to rules governing electronic funds transfers, including the Payment Card Industry Data Security Standard as discussed further below.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We are subject to payment-related fraud and an increase in or failure to deal effectively with fraud, fraudulent activities, fictitious transactions, or illegal transactions would materially and adversely affect our business, results of operations, and financial condition.</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process a significant volume of credit and debit card transactions on a daily basis through our point of sale and order management systems and our Dutch Rewards mobile app. We have in the past, and may again in the future, be the victim of fraudulent transactions arising out of the actual or alleged theft of credit or debit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platforms, including mobile and other devices. We expect that technically knowledgeable criminals will continue to attempt to circumvent our anti-fraud systems. In addition, the payment card networks have rules around acceptable chargeback ratios. If we are unable to effectively combat the use of fraudulent or stolen credit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Further, payments systems we use are susceptible to potentially illegal or improper uses, including money laundering, transactions in violation of economic and trade sanctions, corruption and bribery, terrorist financing, customer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results of operations, and financial condition would be materially and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People and Culture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*Changes in the availability of and the cost of labor could harm our business.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broistas are paid wage rates at or based on the applicable federal, state, or local minimum wage, and increases in the applicable minimum wage have in the past and will increase labor costs. From time to time, legislative proposals are made to increase the minimum wage at the federal, state, and local level, such as the California Fast Food Accountability and Standards Recovery Act, passed in September 2022, which would create a council to establish, among other things, minimum wages in the broadly-defined fast food industry, the implementation of which has been temporarily halted by a court order pending the results of a California voter referendum scheduled for November 2024.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this is likely to result in lower revenue, and may also reduce margins.</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expand to.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*We depend on our executive officers and other key employees, and the loss of one or more of these employees or an inability to attract and retain other highly skilled employees could harm our business.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success depends largely upon the continued services of our executive officers and other key employees, and the hiring and retention of additional executives and other key personnel. We rely on our leadership team in the areas of finance, marketing, sales, customer experience, and selling, general and administrative. As we look to expand our business and strengthen the depth of our senior management team, we expect there will be changes in our executive management team resulting from the hiring or departure of executives, which could disrupt our business. We recently announced the transition of our Chief Executive Officer from Joth Ricci to Christine Barone. The loss of one or more of our executive officers or key employees could harm our business. Changes in our executive management team may also cause disruptions in, and harm to, our business.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Dutch Bros continues to be led by our Executive Chairman and Co -Founder,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Our culture has contributed to our success, and if we cannot maintain this culture as we grow, we could lose the high employee engagement fostered by our culture, which could harm our business.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As we continue to develop the infrastructure to support our growth, we will need to maintain our culture among a larger number of employees dispersed in various geographic regions. Any failure to preserve our culture could negatively affect our future success, including our ability to retain and recruit personnel, and loss of customer loyalty.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Unionization activities may disrupt our operations and affect our profitability.</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a labor dispute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Regulation and Litigation</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Changes in statutory, regulatory, accounting, and other legal requirements, including changes in accounting principles generally accepted in the United States, could potentially impact our operating and financial results.</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We are subject to numerous statutory, regulatory, and legal requirements. Our operating results could be negatively impacted by developments in these areas due to the costs of compliance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possible government penalties and litigation in the event of deemed noncompliance. Changes in the regulatory environment in the area of food safety, privacy and information security, wage and hour laws, among others, could potentially impact our operations and financial results.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Federal regulators and some state governments in states in which we do business have indicated that they will be imposing vaccination and testing mandates for employers. While the exact contours of these rules and regulations are not yet known, if vaccinations are mandated it will negatively impact our ability to recruit and retain sufficient employees to meet our growth goals and operate existing shops in some areas. In addition, if these mandates impose the cost of testing of wages for time spent testing on employers this will have a material impact on our business and profitability.</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The COVID-19 pandemic is ongoing, and we may be made subject to additional burdensome employment and health and safety laws and regulations passed or adopted by legislatures and regulators in an effort to mitigate its effects. Any future pandemics could have similar impacts.</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Fluctuations in our tax obligations and effective tax rate and realization of our deferred tax assets may result in volatility of our operating results and adversely affect our financial condition.</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spacing w:after="0" w:line="14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changes in the valuation of our deferred tax assets and liabilities;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expected timing and amount of the release of any tax valuation allowance;</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changes in tax laws, regulations, or interpretations thereof; or</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future earnings being lower than anticipated in jurisdictions where we have lower statutory tax rates and higher than anticipated earnings in jurisdictions where we have higher statutory tax rates.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 are subject to many federal, state, and local laws with which compliance is both costly and complex.</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food service and restaurant industry is subject to extensive federal, state, and local laws and regulations, including those relating to health care reform, building and zoning requirements, and the preparation and sale of food and beverages for consumption. Such laws and regulations are subject to change from time to time. The failure to comply with these laws and regulations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we will need to continue to increase our compliance efforts in these areas, which may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franchising activities and our relationships with our franchisees.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*We (and our vendors) are subject to stringent and changing laws, regulations, industry standards, contractual obligations, policies, and other obligations related to data privacy and security. The actual or perceived failure by us or our vendors to comply with such obligations, may harm our business, financial condition and results of operations, and prospects.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We Process Sensitive Information to provide our products and services and other business functions. Our Processing activities may subject us to numerous data privacy and security obligations, such as various laws, regulations, guidance, industry standards, external and internal privacy and security policies, contracts, and other obligations that govern data privacy, security, and Processing of personal information by us and on our behalf.</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Data privacy and security have become a significant issue in the United States. The legal and regulatory framework for data privacy and security issues is rapidly evolving and is expected to increase our compliance costs and exposure to liability. The number and scope of data privacy and security obligations is changing, subject to differing applications and interpretations, and may be inconsistent among jurisdictions, or in conflict with other obligations. We expect that there will continue to be new data privacy and security obligations, and any significant change to data privacy and security obligations could increase compliance costs for us and our vendors.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these include the Telephone Consumer Protection Act (TCPA), the Electronic Communications Privacy Act, the Computer Fraud and Abuse Act, the California Consumer Privacy Act, as amended (the CCPA), other state, local, and federal laws relating to data privacy and security, and rules and regulations promulgated under the authority of the Federal Trade Commission. The CCPA provides individual privacy rights for California residents and places increased privacy and security obligations on covered businesses Processing personal information. The CCPA requires covered businesses to provide new disclosures to California residents and provide such individuals with ways to opt-out of certain sales of personal information. The CCPA also provides a private right of action and statutory damages for violations (up to $ 7,500 per violation), including for data breaches. In addition, the California Privacy Rights Act of 2020 (CPRA) applies to personal information of consumers, business representatives and employees and establishes a new California Privacy Protection Agency to implement and enforce the law.</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Moreover, across the United States, laws and regulations governing data privacy and security continue to develop and evolve. For example, Virginia passed the Consumer Data Protection Act (CDPA), Colorado passed the Colorado Privacy Act (CPA), Connecticut passed the Connecticut Data Privacy Act (CTDPA), and Utah passed the Utah Consumer Privacy Act (UCPA), all of which become effective in 2023.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addition, data privacy and security laws have been proposed at the federal, state, and local levels in recent years, which could further complicate compliance efforts. Compliance with data privacy and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we are subject to the terms of our external and internal privacy and security policies, marketing materials, and other statements, such as compliance with certain certifications, industry standards, publications and frameworks and contractual obligations to third parties related to data privacy, security and Processing of Sensitive Information.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are also contractually subject to data privacy and security obligations, including contractual obligations to indemnify and hold harmless third parties from the costs or consequences of non-compliance with data privacy laws or other obligations and to comply with industry standards adopted by industry groups. We may become subject to new data privacy and security contractual obligations in the future. Additionally, because we accept payments using credit cards and debit cards, we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 (or perceived noncompliance).</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Furthermore, we rely on a variety of marketing techniques and practices, including email and social media marketing, online targeted advertising, and cookie-based Processing, to sell our products and services and to attract new customers. We, and our vendors, may be subject to various current and future obligations that govern marketing and advertising practices. For example, the Controlling the Assault of Non-Solicited Pornography and Marketing Act of 2003 (CAN-SPAM) and the TCPA impose specific requirements on communications with customers. Additionally,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strive to comply with applicable data privacy and security obligations to the extent possible, but we may at times fail to do so, or may be perceived to have failed to do so. Moreover, despite our efforts, we may not be successful in achieving compliance if our employees, partners or vendors do not comply with applicable data privacy and security obligations. Any failure by us or a third-party processor to comply with applicable data privacy and security obligations could subject us to litigation (including class claims), mass arbitration demands, claims, proceedings, actions or investigations by governmental entities, authorities, private parties, or regulators; additional reporting requirements and/or oversight; bans on Processing personal data; and orders to destroy or not use personal data.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 foregoing could result in an adverse consequences, including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We and our franchise partners are subject to extensive government regulations that could result in claims leading to increased costs and restrict our ability to operate franchises.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Additionally, governmental authorities may adopt broad standards for determining when two or more entities may be deemed joint employers of the same employees. For example, Congress has a legislation proposal in process that could shift more liability for franchise partner employment practices onto franchisors. The federal PROAct would codify the Browning-Ferris decision that redefined joint employment to include a broader category of conduct by the franchisor. In addition, the National Labor Relations Board proposed a rule in September 2022 that could broaden the standards applicable to establishing a joint employer relationship. If these or similar laws or rules come into effect, it could increase the possibility of Dutch Bros being held liable for our franchise partners’ employment practices.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For example, in March 2023, a putative class action lawsuit was filed alleging that Dutch Bros Inc. and certain of its executive officers made false or misleading statements about the impact of commodity inflation on our financial results for the first quarter of 2022. The outcome of litigation, particularly class action and regulatory actions, is difficult to assess or quantify. In recent years, beverage and restaurant companies have also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Occasionally, we and our franchise partners are involved in disputes with neighbors, government officials, and landlords over the lines of cars attempting to visit our shops. These disputes have led to and could lead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FDA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We cannot make any assurances regarding our ability to effectively respond to changes in consumer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food service and restaurant industry in general.</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Organizational Structure</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allocable share of Dutch Bros OpCo’s net taxable income will increase over time as the Continuing Members redeem or exchange their Dutch Bros OpCo Class A common units for shares of Class A common stock or cash.</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intend, through Dutch Bros Inc.’s role as managing member, to cause Dutch Bros OpCo to make cash distributions to the holders of Dutch Bros OpCo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6098"/>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and Class D common stock, the Continuing Members would benefit from any value attributable to such cash as a result of their ownership of Class A common stock upon a redemption or exchange of their Dutch Bros OpCo Class A common units.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and Class D common stock. Dutch Bros Inc. will have no obligation to distribute such cash (or other available cash other than any declared dividend) to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No adjustments to the exchange ratio of Dutch Bros OpCo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and Class D common stock and instead, for example, holds such cash balances, buys additional Dutch Bros OpCo Class A common units or lends such cash to Dutch Bros OpCo, this may result in shares of Class A common stock increasing in value relative to the Dutch Bros OpCo Class A common units. The holders of Dutch Bros OpCo Class A common units may benefit from any value attributable to such cash balances if they receive shares of Class A common stock on redemption or exchange of their Dutch Bros OpCo Class A common units or if Dutch Bros Inc. acquires additional Dutch Bros OpCo Class A common units (whether from Dutch Bros OpCo or from holders of Dutch Bros OpCo Class A common units) at a price based on the market price of our Class A common stock at the time.</w:t>
      </w:r>
    </w:p>
    <w:p>
      <w:pPr>
        <w:spacing w:after="0" w:line="13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The Tax Receivable Agreements with the Continuing Members and Pre-IPO Blocker Holders require Dutch Bros Inc. to make cash payments to them in respect of certain tax benefits to which it may become entitled, and such payments may be substantial.</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In connection with the IPO, Dutch Bros Inc. entered into the Tax Receivable Agreements with the Continuing Members and the Pre-IPO Blocker Holders, as applicable.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 (ii) adjustments that will increase the tax basis of the tangible and intangible assets of the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earlier acquisition of other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Dutch Bros OpCo Class A common units or the Pre-IPO Blocker Holders.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w:t>
      </w:r>
    </w:p>
    <w:p>
      <w:pPr>
        <w:spacing w:after="0" w:line="13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In certain cases, payments under the Tax Receivable Agreements may be accelerated and/or significantly exceed the actual benefits Dutch Bros Inc. realizes in respect of the tax attributes subject to the Tax Receivable Agreements.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131E29"/>
        </w:rPr>
        <w:t>the statutory expiration period for such net operating losses and the five-year period after the early termination or change of control.</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Ownership of Our Class A Common Stock</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*Additional stock issuances (including pursuant to the redemption of Dutch Bros OpCo Class A common units from our Continuing Members) could result in significant dilution to our stockholders and cause the trading price of our Class A common stock to decline.</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may issue our capital stock or securities convertible into our capital stock from time to time in connection with financing our business operations and growth, to repay debt, or for acquisitions, investments, or otherwise (including pursuant to the redemption of Dutch Bros OpCo Class A common units from our Continuing Members). Additional issuances of our stock will result in dilution to existing holders of our stock. Any such issuances could result in substantial dilution to our existing stockholders and cause the trading price of our Class A common stock to decline.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In particular, following the issuance of shares of Class A common stock in connection with the redemption of Dutch Bros OpCo Class A common units from our Continuing Members and the related cancellation of shares of our Class B common stock or Class C common stock, such shares of Class A common stock will have the same economic rights as other shares of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*The trading price of our Class A common stock may be volatile, and you could lose all or part of your investment.</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The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13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price and volume fluctuations in the overall stock market from time to time;</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volatility in the trading prices and trading volumes of competitors’ stocks;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changes in operating performance and stock market valuations of other companies generally, or those in our industry in particular;</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sales of shares of our Class A common stock by us or our stockholders, including the Continuing Members;</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failure of securities analysts to maintain coverage of us, changes in financial estimates by securities analysts who follow our company, or our failure to meet these estimates or the expectations of investors;</w:t>
      </w:r>
    </w:p>
    <w:p>
      <w:pPr>
        <w:spacing w:after="0" w:line="119" w:lineRule="exact"/>
        <w:rPr>
          <w:rFonts w:ascii="Arial" w:cs="Arial" w:eastAsia="Arial" w:hAnsi="Arial"/>
          <w:sz w:val="18"/>
          <w:szCs w:val="18"/>
          <w:color w:val="131E29"/>
        </w:rPr>
      </w:pPr>
    </w:p>
    <w:p>
      <w:pPr>
        <w:jc w:val="both"/>
        <w:ind w:left="340" w:hanging="332"/>
        <w:spacing w:after="0" w:line="258" w:lineRule="auto"/>
        <w:tabs>
          <w:tab w:leader="none" w:pos="34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135" w:lineRule="exact"/>
        <w:rPr>
          <w:rFonts w:ascii="Arial" w:cs="Arial" w:eastAsia="Arial" w:hAnsi="Arial"/>
          <w:sz w:val="18"/>
          <w:szCs w:val="18"/>
          <w:color w:val="131E29"/>
        </w:rPr>
      </w:pPr>
    </w:p>
    <w:p>
      <w:pPr>
        <w:ind w:left="340" w:hanging="332"/>
        <w:spacing w:after="0"/>
        <w:tabs>
          <w:tab w:leader="none" w:pos="34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announcements by us or our competitors of new products or services;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the public’s reaction to our press releases, other public announcements, and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rumors and market speculation involving us or other companies in our industry;</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actual or anticipated changes in our results of operations or fluctuations in our results of operations;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actual or anticipated developments in our business, our competitors’ businesses, or the competitive landscape generally;</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actual or perceived privacy or data security incidents;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developments or disputes concerning our intellectual property or other proprietary rights;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announced or completed acquisitions of businesses, franchises or other assets by us or our competitors;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new laws or regulations or new interpretations of existing laws or regulations applicable to our business;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changes in accounting standards, policies, guidelines, interpretations or principles;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any significant change in our management; and</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general political and economic conditions and slow or negative growth of our markets.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in the past, following periods of volatility in the overall market and in the market price of a particular company’s securities, securities class action litigation has often been instituted against these companies. For example, in March 2023, a putative class action lawsuit was filed alleging that Dutch Bros Inc. and certain of its executive officers made false or misleading statements about the impact of commodity inflation on our financial results for the first quarter of 2022. This litigation, and other litigation, if instituted against us, could result in substantial costs and a diversion of our management’s attention and resources.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The multi-class structure of our common stock has the effect of concentrating voting control with Continuing Members, limiting your ability to influence corporate matters.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Each share of our Class A common stock entitles its holder to one vote on all matters on which stockholders are entitled to vote generally. Our shares of Class B common stock have no economic rights but each share will entitle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Our shares of Class C common stock and Class D common stock entitle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Our shares of Class C common stock have no economic rights but Class D common stock have the same economic rights as shares of Class A common stock. All of our Class C common stock are held by certain Continuing Members affiliated with our Sponsor and all our Class D common stock are held by the Pre-IPO Blocker Holders.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Class C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Class D common stock to have value. Because of the ten-to-one voting ratio between our Class B common stock and our Class A common stock, and the three-to-one voting ratio between our Class C common stock and Class D common stock, on the one hand, and our Class A common stock on the other hand, the holders of our Class B common stock, Class C common stock and Class D common stock collectively will continue to control a majority of the combined voting power of our common stock and therefore be able to control all matters submitted to our stockholders so long as they collectively represent at least a majority of the total voting power. This concentrated control will limit or preclude the ability of holders of Class A common stock to influence corporate matters for the foreseeable future.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a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Our Co-Founder and Sponsor have significant influence over us, which could limit your ability to influence the outcome of matters submitted to stockholders for a vote.</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Certain affiliates of our Co-Founder beneficially own approximately 75.8% of the combined voting power of our Class A common stock, Class B common stock, Class C common stock and Class D common stock, and our Sponsor, directly and through affiliated investment funds, beneficially owns approximately 18.8% of the combined voting power of our Class A common stock, Class B common stock, Class C common stock and Class D common stock. Each share of Class A common stock entitles the holder to one vote,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and each share of Class C common stock and Class D common stock entitles the holder to three votes (for so long as the aggregate number of outstanding shares of our Class C common stock and Class D common stock represents at least 5% of the total outstanding common stock, and thereafter, one vote per share) on all matters on which stockholders are entitled to vote generally. Thus, our Co-Founder and our Sponsor exercise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 addition, our amended and restated certificate of incorporation provides that the holders of Class C common stock, which our Sponsor and its affiliates hold all of, are entitled to elect up to two members of our board of directors, voting as a separate class. The Stockholders Agreement similarly provides that we will agree to nominate to our board of directors individuals designated by our Sponsor, which will retain the right to designate up to two members of the board of directors for so long as the holders of shares of Class C common stock are entitled to elect one or more members to the board of directors pursuant to our amended and restated certificate of incorporation. Our Sponsor may therefore have influence over management and substantial control over matters requiring stockholder approval, including the annual election of directors and significant corporate transactions, such as a merger or other sale of our company or its assets, for the foreseeable future. It is possible that our Co-Founder’s and our Sponsor’s interests may not align with the interests of our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131E29"/>
        </w:rPr>
        <w:t>Our Co-Founder and Sponsor own approximately 64.5% of the Dutch Bros OpCo Class A common units. Because they hold their ownership interest in our business directly in Dutch Bros OpCo, rather than through Dutch Bros Inc., the Continuing Members may have conflicting interests with holders of shares of our Class A common stock. For example, if Dutch Bros OpCo makes distributions to us, the non-managing members of Dutch Bros OpCo will also be entitled to receive such distributions pro rata in accordance with their ownership of Dutch Bros OpCo Class A common units and their preferences as to the timing and amount of any such distributions may differ from those of our public stockholders. The Continuing Members may also have different tax positions from Dutch Bros Inc. that could influence their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(pre-IPO Dutch Bros OpCo unitholders and Pre-IPO Blocker Holders) tax or other considerations even where no similar benefit would accrue to us.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Certain affiliates of our Co-Founder beneficially own approximately 75.8% of the combined voting power of our Class A common stock, Class B common stock, Class C common stock and Class D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38"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a board that is composed of a majority of “independent directors,” as defined under the New York Stock Exchange rules;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a compensation committee that is composed entirely of independent directors; and</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director nominations be made, or recommended to the full board of directors, by its independent directors, or by a nominations/governance committee that is composed entirely of independent directors.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We intend to continue to utilize these exemptions until we are no longer eligible for them. Accordingly, you do not have the same protections afforded to stockholders of companies that are subject to all the corporate governance requirements of the New York Stock Exchange.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Certain of our directors have relationships with our Sponsor, which may cause conflicts of interest with respect to our business.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One of our directors is affiliated with our Sponsor. Our Sponsor-affiliated director has fiduciary duties to us and, in addition, has duties to our Sponsor. As a result, this director may face real or apparent conflicts of interest with respect to matters affecting both us and our Sponsor, whose interests may be adverse to ours in some circumstances.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Future sales of shares of our Class A or Class D common stock cause the market price of our Class A common stock to decline.</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Sales of a substantial number of shares of our Class A or Class D common stock (after converting to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Subject to the terms of the Amended and Restated Limited Liability Company Agreement of Dutch Bros OpCo, an aggregate of 105,755,565 Dutch Bros OpCo Class A common units may be redeemed in exchange for shares of our Class A common stock and an aggregate of 12,411,419 shares of Class D common stock may be converted into shares of our Class A common stock. Any shares we issue upon redemption or exchange of Dutch Bros OpCo Class A common units or upon the conversion of shares of Class D common stock, as applicable, will be “restricted securities” as defined in Rule 144 and may not be sold in the absence of registration under the Securities Act of 1933, as amended (Securities Act) unless an exemption from registration is available, including the exemptions contained in Rule 144.</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However, all such shares are now eligible for resale in the public market, subject, in the case of shares held by our affiliates, to volume, manner of sale, and other limitations under Rule 144.</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Our trading price and trading volume could decline if securities or industry analysts do not publish research about our business, or if they publish unfavorable research.</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We are no longer qualified as an “emerging growth company” as of December 31, 2022, and, as a result, we will no longer be able to avail ourselves of certain reduced reporting and disclosure requirements.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Based on the market value of our Class A common stock held by non-affiliates as of June 30, 2022, we ceased to qualify, effective as of December 31, 2022, as an “emerging growth company,” as defined in the Jumpstart Our Business Startups Act (the JOBS Act). We previously have taken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are no longer able to take advantage of any of the exemptions from various reporting requirements that are applicable to other public companies that are not “emerging growth companies” as described above, and we are no longer able to use the extended transition period for complying with new or revised accounting standards. We expect that the loss of our “emerging growth company” status and compliance with these additional requirements will substantially increase our legal and financial compliance costs. In addition, any failure to comply with these additional requirements in a timely manner, or at all, could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131E29"/>
        </w:rPr>
        <w:t>an adverse effect on our business and results of operations and could cause a decline in the price of our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General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results may fluctuate significantly and may not meet our expectations or those of investors or securities analysts.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spacing w:after="0" w:line="130"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changes in consumer tastes and nutritional and dietary trends;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successful identification and acquisition of appropriate sites to timely develop and expand our number of profitable shops;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protection of our brand and reputation;</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dependence on a small number of suppliers, including for roasting;</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expectations regarding our future operating and financial performance;</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the size of our addressable markets, market share, and market trends;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effective management and continued growth of our workforce and operations;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our ability to attract, retain, and motivate skilled personnel, including key members of our senior management;</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generation of projected same shop sales growth;</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the sufficiency of our cash, cash equivalents, and investments to meet our liquidity needs;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dependence on long-term non-cancelable leases;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our employees and the status of our workers;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our inability to maintain good relationships with our franchising partners;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the timing and amount of deferred expenses related to the maintenance of company-operated shops;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the effects of seasonal trends on our results of operations;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our vulnerability to global financial market conditions, including the continuing effects from the recent recession;</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adverse weather conditions in local or regional areas where our shops are located; and</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our realization of any benefit from our organizational structure net of expenses associated with the same (including our obligations under the Tax Receivable Agreements).</w:t>
      </w:r>
    </w:p>
    <w:p>
      <w:pPr>
        <w:spacing w:after="0" w:line="120" w:lineRule="exact"/>
        <w:rPr>
          <w:sz w:val="20"/>
          <w:szCs w:val="20"/>
          <w:color w:val="auto"/>
        </w:rPr>
      </w:pPr>
    </w:p>
    <w:p>
      <w:pPr>
        <w:spacing w:after="0" w:line="275" w:lineRule="auto"/>
        <w:rPr>
          <w:sz w:val="20"/>
          <w:szCs w:val="20"/>
          <w:color w:val="auto"/>
        </w:rPr>
      </w:pPr>
      <w:r>
        <w:rPr>
          <w:rFonts w:ascii="Arial" w:cs="Arial" w:eastAsia="Arial" w:hAnsi="Arial"/>
          <w:sz w:val="18"/>
          <w:szCs w:val="18"/>
          <w:color w:val="131E29"/>
        </w:rPr>
        <w:t>Any one or more of the factors above may result in significant fluctuations in our results of operations, which may negatively impact the trading price of our Class A common stock. You should not rely on our past results as an indicator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*Our outstanding indebtedness could materially adversely affect our financial condition and our ability to operate our business, pursue our growth strategy, and react to changes in the economy or industry.</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As of June 30, 2023, we had $96.9 million and $182.7 million in term loan and revolving loans outstanding, respectively. In addition, subject to certain restrictions under the 2022 Credit Facility (as defined in NOTE 9 — Debt to the consolidated financial statements included elsewhere in this Form 10-Q), we may incur additional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131E29"/>
        </w:rPr>
        <w:t>Our debt could have important consequences to you, including the following:</w:t>
      </w:r>
    </w:p>
    <w:p>
      <w:pPr>
        <w:spacing w:after="0" w:line="171" w:lineRule="exact"/>
        <w:rPr>
          <w:sz w:val="20"/>
          <w:szCs w:val="20"/>
          <w:color w:val="auto"/>
        </w:rPr>
      </w:pPr>
    </w:p>
    <w:p>
      <w:pPr>
        <w:ind w:left="340" w:hanging="332"/>
        <w:spacing w:after="0" w:line="275" w:lineRule="auto"/>
        <w:tabs>
          <w:tab w:leader="none" w:pos="34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it may be difficult for us to satisfy our obligations, including debt service requirements under our outstanding debt, resulting in possible defaults on and acceleration of such indebtedness;</w:t>
      </w:r>
    </w:p>
    <w:p>
      <w:pPr>
        <w:spacing w:after="0" w:line="11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we may need to issue additional Class A common stock to fund the repayment of our debt, which would result in additional dilution to existing investors and may cause our stock price to decline;</w:t>
      </w:r>
    </w:p>
    <w:p>
      <w:pPr>
        <w:spacing w:after="0" w:line="11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our ability to obtain additional financing for working capital, capital expenditures, debt service requirements, or other general corporate purposes may be impaired;</w:t>
      </w:r>
    </w:p>
    <w:p>
      <w:pPr>
        <w:spacing w:after="0" w:line="119" w:lineRule="exact"/>
        <w:rPr>
          <w:rFonts w:ascii="Arial" w:cs="Arial" w:eastAsia="Arial" w:hAnsi="Arial"/>
          <w:sz w:val="18"/>
          <w:szCs w:val="18"/>
          <w:color w:val="131E29"/>
        </w:rPr>
      </w:pPr>
    </w:p>
    <w:p>
      <w:pPr>
        <w:jc w:val="both"/>
        <w:ind w:left="340" w:hanging="332"/>
        <w:spacing w:after="0" w:line="263" w:lineRule="auto"/>
        <w:tabs>
          <w:tab w:leader="none" w:pos="34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spacing w:after="0" w:line="12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we are more vulnerable to economic downturns and adverse industry conditions and our flexibility to plan for, or react to, changes in our business or industry is more limited;</w:t>
      </w:r>
    </w:p>
    <w:p>
      <w:pPr>
        <w:spacing w:after="0" w:line="11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our ability to capitalize on business opportunities and to react to competitive pressures, as compared to our competitors, may be compromised due to our level of debt; and</w:t>
      </w:r>
    </w:p>
    <w:p>
      <w:pPr>
        <w:spacing w:after="0" w:line="119" w:lineRule="exact"/>
        <w:rPr>
          <w:rFonts w:ascii="Arial" w:cs="Arial" w:eastAsia="Arial" w:hAnsi="Arial"/>
          <w:sz w:val="18"/>
          <w:szCs w:val="18"/>
          <w:color w:val="131E29"/>
        </w:rPr>
      </w:pPr>
    </w:p>
    <w:p>
      <w:pPr>
        <w:ind w:left="340" w:hanging="332"/>
        <w:spacing w:after="0"/>
        <w:tabs>
          <w:tab w:leader="none" w:pos="34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our ability to borrow additional funds or to refinance debt may be limited.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Furthermore, all of our debt under our 2022 Credit Facility bears interest at variable rates, which may increase from time to time, for example, we experienced such an increase during the six months ended June 30, 2023. If these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Restrictions imposed by our outstanding indebtedness and any future indebtedness may limit our ability to operate our business, execute our growth strategy, and finance our future operations or capital needs or engage in other business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131E29"/>
        </w:rPr>
        <w:t>The covenants under our 2022 Credit Facility restrict our ability, among other things, to:</w:t>
      </w:r>
    </w:p>
    <w:p>
      <w:pPr>
        <w:spacing w:after="0" w:line="17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incur additional debt;</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grant liens on assets;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sell or dispose of assets;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merge with or acquire other companies, or make other investments;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enter into sale and leaseback transactions and swap agreements;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liquidate or dissolve ourselves;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engage in businesses that are not in a related line of business; or</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pay dividends or make other distributions.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131E29"/>
        </w:rPr>
        <w:t>As a result of these restrictions, we may be:</w:t>
      </w:r>
    </w:p>
    <w:p>
      <w:pPr>
        <w:spacing w:after="0" w:line="171"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limited in how we conduct our business;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unable to raise additional debt or equity financing to operate during general economic or business downturns; or</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unable to compete effectively or to take advantage of new business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These restrictions may affect our ability to grow in accordance with our strategy.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spacing w:after="0" w:line="12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006098"/>
        </w:rPr>
        <w:t>We are vulnerable to interest rate risk with respect to our debt, and swap agreements entered into to manage such risk may not effectively limit our exposure.</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are subject to interest rate risk in connection with our 2022 Credit Facility, which carries interest at a floating rate. We have, and may in the future, use interest rate swap agreements to fix all or a portion of our variable rate debt in order to manage interest rate risk. We may not be successful in structuring such agreements to manage our risks effectively in the future, which could adversely affect our business, financial condition, and results of operations. There can be no assurance that we can develop and implement a strategy that can effectively insulate us from risks associated with interest rate fluctuations, or that our swap agreements will have the desired beneficial impact. We might be subject to additional costs, such as transaction or termination fees, if we terminate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006098"/>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 connection with the audit of our consolidated financial statements as of and for the year ended December 31, 2022, our management and auditors determined that material weaknesses existed in the internal control over financial reporting because we do not have effective controls over (1) change management of system configurations in two IT environments, and (2) the accounting for breakage estimates related to our Dutch Rewards loyalty program.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We are in the process of implementing measures designed to improve our internal control over financial reporting to remediate these material weaknesses.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If we fail to remediate our existing material weaknesses or identify new material weaknesses in our internal control over financial reporting, if we are unable to comply with the requirements of Section 404 of the Sarbanes-Oxley Act in a timely manner, if we are unable to conclude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Further, deficiencies in our disclosure controls and internal control over financial reporting have been and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As a public company, we are required to provide an annual management report on the effectiveness of our internal control over financial reporting, and make a formal assessment of the effectiveness of our internal control over financial reporting in compliance with the SEC rules that implement Section 404 of the Sarbanes-Oxley Act.</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independent registered public accounting firm is required to formally attest to the effectiveness of our internal control over financial reporting. Our independent registered public accounting firm has issued and may in the future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 may need additional capital, and we cannot be sure that additional financing will be available.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Historically, we have financed our operations and capital expenditures primarily through sales of OpCo Units that are convertible into our capital stock and debt financing. In the future, we may raise additional capital through additional equity or debt financings to support our business growth, to respond to business opportunities, challenges, or unforeseen circumstances, to repay our debt,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*If a financial institution holding our funds fails, we may not be able to pay our operational expenses or make other payments, which could adversely impact our liquidity and financial performance. Deterioration of financial markets may result in our inability to borrow on favorable terms, which could adversely impact our ability to pursue our growth and other strategic initiatives.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regularly maintain cash balances at financial institutions in amounts exceeding the Federal Deposit Insurance Corporation (FDIC) insurance limit. If a financial institution in which we hold such funds fails, or is subject to significant adverse conditions in the financial or credit markets, we could lose all or a portion of our uninsured funds, or be subject to a delay in accessing all or a portion of our funds. If we are unable to access all or a significant portion of our funds for any extended period of time, we may not be able to pay our operational expenses or make other payments, including to our vendors and employees, and we may be subject to other operational challenges, any of which could adversely impact our liquidity and financial performance. In addition, any inability of our franchisees, suppliers, distributors, or other third parties to meet their contractual obligations to the Company because of similar risks could adversely impact our business and financial performance.</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Despite the steps taken to date by the FDIC to protect depositors, the follow-on effects of the events surrounding the March 2023 failures of Silicon Valley Bank and Signature Bank and the pressures on other financial institutions and the broader financial services industry are unknown and could include failures of other financial institutions or wide-ranging liquidity shortages. In the event of a sustained deterioration of financial market liquidity, we may be unable to borrow from financial institutions on favorable terms, or at all, which could adversely impact our ability to pursue our growth strategy and fund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006098"/>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Our amended and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w:t>
      </w:r>
    </w:p>
    <w:p>
      <w:pPr>
        <w:spacing w:after="0" w:line="130"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any derivative claim or cause of action brought on our behalf;</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any claim or cause of action for a breach of fiduciary duty owed by any of our current or former directors, officers, or other employees to us or our stockholders;</w:t>
      </w:r>
    </w:p>
    <w:p>
      <w:pPr>
        <w:spacing w:after="0" w:line="119" w:lineRule="exact"/>
        <w:rPr>
          <w:rFonts w:ascii="Arial" w:cs="Arial" w:eastAsia="Arial" w:hAnsi="Arial"/>
          <w:sz w:val="18"/>
          <w:szCs w:val="18"/>
          <w:color w:val="131E29"/>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spacing w:after="0" w:line="129" w:lineRule="exact"/>
        <w:rPr>
          <w:rFonts w:ascii="Arial" w:cs="Arial" w:eastAsia="Arial" w:hAnsi="Arial"/>
          <w:sz w:val="18"/>
          <w:szCs w:val="18"/>
          <w:color w:val="131E29"/>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spacing w:after="0" w:line="12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any claim or cause of action as to which the Delaware General Corporation Law confers jurisdiction to the Court of Chancery of the State of Delaware; and</w:t>
      </w:r>
    </w:p>
    <w:p>
      <w:pPr>
        <w:spacing w:after="0" w:line="119"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any claim or cause of action against us or any of our current or former directors, officers, or other employees governed by the internal-affairs doctrine.</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31E29"/>
        </w:rPr>
        <w:t>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06098"/>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131E29"/>
        </w:rPr>
        <w:t>Our charter documents also contain other provisions that could have an anti-takeover effect, such as:</w:t>
      </w:r>
    </w:p>
    <w:p>
      <w:pPr>
        <w:spacing w:after="0" w:line="17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permitting the board of directors to establish the number of directors and fill any vacancies and newly created directorships;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providing that directors may only be removed pursuant to the provisions of Section 141(k) of the Delaware General Corporation Law;</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prohibiting cumulative voting for directors;</w:t>
      </w:r>
    </w:p>
    <w:p>
      <w:pPr>
        <w:spacing w:after="0" w:line="171" w:lineRule="exact"/>
        <w:rPr>
          <w:rFonts w:ascii="Arial" w:cs="Arial" w:eastAsia="Arial" w:hAnsi="Arial"/>
          <w:sz w:val="18"/>
          <w:szCs w:val="18"/>
          <w:color w:val="131E29"/>
        </w:rPr>
      </w:pPr>
    </w:p>
    <w:p>
      <w:pPr>
        <w:ind w:left="340" w:hanging="332"/>
        <w:spacing w:after="0" w:line="275" w:lineRule="auto"/>
        <w:tabs>
          <w:tab w:leader="none" w:pos="34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the ability of the holders of our Class C common stock, voting as a separate class, to elect up to two directors, subject to the limitations set forth in our amended and restated certificate;</w:t>
      </w:r>
    </w:p>
    <w:p>
      <w:pPr>
        <w:spacing w:after="0" w:line="119" w:lineRule="exact"/>
        <w:rPr>
          <w:rFonts w:ascii="Arial" w:cs="Arial" w:eastAsia="Arial" w:hAnsi="Arial"/>
          <w:sz w:val="18"/>
          <w:szCs w:val="18"/>
          <w:color w:val="131E29"/>
        </w:rPr>
      </w:pPr>
    </w:p>
    <w:p>
      <w:pPr>
        <w:ind w:left="340" w:hanging="332"/>
        <w:spacing w:after="0"/>
        <w:tabs>
          <w:tab w:leader="none" w:pos="34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requiring super-majority voting to amend some provisions in our amended and restated bylaws;</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authorizing the issuance of “blank check” preferred stock that our board of directors could use to implement a stockholder rights plan;</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eliminating the ability of stockholders to call special meetings of stockholders; and</w:t>
      </w:r>
    </w:p>
    <w:p>
      <w:pPr>
        <w:spacing w:after="0" w:line="171" w:lineRule="exact"/>
        <w:rPr>
          <w:rFonts w:ascii="Arial" w:cs="Arial" w:eastAsia="Arial" w:hAnsi="Arial"/>
          <w:sz w:val="18"/>
          <w:szCs w:val="18"/>
          <w:color w:val="131E29"/>
        </w:rPr>
      </w:pPr>
    </w:p>
    <w:p>
      <w:pPr>
        <w:ind w:left="340" w:hanging="332"/>
        <w:spacing w:after="0"/>
        <w:tabs>
          <w:tab w:leader="none" w:pos="34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our multi-class common stock structure as described above.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Catastrophic events may disrupt our business.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Labor discord or disruption, geopolitical events, social unrest, war, including repercussions of the recent war between Russia and Ukraine, terrorism, political instability, acts of public violence, boycotts, hostilities and social unrest, and other health pandemics that lead to avoidance of public places or cause people to stay at home could harm our business. Additionally, natural disasters or other catastrophic events may cause damage or disruption to our operations, international commerce, and the global economy, and thus could harm our business. In particular, the west coast wildfires and extreme weather conditions in other areas in which we operate, such as hurricanes and flooding in Texas, water scarcity or drought in California and other states, and the COVID-19 pandemic,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6098"/>
        </w:rPr>
        <w:t>Economic and business factors that are largely beyond our control may adversely affect consumer behavior and the results of our operations.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or divisions may have a negative effect on consumer confidence and discretionary spending. A significant decrease in our customer traffic or average value per transaction without a corresponding decrease in costs would put downward pressure on margins and would negatively impact our financial results.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DEFAULTS UPON SENIOR SECURITIES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131E29"/>
        </w:rPr>
        <w:t>Not applicable.</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5.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Rule 10b5-1 Trading Arrangements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31E29"/>
        </w:rPr>
        <w:t>Brian Maxwell, the Company’s Chief Operating Officer, adopted a Rule 10b5-1 Preset Diversification Program on June 5, 2023 (the Trading Plan), providing for the potential sale of up to 150,000 shares of our Class A common stock between September 4, 2023 and May 17, 2024. The Trading Plan is intended to satisfy the affirmative defense of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131E29"/>
        </w:rPr>
        <w:t>(a)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exhibits are included herein or incorporated herein by reference: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131E29"/>
              </w:rPr>
              <w:t>Incorporated by Reference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Arial" w:cs="Arial" w:eastAsia="Arial" w:hAnsi="Arial"/>
                <w:sz w:val="14"/>
                <w:szCs w:val="14"/>
                <w:b w:val="1"/>
                <w:bCs w:val="1"/>
                <w:color w:val="131E29"/>
              </w:rPr>
              <w:t>Exhibit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131E29"/>
              </w:rPr>
              <w:t>Filed</w:t>
            </w:r>
          </w:p>
        </w:tc>
        <w:tc>
          <w:tcPr>
            <w:tcW w:w="0" w:type="dxa"/>
            <w:vAlign w:val="bottom"/>
          </w:tcPr>
          <w:p>
            <w:pPr>
              <w:spacing w:after="0"/>
              <w:rPr>
                <w:sz w:val="1"/>
                <w:szCs w:val="1"/>
                <w:color w:val="auto"/>
              </w:rPr>
            </w:pPr>
          </w:p>
        </w:tc>
      </w:tr>
      <w:tr>
        <w:trPr>
          <w:trHeight w:val="209"/>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Number</w:t>
            </w:r>
          </w:p>
        </w:tc>
        <w:tc>
          <w:tcPr>
            <w:tcW w:w="140" w:type="dxa"/>
            <w:vAlign w:val="bottom"/>
          </w:tcPr>
          <w:p>
            <w:pPr>
              <w:spacing w:after="0"/>
              <w:rPr>
                <w:sz w:val="18"/>
                <w:szCs w:val="18"/>
                <w:color w:val="auto"/>
              </w:rPr>
            </w:pPr>
          </w:p>
        </w:tc>
        <w:tc>
          <w:tcPr>
            <w:tcW w:w="438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131E29"/>
              </w:rPr>
              <w:t>Description</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Form</w:t>
            </w: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131E29"/>
              </w:rPr>
              <w:t>File No.</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Exhibit</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Filing Date</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Herewith</w:t>
            </w:r>
          </w:p>
        </w:tc>
        <w:tc>
          <w:tcPr>
            <w:tcW w:w="0" w:type="dxa"/>
            <w:vAlign w:val="bottom"/>
          </w:tcPr>
          <w:p>
            <w:pPr>
              <w:spacing w:after="0"/>
              <w:rPr>
                <w:sz w:val="1"/>
                <w:szCs w:val="1"/>
                <w:color w:val="auto"/>
              </w:rPr>
            </w:pPr>
          </w:p>
        </w:tc>
      </w:tr>
      <w:tr>
        <w:trPr>
          <w:trHeight w:val="189"/>
        </w:trPr>
        <w:tc>
          <w:tcPr>
            <w:tcW w:w="1080" w:type="dxa"/>
            <w:vAlign w:val="bottom"/>
            <w:shd w:val="clear" w:color="auto" w:fill="D2DCE5"/>
          </w:tcPr>
          <w:p>
            <w:pPr>
              <w:spacing w:after="0"/>
              <w:rPr>
                <w:sz w:val="16"/>
                <w:szCs w:val="16"/>
                <w:color w:val="auto"/>
              </w:rPr>
            </w:pPr>
          </w:p>
        </w:tc>
        <w:tc>
          <w:tcPr>
            <w:tcW w:w="140" w:type="dxa"/>
            <w:vAlign w:val="bottom"/>
            <w:tcBorders>
              <w:right w:val="single" w:sz="8" w:color="D2DCE5"/>
            </w:tcBorders>
            <w:shd w:val="clear" w:color="auto" w:fill="D2DCE5"/>
          </w:tcPr>
          <w:p>
            <w:pPr>
              <w:spacing w:after="0"/>
              <w:rPr>
                <w:sz w:val="16"/>
                <w:szCs w:val="16"/>
                <w:color w:val="auto"/>
              </w:rPr>
            </w:pPr>
          </w:p>
        </w:tc>
        <w:tc>
          <w:tcPr>
            <w:tcW w:w="4380" w:type="dxa"/>
            <w:vAlign w:val="bottom"/>
            <w:gridSpan w:val="11"/>
            <w:shd w:val="clear" w:color="auto" w:fill="D2DCE5"/>
          </w:tcPr>
          <w:p>
            <w:pPr>
              <w:spacing w:after="0"/>
              <w:rPr>
                <w:rFonts w:ascii="Arial" w:cs="Arial" w:eastAsia="Arial" w:hAnsi="Arial"/>
                <w:sz w:val="16"/>
                <w:szCs w:val="16"/>
                <w:color w:val="0000FF"/>
              </w:rPr>
            </w:pPr>
            <w:hyperlink r:id="rId242">
              <w:r>
                <w:rPr>
                  <w:rFonts w:ascii="Arial" w:cs="Arial" w:eastAsia="Arial" w:hAnsi="Arial"/>
                  <w:sz w:val="16"/>
                  <w:szCs w:val="16"/>
                  <w:color w:val="0000FF"/>
                </w:rPr>
                <w:t>Amended and Restated Certificate of Incorporation of</w:t>
              </w:r>
            </w:hyperlink>
          </w:p>
        </w:tc>
        <w:tc>
          <w:tcPr>
            <w:tcW w:w="100" w:type="dxa"/>
            <w:vAlign w:val="bottom"/>
            <w:shd w:val="clear" w:color="auto" w:fill="D2DCE5"/>
          </w:tcPr>
          <w:p>
            <w:pPr>
              <w:spacing w:after="0"/>
              <w:rPr>
                <w:sz w:val="16"/>
                <w:szCs w:val="16"/>
                <w:color w:val="auto"/>
              </w:rPr>
            </w:pPr>
          </w:p>
        </w:tc>
        <w:tc>
          <w:tcPr>
            <w:tcW w:w="760" w:type="dxa"/>
            <w:vAlign w:val="bottom"/>
            <w:shd w:val="clear" w:color="auto" w:fill="D2DCE5"/>
          </w:tcPr>
          <w:p>
            <w:pPr>
              <w:spacing w:after="0"/>
              <w:rPr>
                <w:sz w:val="16"/>
                <w:szCs w:val="16"/>
                <w:color w:val="auto"/>
              </w:rPr>
            </w:pPr>
          </w:p>
        </w:tc>
        <w:tc>
          <w:tcPr>
            <w:tcW w:w="1240" w:type="dxa"/>
            <w:vAlign w:val="bottom"/>
            <w:shd w:val="clear" w:color="auto" w:fill="D2DCE5"/>
          </w:tcPr>
          <w:p>
            <w:pPr>
              <w:spacing w:after="0"/>
              <w:rPr>
                <w:sz w:val="16"/>
                <w:szCs w:val="16"/>
                <w:color w:val="auto"/>
              </w:rPr>
            </w:pPr>
          </w:p>
        </w:tc>
        <w:tc>
          <w:tcPr>
            <w:tcW w:w="8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tcBorders>
              <w:top w:val="single" w:sz="8" w:color="D2DCE5"/>
            </w:tcBorders>
            <w:vMerge w:val="restart"/>
            <w:shd w:val="clear" w:color="auto" w:fill="D2DCE5"/>
          </w:tcPr>
          <w:p>
            <w:pPr>
              <w:jc w:val="center"/>
              <w:spacing w:after="0"/>
              <w:rPr>
                <w:sz w:val="20"/>
                <w:szCs w:val="20"/>
                <w:color w:val="auto"/>
              </w:rPr>
            </w:pPr>
            <w:r>
              <w:rPr>
                <w:rFonts w:ascii="Arial" w:cs="Arial" w:eastAsia="Arial" w:hAnsi="Arial"/>
                <w:sz w:val="16"/>
                <w:szCs w:val="16"/>
                <w:color w:val="131E29"/>
                <w:w w:val="98"/>
              </w:rPr>
              <w:t>3.1</w:t>
            </w:r>
          </w:p>
        </w:tc>
        <w:tc>
          <w:tcPr>
            <w:tcW w:w="140" w:type="dxa"/>
            <w:vAlign w:val="bottom"/>
            <w:tcBorders>
              <w:top w:val="single" w:sz="8" w:color="D2DCE5"/>
              <w:right w:val="single" w:sz="8" w:color="D2DCE5"/>
            </w:tcBorders>
            <w:shd w:val="clear" w:color="auto" w:fill="D2DCE5"/>
          </w:tcPr>
          <w:p>
            <w:pPr>
              <w:spacing w:after="0"/>
              <w:rPr>
                <w:sz w:val="15"/>
                <w:szCs w:val="15"/>
                <w:color w:val="auto"/>
              </w:rPr>
            </w:pPr>
          </w:p>
        </w:tc>
        <w:tc>
          <w:tcPr>
            <w:tcW w:w="3820" w:type="dxa"/>
            <w:vAlign w:val="bottom"/>
            <w:tcBorders>
              <w:top w:val="single" w:sz="8" w:color="0000FF"/>
            </w:tcBorders>
            <w:gridSpan w:val="5"/>
            <w:shd w:val="clear" w:color="auto" w:fill="D2DCE5"/>
          </w:tcPr>
          <w:p>
            <w:pPr>
              <w:spacing w:after="0" w:line="183" w:lineRule="exact"/>
              <w:rPr>
                <w:rFonts w:ascii="Arial" w:cs="Arial" w:eastAsia="Arial" w:hAnsi="Arial"/>
                <w:sz w:val="16"/>
                <w:szCs w:val="16"/>
                <w:color w:val="0000FF"/>
              </w:rPr>
            </w:pPr>
            <w:hyperlink r:id="rId242">
              <w:r>
                <w:rPr>
                  <w:rFonts w:ascii="Arial" w:cs="Arial" w:eastAsia="Arial" w:hAnsi="Arial"/>
                  <w:sz w:val="16"/>
                  <w:szCs w:val="16"/>
                  <w:color w:val="0000FF"/>
                </w:rPr>
                <w:t>Registrant</w:t>
              </w:r>
            </w:hyperlink>
          </w:p>
        </w:tc>
        <w:tc>
          <w:tcPr>
            <w:tcW w:w="560" w:type="dxa"/>
            <w:vAlign w:val="bottom"/>
            <w:tcBorders>
              <w:top w:val="single" w:sz="8" w:color="D2DCE5"/>
            </w:tcBorders>
            <w:gridSpan w:val="6"/>
            <w:shd w:val="clear" w:color="auto" w:fill="D2DCE5"/>
          </w:tcPr>
          <w:p>
            <w:pPr>
              <w:spacing w:after="0"/>
              <w:rPr>
                <w:sz w:val="15"/>
                <w:szCs w:val="15"/>
                <w:color w:val="auto"/>
              </w:rPr>
            </w:pPr>
          </w:p>
        </w:tc>
        <w:tc>
          <w:tcPr>
            <w:tcW w:w="100" w:type="dxa"/>
            <w:vAlign w:val="bottom"/>
            <w:tcBorders>
              <w:top w:val="single" w:sz="8" w:color="D2DCE5"/>
            </w:tcBorders>
            <w:shd w:val="clear" w:color="auto" w:fill="D2DCE5"/>
          </w:tcPr>
          <w:p>
            <w:pPr>
              <w:spacing w:after="0"/>
              <w:rPr>
                <w:sz w:val="15"/>
                <w:szCs w:val="15"/>
                <w:color w:val="auto"/>
              </w:rPr>
            </w:pPr>
          </w:p>
        </w:tc>
        <w:tc>
          <w:tcPr>
            <w:tcW w:w="760" w:type="dxa"/>
            <w:vAlign w:val="bottom"/>
            <w:tcBorders>
              <w:top w:val="single" w:sz="8" w:color="D2DCE5"/>
            </w:tcBorders>
            <w:vMerge w:val="restart"/>
            <w:shd w:val="clear" w:color="auto" w:fill="D2DCE5"/>
          </w:tcPr>
          <w:p>
            <w:pPr>
              <w:jc w:val="center"/>
              <w:spacing w:after="0"/>
              <w:rPr>
                <w:sz w:val="20"/>
                <w:szCs w:val="20"/>
                <w:color w:val="auto"/>
              </w:rPr>
            </w:pPr>
            <w:r>
              <w:rPr>
                <w:rFonts w:ascii="Arial" w:cs="Arial" w:eastAsia="Arial" w:hAnsi="Arial"/>
                <w:sz w:val="16"/>
                <w:szCs w:val="16"/>
                <w:color w:val="131E29"/>
              </w:rPr>
              <w:t>8-K</w:t>
            </w:r>
          </w:p>
        </w:tc>
        <w:tc>
          <w:tcPr>
            <w:tcW w:w="1240" w:type="dxa"/>
            <w:vAlign w:val="bottom"/>
            <w:tcBorders>
              <w:top w:val="single" w:sz="8" w:color="D2DCE5"/>
            </w:tcBorders>
            <w:vMerge w:val="restart"/>
            <w:shd w:val="clear" w:color="auto" w:fill="D2DCE5"/>
          </w:tcPr>
          <w:p>
            <w:pPr>
              <w:jc w:val="center"/>
              <w:spacing w:after="0"/>
              <w:rPr>
                <w:sz w:val="20"/>
                <w:szCs w:val="20"/>
                <w:color w:val="auto"/>
              </w:rPr>
            </w:pPr>
            <w:r>
              <w:rPr>
                <w:rFonts w:ascii="Arial" w:cs="Arial" w:eastAsia="Arial" w:hAnsi="Arial"/>
                <w:sz w:val="16"/>
                <w:szCs w:val="16"/>
                <w:color w:val="131E29"/>
                <w:w w:val="99"/>
              </w:rPr>
              <w:t>001-40798</w:t>
            </w:r>
          </w:p>
        </w:tc>
        <w:tc>
          <w:tcPr>
            <w:tcW w:w="820" w:type="dxa"/>
            <w:vAlign w:val="bottom"/>
            <w:tcBorders>
              <w:top w:val="single" w:sz="8" w:color="D2DCE5"/>
            </w:tcBorders>
            <w:vMerge w:val="restart"/>
            <w:shd w:val="clear" w:color="auto" w:fill="D2DCE5"/>
          </w:tcPr>
          <w:p>
            <w:pPr>
              <w:jc w:val="center"/>
              <w:spacing w:after="0"/>
              <w:rPr>
                <w:sz w:val="20"/>
                <w:szCs w:val="20"/>
                <w:color w:val="auto"/>
              </w:rPr>
            </w:pPr>
            <w:r>
              <w:rPr>
                <w:rFonts w:ascii="Arial" w:cs="Arial" w:eastAsia="Arial" w:hAnsi="Arial"/>
                <w:sz w:val="16"/>
                <w:szCs w:val="16"/>
                <w:color w:val="131E29"/>
                <w:w w:val="98"/>
              </w:rPr>
              <w:t>3.1</w:t>
            </w:r>
          </w:p>
        </w:tc>
        <w:tc>
          <w:tcPr>
            <w:tcW w:w="100" w:type="dxa"/>
            <w:vAlign w:val="bottom"/>
            <w:tcBorders>
              <w:top w:val="single" w:sz="8" w:color="D2DCE5"/>
            </w:tcBorders>
            <w:shd w:val="clear" w:color="auto" w:fill="D2DCE5"/>
          </w:tcPr>
          <w:p>
            <w:pPr>
              <w:spacing w:after="0"/>
              <w:rPr>
                <w:sz w:val="15"/>
                <w:szCs w:val="15"/>
                <w:color w:val="auto"/>
              </w:rPr>
            </w:pPr>
          </w:p>
        </w:tc>
        <w:tc>
          <w:tcPr>
            <w:tcW w:w="1560" w:type="dxa"/>
            <w:vAlign w:val="bottom"/>
            <w:tcBorders>
              <w:top w:val="single" w:sz="8" w:color="D2DCE5"/>
            </w:tcBorders>
            <w:vMerge w:val="restart"/>
            <w:shd w:val="clear" w:color="auto" w:fill="D2DCE5"/>
          </w:tcPr>
          <w:p>
            <w:pPr>
              <w:jc w:val="center"/>
              <w:spacing w:after="0"/>
              <w:rPr>
                <w:sz w:val="20"/>
                <w:szCs w:val="20"/>
                <w:color w:val="auto"/>
              </w:rPr>
            </w:pPr>
            <w:r>
              <w:rPr>
                <w:rFonts w:ascii="Arial" w:cs="Arial" w:eastAsia="Arial" w:hAnsi="Arial"/>
                <w:sz w:val="16"/>
                <w:szCs w:val="16"/>
                <w:color w:val="131E29"/>
              </w:rPr>
              <w:t>September 17, 2021</w:t>
            </w:r>
          </w:p>
        </w:tc>
        <w:tc>
          <w:tcPr>
            <w:tcW w:w="100" w:type="dxa"/>
            <w:vAlign w:val="bottom"/>
            <w:tcBorders>
              <w:top w:val="single" w:sz="8" w:color="D2DCE5"/>
            </w:tcBorders>
            <w:shd w:val="clear" w:color="auto" w:fill="D2DCE5"/>
          </w:tcPr>
          <w:p>
            <w:pPr>
              <w:spacing w:after="0"/>
              <w:rPr>
                <w:sz w:val="15"/>
                <w:szCs w:val="15"/>
                <w:color w:val="auto"/>
              </w:rPr>
            </w:pPr>
          </w:p>
        </w:tc>
        <w:tc>
          <w:tcPr>
            <w:tcW w:w="960" w:type="dxa"/>
            <w:vAlign w:val="bottom"/>
            <w:tcBorders>
              <w:top w:val="single" w:sz="8" w:color="D2DCE5"/>
            </w:tcBorders>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D2DCE5"/>
            </w:tcBorders>
            <w:vMerge w:val="continue"/>
            <w:shd w:val="clear" w:color="auto" w:fill="D2DCE5"/>
          </w:tcPr>
          <w:p>
            <w:pPr>
              <w:spacing w:after="0"/>
              <w:rPr>
                <w:sz w:val="17"/>
                <w:szCs w:val="17"/>
                <w:color w:val="auto"/>
              </w:rPr>
            </w:pPr>
          </w:p>
        </w:tc>
        <w:tc>
          <w:tcPr>
            <w:tcW w:w="140" w:type="dxa"/>
            <w:vAlign w:val="bottom"/>
            <w:tcBorders>
              <w:top w:val="single" w:sz="8" w:color="D2DCE5"/>
              <w:right w:val="single" w:sz="8" w:color="D2DCE5"/>
            </w:tcBorders>
            <w:shd w:val="clear" w:color="auto" w:fill="D2DCE5"/>
          </w:tcPr>
          <w:p>
            <w:pPr>
              <w:spacing w:after="0"/>
              <w:rPr>
                <w:sz w:val="17"/>
                <w:szCs w:val="17"/>
                <w:color w:val="auto"/>
              </w:rPr>
            </w:pPr>
          </w:p>
        </w:tc>
        <w:tc>
          <w:tcPr>
            <w:tcW w:w="740" w:type="dxa"/>
            <w:vAlign w:val="bottom"/>
            <w:tcBorders>
              <w:top w:val="single" w:sz="8" w:color="0000FF"/>
            </w:tcBorders>
            <w:shd w:val="clear" w:color="auto" w:fill="D2DCE5"/>
          </w:tcPr>
          <w:p>
            <w:pPr>
              <w:spacing w:after="0"/>
              <w:rPr>
                <w:sz w:val="17"/>
                <w:szCs w:val="17"/>
                <w:color w:val="auto"/>
              </w:rPr>
            </w:pPr>
          </w:p>
        </w:tc>
        <w:tc>
          <w:tcPr>
            <w:tcW w:w="520" w:type="dxa"/>
            <w:vAlign w:val="bottom"/>
            <w:tcBorders>
              <w:top w:val="single" w:sz="8" w:color="D2DCE5"/>
            </w:tcBorders>
            <w:shd w:val="clear" w:color="auto" w:fill="D2DCE5"/>
          </w:tcPr>
          <w:p>
            <w:pPr>
              <w:spacing w:after="0"/>
              <w:rPr>
                <w:sz w:val="17"/>
                <w:szCs w:val="17"/>
                <w:color w:val="auto"/>
              </w:rPr>
            </w:pPr>
          </w:p>
        </w:tc>
        <w:tc>
          <w:tcPr>
            <w:tcW w:w="1220" w:type="dxa"/>
            <w:vAlign w:val="bottom"/>
            <w:tcBorders>
              <w:top w:val="single" w:sz="8" w:color="D2DCE5"/>
            </w:tcBorders>
            <w:shd w:val="clear" w:color="auto" w:fill="D2DCE5"/>
          </w:tcPr>
          <w:p>
            <w:pPr>
              <w:spacing w:after="0"/>
              <w:rPr>
                <w:sz w:val="17"/>
                <w:szCs w:val="17"/>
                <w:color w:val="auto"/>
              </w:rPr>
            </w:pPr>
          </w:p>
        </w:tc>
        <w:tc>
          <w:tcPr>
            <w:tcW w:w="740" w:type="dxa"/>
            <w:vAlign w:val="bottom"/>
            <w:tcBorders>
              <w:top w:val="single" w:sz="8" w:color="D2DCE5"/>
            </w:tcBorders>
            <w:shd w:val="clear" w:color="auto" w:fill="D2DCE5"/>
          </w:tcPr>
          <w:p>
            <w:pPr>
              <w:spacing w:after="0"/>
              <w:rPr>
                <w:sz w:val="17"/>
                <w:szCs w:val="17"/>
                <w:color w:val="auto"/>
              </w:rPr>
            </w:pPr>
          </w:p>
        </w:tc>
        <w:tc>
          <w:tcPr>
            <w:tcW w:w="600" w:type="dxa"/>
            <w:vAlign w:val="bottom"/>
            <w:tcBorders>
              <w:top w:val="single" w:sz="8" w:color="D2DCE5"/>
            </w:tcBorders>
            <w:shd w:val="clear" w:color="auto" w:fill="D2DCE5"/>
          </w:tcPr>
          <w:p>
            <w:pPr>
              <w:spacing w:after="0"/>
              <w:rPr>
                <w:sz w:val="17"/>
                <w:szCs w:val="17"/>
                <w:color w:val="auto"/>
              </w:rPr>
            </w:pPr>
          </w:p>
        </w:tc>
        <w:tc>
          <w:tcPr>
            <w:tcW w:w="16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12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left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760" w:type="dxa"/>
            <w:vAlign w:val="bottom"/>
            <w:tcBorders>
              <w:top w:val="single" w:sz="8" w:color="D2DCE5"/>
            </w:tcBorders>
            <w:vMerge w:val="continue"/>
            <w:shd w:val="clear" w:color="auto" w:fill="D2DCE5"/>
          </w:tcPr>
          <w:p>
            <w:pPr>
              <w:spacing w:after="0"/>
              <w:rPr>
                <w:sz w:val="17"/>
                <w:szCs w:val="17"/>
                <w:color w:val="auto"/>
              </w:rPr>
            </w:pPr>
          </w:p>
        </w:tc>
        <w:tc>
          <w:tcPr>
            <w:tcW w:w="1240" w:type="dxa"/>
            <w:vAlign w:val="bottom"/>
            <w:tcBorders>
              <w:top w:val="single" w:sz="8" w:color="D2DCE5"/>
            </w:tcBorders>
            <w:vMerge w:val="continue"/>
            <w:shd w:val="clear" w:color="auto" w:fill="D2DCE5"/>
          </w:tcPr>
          <w:p>
            <w:pPr>
              <w:spacing w:after="0"/>
              <w:rPr>
                <w:sz w:val="17"/>
                <w:szCs w:val="17"/>
                <w:color w:val="auto"/>
              </w:rPr>
            </w:pPr>
          </w:p>
        </w:tc>
        <w:tc>
          <w:tcPr>
            <w:tcW w:w="820" w:type="dxa"/>
            <w:vAlign w:val="bottom"/>
            <w:tcBorders>
              <w:top w:val="single" w:sz="8" w:color="D2DCE5"/>
            </w:tcBorders>
            <w:vMerge w:val="continue"/>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560" w:type="dxa"/>
            <w:vAlign w:val="bottom"/>
            <w:tcBorders>
              <w:top w:val="single" w:sz="8" w:color="D2DCE5"/>
            </w:tcBorders>
            <w:vMerge w:val="continue"/>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960" w:type="dxa"/>
            <w:vAlign w:val="bottom"/>
            <w:tcBorders>
              <w:top w:val="single" w:sz="8" w:color="D2DCE5"/>
            </w:tcBorders>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w w:val="98"/>
              </w:rPr>
              <w:t>3.2</w:t>
            </w:r>
          </w:p>
        </w:tc>
        <w:tc>
          <w:tcPr>
            <w:tcW w:w="140" w:type="dxa"/>
            <w:vAlign w:val="bottom"/>
          </w:tcPr>
          <w:p>
            <w:pPr>
              <w:spacing w:after="0"/>
              <w:rPr>
                <w:sz w:val="16"/>
                <w:szCs w:val="16"/>
                <w:color w:val="auto"/>
              </w:rPr>
            </w:pPr>
          </w:p>
        </w:tc>
        <w:tc>
          <w:tcPr>
            <w:tcW w:w="4380" w:type="dxa"/>
            <w:vAlign w:val="bottom"/>
            <w:gridSpan w:val="11"/>
          </w:tcPr>
          <w:p>
            <w:pPr>
              <w:spacing w:after="0"/>
              <w:rPr>
                <w:rFonts w:ascii="Arial" w:cs="Arial" w:eastAsia="Arial" w:hAnsi="Arial"/>
                <w:sz w:val="16"/>
                <w:szCs w:val="16"/>
                <w:color w:val="0000FF"/>
              </w:rPr>
            </w:pPr>
            <w:hyperlink r:id="rId243">
              <w:r>
                <w:rPr>
                  <w:rFonts w:ascii="Arial" w:cs="Arial" w:eastAsia="Arial" w:hAnsi="Arial"/>
                  <w:sz w:val="16"/>
                  <w:szCs w:val="16"/>
                  <w:color w:val="0000FF"/>
                </w:rPr>
                <w:t>Amended and Restated Bylaws of Registrant</w:t>
              </w:r>
            </w:hyperlink>
          </w:p>
        </w:tc>
        <w:tc>
          <w:tcPr>
            <w:tcW w:w="1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131E29"/>
              </w:rPr>
              <w:t>S-1</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131E29"/>
                <w:w w:val="98"/>
              </w:rPr>
              <w:t>3.4</w:t>
            </w:r>
          </w:p>
        </w:tc>
        <w:tc>
          <w:tcPr>
            <w:tcW w:w="1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color w:val="131E29"/>
              </w:rPr>
              <w:t>August 20, 2021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122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w w:val="98"/>
              </w:rPr>
              <w:t>4.1</w:t>
            </w:r>
          </w:p>
        </w:tc>
        <w:tc>
          <w:tcPr>
            <w:tcW w:w="140" w:type="dxa"/>
            <w:vAlign w:val="bottom"/>
            <w:tcBorders>
              <w:right w:val="single" w:sz="8" w:color="D2DCE5"/>
            </w:tcBorders>
            <w:shd w:val="clear" w:color="auto" w:fill="D2DCE5"/>
          </w:tcPr>
          <w:p>
            <w:pPr>
              <w:spacing w:after="0"/>
              <w:rPr>
                <w:sz w:val="17"/>
                <w:szCs w:val="17"/>
                <w:color w:val="auto"/>
              </w:rPr>
            </w:pPr>
          </w:p>
        </w:tc>
        <w:tc>
          <w:tcPr>
            <w:tcW w:w="4380" w:type="dxa"/>
            <w:vAlign w:val="bottom"/>
            <w:gridSpan w:val="11"/>
            <w:shd w:val="clear" w:color="auto" w:fill="D2DCE5"/>
          </w:tcPr>
          <w:p>
            <w:pPr>
              <w:spacing w:after="0"/>
              <w:rPr>
                <w:rFonts w:ascii="Arial" w:cs="Arial" w:eastAsia="Arial" w:hAnsi="Arial"/>
                <w:sz w:val="16"/>
                <w:szCs w:val="16"/>
                <w:color w:val="0000FF"/>
              </w:rPr>
            </w:pPr>
            <w:hyperlink r:id="rId244">
              <w:r>
                <w:rPr>
                  <w:rFonts w:ascii="Arial" w:cs="Arial" w:eastAsia="Arial" w:hAnsi="Arial"/>
                  <w:sz w:val="16"/>
                  <w:szCs w:val="16"/>
                  <w:color w:val="0000FF"/>
                </w:rPr>
                <w:t>Form of Common Stock Certificate</w:t>
              </w:r>
            </w:hyperlink>
          </w:p>
        </w:tc>
        <w:tc>
          <w:tcPr>
            <w:tcW w:w="100" w:type="dxa"/>
            <w:vAlign w:val="bottom"/>
            <w:shd w:val="clear" w:color="auto" w:fill="D2DCE5"/>
          </w:tcPr>
          <w:p>
            <w:pPr>
              <w:spacing w:after="0"/>
              <w:rPr>
                <w:sz w:val="17"/>
                <w:szCs w:val="17"/>
                <w:color w:val="auto"/>
              </w:rPr>
            </w:pPr>
          </w:p>
        </w:tc>
        <w:tc>
          <w:tcPr>
            <w:tcW w:w="7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w w:val="99"/>
              </w:rPr>
              <w:t>S-1/A</w:t>
            </w:r>
          </w:p>
        </w:tc>
        <w:tc>
          <w:tcPr>
            <w:tcW w:w="124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w w:val="98"/>
              </w:rPr>
              <w:t>4.1</w:t>
            </w:r>
          </w:p>
        </w:tc>
        <w:tc>
          <w:tcPr>
            <w:tcW w:w="100" w:type="dxa"/>
            <w:vAlign w:val="bottom"/>
            <w:shd w:val="clear" w:color="auto" w:fill="D2DCE5"/>
          </w:tcPr>
          <w:p>
            <w:pPr>
              <w:spacing w:after="0"/>
              <w:rPr>
                <w:sz w:val="17"/>
                <w:szCs w:val="17"/>
                <w:color w:val="auto"/>
              </w:rPr>
            </w:pPr>
          </w:p>
        </w:tc>
        <w:tc>
          <w:tcPr>
            <w:tcW w:w="15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September 13, 2021</w:t>
            </w: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tcBorders>
              <w:top w:val="single" w:sz="8" w:color="D2DCE5"/>
              <w:bottom w:val="single" w:sz="8" w:color="D2DCE5"/>
            </w:tcBorders>
            <w:vMerge w:val="continue"/>
            <w:shd w:val="clear" w:color="auto" w:fill="D2DCE5"/>
          </w:tcPr>
          <w:p>
            <w:pPr>
              <w:spacing w:after="0"/>
              <w:rPr>
                <w:sz w:val="16"/>
                <w:szCs w:val="16"/>
                <w:color w:val="auto"/>
              </w:rPr>
            </w:pPr>
          </w:p>
        </w:tc>
        <w:tc>
          <w:tcPr>
            <w:tcW w:w="140" w:type="dxa"/>
            <w:vAlign w:val="bottom"/>
            <w:tcBorders>
              <w:top w:val="single" w:sz="8" w:color="D2DCE5"/>
              <w:bottom w:val="single" w:sz="8" w:color="D2DCE5"/>
              <w:right w:val="single" w:sz="8" w:color="D2DCE5"/>
            </w:tcBorders>
            <w:shd w:val="clear" w:color="auto" w:fill="D2DCE5"/>
          </w:tcPr>
          <w:p>
            <w:pPr>
              <w:spacing w:after="0"/>
              <w:rPr>
                <w:sz w:val="16"/>
                <w:szCs w:val="16"/>
                <w:color w:val="auto"/>
              </w:rPr>
            </w:pPr>
          </w:p>
        </w:tc>
        <w:tc>
          <w:tcPr>
            <w:tcW w:w="740" w:type="dxa"/>
            <w:vAlign w:val="bottom"/>
            <w:tcBorders>
              <w:top w:val="single" w:sz="8" w:color="0000FF"/>
              <w:bottom w:val="single" w:sz="8" w:color="D2DCE5"/>
            </w:tcBorders>
            <w:shd w:val="clear" w:color="auto" w:fill="D2DCE5"/>
          </w:tcPr>
          <w:p>
            <w:pPr>
              <w:spacing w:after="0"/>
              <w:rPr>
                <w:sz w:val="16"/>
                <w:szCs w:val="16"/>
                <w:color w:val="auto"/>
              </w:rPr>
            </w:pPr>
          </w:p>
        </w:tc>
        <w:tc>
          <w:tcPr>
            <w:tcW w:w="520" w:type="dxa"/>
            <w:vAlign w:val="bottom"/>
            <w:tcBorders>
              <w:top w:val="single" w:sz="8" w:color="0000FF"/>
              <w:bottom w:val="single" w:sz="8" w:color="D2DCE5"/>
            </w:tcBorders>
            <w:shd w:val="clear" w:color="auto" w:fill="D2DCE5"/>
          </w:tcPr>
          <w:p>
            <w:pPr>
              <w:spacing w:after="0"/>
              <w:rPr>
                <w:sz w:val="16"/>
                <w:szCs w:val="16"/>
                <w:color w:val="auto"/>
              </w:rPr>
            </w:pPr>
          </w:p>
        </w:tc>
        <w:tc>
          <w:tcPr>
            <w:tcW w:w="1220" w:type="dxa"/>
            <w:vAlign w:val="bottom"/>
            <w:tcBorders>
              <w:top w:val="single" w:sz="8" w:color="0000FF"/>
              <w:bottom w:val="single" w:sz="8" w:color="D2DCE5"/>
            </w:tcBorders>
            <w:shd w:val="clear" w:color="auto" w:fill="D2DCE5"/>
          </w:tcPr>
          <w:p>
            <w:pPr>
              <w:spacing w:after="0"/>
              <w:rPr>
                <w:sz w:val="16"/>
                <w:szCs w:val="16"/>
                <w:color w:val="auto"/>
              </w:rPr>
            </w:pPr>
          </w:p>
        </w:tc>
        <w:tc>
          <w:tcPr>
            <w:tcW w:w="740" w:type="dxa"/>
            <w:vAlign w:val="bottom"/>
            <w:tcBorders>
              <w:top w:val="single" w:sz="8" w:color="D2DCE5"/>
              <w:bottom w:val="single" w:sz="8" w:color="D2DCE5"/>
            </w:tcBorders>
            <w:shd w:val="clear" w:color="auto" w:fill="D2DCE5"/>
          </w:tcPr>
          <w:p>
            <w:pPr>
              <w:spacing w:after="0"/>
              <w:rPr>
                <w:sz w:val="16"/>
                <w:szCs w:val="16"/>
                <w:color w:val="auto"/>
              </w:rPr>
            </w:pPr>
          </w:p>
        </w:tc>
        <w:tc>
          <w:tcPr>
            <w:tcW w:w="600" w:type="dxa"/>
            <w:vAlign w:val="bottom"/>
            <w:tcBorders>
              <w:top w:val="single" w:sz="8" w:color="D2DCE5"/>
              <w:bottom w:val="single" w:sz="8" w:color="D2DCE5"/>
            </w:tcBorders>
            <w:shd w:val="clear" w:color="auto" w:fill="D2DCE5"/>
          </w:tcPr>
          <w:p>
            <w:pPr>
              <w:spacing w:after="0"/>
              <w:rPr>
                <w:sz w:val="16"/>
                <w:szCs w:val="16"/>
                <w:color w:val="auto"/>
              </w:rPr>
            </w:pPr>
          </w:p>
        </w:tc>
        <w:tc>
          <w:tcPr>
            <w:tcW w:w="160" w:type="dxa"/>
            <w:vAlign w:val="bottom"/>
            <w:tcBorders>
              <w:top w:val="single" w:sz="8" w:color="D2DCE5"/>
              <w:bottom w:val="single" w:sz="8" w:color="D2DCE5"/>
            </w:tcBorders>
            <w:shd w:val="clear" w:color="auto" w:fill="D2DCE5"/>
          </w:tcPr>
          <w:p>
            <w:pPr>
              <w:spacing w:after="0"/>
              <w:rPr>
                <w:sz w:val="16"/>
                <w:szCs w:val="16"/>
                <w:color w:val="auto"/>
              </w:rPr>
            </w:pPr>
          </w:p>
        </w:tc>
        <w:tc>
          <w:tcPr>
            <w:tcW w:w="20" w:type="dxa"/>
            <w:vAlign w:val="bottom"/>
            <w:tcBorders>
              <w:top w:val="single" w:sz="8" w:color="D2DCE5"/>
              <w:bottom w:val="single" w:sz="8" w:color="D2DCE5"/>
            </w:tcBorders>
            <w:shd w:val="clear" w:color="auto" w:fill="D2DCE5"/>
          </w:tcPr>
          <w:p>
            <w:pPr>
              <w:spacing w:after="0"/>
              <w:rPr>
                <w:sz w:val="16"/>
                <w:szCs w:val="16"/>
                <w:color w:val="auto"/>
              </w:rPr>
            </w:pPr>
          </w:p>
        </w:tc>
        <w:tc>
          <w:tcPr>
            <w:tcW w:w="60" w:type="dxa"/>
            <w:vAlign w:val="bottom"/>
            <w:tcBorders>
              <w:top w:val="single" w:sz="8" w:color="D2DCE5"/>
              <w:bottom w:val="single" w:sz="8" w:color="D2DCE5"/>
            </w:tcBorders>
            <w:shd w:val="clear" w:color="auto" w:fill="D2DCE5"/>
          </w:tcPr>
          <w:p>
            <w:pPr>
              <w:spacing w:after="0"/>
              <w:rPr>
                <w:sz w:val="16"/>
                <w:szCs w:val="16"/>
                <w:color w:val="auto"/>
              </w:rPr>
            </w:pPr>
          </w:p>
        </w:tc>
        <w:tc>
          <w:tcPr>
            <w:tcW w:w="120" w:type="dxa"/>
            <w:vAlign w:val="bottom"/>
            <w:tcBorders>
              <w:top w:val="single" w:sz="8" w:color="D2DCE5"/>
              <w:bottom w:val="single" w:sz="8" w:color="D2DCE5"/>
            </w:tcBorders>
            <w:shd w:val="clear" w:color="auto" w:fill="D2DCE5"/>
          </w:tcPr>
          <w:p>
            <w:pPr>
              <w:spacing w:after="0"/>
              <w:rPr>
                <w:sz w:val="16"/>
                <w:szCs w:val="16"/>
                <w:color w:val="auto"/>
              </w:rPr>
            </w:pPr>
          </w:p>
        </w:tc>
        <w:tc>
          <w:tcPr>
            <w:tcW w:w="100" w:type="dxa"/>
            <w:vAlign w:val="bottom"/>
            <w:tcBorders>
              <w:top w:val="single" w:sz="8" w:color="D2DCE5"/>
              <w:left w:val="single" w:sz="8" w:color="D2DCE5"/>
              <w:bottom w:val="single" w:sz="8" w:color="D2DCE5"/>
            </w:tcBorders>
            <w:shd w:val="clear" w:color="auto" w:fill="D2DCE5"/>
          </w:tcPr>
          <w:p>
            <w:pPr>
              <w:spacing w:after="0"/>
              <w:rPr>
                <w:sz w:val="16"/>
                <w:szCs w:val="16"/>
                <w:color w:val="auto"/>
              </w:rPr>
            </w:pPr>
          </w:p>
        </w:tc>
        <w:tc>
          <w:tcPr>
            <w:tcW w:w="100" w:type="dxa"/>
            <w:vAlign w:val="bottom"/>
            <w:tcBorders>
              <w:top w:val="single" w:sz="8" w:color="D2DCE5"/>
              <w:bottom w:val="single" w:sz="8" w:color="D2DCE5"/>
            </w:tcBorders>
            <w:shd w:val="clear" w:color="auto" w:fill="D2DCE5"/>
          </w:tcPr>
          <w:p>
            <w:pPr>
              <w:spacing w:after="0"/>
              <w:rPr>
                <w:sz w:val="16"/>
                <w:szCs w:val="16"/>
                <w:color w:val="auto"/>
              </w:rPr>
            </w:pPr>
          </w:p>
        </w:tc>
        <w:tc>
          <w:tcPr>
            <w:tcW w:w="100" w:type="dxa"/>
            <w:vAlign w:val="bottom"/>
            <w:tcBorders>
              <w:top w:val="single" w:sz="8" w:color="D2DCE5"/>
              <w:bottom w:val="single" w:sz="8" w:color="D2DCE5"/>
            </w:tcBorders>
            <w:shd w:val="clear" w:color="auto" w:fill="D2DCE5"/>
          </w:tcPr>
          <w:p>
            <w:pPr>
              <w:spacing w:after="0"/>
              <w:rPr>
                <w:sz w:val="16"/>
                <w:szCs w:val="16"/>
                <w:color w:val="auto"/>
              </w:rPr>
            </w:pPr>
          </w:p>
        </w:tc>
        <w:tc>
          <w:tcPr>
            <w:tcW w:w="760" w:type="dxa"/>
            <w:vAlign w:val="bottom"/>
            <w:tcBorders>
              <w:top w:val="single" w:sz="8" w:color="D2DCE5"/>
              <w:bottom w:val="single" w:sz="8" w:color="D2DCE5"/>
            </w:tcBorders>
            <w:vMerge w:val="continue"/>
            <w:shd w:val="clear" w:color="auto" w:fill="D2DCE5"/>
          </w:tcPr>
          <w:p>
            <w:pPr>
              <w:spacing w:after="0"/>
              <w:rPr>
                <w:sz w:val="16"/>
                <w:szCs w:val="16"/>
                <w:color w:val="auto"/>
              </w:rPr>
            </w:pPr>
          </w:p>
        </w:tc>
        <w:tc>
          <w:tcPr>
            <w:tcW w:w="1240" w:type="dxa"/>
            <w:vAlign w:val="bottom"/>
            <w:tcBorders>
              <w:top w:val="single" w:sz="8" w:color="D2DCE5"/>
              <w:bottom w:val="single" w:sz="8" w:color="D2DCE5"/>
            </w:tcBorders>
            <w:vMerge w:val="continue"/>
            <w:shd w:val="clear" w:color="auto" w:fill="D2DCE5"/>
          </w:tcPr>
          <w:p>
            <w:pPr>
              <w:spacing w:after="0"/>
              <w:rPr>
                <w:sz w:val="16"/>
                <w:szCs w:val="16"/>
                <w:color w:val="auto"/>
              </w:rPr>
            </w:pPr>
          </w:p>
        </w:tc>
        <w:tc>
          <w:tcPr>
            <w:tcW w:w="820" w:type="dxa"/>
            <w:vAlign w:val="bottom"/>
            <w:tcBorders>
              <w:top w:val="single" w:sz="8" w:color="D2DCE5"/>
              <w:bottom w:val="single" w:sz="8" w:color="D2DCE5"/>
            </w:tcBorders>
            <w:vMerge w:val="continue"/>
            <w:shd w:val="clear" w:color="auto" w:fill="D2DCE5"/>
          </w:tcPr>
          <w:p>
            <w:pPr>
              <w:spacing w:after="0"/>
              <w:rPr>
                <w:sz w:val="16"/>
                <w:szCs w:val="16"/>
                <w:color w:val="auto"/>
              </w:rPr>
            </w:pPr>
          </w:p>
        </w:tc>
        <w:tc>
          <w:tcPr>
            <w:tcW w:w="100" w:type="dxa"/>
            <w:vAlign w:val="bottom"/>
            <w:tcBorders>
              <w:top w:val="single" w:sz="8" w:color="D2DCE5"/>
              <w:bottom w:val="single" w:sz="8" w:color="D2DCE5"/>
            </w:tcBorders>
            <w:shd w:val="clear" w:color="auto" w:fill="D2DCE5"/>
          </w:tcPr>
          <w:p>
            <w:pPr>
              <w:spacing w:after="0"/>
              <w:rPr>
                <w:sz w:val="16"/>
                <w:szCs w:val="16"/>
                <w:color w:val="auto"/>
              </w:rPr>
            </w:pPr>
          </w:p>
        </w:tc>
        <w:tc>
          <w:tcPr>
            <w:tcW w:w="1560" w:type="dxa"/>
            <w:vAlign w:val="bottom"/>
            <w:tcBorders>
              <w:top w:val="single" w:sz="8" w:color="D2DCE5"/>
              <w:bottom w:val="single" w:sz="8" w:color="D2DCE5"/>
            </w:tcBorders>
            <w:vMerge w:val="continue"/>
            <w:shd w:val="clear" w:color="auto" w:fill="D2DCE5"/>
          </w:tcPr>
          <w:p>
            <w:pPr>
              <w:spacing w:after="0"/>
              <w:rPr>
                <w:sz w:val="16"/>
                <w:szCs w:val="16"/>
                <w:color w:val="auto"/>
              </w:rPr>
            </w:pPr>
          </w:p>
        </w:tc>
        <w:tc>
          <w:tcPr>
            <w:tcW w:w="100" w:type="dxa"/>
            <w:vAlign w:val="bottom"/>
            <w:tcBorders>
              <w:top w:val="single" w:sz="8" w:color="D2DCE5"/>
              <w:bottom w:val="single" w:sz="8" w:color="D2DCE5"/>
            </w:tcBorders>
            <w:shd w:val="clear" w:color="auto" w:fill="D2DCE5"/>
          </w:tcPr>
          <w:p>
            <w:pPr>
              <w:spacing w:after="0"/>
              <w:rPr>
                <w:sz w:val="16"/>
                <w:szCs w:val="16"/>
                <w:color w:val="auto"/>
              </w:rPr>
            </w:pPr>
          </w:p>
        </w:tc>
        <w:tc>
          <w:tcPr>
            <w:tcW w:w="960" w:type="dxa"/>
            <w:vAlign w:val="bottom"/>
            <w:tcBorders>
              <w:top w:val="single" w:sz="8" w:color="D2DCE5"/>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Chief Executive Officer Pursuant to Rules</w:t>
            </w:r>
          </w:p>
        </w:tc>
        <w:tc>
          <w:tcPr>
            <w:tcW w:w="32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11"/>
          </w:tcPr>
          <w:p>
            <w:pPr>
              <w:spacing w:after="0" w:line="169" w:lineRule="exact"/>
              <w:rPr>
                <w:sz w:val="20"/>
                <w:szCs w:val="20"/>
                <w:color w:val="auto"/>
              </w:rPr>
            </w:pPr>
            <w:r>
              <w:rPr>
                <w:rFonts w:ascii="Arial" w:cs="Arial" w:eastAsia="Arial" w:hAnsi="Arial"/>
                <w:sz w:val="16"/>
                <w:szCs w:val="16"/>
                <w:color w:val="0000FF"/>
              </w:rPr>
              <w:t>13a-14(a) and 15d-14(a) of the Securities Exchange Act of</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80" w:type="dxa"/>
            <w:vAlign w:val="bottom"/>
            <w:tcBorders>
              <w:bottom w:val="single" w:sz="8" w:color="0000FF"/>
            </w:tcBorders>
            <w:gridSpan w:val="10"/>
          </w:tcPr>
          <w:p>
            <w:pPr>
              <w:spacing w:after="0" w:line="183" w:lineRule="exact"/>
              <w:rPr>
                <w:sz w:val="20"/>
                <w:szCs w:val="20"/>
                <w:color w:val="auto"/>
              </w:rPr>
            </w:pPr>
            <w:r>
              <w:rPr>
                <w:rFonts w:ascii="Arial" w:cs="Arial" w:eastAsia="Arial" w:hAnsi="Arial"/>
                <w:sz w:val="16"/>
                <w:szCs w:val="16"/>
                <w:color w:val="0000FF"/>
              </w:rPr>
              <w:t>1934, as Adopted Pursuant to Section 302 of the Sarbanes-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w w:val="96"/>
              </w:rPr>
              <w:t>31.1</w:t>
            </w:r>
          </w:p>
        </w:tc>
        <w:tc>
          <w:tcPr>
            <w:tcW w:w="140" w:type="dxa"/>
            <w:vAlign w:val="bottom"/>
          </w:tcPr>
          <w:p>
            <w:pPr>
              <w:spacing w:after="0"/>
              <w:rPr>
                <w:sz w:val="14"/>
                <w:szCs w:val="14"/>
                <w:color w:val="auto"/>
              </w:rPr>
            </w:pPr>
          </w:p>
        </w:tc>
        <w:tc>
          <w:tcPr>
            <w:tcW w:w="4380" w:type="dxa"/>
            <w:vAlign w:val="bottom"/>
            <w:gridSpan w:val="11"/>
          </w:tcPr>
          <w:p>
            <w:pPr>
              <w:spacing w:after="0" w:line="169" w:lineRule="exact"/>
              <w:rPr>
                <w:sz w:val="20"/>
                <w:szCs w:val="20"/>
                <w:color w:val="auto"/>
              </w:rPr>
            </w:pPr>
            <w:r>
              <w:rPr>
                <w:rFonts w:ascii="Arial" w:cs="Arial" w:eastAsia="Arial" w:hAnsi="Arial"/>
                <w:sz w:val="16"/>
                <w:szCs w:val="16"/>
                <w:color w:val="0000FF"/>
              </w:rPr>
              <w:t>Oxley Act of 2002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86"/>
        </w:trPr>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tcBorders>
              <w:bottom w:val="single" w:sz="8" w:color="D2DCE5"/>
            </w:tcBorders>
            <w:shd w:val="clear" w:color="auto" w:fill="D2DCE5"/>
          </w:tcPr>
          <w:p>
            <w:pPr>
              <w:spacing w:after="0"/>
              <w:rPr>
                <w:sz w:val="17"/>
                <w:szCs w:val="17"/>
                <w:color w:val="auto"/>
              </w:rPr>
            </w:pPr>
          </w:p>
        </w:tc>
        <w:tc>
          <w:tcPr>
            <w:tcW w:w="140" w:type="dxa"/>
            <w:vAlign w:val="bottom"/>
            <w:tcBorders>
              <w:bottom w:val="single" w:sz="8" w:color="D2DCE5"/>
              <w:right w:val="single" w:sz="8" w:color="D2DCE5"/>
            </w:tcBorders>
            <w:shd w:val="clear" w:color="auto" w:fill="D2DCE5"/>
          </w:tcPr>
          <w:p>
            <w:pPr>
              <w:spacing w:after="0"/>
              <w:rPr>
                <w:sz w:val="17"/>
                <w:szCs w:val="17"/>
                <w:color w:val="auto"/>
              </w:rPr>
            </w:pPr>
          </w:p>
        </w:tc>
        <w:tc>
          <w:tcPr>
            <w:tcW w:w="4000" w:type="dxa"/>
            <w:vAlign w:val="bottom"/>
            <w:tcBorders>
              <w:bottom w:val="single" w:sz="8" w:color="0000FF"/>
            </w:tcBorders>
            <w:gridSpan w:val="7"/>
            <w:shd w:val="clear" w:color="auto" w:fill="D2DCE5"/>
          </w:tcPr>
          <w:p>
            <w:pPr>
              <w:spacing w:after="0"/>
              <w:rPr>
                <w:sz w:val="20"/>
                <w:szCs w:val="20"/>
                <w:color w:val="auto"/>
              </w:rPr>
            </w:pPr>
            <w:r>
              <w:rPr>
                <w:rFonts w:ascii="Arial" w:cs="Arial" w:eastAsia="Arial" w:hAnsi="Arial"/>
                <w:sz w:val="16"/>
                <w:szCs w:val="16"/>
                <w:color w:val="0000FF"/>
              </w:rPr>
              <w:t>Certification of Chief Financial Officer Pursuant to Rules</w:t>
            </w:r>
          </w:p>
        </w:tc>
        <w:tc>
          <w:tcPr>
            <w:tcW w:w="380" w:type="dxa"/>
            <w:vAlign w:val="bottom"/>
            <w:tcBorders>
              <w:bottom w:val="single" w:sz="8" w:color="D2DCE5"/>
            </w:tcBorders>
            <w:gridSpan w:val="4"/>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spacing w:after="0"/>
              <w:rPr>
                <w:sz w:val="17"/>
                <w:szCs w:val="17"/>
                <w:color w:val="auto"/>
              </w:rPr>
            </w:pPr>
          </w:p>
        </w:tc>
        <w:tc>
          <w:tcPr>
            <w:tcW w:w="760" w:type="dxa"/>
            <w:vAlign w:val="bottom"/>
            <w:tcBorders>
              <w:bottom w:val="single" w:sz="8" w:color="D2DCE5"/>
            </w:tcBorders>
            <w:shd w:val="clear" w:color="auto" w:fill="D2DCE5"/>
          </w:tcPr>
          <w:p>
            <w:pPr>
              <w:spacing w:after="0"/>
              <w:rPr>
                <w:sz w:val="17"/>
                <w:szCs w:val="17"/>
                <w:color w:val="auto"/>
              </w:rPr>
            </w:pPr>
          </w:p>
        </w:tc>
        <w:tc>
          <w:tcPr>
            <w:tcW w:w="1240" w:type="dxa"/>
            <w:vAlign w:val="bottom"/>
            <w:tcBorders>
              <w:bottom w:val="single" w:sz="8" w:color="D2DCE5"/>
            </w:tcBorders>
            <w:shd w:val="clear" w:color="auto" w:fill="D2DCE5"/>
          </w:tcPr>
          <w:p>
            <w:pPr>
              <w:spacing w:after="0"/>
              <w:rPr>
                <w:sz w:val="17"/>
                <w:szCs w:val="17"/>
                <w:color w:val="auto"/>
              </w:rPr>
            </w:pPr>
          </w:p>
        </w:tc>
        <w:tc>
          <w:tcPr>
            <w:tcW w:w="82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spacing w:after="0"/>
              <w:rPr>
                <w:sz w:val="17"/>
                <w:szCs w:val="17"/>
                <w:color w:val="auto"/>
              </w:rPr>
            </w:pPr>
          </w:p>
        </w:tc>
        <w:tc>
          <w:tcPr>
            <w:tcW w:w="156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spacing w:after="0"/>
              <w:rPr>
                <w:sz w:val="17"/>
                <w:szCs w:val="17"/>
                <w:color w:val="auto"/>
              </w:rPr>
            </w:pPr>
          </w:p>
        </w:tc>
        <w:tc>
          <w:tcPr>
            <w:tcW w:w="960" w:type="dxa"/>
            <w:vAlign w:val="bottom"/>
            <w:tcBorders>
              <w:bottom w:val="single" w:sz="8" w:color="D2DCE5"/>
            </w:tcBorders>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D2DCE5"/>
          </w:tcPr>
          <w:p>
            <w:pPr>
              <w:spacing w:after="0"/>
              <w:rPr>
                <w:sz w:val="15"/>
                <w:szCs w:val="15"/>
                <w:color w:val="auto"/>
              </w:rPr>
            </w:pPr>
          </w:p>
        </w:tc>
        <w:tc>
          <w:tcPr>
            <w:tcW w:w="140" w:type="dxa"/>
            <w:vAlign w:val="bottom"/>
            <w:tcBorders>
              <w:right w:val="single" w:sz="8" w:color="D2DCE5"/>
            </w:tcBorders>
            <w:shd w:val="clear" w:color="auto" w:fill="D2DCE5"/>
          </w:tcPr>
          <w:p>
            <w:pPr>
              <w:spacing w:after="0"/>
              <w:rPr>
                <w:sz w:val="15"/>
                <w:szCs w:val="15"/>
                <w:color w:val="auto"/>
              </w:rPr>
            </w:pPr>
          </w:p>
        </w:tc>
        <w:tc>
          <w:tcPr>
            <w:tcW w:w="4380" w:type="dxa"/>
            <w:vAlign w:val="bottom"/>
            <w:gridSpan w:val="11"/>
            <w:shd w:val="clear" w:color="auto" w:fill="D2DCE5"/>
          </w:tcPr>
          <w:p>
            <w:pPr>
              <w:spacing w:after="0" w:line="183" w:lineRule="exact"/>
              <w:rPr>
                <w:sz w:val="20"/>
                <w:szCs w:val="20"/>
                <w:color w:val="auto"/>
              </w:rPr>
            </w:pPr>
            <w:r>
              <w:rPr>
                <w:rFonts w:ascii="Arial" w:cs="Arial" w:eastAsia="Arial" w:hAnsi="Arial"/>
                <w:sz w:val="16"/>
                <w:szCs w:val="16"/>
                <w:color w:val="0000FF"/>
              </w:rPr>
              <w:t>13a-14(a) and 15d-14(a) of the Securities Exchange Act of</w:t>
            </w:r>
          </w:p>
        </w:tc>
        <w:tc>
          <w:tcPr>
            <w:tcW w:w="100" w:type="dxa"/>
            <w:vAlign w:val="bottom"/>
            <w:shd w:val="clear" w:color="auto" w:fill="D2DCE5"/>
          </w:tcPr>
          <w:p>
            <w:pPr>
              <w:spacing w:after="0"/>
              <w:rPr>
                <w:sz w:val="15"/>
                <w:szCs w:val="15"/>
                <w:color w:val="auto"/>
              </w:rPr>
            </w:pP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D2DCE5"/>
          </w:tcPr>
          <w:p>
            <w:pPr>
              <w:spacing w:after="0" w:line="20" w:lineRule="exact"/>
              <w:rPr>
                <w:sz w:val="1"/>
                <w:szCs w:val="1"/>
                <w:color w:val="auto"/>
              </w:rPr>
            </w:pPr>
          </w:p>
        </w:tc>
        <w:tc>
          <w:tcPr>
            <w:tcW w:w="140" w:type="dxa"/>
            <w:vAlign w:val="bottom"/>
            <w:tcBorders>
              <w:right w:val="single" w:sz="8" w:color="D2DCE5"/>
            </w:tcBorders>
            <w:shd w:val="clear" w:color="auto" w:fill="D2DCE5"/>
          </w:tcPr>
          <w:p>
            <w:pPr>
              <w:spacing w:after="0" w:line="20" w:lineRule="exact"/>
              <w:rPr>
                <w:sz w:val="1"/>
                <w:szCs w:val="1"/>
                <w:color w:val="auto"/>
              </w:rPr>
            </w:pPr>
          </w:p>
        </w:tc>
        <w:tc>
          <w:tcPr>
            <w:tcW w:w="3980" w:type="dxa"/>
            <w:vAlign w:val="bottom"/>
            <w:gridSpan w:val="6"/>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D2DCE5"/>
            </w:tcBorders>
            <w:gridSpan w:val="2"/>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760" w:type="dxa"/>
            <w:vAlign w:val="bottom"/>
            <w:shd w:val="clear" w:color="auto" w:fill="D2DCE5"/>
          </w:tcPr>
          <w:p>
            <w:pPr>
              <w:spacing w:after="0" w:line="20" w:lineRule="exact"/>
              <w:rPr>
                <w:sz w:val="1"/>
                <w:szCs w:val="1"/>
                <w:color w:val="auto"/>
              </w:rPr>
            </w:pPr>
          </w:p>
        </w:tc>
        <w:tc>
          <w:tcPr>
            <w:tcW w:w="124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156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960" w:type="dxa"/>
            <w:vAlign w:val="bottom"/>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bottom w:val="single" w:sz="8" w:color="D2DCE5"/>
            </w:tcBorders>
            <w:shd w:val="clear" w:color="auto" w:fill="D2DCE5"/>
          </w:tcPr>
          <w:p>
            <w:pPr>
              <w:spacing w:after="0"/>
              <w:rPr>
                <w:sz w:val="14"/>
                <w:szCs w:val="14"/>
                <w:color w:val="auto"/>
              </w:rPr>
            </w:pPr>
          </w:p>
        </w:tc>
        <w:tc>
          <w:tcPr>
            <w:tcW w:w="140" w:type="dxa"/>
            <w:vAlign w:val="bottom"/>
            <w:tcBorders>
              <w:bottom w:val="single" w:sz="8" w:color="D2DCE5"/>
              <w:right w:val="single" w:sz="8" w:color="D2DCE5"/>
            </w:tcBorders>
            <w:shd w:val="clear" w:color="auto" w:fill="D2DCE5"/>
          </w:tcPr>
          <w:p>
            <w:pPr>
              <w:spacing w:after="0"/>
              <w:rPr>
                <w:sz w:val="14"/>
                <w:szCs w:val="14"/>
                <w:color w:val="auto"/>
              </w:rPr>
            </w:pPr>
          </w:p>
        </w:tc>
        <w:tc>
          <w:tcPr>
            <w:tcW w:w="4280" w:type="dxa"/>
            <w:vAlign w:val="bottom"/>
            <w:tcBorders>
              <w:bottom w:val="single" w:sz="8" w:color="0000FF"/>
            </w:tcBorders>
            <w:gridSpan w:val="10"/>
            <w:shd w:val="clear" w:color="auto" w:fill="D2DCE5"/>
          </w:tcPr>
          <w:p>
            <w:pPr>
              <w:spacing w:after="0" w:line="169" w:lineRule="exact"/>
              <w:rPr>
                <w:sz w:val="20"/>
                <w:szCs w:val="20"/>
                <w:color w:val="auto"/>
              </w:rPr>
            </w:pPr>
            <w:r>
              <w:rPr>
                <w:rFonts w:ascii="Arial" w:cs="Arial" w:eastAsia="Arial" w:hAnsi="Arial"/>
                <w:sz w:val="16"/>
                <w:szCs w:val="16"/>
                <w:color w:val="0000FF"/>
              </w:rPr>
              <w:t>1934, as Adopted Pursuant to Section 302 of the Sarbanes-</w:t>
            </w:r>
          </w:p>
        </w:tc>
        <w:tc>
          <w:tcPr>
            <w:tcW w:w="10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760" w:type="dxa"/>
            <w:vAlign w:val="bottom"/>
            <w:tcBorders>
              <w:bottom w:val="single" w:sz="8" w:color="D2DCE5"/>
            </w:tcBorders>
            <w:shd w:val="clear" w:color="auto" w:fill="D2DCE5"/>
          </w:tcPr>
          <w:p>
            <w:pPr>
              <w:spacing w:after="0"/>
              <w:rPr>
                <w:sz w:val="14"/>
                <w:szCs w:val="14"/>
                <w:color w:val="auto"/>
              </w:rPr>
            </w:pPr>
          </w:p>
        </w:tc>
        <w:tc>
          <w:tcPr>
            <w:tcW w:w="1240" w:type="dxa"/>
            <w:vAlign w:val="bottom"/>
            <w:tcBorders>
              <w:bottom w:val="single" w:sz="8" w:color="D2DCE5"/>
            </w:tcBorders>
            <w:shd w:val="clear" w:color="auto" w:fill="D2DCE5"/>
          </w:tcPr>
          <w:p>
            <w:pPr>
              <w:spacing w:after="0"/>
              <w:rPr>
                <w:sz w:val="14"/>
                <w:szCs w:val="14"/>
                <w:color w:val="auto"/>
              </w:rPr>
            </w:pPr>
          </w:p>
        </w:tc>
        <w:tc>
          <w:tcPr>
            <w:tcW w:w="82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156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960" w:type="dxa"/>
            <w:vAlign w:val="bottom"/>
            <w:tcBorders>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w w:val="96"/>
              </w:rPr>
              <w:t>31.2</w:t>
            </w:r>
          </w:p>
        </w:tc>
        <w:tc>
          <w:tcPr>
            <w:tcW w:w="140" w:type="dxa"/>
            <w:vAlign w:val="bottom"/>
            <w:tcBorders>
              <w:right w:val="single" w:sz="8" w:color="D2DCE5"/>
            </w:tcBorders>
            <w:shd w:val="clear" w:color="auto" w:fill="D2DCE5"/>
          </w:tcPr>
          <w:p>
            <w:pPr>
              <w:spacing w:after="0"/>
              <w:rPr>
                <w:sz w:val="15"/>
                <w:szCs w:val="15"/>
                <w:color w:val="auto"/>
              </w:rPr>
            </w:pPr>
          </w:p>
        </w:tc>
        <w:tc>
          <w:tcPr>
            <w:tcW w:w="4380" w:type="dxa"/>
            <w:vAlign w:val="bottom"/>
            <w:gridSpan w:val="11"/>
            <w:shd w:val="clear" w:color="auto" w:fill="D2DCE5"/>
          </w:tcPr>
          <w:p>
            <w:pPr>
              <w:spacing w:after="0" w:line="183" w:lineRule="exact"/>
              <w:rPr>
                <w:sz w:val="20"/>
                <w:szCs w:val="20"/>
                <w:color w:val="auto"/>
              </w:rPr>
            </w:pPr>
            <w:r>
              <w:rPr>
                <w:rFonts w:ascii="Arial" w:cs="Arial" w:eastAsia="Arial" w:hAnsi="Arial"/>
                <w:sz w:val="16"/>
                <w:szCs w:val="16"/>
                <w:color w:val="0000FF"/>
              </w:rPr>
              <w:t>Oxley Act of 2002</w:t>
            </w:r>
          </w:p>
        </w:tc>
        <w:tc>
          <w:tcPr>
            <w:tcW w:w="100" w:type="dxa"/>
            <w:vAlign w:val="bottom"/>
            <w:shd w:val="clear" w:color="auto" w:fill="D2DCE5"/>
          </w:tcPr>
          <w:p>
            <w:pPr>
              <w:spacing w:after="0"/>
              <w:rPr>
                <w:sz w:val="15"/>
                <w:szCs w:val="15"/>
                <w:color w:val="auto"/>
              </w:rPr>
            </w:pP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96"/>
        </w:trPr>
        <w:tc>
          <w:tcPr>
            <w:tcW w:w="1080" w:type="dxa"/>
            <w:vAlign w:val="bottom"/>
            <w:tcBorders>
              <w:top w:val="single" w:sz="8" w:color="D2DCE5"/>
            </w:tcBorders>
            <w:vMerge w:val="continue"/>
            <w:shd w:val="clear" w:color="auto" w:fill="D2DCE5"/>
          </w:tcPr>
          <w:p>
            <w:pPr>
              <w:spacing w:after="0"/>
              <w:rPr>
                <w:sz w:val="17"/>
                <w:szCs w:val="17"/>
                <w:color w:val="auto"/>
              </w:rPr>
            </w:pPr>
          </w:p>
        </w:tc>
        <w:tc>
          <w:tcPr>
            <w:tcW w:w="140" w:type="dxa"/>
            <w:vAlign w:val="bottom"/>
            <w:tcBorders>
              <w:top w:val="single" w:sz="8" w:color="D2DCE5"/>
              <w:right w:val="single" w:sz="8" w:color="D2DCE5"/>
            </w:tcBorders>
            <w:shd w:val="clear" w:color="auto" w:fill="D2DCE5"/>
          </w:tcPr>
          <w:p>
            <w:pPr>
              <w:spacing w:after="0"/>
              <w:rPr>
                <w:sz w:val="17"/>
                <w:szCs w:val="17"/>
                <w:color w:val="auto"/>
              </w:rPr>
            </w:pPr>
          </w:p>
        </w:tc>
        <w:tc>
          <w:tcPr>
            <w:tcW w:w="740" w:type="dxa"/>
            <w:vAlign w:val="bottom"/>
            <w:tcBorders>
              <w:top w:val="single" w:sz="8" w:color="0000FF"/>
            </w:tcBorders>
            <w:shd w:val="clear" w:color="auto" w:fill="D2DCE5"/>
          </w:tcPr>
          <w:p>
            <w:pPr>
              <w:spacing w:after="0"/>
              <w:rPr>
                <w:sz w:val="17"/>
                <w:szCs w:val="17"/>
                <w:color w:val="auto"/>
              </w:rPr>
            </w:pPr>
          </w:p>
        </w:tc>
        <w:tc>
          <w:tcPr>
            <w:tcW w:w="520" w:type="dxa"/>
            <w:vAlign w:val="bottom"/>
            <w:tcBorders>
              <w:top w:val="single" w:sz="8" w:color="0000FF"/>
            </w:tcBorders>
            <w:shd w:val="clear" w:color="auto" w:fill="D2DCE5"/>
          </w:tcPr>
          <w:p>
            <w:pPr>
              <w:spacing w:after="0"/>
              <w:rPr>
                <w:sz w:val="17"/>
                <w:szCs w:val="17"/>
                <w:color w:val="auto"/>
              </w:rPr>
            </w:pPr>
          </w:p>
        </w:tc>
        <w:tc>
          <w:tcPr>
            <w:tcW w:w="1220" w:type="dxa"/>
            <w:vAlign w:val="bottom"/>
            <w:tcBorders>
              <w:top w:val="single" w:sz="8" w:color="D2DCE5"/>
            </w:tcBorders>
            <w:shd w:val="clear" w:color="auto" w:fill="D2DCE5"/>
          </w:tcPr>
          <w:p>
            <w:pPr>
              <w:spacing w:after="0"/>
              <w:rPr>
                <w:sz w:val="17"/>
                <w:szCs w:val="17"/>
                <w:color w:val="auto"/>
              </w:rPr>
            </w:pPr>
          </w:p>
        </w:tc>
        <w:tc>
          <w:tcPr>
            <w:tcW w:w="740" w:type="dxa"/>
            <w:vAlign w:val="bottom"/>
            <w:tcBorders>
              <w:top w:val="single" w:sz="8" w:color="D2DCE5"/>
            </w:tcBorders>
            <w:shd w:val="clear" w:color="auto" w:fill="D2DCE5"/>
          </w:tcPr>
          <w:p>
            <w:pPr>
              <w:spacing w:after="0"/>
              <w:rPr>
                <w:sz w:val="17"/>
                <w:szCs w:val="17"/>
                <w:color w:val="auto"/>
              </w:rPr>
            </w:pPr>
          </w:p>
        </w:tc>
        <w:tc>
          <w:tcPr>
            <w:tcW w:w="600" w:type="dxa"/>
            <w:vAlign w:val="bottom"/>
            <w:tcBorders>
              <w:top w:val="single" w:sz="8" w:color="D2DCE5"/>
            </w:tcBorders>
            <w:shd w:val="clear" w:color="auto" w:fill="D2DCE5"/>
          </w:tcPr>
          <w:p>
            <w:pPr>
              <w:spacing w:after="0"/>
              <w:rPr>
                <w:sz w:val="17"/>
                <w:szCs w:val="17"/>
                <w:color w:val="auto"/>
              </w:rPr>
            </w:pPr>
          </w:p>
        </w:tc>
        <w:tc>
          <w:tcPr>
            <w:tcW w:w="16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12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left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760" w:type="dxa"/>
            <w:vAlign w:val="bottom"/>
            <w:tcBorders>
              <w:top w:val="single" w:sz="8" w:color="D2DCE5"/>
            </w:tcBorders>
            <w:shd w:val="clear" w:color="auto" w:fill="D2DCE5"/>
          </w:tcPr>
          <w:p>
            <w:pPr>
              <w:spacing w:after="0"/>
              <w:rPr>
                <w:sz w:val="17"/>
                <w:szCs w:val="17"/>
                <w:color w:val="auto"/>
              </w:rPr>
            </w:pPr>
          </w:p>
        </w:tc>
        <w:tc>
          <w:tcPr>
            <w:tcW w:w="1240" w:type="dxa"/>
            <w:vAlign w:val="bottom"/>
            <w:tcBorders>
              <w:top w:val="single" w:sz="8" w:color="D2DCE5"/>
            </w:tcBorders>
            <w:shd w:val="clear" w:color="auto" w:fill="D2DCE5"/>
          </w:tcPr>
          <w:p>
            <w:pPr>
              <w:spacing w:after="0"/>
              <w:rPr>
                <w:sz w:val="17"/>
                <w:szCs w:val="17"/>
                <w:color w:val="auto"/>
              </w:rPr>
            </w:pPr>
          </w:p>
        </w:tc>
        <w:tc>
          <w:tcPr>
            <w:tcW w:w="82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56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960" w:type="dxa"/>
            <w:vAlign w:val="bottom"/>
            <w:tcBorders>
              <w:top w:val="single" w:sz="8" w:color="D2DCE5"/>
            </w:tcBorders>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8"/>
              </w:rPr>
              <w:t>Certifications of Chief Executive Officer and Chief Financial</w:t>
            </w:r>
          </w:p>
        </w:tc>
        <w:tc>
          <w:tcPr>
            <w:tcW w:w="2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tcBorders>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Officer Pursuant to 18 U.S.C. Section 1350, as Adopted</w:t>
            </w:r>
          </w:p>
        </w:tc>
        <w:tc>
          <w:tcPr>
            <w:tcW w:w="400" w:type="dxa"/>
            <w:vAlign w:val="bottom"/>
            <w:gridSpan w:val="5"/>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32.1*</w:t>
            </w:r>
          </w:p>
        </w:tc>
        <w:tc>
          <w:tcPr>
            <w:tcW w:w="140" w:type="dxa"/>
            <w:vAlign w:val="bottom"/>
          </w:tcPr>
          <w:p>
            <w:pPr>
              <w:spacing w:after="0"/>
              <w:rPr>
                <w:sz w:val="15"/>
                <w:szCs w:val="15"/>
                <w:color w:val="auto"/>
              </w:rPr>
            </w:pPr>
          </w:p>
        </w:tc>
        <w:tc>
          <w:tcPr>
            <w:tcW w:w="4380" w:type="dxa"/>
            <w:vAlign w:val="bottom"/>
            <w:gridSpan w:val="11"/>
          </w:tcPr>
          <w:p>
            <w:pPr>
              <w:spacing w:after="0" w:line="183" w:lineRule="exact"/>
              <w:rPr>
                <w:sz w:val="20"/>
                <w:szCs w:val="20"/>
                <w:color w:val="auto"/>
              </w:rPr>
            </w:pPr>
            <w:r>
              <w:rPr>
                <w:rFonts w:ascii="Arial" w:cs="Arial" w:eastAsia="Arial" w:hAnsi="Arial"/>
                <w:sz w:val="16"/>
                <w:szCs w:val="16"/>
                <w:color w:val="0000FF"/>
              </w:rPr>
              <w:t>Pursuant to Section 906 of the Sarbanes-Oxley Act of 2002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86"/>
        </w:trPr>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122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6"/>
                <w:szCs w:val="16"/>
                <w:color w:val="131E29"/>
              </w:rPr>
              <w:t>101.INS</w:t>
            </w:r>
          </w:p>
        </w:tc>
        <w:tc>
          <w:tcPr>
            <w:tcW w:w="140" w:type="dxa"/>
            <w:vAlign w:val="bottom"/>
            <w:tcBorders>
              <w:bottom w:val="single" w:sz="8" w:color="D2DCE5"/>
              <w:right w:val="single" w:sz="8" w:color="D2DCE5"/>
            </w:tcBorders>
            <w:shd w:val="clear" w:color="auto" w:fill="D2DCE5"/>
          </w:tcPr>
          <w:p>
            <w:pPr>
              <w:spacing w:after="0"/>
              <w:rPr>
                <w:sz w:val="21"/>
                <w:szCs w:val="21"/>
                <w:color w:val="auto"/>
              </w:rPr>
            </w:pPr>
          </w:p>
        </w:tc>
        <w:tc>
          <w:tcPr>
            <w:tcW w:w="4380" w:type="dxa"/>
            <w:vAlign w:val="bottom"/>
            <w:tcBorders>
              <w:bottom w:val="single" w:sz="8" w:color="D2DCE5"/>
            </w:tcBorders>
            <w:gridSpan w:val="11"/>
            <w:shd w:val="clear" w:color="auto" w:fill="D2DCE5"/>
          </w:tcPr>
          <w:p>
            <w:pPr>
              <w:spacing w:after="0"/>
              <w:rPr>
                <w:sz w:val="20"/>
                <w:szCs w:val="20"/>
                <w:color w:val="auto"/>
              </w:rPr>
            </w:pPr>
            <w:r>
              <w:rPr>
                <w:rFonts w:ascii="Arial" w:cs="Arial" w:eastAsia="Arial" w:hAnsi="Arial"/>
                <w:sz w:val="16"/>
                <w:szCs w:val="16"/>
                <w:color w:val="131E29"/>
              </w:rPr>
              <w:t>XBRL Instance Document</w:t>
            </w:r>
          </w:p>
        </w:tc>
        <w:tc>
          <w:tcPr>
            <w:tcW w:w="100" w:type="dxa"/>
            <w:vAlign w:val="bottom"/>
            <w:tcBorders>
              <w:bottom w:val="single" w:sz="8" w:color="D2DCE5"/>
            </w:tcBorders>
            <w:shd w:val="clear" w:color="auto" w:fill="D2DCE5"/>
          </w:tcPr>
          <w:p>
            <w:pPr>
              <w:spacing w:after="0"/>
              <w:rPr>
                <w:sz w:val="21"/>
                <w:szCs w:val="21"/>
                <w:color w:val="auto"/>
              </w:rPr>
            </w:pPr>
          </w:p>
        </w:tc>
        <w:tc>
          <w:tcPr>
            <w:tcW w:w="7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spacing w:after="0"/>
              <w:rPr>
                <w:sz w:val="21"/>
                <w:szCs w:val="21"/>
                <w:color w:val="auto"/>
              </w:rPr>
            </w:pPr>
          </w:p>
        </w:tc>
        <w:tc>
          <w:tcPr>
            <w:tcW w:w="8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3"/>
        </w:trPr>
        <w:tc>
          <w:tcPr>
            <w:tcW w:w="1080" w:type="dxa"/>
            <w:vAlign w:val="bottom"/>
          </w:tcPr>
          <w:p>
            <w:pPr>
              <w:jc w:val="center"/>
              <w:spacing w:after="0"/>
              <w:rPr>
                <w:sz w:val="20"/>
                <w:szCs w:val="20"/>
                <w:color w:val="auto"/>
              </w:rPr>
            </w:pPr>
            <w:r>
              <w:rPr>
                <w:rFonts w:ascii="Arial" w:cs="Arial" w:eastAsia="Arial" w:hAnsi="Arial"/>
                <w:sz w:val="16"/>
                <w:szCs w:val="16"/>
                <w:color w:val="131E29"/>
              </w:rPr>
              <w:t>101.SCH</w:t>
            </w:r>
          </w:p>
        </w:tc>
        <w:tc>
          <w:tcPr>
            <w:tcW w:w="140" w:type="dxa"/>
            <w:vAlign w:val="bottom"/>
          </w:tcPr>
          <w:p>
            <w:pPr>
              <w:spacing w:after="0"/>
              <w:rPr>
                <w:sz w:val="20"/>
                <w:szCs w:val="20"/>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131E29"/>
              </w:rPr>
              <w:t>XBRL Taxonomy Extension Schema Document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3"/>
        </w:trPr>
        <w:tc>
          <w:tcPr>
            <w:tcW w:w="108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9"/>
              </w:rPr>
              <w:t>101.CAL</w:t>
            </w:r>
          </w:p>
        </w:tc>
        <w:tc>
          <w:tcPr>
            <w:tcW w:w="140" w:type="dxa"/>
            <w:vAlign w:val="bottom"/>
            <w:tcBorders>
              <w:right w:val="single" w:sz="8" w:color="D2DCE5"/>
            </w:tcBorders>
            <w:shd w:val="clear" w:color="auto" w:fill="D2DCE5"/>
          </w:tcPr>
          <w:p>
            <w:pPr>
              <w:spacing w:after="0"/>
              <w:rPr>
                <w:sz w:val="21"/>
                <w:szCs w:val="21"/>
                <w:color w:val="auto"/>
              </w:rPr>
            </w:pPr>
          </w:p>
        </w:tc>
        <w:tc>
          <w:tcPr>
            <w:tcW w:w="4380" w:type="dxa"/>
            <w:vAlign w:val="bottom"/>
            <w:gridSpan w:val="11"/>
            <w:shd w:val="clear" w:color="auto" w:fill="D2DCE5"/>
          </w:tcPr>
          <w:p>
            <w:pPr>
              <w:spacing w:after="0"/>
              <w:rPr>
                <w:sz w:val="20"/>
                <w:szCs w:val="20"/>
                <w:color w:val="auto"/>
              </w:rPr>
            </w:pPr>
            <w:r>
              <w:rPr>
                <w:rFonts w:ascii="Arial" w:cs="Arial" w:eastAsia="Arial" w:hAnsi="Arial"/>
                <w:sz w:val="16"/>
                <w:szCs w:val="16"/>
                <w:color w:val="131E29"/>
              </w:rPr>
              <w:t>XBRL Taxonomy Extension Calculation Linkbase Document</w:t>
            </w:r>
          </w:p>
        </w:tc>
        <w:tc>
          <w:tcPr>
            <w:tcW w:w="100" w:type="dxa"/>
            <w:vAlign w:val="bottom"/>
            <w:shd w:val="clear" w:color="auto" w:fill="D2DCE5"/>
          </w:tcPr>
          <w:p>
            <w:pPr>
              <w:spacing w:after="0"/>
              <w:rPr>
                <w:sz w:val="21"/>
                <w:szCs w:val="21"/>
                <w:color w:val="auto"/>
              </w:rPr>
            </w:pP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23"/>
        </w:trPr>
        <w:tc>
          <w:tcPr>
            <w:tcW w:w="1080" w:type="dxa"/>
            <w:vAlign w:val="bottom"/>
          </w:tcPr>
          <w:p>
            <w:pPr>
              <w:jc w:val="center"/>
              <w:spacing w:after="0"/>
              <w:rPr>
                <w:sz w:val="20"/>
                <w:szCs w:val="20"/>
                <w:color w:val="auto"/>
              </w:rPr>
            </w:pPr>
            <w:r>
              <w:rPr>
                <w:rFonts w:ascii="Arial" w:cs="Arial" w:eastAsia="Arial" w:hAnsi="Arial"/>
                <w:sz w:val="16"/>
                <w:szCs w:val="16"/>
                <w:color w:val="131E29"/>
              </w:rPr>
              <w:t>101.DEF</w:t>
            </w:r>
          </w:p>
        </w:tc>
        <w:tc>
          <w:tcPr>
            <w:tcW w:w="140" w:type="dxa"/>
            <w:vAlign w:val="bottom"/>
          </w:tcPr>
          <w:p>
            <w:pPr>
              <w:spacing w:after="0"/>
              <w:rPr>
                <w:sz w:val="19"/>
                <w:szCs w:val="19"/>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131E29"/>
              </w:rPr>
              <w:t>XBRL Taxonomy Extension Definition Linkbase Document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8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101.LAB</w:t>
            </w:r>
          </w:p>
        </w:tc>
        <w:tc>
          <w:tcPr>
            <w:tcW w:w="140" w:type="dxa"/>
            <w:vAlign w:val="bottom"/>
            <w:tcBorders>
              <w:right w:val="single" w:sz="8" w:color="D2DCE5"/>
            </w:tcBorders>
            <w:shd w:val="clear" w:color="auto" w:fill="D2DCE5"/>
          </w:tcPr>
          <w:p>
            <w:pPr>
              <w:spacing w:after="0"/>
              <w:rPr>
                <w:sz w:val="21"/>
                <w:szCs w:val="21"/>
                <w:color w:val="auto"/>
              </w:rPr>
            </w:pPr>
          </w:p>
        </w:tc>
        <w:tc>
          <w:tcPr>
            <w:tcW w:w="4380" w:type="dxa"/>
            <w:vAlign w:val="bottom"/>
            <w:gridSpan w:val="11"/>
            <w:shd w:val="clear" w:color="auto" w:fill="D2DCE5"/>
          </w:tcPr>
          <w:p>
            <w:pPr>
              <w:spacing w:after="0"/>
              <w:rPr>
                <w:sz w:val="20"/>
                <w:szCs w:val="20"/>
                <w:color w:val="auto"/>
              </w:rPr>
            </w:pPr>
            <w:r>
              <w:rPr>
                <w:rFonts w:ascii="Arial" w:cs="Arial" w:eastAsia="Arial" w:hAnsi="Arial"/>
                <w:sz w:val="16"/>
                <w:szCs w:val="16"/>
                <w:color w:val="131E29"/>
              </w:rPr>
              <w:t>XBRL Taxonomy Extension Label Linkbase Document</w:t>
            </w:r>
          </w:p>
        </w:tc>
        <w:tc>
          <w:tcPr>
            <w:tcW w:w="100" w:type="dxa"/>
            <w:vAlign w:val="bottom"/>
            <w:shd w:val="clear" w:color="auto" w:fill="D2DCE5"/>
          </w:tcPr>
          <w:p>
            <w:pPr>
              <w:spacing w:after="0"/>
              <w:rPr>
                <w:sz w:val="21"/>
                <w:szCs w:val="21"/>
                <w:color w:val="auto"/>
              </w:rPr>
            </w:pP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131E29"/>
              </w:rPr>
              <w:t>XBRL Taxonomy Extension Presentation Linkbase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80" w:type="dxa"/>
            <w:vAlign w:val="bottom"/>
          </w:tcPr>
          <w:p>
            <w:pPr>
              <w:jc w:val="center"/>
              <w:spacing w:after="0"/>
              <w:rPr>
                <w:sz w:val="20"/>
                <w:szCs w:val="20"/>
                <w:color w:val="auto"/>
              </w:rPr>
            </w:pPr>
            <w:r>
              <w:rPr>
                <w:rFonts w:ascii="Arial" w:cs="Arial" w:eastAsia="Arial" w:hAnsi="Arial"/>
                <w:sz w:val="16"/>
                <w:szCs w:val="16"/>
                <w:color w:val="131E29"/>
              </w:rPr>
              <w:t>101.PRE</w:t>
            </w:r>
          </w:p>
        </w:tc>
        <w:tc>
          <w:tcPr>
            <w:tcW w:w="140" w:type="dxa"/>
            <w:vAlign w:val="bottom"/>
          </w:tcPr>
          <w:p>
            <w:pPr>
              <w:spacing w:after="0"/>
              <w:rPr>
                <w:sz w:val="17"/>
                <w:szCs w:val="17"/>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131E29"/>
              </w:rPr>
              <w:t>Document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shd w:val="clear" w:color="auto" w:fill="D2DCE5"/>
          </w:tcPr>
          <w:p>
            <w:pPr>
              <w:spacing w:after="0"/>
              <w:rPr>
                <w:sz w:val="15"/>
                <w:szCs w:val="15"/>
                <w:color w:val="auto"/>
              </w:rPr>
            </w:pPr>
          </w:p>
        </w:tc>
        <w:tc>
          <w:tcPr>
            <w:tcW w:w="140" w:type="dxa"/>
            <w:vAlign w:val="bottom"/>
            <w:tcBorders>
              <w:right w:val="single" w:sz="8" w:color="D2DCE5"/>
            </w:tcBorders>
            <w:shd w:val="clear" w:color="auto" w:fill="D2DCE5"/>
          </w:tcPr>
          <w:p>
            <w:pPr>
              <w:spacing w:after="0"/>
              <w:rPr>
                <w:sz w:val="15"/>
                <w:szCs w:val="15"/>
                <w:color w:val="auto"/>
              </w:rPr>
            </w:pPr>
          </w:p>
        </w:tc>
        <w:tc>
          <w:tcPr>
            <w:tcW w:w="4380" w:type="dxa"/>
            <w:vAlign w:val="bottom"/>
            <w:gridSpan w:val="11"/>
            <w:shd w:val="clear" w:color="auto" w:fill="D2DCE5"/>
          </w:tcPr>
          <w:p>
            <w:pPr>
              <w:spacing w:after="0" w:line="179" w:lineRule="exact"/>
              <w:rPr>
                <w:sz w:val="20"/>
                <w:szCs w:val="20"/>
                <w:color w:val="auto"/>
              </w:rPr>
            </w:pPr>
            <w:r>
              <w:rPr>
                <w:rFonts w:ascii="Arial" w:cs="Arial" w:eastAsia="Arial" w:hAnsi="Arial"/>
                <w:sz w:val="16"/>
                <w:szCs w:val="16"/>
                <w:color w:val="131E29"/>
              </w:rPr>
              <w:t>Cover Page with Interactive Data File (formatted as Inline</w:t>
            </w:r>
          </w:p>
        </w:tc>
        <w:tc>
          <w:tcPr>
            <w:tcW w:w="100" w:type="dxa"/>
            <w:vAlign w:val="bottom"/>
            <w:shd w:val="clear" w:color="auto" w:fill="D2DCE5"/>
          </w:tcPr>
          <w:p>
            <w:pPr>
              <w:spacing w:after="0"/>
              <w:rPr>
                <w:sz w:val="15"/>
                <w:szCs w:val="15"/>
                <w:color w:val="auto"/>
              </w:rPr>
            </w:pP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D2DCE5"/>
          </w:tcPr>
          <w:p>
            <w:pPr>
              <w:spacing w:after="0"/>
              <w:rPr>
                <w:sz w:val="16"/>
                <w:szCs w:val="16"/>
                <w:color w:val="auto"/>
              </w:rPr>
            </w:pPr>
          </w:p>
        </w:tc>
        <w:tc>
          <w:tcPr>
            <w:tcW w:w="140" w:type="dxa"/>
            <w:vAlign w:val="bottom"/>
            <w:tcBorders>
              <w:right w:val="single" w:sz="8" w:color="D2DCE5"/>
            </w:tcBorders>
            <w:shd w:val="clear" w:color="auto" w:fill="D2DCE5"/>
          </w:tcPr>
          <w:p>
            <w:pPr>
              <w:spacing w:after="0"/>
              <w:rPr>
                <w:sz w:val="16"/>
                <w:szCs w:val="16"/>
                <w:color w:val="auto"/>
              </w:rPr>
            </w:pPr>
          </w:p>
        </w:tc>
        <w:tc>
          <w:tcPr>
            <w:tcW w:w="4380" w:type="dxa"/>
            <w:vAlign w:val="bottom"/>
            <w:gridSpan w:val="11"/>
            <w:shd w:val="clear" w:color="auto" w:fill="D2DCE5"/>
          </w:tcPr>
          <w:p>
            <w:pPr>
              <w:spacing w:after="0"/>
              <w:rPr>
                <w:sz w:val="20"/>
                <w:szCs w:val="20"/>
                <w:color w:val="auto"/>
              </w:rPr>
            </w:pPr>
            <w:r>
              <w:rPr>
                <w:rFonts w:ascii="Arial" w:cs="Arial" w:eastAsia="Arial" w:hAnsi="Arial"/>
                <w:sz w:val="16"/>
                <w:szCs w:val="16"/>
                <w:color w:val="131E29"/>
              </w:rPr>
              <w:t>XBRL with applicable taxonomy extension information</w:t>
            </w:r>
          </w:p>
        </w:tc>
        <w:tc>
          <w:tcPr>
            <w:tcW w:w="100" w:type="dxa"/>
            <w:vAlign w:val="bottom"/>
            <w:shd w:val="clear" w:color="auto" w:fill="D2DCE5"/>
          </w:tcPr>
          <w:p>
            <w:pPr>
              <w:spacing w:after="0"/>
              <w:rPr>
                <w:sz w:val="16"/>
                <w:szCs w:val="16"/>
                <w:color w:val="auto"/>
              </w:rPr>
            </w:pPr>
          </w:p>
        </w:tc>
        <w:tc>
          <w:tcPr>
            <w:tcW w:w="760" w:type="dxa"/>
            <w:vAlign w:val="bottom"/>
            <w:shd w:val="clear" w:color="auto" w:fill="D2DCE5"/>
          </w:tcPr>
          <w:p>
            <w:pPr>
              <w:spacing w:after="0"/>
              <w:rPr>
                <w:sz w:val="16"/>
                <w:szCs w:val="16"/>
                <w:color w:val="auto"/>
              </w:rPr>
            </w:pPr>
          </w:p>
        </w:tc>
        <w:tc>
          <w:tcPr>
            <w:tcW w:w="1240" w:type="dxa"/>
            <w:vAlign w:val="bottom"/>
            <w:shd w:val="clear" w:color="auto" w:fill="D2DCE5"/>
          </w:tcPr>
          <w:p>
            <w:pPr>
              <w:spacing w:after="0"/>
              <w:rPr>
                <w:sz w:val="16"/>
                <w:szCs w:val="16"/>
                <w:color w:val="auto"/>
              </w:rPr>
            </w:pPr>
          </w:p>
        </w:tc>
        <w:tc>
          <w:tcPr>
            <w:tcW w:w="8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8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7"/>
              </w:rPr>
              <w:t>104</w:t>
            </w:r>
          </w:p>
        </w:tc>
        <w:tc>
          <w:tcPr>
            <w:tcW w:w="140" w:type="dxa"/>
            <w:vAlign w:val="bottom"/>
            <w:tcBorders>
              <w:right w:val="single" w:sz="8" w:color="D2DCE5"/>
            </w:tcBorders>
            <w:shd w:val="clear" w:color="auto" w:fill="D2DCE5"/>
          </w:tcPr>
          <w:p>
            <w:pPr>
              <w:spacing w:after="0"/>
              <w:rPr>
                <w:sz w:val="19"/>
                <w:szCs w:val="19"/>
                <w:color w:val="auto"/>
              </w:rPr>
            </w:pPr>
          </w:p>
        </w:tc>
        <w:tc>
          <w:tcPr>
            <w:tcW w:w="4380" w:type="dxa"/>
            <w:vAlign w:val="bottom"/>
            <w:gridSpan w:val="11"/>
            <w:shd w:val="clear" w:color="auto" w:fill="D2DCE5"/>
          </w:tcPr>
          <w:p>
            <w:pPr>
              <w:spacing w:after="0"/>
              <w:rPr>
                <w:sz w:val="20"/>
                <w:szCs w:val="20"/>
                <w:color w:val="auto"/>
              </w:rPr>
            </w:pPr>
            <w:r>
              <w:rPr>
                <w:rFonts w:ascii="Arial" w:cs="Arial" w:eastAsia="Arial" w:hAnsi="Arial"/>
                <w:sz w:val="16"/>
                <w:szCs w:val="16"/>
                <w:color w:val="131E29"/>
              </w:rPr>
              <w:t>contained in Exhibits 101)</w:t>
            </w:r>
          </w:p>
        </w:tc>
        <w:tc>
          <w:tcPr>
            <w:tcW w:w="100" w:type="dxa"/>
            <w:vAlign w:val="bottom"/>
            <w:shd w:val="clear" w:color="auto" w:fill="D2DCE5"/>
          </w:tcPr>
          <w:p>
            <w:pPr>
              <w:spacing w:after="0"/>
              <w:rPr>
                <w:sz w:val="19"/>
                <w:szCs w:val="19"/>
                <w:color w:val="auto"/>
              </w:rPr>
            </w:pPr>
          </w:p>
        </w:tc>
        <w:tc>
          <w:tcPr>
            <w:tcW w:w="760" w:type="dxa"/>
            <w:vAlign w:val="bottom"/>
            <w:shd w:val="clear" w:color="auto" w:fill="D2DCE5"/>
          </w:tcPr>
          <w:p>
            <w:pPr>
              <w:spacing w:after="0"/>
              <w:rPr>
                <w:sz w:val="19"/>
                <w:szCs w:val="19"/>
                <w:color w:val="auto"/>
              </w:rPr>
            </w:pPr>
          </w:p>
        </w:tc>
        <w:tc>
          <w:tcPr>
            <w:tcW w:w="1240" w:type="dxa"/>
            <w:vAlign w:val="bottom"/>
            <w:shd w:val="clear" w:color="auto" w:fill="D2DCE5"/>
          </w:tcPr>
          <w:p>
            <w:pPr>
              <w:spacing w:after="0"/>
              <w:rPr>
                <w:sz w:val="19"/>
                <w:szCs w:val="19"/>
                <w:color w:val="auto"/>
              </w:rPr>
            </w:pPr>
          </w:p>
        </w:tc>
        <w:tc>
          <w:tcPr>
            <w:tcW w:w="8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5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_______________________</w:t>
      </w:r>
    </w:p>
    <w:p>
      <w:pPr>
        <w:spacing w:after="0" w:line="177" w:lineRule="exact"/>
        <w:rPr>
          <w:sz w:val="20"/>
          <w:szCs w:val="20"/>
          <w:color w:val="auto"/>
        </w:rPr>
      </w:pPr>
    </w:p>
    <w:p>
      <w:pPr>
        <w:ind w:left="180" w:hanging="172"/>
        <w:spacing w:after="0" w:line="273" w:lineRule="auto"/>
        <w:tabs>
          <w:tab w:leader="none" w:pos="241"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028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line="275" w:lineRule="auto"/>
        <w:rPr>
          <w:sz w:val="20"/>
          <w:szCs w:val="20"/>
          <w:color w:val="auto"/>
        </w:rPr>
      </w:pPr>
      <w:r>
        <w:rPr>
          <w:rFonts w:ascii="Arial" w:cs="Arial" w:eastAsia="Arial" w:hAnsi="Arial"/>
          <w:sz w:val="18"/>
          <w:szCs w:val="18"/>
          <w:color w:val="131E29"/>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spacing w:after="0"/>
              <w:rPr>
                <w:sz w:val="21"/>
                <w:szCs w:val="21"/>
                <w:color w:val="auto"/>
              </w:rPr>
            </w:pPr>
          </w:p>
        </w:tc>
        <w:tc>
          <w:tcPr>
            <w:tcW w:w="4980" w:type="dxa"/>
            <w:vAlign w:val="bottom"/>
            <w:gridSpan w:val="2"/>
          </w:tcPr>
          <w:p>
            <w:pPr>
              <w:ind w:left="3260"/>
              <w:spacing w:after="0"/>
              <w:rPr>
                <w:sz w:val="20"/>
                <w:szCs w:val="20"/>
                <w:color w:val="auto"/>
              </w:rPr>
            </w:pPr>
            <w:r>
              <w:rPr>
                <w:rFonts w:ascii="Arial" w:cs="Arial" w:eastAsia="Arial" w:hAnsi="Arial"/>
                <w:sz w:val="18"/>
                <w:szCs w:val="18"/>
                <w:b w:val="1"/>
                <w:bCs w:val="1"/>
                <w:color w:val="131E29"/>
              </w:rPr>
              <w:t>DUTCH BROS INC.</w:t>
            </w:r>
          </w:p>
        </w:tc>
        <w:tc>
          <w:tcPr>
            <w:tcW w:w="3600" w:type="dxa"/>
            <w:vAlign w:val="bottom"/>
          </w:tcPr>
          <w:p>
            <w:pPr>
              <w:spacing w:after="0"/>
              <w:rPr>
                <w:sz w:val="21"/>
                <w:szCs w:val="21"/>
                <w:color w:val="auto"/>
              </w:rPr>
            </w:pPr>
          </w:p>
        </w:tc>
      </w:tr>
      <w:tr>
        <w:trPr>
          <w:trHeight w:val="258"/>
        </w:trPr>
        <w:tc>
          <w:tcPr>
            <w:tcW w:w="2660" w:type="dxa"/>
            <w:vAlign w:val="bottom"/>
          </w:tcPr>
          <w:p>
            <w:pPr>
              <w:spacing w:after="0"/>
              <w:rPr>
                <w:sz w:val="22"/>
                <w:szCs w:val="22"/>
                <w:color w:val="auto"/>
              </w:rPr>
            </w:pPr>
          </w:p>
        </w:tc>
        <w:tc>
          <w:tcPr>
            <w:tcW w:w="4980" w:type="dxa"/>
            <w:vAlign w:val="bottom"/>
            <w:gridSpan w:val="2"/>
          </w:tcPr>
          <w:p>
            <w:pPr>
              <w:ind w:left="3260"/>
              <w:spacing w:after="0"/>
              <w:rPr>
                <w:sz w:val="20"/>
                <w:szCs w:val="20"/>
                <w:color w:val="auto"/>
              </w:rPr>
            </w:pPr>
            <w:r>
              <w:rPr>
                <w:rFonts w:ascii="Arial" w:cs="Arial" w:eastAsia="Arial" w:hAnsi="Arial"/>
                <w:sz w:val="18"/>
                <w:szCs w:val="18"/>
                <w:color w:val="131E29"/>
              </w:rPr>
              <w:t>(Registrant)</w:t>
            </w:r>
          </w:p>
        </w:tc>
        <w:tc>
          <w:tcPr>
            <w:tcW w:w="3600" w:type="dxa"/>
            <w:vAlign w:val="bottom"/>
          </w:tcPr>
          <w:p>
            <w:pPr>
              <w:spacing w:after="0"/>
              <w:rPr>
                <w:sz w:val="22"/>
                <w:szCs w:val="22"/>
                <w:color w:val="auto"/>
              </w:rPr>
            </w:pPr>
          </w:p>
        </w:tc>
      </w:tr>
      <w:tr>
        <w:trPr>
          <w:trHeight w:val="601"/>
        </w:trPr>
        <w:tc>
          <w:tcPr>
            <w:tcW w:w="2660" w:type="dxa"/>
            <w:vAlign w:val="bottom"/>
          </w:tcPr>
          <w:p>
            <w:pPr>
              <w:ind w:left="20"/>
              <w:spacing w:after="0"/>
              <w:rPr>
                <w:sz w:val="20"/>
                <w:szCs w:val="20"/>
                <w:color w:val="auto"/>
              </w:rPr>
            </w:pPr>
            <w:r>
              <w:rPr>
                <w:rFonts w:ascii="Arial" w:cs="Arial" w:eastAsia="Arial" w:hAnsi="Arial"/>
                <w:sz w:val="18"/>
                <w:szCs w:val="18"/>
                <w:color w:val="131E29"/>
              </w:rPr>
              <w:t>August 9, 2023</w:t>
            </w:r>
          </w:p>
        </w:tc>
        <w:tc>
          <w:tcPr>
            <w:tcW w:w="4980" w:type="dxa"/>
            <w:vAlign w:val="bottom"/>
            <w:gridSpan w:val="2"/>
          </w:tcPr>
          <w:p>
            <w:pPr>
              <w:ind w:left="3260"/>
              <w:spacing w:after="0"/>
              <w:rPr>
                <w:sz w:val="20"/>
                <w:szCs w:val="20"/>
                <w:color w:val="auto"/>
              </w:rPr>
            </w:pPr>
            <w:r>
              <w:rPr>
                <w:rFonts w:ascii="Arial" w:cs="Arial" w:eastAsia="Arial" w:hAnsi="Arial"/>
                <w:sz w:val="18"/>
                <w:szCs w:val="18"/>
                <w:color w:val="131E29"/>
              </w:rPr>
              <w:t>By:</w:t>
            </w:r>
          </w:p>
        </w:tc>
        <w:tc>
          <w:tcPr>
            <w:tcW w:w="3600" w:type="dxa"/>
            <w:vAlign w:val="bottom"/>
          </w:tcPr>
          <w:p>
            <w:pPr>
              <w:jc w:val="center"/>
              <w:ind w:right="1070"/>
              <w:spacing w:after="0"/>
              <w:rPr>
                <w:sz w:val="20"/>
                <w:szCs w:val="20"/>
                <w:color w:val="auto"/>
              </w:rPr>
            </w:pPr>
            <w:r>
              <w:rPr>
                <w:rFonts w:ascii="Arial" w:cs="Arial" w:eastAsia="Arial" w:hAnsi="Arial"/>
                <w:sz w:val="18"/>
                <w:szCs w:val="18"/>
                <w:b w:val="1"/>
                <w:bCs w:val="1"/>
                <w:color w:val="131E29"/>
                <w:w w:val="99"/>
              </w:rPr>
              <w:t>/s/ Jonathan Ricci</w:t>
            </w:r>
          </w:p>
        </w:tc>
      </w:tr>
      <w:tr>
        <w:trPr>
          <w:trHeight w:val="243"/>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131E29"/>
              </w:rPr>
              <w:t>Date</w:t>
            </w:r>
          </w:p>
        </w:tc>
        <w:tc>
          <w:tcPr>
            <w:tcW w:w="38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60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131E29"/>
                <w:w w:val="99"/>
              </w:rPr>
              <w:t>Jonathan Ricci</w:t>
            </w:r>
          </w:p>
        </w:tc>
      </w:tr>
      <w:tr>
        <w:trPr>
          <w:trHeight w:val="270"/>
        </w:trPr>
        <w:tc>
          <w:tcPr>
            <w:tcW w:w="26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0" w:type="dxa"/>
            <w:vAlign w:val="bottom"/>
          </w:tcPr>
          <w:p>
            <w:pPr>
              <w:jc w:val="center"/>
              <w:ind w:right="1070"/>
              <w:spacing w:after="0"/>
              <w:rPr>
                <w:sz w:val="20"/>
                <w:szCs w:val="20"/>
                <w:color w:val="auto"/>
              </w:rPr>
            </w:pPr>
            <w:r>
              <w:rPr>
                <w:rFonts w:ascii="Arial" w:cs="Arial" w:eastAsia="Arial" w:hAnsi="Arial"/>
                <w:sz w:val="18"/>
                <w:szCs w:val="18"/>
                <w:color w:val="131E29"/>
              </w:rPr>
              <w:t>Chief Executive Officer</w:t>
            </w:r>
          </w:p>
        </w:tc>
      </w:tr>
      <w:tr>
        <w:trPr>
          <w:trHeight w:val="270"/>
        </w:trPr>
        <w:tc>
          <w:tcPr>
            <w:tcW w:w="26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0" w:type="dxa"/>
            <w:vAlign w:val="bottom"/>
          </w:tcPr>
          <w:p>
            <w:pPr>
              <w:jc w:val="center"/>
              <w:ind w:right="1050"/>
              <w:spacing w:after="0"/>
              <w:rPr>
                <w:sz w:val="20"/>
                <w:szCs w:val="20"/>
                <w:color w:val="auto"/>
              </w:rPr>
            </w:pPr>
            <w:r>
              <w:rPr>
                <w:rFonts w:ascii="Arial" w:cs="Arial" w:eastAsia="Arial" w:hAnsi="Arial"/>
                <w:sz w:val="18"/>
                <w:szCs w:val="18"/>
                <w:i w:val="1"/>
                <w:iCs w:val="1"/>
                <w:color w:val="131E29"/>
                <w:w w:val="99"/>
              </w:rPr>
              <w:t>(Principal Executive Officer)</w:t>
            </w:r>
          </w:p>
        </w:tc>
      </w:tr>
      <w:tr>
        <w:trPr>
          <w:trHeight w:val="790"/>
        </w:trPr>
        <w:tc>
          <w:tcPr>
            <w:tcW w:w="2660" w:type="dxa"/>
            <w:vAlign w:val="bottom"/>
          </w:tcPr>
          <w:p>
            <w:pPr>
              <w:ind w:left="20"/>
              <w:spacing w:after="0"/>
              <w:rPr>
                <w:sz w:val="20"/>
                <w:szCs w:val="20"/>
                <w:color w:val="auto"/>
              </w:rPr>
            </w:pPr>
            <w:r>
              <w:rPr>
                <w:rFonts w:ascii="Arial" w:cs="Arial" w:eastAsia="Arial" w:hAnsi="Arial"/>
                <w:sz w:val="18"/>
                <w:szCs w:val="18"/>
                <w:color w:val="131E29"/>
              </w:rPr>
              <w:t>August 9, 2023</w:t>
            </w:r>
          </w:p>
        </w:tc>
        <w:tc>
          <w:tcPr>
            <w:tcW w:w="4980" w:type="dxa"/>
            <w:vAlign w:val="bottom"/>
            <w:gridSpan w:val="2"/>
          </w:tcPr>
          <w:p>
            <w:pPr>
              <w:ind w:left="3260"/>
              <w:spacing w:after="0"/>
              <w:rPr>
                <w:sz w:val="20"/>
                <w:szCs w:val="20"/>
                <w:color w:val="auto"/>
              </w:rPr>
            </w:pPr>
            <w:r>
              <w:rPr>
                <w:rFonts w:ascii="Arial" w:cs="Arial" w:eastAsia="Arial" w:hAnsi="Arial"/>
                <w:sz w:val="18"/>
                <w:szCs w:val="18"/>
                <w:color w:val="131E29"/>
              </w:rPr>
              <w:t>By:</w:t>
            </w:r>
          </w:p>
        </w:tc>
        <w:tc>
          <w:tcPr>
            <w:tcW w:w="3600" w:type="dxa"/>
            <w:vAlign w:val="bottom"/>
          </w:tcPr>
          <w:p>
            <w:pPr>
              <w:jc w:val="center"/>
              <w:ind w:right="1050"/>
              <w:spacing w:after="0"/>
              <w:rPr>
                <w:sz w:val="20"/>
                <w:szCs w:val="20"/>
                <w:color w:val="auto"/>
              </w:rPr>
            </w:pPr>
            <w:r>
              <w:rPr>
                <w:rFonts w:ascii="Arial" w:cs="Arial" w:eastAsia="Arial" w:hAnsi="Arial"/>
                <w:sz w:val="18"/>
                <w:szCs w:val="18"/>
                <w:b w:val="1"/>
                <w:bCs w:val="1"/>
                <w:color w:val="131E29"/>
                <w:w w:val="99"/>
              </w:rPr>
              <w:t>/s/ Charles L. Jemley</w:t>
            </w:r>
          </w:p>
        </w:tc>
      </w:tr>
      <w:tr>
        <w:trPr>
          <w:trHeight w:val="243"/>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131E29"/>
              </w:rPr>
              <w:t>Date</w:t>
            </w:r>
          </w:p>
        </w:tc>
        <w:tc>
          <w:tcPr>
            <w:tcW w:w="38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600" w:type="dxa"/>
            <w:vAlign w:val="bottom"/>
            <w:tcBorders>
              <w:top w:val="single" w:sz="8" w:color="auto"/>
            </w:tcBorders>
          </w:tcPr>
          <w:p>
            <w:pPr>
              <w:jc w:val="center"/>
              <w:ind w:right="1070"/>
              <w:spacing w:after="0"/>
              <w:rPr>
                <w:sz w:val="20"/>
                <w:szCs w:val="20"/>
                <w:color w:val="auto"/>
              </w:rPr>
            </w:pPr>
            <w:r>
              <w:rPr>
                <w:rFonts w:ascii="Arial" w:cs="Arial" w:eastAsia="Arial" w:hAnsi="Arial"/>
                <w:sz w:val="18"/>
                <w:szCs w:val="18"/>
                <w:color w:val="131E29"/>
                <w:w w:val="99"/>
              </w:rPr>
              <w:t>Charles L. Jemley</w:t>
            </w:r>
          </w:p>
        </w:tc>
      </w:tr>
      <w:tr>
        <w:trPr>
          <w:trHeight w:val="270"/>
        </w:trPr>
        <w:tc>
          <w:tcPr>
            <w:tcW w:w="26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0" w:type="dxa"/>
            <w:vAlign w:val="bottom"/>
          </w:tcPr>
          <w:p>
            <w:pPr>
              <w:jc w:val="center"/>
              <w:ind w:right="1070"/>
              <w:spacing w:after="0"/>
              <w:rPr>
                <w:sz w:val="20"/>
                <w:szCs w:val="20"/>
                <w:color w:val="auto"/>
              </w:rPr>
            </w:pPr>
            <w:r>
              <w:rPr>
                <w:rFonts w:ascii="Arial" w:cs="Arial" w:eastAsia="Arial" w:hAnsi="Arial"/>
                <w:sz w:val="18"/>
                <w:szCs w:val="18"/>
                <w:color w:val="131E29"/>
                <w:w w:val="99"/>
              </w:rPr>
              <w:t>Chief Financial Officer</w:t>
            </w:r>
          </w:p>
        </w:tc>
      </w:tr>
    </w:tbl>
    <w:p>
      <w:pPr>
        <w:spacing w:after="0" w:line="35" w:lineRule="exact"/>
        <w:rPr>
          <w:sz w:val="20"/>
          <w:szCs w:val="20"/>
          <w:color w:val="auto"/>
        </w:rPr>
      </w:pPr>
    </w:p>
    <w:p>
      <w:pPr>
        <w:ind w:left="7140"/>
        <w:spacing w:after="0"/>
        <w:rPr>
          <w:sz w:val="20"/>
          <w:szCs w:val="20"/>
          <w:color w:val="auto"/>
        </w:rPr>
      </w:pPr>
      <w:r>
        <w:rPr>
          <w:rFonts w:ascii="Arial" w:cs="Arial" w:eastAsia="Arial" w:hAnsi="Arial"/>
          <w:sz w:val="18"/>
          <w:szCs w:val="18"/>
          <w:i w:val="1"/>
          <w:iCs w:val="1"/>
          <w:color w:val="131E29"/>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102</w:t>
      </w:r>
    </w:p>
    <w:p>
      <w:pPr>
        <w:sectPr>
          <w:pgSz w:w="11900" w:h="16838" w:orient="portrait"/>
          <w:cols w:equalWidth="0" w:num="1">
            <w:col w:w="11240"/>
          </w:cols>
          <w:pgMar w:left="320" w:top="13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131E29"/>
        </w:rPr>
        <w:t>Exhibit 31.1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131E29"/>
        </w:rPr>
        <w:t>I, Jonathan Ricci, certify that:</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June 30, 2023 of Dutch Bros Inc.;</w:t>
      </w:r>
    </w:p>
    <w:p>
      <w:pPr>
        <w:spacing w:after="0" w:line="117" w:lineRule="exact"/>
        <w:rPr>
          <w:rFonts w:ascii="Arial" w:cs="Arial" w:eastAsia="Arial" w:hAnsi="Arial"/>
          <w:sz w:val="18"/>
          <w:szCs w:val="18"/>
          <w:color w:val="131E29"/>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131E29"/>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131E29"/>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131E29"/>
        </w:rPr>
      </w:pPr>
    </w:p>
    <w:p>
      <w:pPr>
        <w:jc w:val="both"/>
        <w:ind w:left="980" w:hanging="324"/>
        <w:spacing w:after="0" w:line="263" w:lineRule="auto"/>
        <w:tabs>
          <w:tab w:leader="none" w:pos="980"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131E29"/>
        </w:rPr>
      </w:pPr>
    </w:p>
    <w:p>
      <w:pPr>
        <w:jc w:val="both"/>
        <w:ind w:left="980" w:hanging="324"/>
        <w:spacing w:after="0" w:line="263" w:lineRule="auto"/>
        <w:tabs>
          <w:tab w:leader="none" w:pos="980"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131E29"/>
        </w:rPr>
      </w:pPr>
    </w:p>
    <w:p>
      <w:pPr>
        <w:jc w:val="both"/>
        <w:ind w:left="980" w:hanging="324"/>
        <w:spacing w:after="0" w:line="263" w:lineRule="auto"/>
        <w:tabs>
          <w:tab w:leader="none" w:pos="980"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131E29"/>
        </w:rPr>
      </w:pPr>
    </w:p>
    <w:p>
      <w:pPr>
        <w:jc w:val="both"/>
        <w:ind w:left="980" w:hanging="324"/>
        <w:spacing w:after="0" w:line="263" w:lineRule="auto"/>
        <w:tabs>
          <w:tab w:leader="none" w:pos="980"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131E29"/>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131E29"/>
        </w:rPr>
      </w:pPr>
    </w:p>
    <w:p>
      <w:pPr>
        <w:jc w:val="both"/>
        <w:ind w:left="980" w:hanging="324"/>
        <w:spacing w:after="0" w:line="263" w:lineRule="auto"/>
        <w:tabs>
          <w:tab w:leader="none" w:pos="980"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131E29"/>
        </w:rPr>
      </w:pPr>
    </w:p>
    <w:p>
      <w:pPr>
        <w:ind w:left="980" w:hanging="324"/>
        <w:spacing w:after="0" w:line="275" w:lineRule="auto"/>
        <w:tabs>
          <w:tab w:leader="none" w:pos="980"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3460" w:type="dxa"/>
            <w:vAlign w:val="bottom"/>
          </w:tcPr>
          <w:p>
            <w:pPr>
              <w:spacing w:after="0"/>
              <w:rPr>
                <w:sz w:val="21"/>
                <w:szCs w:val="21"/>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Jonathan Ricci</w:t>
            </w:r>
          </w:p>
        </w:tc>
      </w:tr>
      <w:tr>
        <w:trPr>
          <w:trHeight w:val="224"/>
        </w:trPr>
        <w:tc>
          <w:tcPr>
            <w:tcW w:w="2880" w:type="dxa"/>
            <w:vAlign w:val="bottom"/>
          </w:tcPr>
          <w:p>
            <w:pPr>
              <w:ind w:left="20"/>
              <w:spacing w:after="0"/>
              <w:rPr>
                <w:sz w:val="20"/>
                <w:szCs w:val="20"/>
                <w:color w:val="auto"/>
              </w:rPr>
            </w:pPr>
            <w:r>
              <w:rPr>
                <w:rFonts w:ascii="Arial" w:cs="Arial" w:eastAsia="Arial" w:hAnsi="Arial"/>
                <w:sz w:val="18"/>
                <w:szCs w:val="18"/>
                <w:color w:val="auto"/>
              </w:rPr>
              <w:t>Date</w:t>
            </w:r>
          </w:p>
        </w:tc>
        <w:tc>
          <w:tcPr>
            <w:tcW w:w="346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9"/>
              </w:rPr>
              <w:t>Jonathan Ricci</w:t>
            </w:r>
          </w:p>
        </w:tc>
      </w:tr>
      <w:tr>
        <w:trPr>
          <w:trHeight w:val="224"/>
        </w:trPr>
        <w:tc>
          <w:tcPr>
            <w:tcW w:w="28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35"/>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1087"/>
        </w:trPr>
        <w:tc>
          <w:tcPr>
            <w:tcW w:w="2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00" w:type="dxa"/>
            <w:vAlign w:val="bottom"/>
          </w:tcPr>
          <w:p>
            <w:pPr>
              <w:ind w:left="2620"/>
              <w:spacing w:after="0"/>
              <w:rPr>
                <w:sz w:val="20"/>
                <w:szCs w:val="20"/>
                <w:color w:val="auto"/>
              </w:rPr>
            </w:pPr>
            <w:r>
              <w:rPr>
                <w:rFonts w:ascii="Arial" w:cs="Arial" w:eastAsia="Arial" w:hAnsi="Arial"/>
                <w:sz w:val="18"/>
                <w:szCs w:val="18"/>
                <w:color w:val="131E29"/>
                <w:w w:val="99"/>
              </w:rPr>
              <w:t>Dutch Bros Inc.</w:t>
            </w:r>
            <w:r>
              <w:rPr>
                <w:rFonts w:ascii="Arial" w:cs="Arial" w:eastAsia="Arial" w:hAnsi="Arial"/>
                <w:sz w:val="18"/>
                <w:szCs w:val="18"/>
                <w:b w:val="1"/>
                <w:bCs w:val="1"/>
                <w:color w:val="006098"/>
                <w:w w:val="99"/>
              </w:rPr>
              <w:t>|</w:t>
            </w:r>
            <w:r>
              <w:rPr>
                <w:rFonts w:ascii="Arial" w:cs="Arial" w:eastAsia="Arial" w:hAnsi="Arial"/>
                <w:sz w:val="18"/>
                <w:szCs w:val="18"/>
                <w:color w:val="131E29"/>
                <w:w w:val="99"/>
              </w:rPr>
              <w:t xml:space="preserve"> Exhibit 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-312420</wp:posOffset>
            </wp:positionV>
            <wp:extent cx="171450" cy="2400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131E29"/>
        </w:rPr>
        <w:t>Exhibit 31.2</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131E29"/>
        </w:rPr>
        <w:t>I, Charles L. Jemley, certify that:</w:t>
      </w:r>
    </w:p>
    <w:p>
      <w:pPr>
        <w:spacing w:after="0" w:line="25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June 30, 2023 of Dutch Bros Inc.;</w:t>
      </w:r>
    </w:p>
    <w:p>
      <w:pPr>
        <w:spacing w:after="0" w:line="117" w:lineRule="exact"/>
        <w:rPr>
          <w:rFonts w:ascii="Arial" w:cs="Arial" w:eastAsia="Arial" w:hAnsi="Arial"/>
          <w:sz w:val="18"/>
          <w:szCs w:val="18"/>
          <w:color w:val="131E29"/>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131E29"/>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131E29"/>
        </w:rPr>
      </w:pPr>
    </w:p>
    <w:p>
      <w:pPr>
        <w:jc w:val="both"/>
        <w:ind w:left="660" w:hanging="328"/>
        <w:spacing w:after="0" w:line="286" w:lineRule="auto"/>
        <w:tabs>
          <w:tab w:leader="none" w:pos="660"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Arial" w:cs="Arial" w:eastAsia="Arial" w:hAnsi="Arial"/>
          <w:sz w:val="18"/>
          <w:szCs w:val="18"/>
          <w:color w:val="131E29"/>
        </w:rPr>
      </w:pPr>
    </w:p>
    <w:p>
      <w:pPr>
        <w:jc w:val="both"/>
        <w:ind w:left="980" w:hanging="324"/>
        <w:spacing w:after="0" w:line="263" w:lineRule="auto"/>
        <w:tabs>
          <w:tab w:leader="none" w:pos="980" w:val="left"/>
        </w:tabs>
        <w:numPr>
          <w:ilvl w:val="1"/>
          <w:numId w:val="56"/>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131E29"/>
        </w:rPr>
      </w:pPr>
    </w:p>
    <w:p>
      <w:pPr>
        <w:jc w:val="both"/>
        <w:ind w:left="980" w:hanging="324"/>
        <w:spacing w:after="0" w:line="263" w:lineRule="auto"/>
        <w:tabs>
          <w:tab w:leader="none" w:pos="980" w:val="left"/>
        </w:tabs>
        <w:numPr>
          <w:ilvl w:val="1"/>
          <w:numId w:val="56"/>
        </w:numPr>
        <w:rPr>
          <w:rFonts w:ascii="Arial" w:cs="Arial" w:eastAsia="Arial" w:hAnsi="Arial"/>
          <w:sz w:val="18"/>
          <w:szCs w:val="18"/>
          <w:color w:val="131E29"/>
        </w:rPr>
      </w:pPr>
      <w:r>
        <w:rPr>
          <w:rFonts w:ascii="Arial" w:cs="Arial" w:eastAsia="Arial" w:hAnsi="Arial"/>
          <w:sz w:val="18"/>
          <w:szCs w:val="18"/>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131E29"/>
        </w:rPr>
      </w:pPr>
    </w:p>
    <w:p>
      <w:pPr>
        <w:jc w:val="both"/>
        <w:ind w:left="980" w:hanging="324"/>
        <w:spacing w:after="0" w:line="263" w:lineRule="auto"/>
        <w:tabs>
          <w:tab w:leader="none" w:pos="980" w:val="left"/>
        </w:tabs>
        <w:numPr>
          <w:ilvl w:val="1"/>
          <w:numId w:val="56"/>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131E29"/>
        </w:rPr>
      </w:pPr>
    </w:p>
    <w:p>
      <w:pPr>
        <w:jc w:val="both"/>
        <w:ind w:left="980" w:hanging="324"/>
        <w:spacing w:after="0" w:line="263" w:lineRule="auto"/>
        <w:tabs>
          <w:tab w:leader="none" w:pos="980" w:val="left"/>
        </w:tabs>
        <w:numPr>
          <w:ilvl w:val="1"/>
          <w:numId w:val="56"/>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131E29"/>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131E29"/>
        </w:rPr>
      </w:pPr>
    </w:p>
    <w:p>
      <w:pPr>
        <w:jc w:val="both"/>
        <w:ind w:left="980" w:hanging="324"/>
        <w:spacing w:after="0" w:line="263" w:lineRule="auto"/>
        <w:tabs>
          <w:tab w:leader="none" w:pos="980" w:val="left"/>
        </w:tabs>
        <w:numPr>
          <w:ilvl w:val="1"/>
          <w:numId w:val="56"/>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131E29"/>
        </w:rPr>
      </w:pPr>
    </w:p>
    <w:p>
      <w:pPr>
        <w:ind w:left="980" w:hanging="324"/>
        <w:spacing w:after="0" w:line="275" w:lineRule="auto"/>
        <w:tabs>
          <w:tab w:leader="none" w:pos="980" w:val="left"/>
        </w:tabs>
        <w:numPr>
          <w:ilvl w:val="1"/>
          <w:numId w:val="56"/>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2740" w:type="dxa"/>
            <w:vAlign w:val="bottom"/>
          </w:tcPr>
          <w:p>
            <w:pPr>
              <w:spacing w:after="0"/>
              <w:rPr>
                <w:sz w:val="20"/>
                <w:szCs w:val="20"/>
                <w:color w:val="auto"/>
              </w:rPr>
            </w:pP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 Charles L. Jemley</w:t>
            </w:r>
          </w:p>
        </w:tc>
        <w:tc>
          <w:tcPr>
            <w:tcW w:w="60" w:type="dxa"/>
            <w:vAlign w:val="bottom"/>
          </w:tcPr>
          <w:p>
            <w:pPr>
              <w:spacing w:after="0"/>
              <w:rPr>
                <w:sz w:val="20"/>
                <w:szCs w:val="20"/>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Date</w:t>
            </w:r>
          </w:p>
        </w:tc>
        <w:tc>
          <w:tcPr>
            <w:tcW w:w="2740" w:type="dxa"/>
            <w:vAlign w:val="bottom"/>
          </w:tcPr>
          <w:p>
            <w:pPr>
              <w:spacing w:after="0"/>
              <w:rPr>
                <w:sz w:val="19"/>
                <w:szCs w:val="19"/>
                <w:color w:val="auto"/>
              </w:rPr>
            </w:pPr>
          </w:p>
        </w:tc>
        <w:tc>
          <w:tcPr>
            <w:tcW w:w="57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Charles L. Jemley</w:t>
            </w:r>
          </w:p>
        </w:tc>
      </w:tr>
      <w:tr>
        <w:trPr>
          <w:trHeight w:val="229"/>
        </w:trPr>
        <w:tc>
          <w:tcPr>
            <w:tcW w:w="28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7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Chief Financial Officer</w:t>
            </w:r>
          </w:p>
        </w:tc>
      </w:tr>
      <w:tr>
        <w:trPr>
          <w:trHeight w:val="243"/>
        </w:trPr>
        <w:tc>
          <w:tcPr>
            <w:tcW w:w="28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5700" w:type="dxa"/>
            <w:vAlign w:val="bottom"/>
            <w:gridSpan w:val="2"/>
          </w:tcPr>
          <w:p>
            <w:pPr>
              <w:jc w:val="center"/>
              <w:ind w:right="60"/>
              <w:spacing w:after="0"/>
              <w:rPr>
                <w:sz w:val="20"/>
                <w:szCs w:val="20"/>
                <w:color w:val="auto"/>
              </w:rPr>
            </w:pPr>
            <w:r>
              <w:rPr>
                <w:rFonts w:ascii="Arial" w:cs="Arial" w:eastAsia="Arial" w:hAnsi="Arial"/>
                <w:sz w:val="18"/>
                <w:szCs w:val="18"/>
                <w:i w:val="1"/>
                <w:iCs w:val="1"/>
                <w:color w:val="auto"/>
                <w:w w:val="99"/>
              </w:rPr>
              <w:t>(Principal Financial and Accounting Officer)</w:t>
            </w:r>
          </w:p>
        </w:tc>
      </w:tr>
      <w:tr>
        <w:trPr>
          <w:trHeight w:val="1074"/>
        </w:trPr>
        <w:tc>
          <w:tcPr>
            <w:tcW w:w="2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700" w:type="dxa"/>
            <w:vAlign w:val="bottom"/>
            <w:gridSpan w:val="2"/>
          </w:tcPr>
          <w:p>
            <w:pPr>
              <w:ind w:left="3420"/>
              <w:spacing w:after="0"/>
              <w:rPr>
                <w:sz w:val="20"/>
                <w:szCs w:val="20"/>
                <w:color w:val="auto"/>
              </w:rPr>
            </w:pPr>
            <w:r>
              <w:rPr>
                <w:rFonts w:ascii="Arial" w:cs="Arial" w:eastAsia="Arial" w:hAnsi="Arial"/>
                <w:sz w:val="18"/>
                <w:szCs w:val="18"/>
                <w:color w:val="131E29"/>
                <w:w w:val="99"/>
              </w:rPr>
              <w:t>Dutch Bros Inc.</w:t>
            </w:r>
            <w:r>
              <w:rPr>
                <w:rFonts w:ascii="Arial" w:cs="Arial" w:eastAsia="Arial" w:hAnsi="Arial"/>
                <w:sz w:val="18"/>
                <w:szCs w:val="18"/>
                <w:b w:val="1"/>
                <w:bCs w:val="1"/>
                <w:color w:val="006098"/>
                <w:w w:val="99"/>
              </w:rPr>
              <w:t>|</w:t>
            </w:r>
            <w:r>
              <w:rPr>
                <w:rFonts w:ascii="Arial" w:cs="Arial" w:eastAsia="Arial" w:hAnsi="Arial"/>
                <w:sz w:val="18"/>
                <w:szCs w:val="18"/>
                <w:color w:val="131E29"/>
                <w:w w:val="99"/>
              </w:rPr>
              <w:t xml:space="preserve"> Exhibit 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-312420</wp:posOffset>
            </wp:positionV>
            <wp:extent cx="171450" cy="2400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In connection with the Quarterly Report of Dutch Bros Inc. (the Company) on Form 10-Q for the period ended June 30, 2023, as filed with the Securities and Exchange Commission on the date of the signatures below (the Report), Jonathan Ricci, Chief Executive Officer of the Company, and Charles L. Jemley, Chief Financial Officer of the Company, each hereby certifies, pursuant to 18 U.S.C. Section 1350, as adopted pursuant to Section 906 of the Sarbanes-Oxley Act of 2002, that, to the best of their respective knowledge:</w:t>
      </w:r>
    </w:p>
    <w:p>
      <w:pPr>
        <w:spacing w:after="0" w:line="21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the Report fully complies with the requirements of Section 13(a) or Section 15(d) of the Securities Exchange Act of 1934; and</w:t>
      </w:r>
    </w:p>
    <w:p>
      <w:pPr>
        <w:spacing w:after="0" w:line="21" w:lineRule="exact"/>
        <w:rPr>
          <w:rFonts w:ascii="Arial" w:cs="Arial" w:eastAsia="Arial" w:hAnsi="Arial"/>
          <w:sz w:val="18"/>
          <w:szCs w:val="18"/>
          <w:color w:val="131E29"/>
        </w:rPr>
      </w:pPr>
    </w:p>
    <w:p>
      <w:pPr>
        <w:ind w:left="660" w:hanging="328"/>
        <w:spacing w:after="0" w:line="261" w:lineRule="auto"/>
        <w:tabs>
          <w:tab w:leader="none" w:pos="66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2700" w:type="dxa"/>
            <w:vAlign w:val="bottom"/>
          </w:tcPr>
          <w:p>
            <w:pPr>
              <w:spacing w:after="0"/>
              <w:rPr>
                <w:sz w:val="21"/>
                <w:szCs w:val="21"/>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Jonathan Ricci</w:t>
            </w:r>
          </w:p>
        </w:tc>
      </w:tr>
      <w:tr>
        <w:trPr>
          <w:trHeight w:val="224"/>
        </w:trPr>
        <w:tc>
          <w:tcPr>
            <w:tcW w:w="2880" w:type="dxa"/>
            <w:vAlign w:val="bottom"/>
          </w:tcPr>
          <w:p>
            <w:pPr>
              <w:ind w:left="20"/>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Arial" w:cs="Arial" w:eastAsia="Arial" w:hAnsi="Arial"/>
                <w:sz w:val="18"/>
                <w:szCs w:val="18"/>
                <w:color w:val="auto"/>
                <w:w w:val="99"/>
              </w:rPr>
              <w:t>Jonathan Ricci</w:t>
            </w:r>
          </w:p>
        </w:tc>
      </w:tr>
      <w:tr>
        <w:trPr>
          <w:trHeight w:val="224"/>
        </w:trPr>
        <w:tc>
          <w:tcPr>
            <w:tcW w:w="28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35"/>
        </w:trPr>
        <w:tc>
          <w:tcPr>
            <w:tcW w:w="28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6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2700" w:type="dxa"/>
            <w:vAlign w:val="bottom"/>
          </w:tcPr>
          <w:p>
            <w:pPr>
              <w:spacing w:after="0"/>
              <w:rPr>
                <w:sz w:val="20"/>
                <w:szCs w:val="20"/>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 Charles L. Jemley</w:t>
            </w: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Arial" w:cs="Arial" w:eastAsia="Arial" w:hAnsi="Arial"/>
                <w:sz w:val="18"/>
                <w:szCs w:val="18"/>
                <w:color w:val="auto"/>
                <w:w w:val="99"/>
              </w:rPr>
              <w:t>Charles L. Jemley</w:t>
            </w:r>
          </w:p>
        </w:tc>
      </w:tr>
      <w:tr>
        <w:trPr>
          <w:trHeight w:val="238"/>
        </w:trPr>
        <w:tc>
          <w:tcPr>
            <w:tcW w:w="28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6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r>
      <w:tr>
        <w:trPr>
          <w:trHeight w:val="235"/>
        </w:trPr>
        <w:tc>
          <w:tcPr>
            <w:tcW w:w="28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6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Financial and Accounting Officer)</w:t>
            </w:r>
          </w:p>
        </w:tc>
      </w:tr>
    </w:tbl>
    <w:p>
      <w:pPr>
        <w:spacing w:after="0" w:line="3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700"/>
        <w:spacing w:after="0"/>
        <w:rPr>
          <w:sz w:val="20"/>
          <w:szCs w:val="20"/>
          <w:color w:val="auto"/>
        </w:rPr>
      </w:pPr>
      <w:r>
        <w:rPr>
          <w:sz w:val="1"/>
          <w:szCs w:val="1"/>
          <w:color w:val="auto"/>
        </w:rPr>
        <w:drawing>
          <wp:inline distT="0" distB="0" distL="0" distR="0">
            <wp:extent cx="171450" cy="24003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7"/>
          <w:szCs w:val="17"/>
          <w:color w:val="131E29"/>
        </w:rPr>
        <w:t>Dutch Bros Inc.</w:t>
      </w:r>
      <w:r>
        <w:rPr>
          <w:rFonts w:ascii="Arial" w:cs="Arial" w:eastAsia="Arial" w:hAnsi="Arial"/>
          <w:sz w:val="17"/>
          <w:szCs w:val="17"/>
          <w:b w:val="1"/>
          <w:bCs w:val="1"/>
          <w:color w:val="006098"/>
        </w:rPr>
        <w:t>|</w:t>
      </w:r>
      <w:r>
        <w:rPr>
          <w:rFonts w:ascii="Arial" w:cs="Arial" w:eastAsia="Arial" w:hAnsi="Arial"/>
          <w:sz w:val="17"/>
          <w:szCs w:val="17"/>
          <w:color w:val="131E29"/>
        </w:rPr>
        <w:t xml:space="preserve"> Exhibit 32.1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2"/>
      <w:numFmt w:val="bullet"/>
      <w:start w:val="1"/>
    </w:lvl>
  </w:abstractNum>
  <w:abstractNum w:abstractNumId="4">
    <w:nsid w:val="7C3DBD3D"/>
    <w:multiLevelType w:val="hybridMultilevel"/>
    <w:lvl w:ilvl="0">
      <w:lvlJc w:val="left"/>
      <w:lvlText w:val="1"/>
      <w:numFmt w:val="bullet"/>
      <w:start w:val="1"/>
    </w:lvl>
  </w:abstractNum>
  <w:abstractNum w:abstractNumId="5">
    <w:nsid w:val="737B8DDC"/>
    <w:multiLevelType w:val="hybridMultilevel"/>
    <w:lvl w:ilvl="0">
      <w:lvlJc w:val="left"/>
      <w:lvlText w:val="1"/>
      <w:numFmt w:val="bullet"/>
      <w:start w:val="1"/>
    </w:lvl>
  </w:abstractNum>
  <w:abstractNum w:abstractNumId="6">
    <w:nsid w:val="6CEAF087"/>
    <w:multiLevelType w:val="hybridMultilevel"/>
    <w:lvl w:ilvl="0">
      <w:lvlJc w:val="left"/>
      <w:lvlText w:val="1"/>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bullet"/>
      <w:start w:val="1"/>
    </w:lvl>
  </w:abstractNum>
  <w:abstractNum w:abstractNumId="9">
    <w:nsid w:val="3006C83E"/>
    <w:multiLevelType w:val="hybridMultilevel"/>
    <w:lvl w:ilvl="0">
      <w:lvlJc w:val="left"/>
      <w:lvlText w:val="2"/>
      <w:numFmt w:val="bullet"/>
      <w:start w:val="1"/>
    </w:lvl>
  </w:abstractNum>
  <w:abstractNum w:abstractNumId="10">
    <w:nsid w:val="614FD4A1"/>
    <w:multiLevelType w:val="hybridMultilevel"/>
    <w:lvl w:ilvl="0">
      <w:lvlJc w:val="left"/>
      <w:lvlText w:val="3"/>
      <w:numFmt w:val="bullet"/>
      <w:start w:val="1"/>
    </w:lvl>
  </w:abstractNum>
  <w:abstractNum w:abstractNumId="11">
    <w:nsid w:val="419AC241"/>
    <w:multiLevelType w:val="hybridMultilevel"/>
    <w:lvl w:ilvl="0">
      <w:lvlJc w:val="left"/>
      <w:lvlText w:val="4"/>
      <w:numFmt w:val="bullet"/>
      <w:start w:val="1"/>
    </w:lvl>
  </w:abstractNum>
  <w:abstractNum w:abstractNumId="12">
    <w:nsid w:val="5577F8E1"/>
    <w:multiLevelType w:val="hybridMultilevel"/>
    <w:lvl w:ilvl="0">
      <w:lvlJc w:val="left"/>
      <w:lvlText w:val="5"/>
      <w:numFmt w:val="bullet"/>
      <w:start w:val="1"/>
    </w:lvl>
  </w:abstractNum>
  <w:abstractNum w:abstractNumId="13">
    <w:nsid w:val="440BADFC"/>
    <w:multiLevelType w:val="hybridMultilevel"/>
    <w:lvl w:ilvl="0">
      <w:lvlJc w:val="left"/>
      <w:lvlText w:val="6"/>
      <w:numFmt w:val="bullet"/>
      <w:start w:val="1"/>
    </w:lvl>
  </w:abstractNum>
  <w:abstractNum w:abstractNumId="14">
    <w:nsid w:val="5072367"/>
    <w:multiLevelType w:val="hybridMultilevel"/>
    <w:lvl w:ilvl="0">
      <w:lvlJc w:val="left"/>
      <w:lvlText w:val="1"/>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bullet"/>
      <w:start w:val="1"/>
    </w:lvl>
  </w:abstractNum>
  <w:abstractNum w:abstractNumId="20">
    <w:nsid w:val="5E884ADC"/>
    <w:multiLevelType w:val="hybridMultilevel"/>
    <w:lvl w:ilvl="0">
      <w:lvlJc w:val="left"/>
      <w:lvlText w:val="1"/>
      <w:numFmt w:val="bullet"/>
      <w:start w:val="1"/>
    </w:lvl>
  </w:abstractNum>
  <w:abstractNum w:abstractNumId="21">
    <w:nsid w:val="51EAD36B"/>
    <w:multiLevelType w:val="hybridMultilevel"/>
    <w:lvl w:ilvl="0">
      <w:lvlJc w:val="left"/>
      <w:lvlText w:val="1"/>
      <w:numFmt w:val="bullet"/>
      <w:start w:val="1"/>
    </w:lvl>
  </w:abstractNum>
  <w:abstractNum w:abstractNumId="22">
    <w:nsid w:val="2D517796"/>
    <w:multiLevelType w:val="hybridMultilevel"/>
    <w:lvl w:ilvl="0">
      <w:lvlJc w:val="left"/>
      <w:lvlText w:val="1"/>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5" Type="http://schemas.openxmlformats.org/officeDocument/2006/relationships/image" Target="media/image235.jpe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jpeg"/><Relationship Id="rId249" Type="http://schemas.openxmlformats.org/officeDocument/2006/relationships/image" Target="media/image239.jpeg"/><Relationship Id="rId250" Type="http://schemas.openxmlformats.org/officeDocument/2006/relationships/image" Target="media/image240.jpeg"/><Relationship Id="rId251" Type="http://schemas.openxmlformats.org/officeDocument/2006/relationships/image" Target="media/image241.jpeg"/><Relationship Id="rId242" Type="http://schemas.openxmlformats.org/officeDocument/2006/relationships/hyperlink" Target="https://www.sec.gov/Archives/edgar/data/0001866581/000162828021018861/exhibit31-8xk.htm" TargetMode="External"/><Relationship Id="rId243" Type="http://schemas.openxmlformats.org/officeDocument/2006/relationships/hyperlink" Target="https://www.sec.gov/Archives/edgar/data/1866581/000162828021017441/exhibit34-sx1.htm" TargetMode="External"/><Relationship Id="rId244" Type="http://schemas.openxmlformats.org/officeDocument/2006/relationships/hyperlink" Target="http://www.sec.gov/Archives/edgar/data/0001866581/000162828021018116/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2023-08-09T07:58:01Z</dcterms:created>
  <dcterms:modified xsi:type="dcterms:W3CDTF">2023-08-09T07:58:01Z</dcterms:modified>
</cp:coreProperties>
</file>